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29, 2002</w:t>
      </w:r>
    </w:p>
    <w:p>
      <w:pPr>
        <w:spacing w:after="0" w:line="204" w:lineRule="exact"/>
        <w:rPr>
          <w:sz w:val="24"/>
          <w:szCs w:val="24"/>
          <w:color w:val="auto"/>
        </w:rPr>
      </w:pPr>
    </w:p>
    <w:p>
      <w:pPr>
        <w:ind w:left="99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1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88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C. Kevin McGeehan, Esq.</w:t>
            </w:r>
          </w:p>
        </w:tc>
        <w:tc>
          <w:tcPr>
            <w:tcW w:w="5120" w:type="dxa"/>
            <w:vAlign w:val="bottom"/>
          </w:tcPr>
          <w:p>
            <w:pPr>
              <w:jc w:val="center"/>
              <w:ind w:left="317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880" w:type="dxa"/>
            <w:vAlign w:val="bottom"/>
          </w:tcPr>
          <w:p>
            <w:pPr>
              <w:jc w:val="center"/>
              <w:ind w:right="772"/>
              <w:spacing w:after="0"/>
              <w:rPr>
                <w:sz w:val="20"/>
                <w:szCs w:val="20"/>
                <w:color w:val="auto"/>
              </w:rPr>
            </w:pPr>
            <w:r>
              <w:rPr>
                <w:rFonts w:ascii="Arial" w:cs="Arial" w:eastAsia="Arial" w:hAnsi="Arial"/>
                <w:sz w:val="14"/>
                <w:szCs w:val="14"/>
                <w:b w:val="1"/>
                <w:bCs w:val="1"/>
                <w:color w:val="auto"/>
                <w:w w:val="87"/>
              </w:rPr>
              <w:t>(310) 277-1010</w:t>
            </w:r>
          </w:p>
        </w:tc>
        <w:tc>
          <w:tcPr>
            <w:tcW w:w="512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3"/>
              </w:rPr>
              <w:t>Proposed</w:t>
            </w:r>
          </w:p>
        </w:tc>
        <w:tc>
          <w:tcPr>
            <w:tcW w:w="1680" w:type="dxa"/>
            <w:vAlign w:val="bottom"/>
          </w:tcPr>
          <w:p>
            <w:pPr>
              <w:spacing w:after="0"/>
              <w:rPr>
                <w:sz w:val="13"/>
                <w:szCs w:val="13"/>
                <w:color w:val="auto"/>
              </w:rPr>
            </w:pPr>
          </w:p>
        </w:tc>
      </w:tr>
      <w:tr>
        <w:trPr>
          <w:trHeight w:val="149"/>
        </w:trPr>
        <w:tc>
          <w:tcPr>
            <w:tcW w:w="6700" w:type="dxa"/>
            <w:vAlign w:val="bottom"/>
          </w:tcPr>
          <w:p>
            <w:pPr>
              <w:spacing w:after="0"/>
              <w:rPr>
                <w:sz w:val="12"/>
                <w:szCs w:val="12"/>
                <w:color w:val="auto"/>
              </w:rPr>
            </w:pP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2"/>
              </w:rPr>
              <w:t>Maximum</w:t>
            </w:r>
          </w:p>
        </w:tc>
        <w:tc>
          <w:tcPr>
            <w:tcW w:w="168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86"/>
              </w:rPr>
              <w:t>Aggregate</w:t>
            </w:r>
          </w:p>
        </w:tc>
        <w:tc>
          <w:tcPr>
            <w:tcW w:w="16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670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88"/>
              </w:rPr>
              <w:t>Offering</w:t>
            </w:r>
          </w:p>
        </w:tc>
        <w:tc>
          <w:tcPr>
            <w:tcW w:w="16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6700" w:type="dxa"/>
            <w:vAlign w:val="bottom"/>
          </w:tcPr>
          <w:p>
            <w:pPr>
              <w:jc w:val="center"/>
              <w:ind w:left="1232"/>
              <w:spacing w:after="0"/>
              <w:rPr>
                <w:sz w:val="20"/>
                <w:szCs w:val="20"/>
                <w:color w:val="auto"/>
              </w:rPr>
            </w:pPr>
            <w:r>
              <w:rPr>
                <w:rFonts w:ascii="Arial" w:cs="Arial" w:eastAsia="Arial" w:hAnsi="Arial"/>
                <w:sz w:val="14"/>
                <w:szCs w:val="14"/>
                <w:b w:val="1"/>
                <w:bCs w:val="1"/>
                <w:color w:val="auto"/>
                <w:w w:val="84"/>
              </w:rPr>
              <w:t>Securities to be Registered</w:t>
            </w: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9"/>
              </w:rPr>
              <w:t>Price(1)</w:t>
            </w:r>
          </w:p>
        </w:tc>
        <w:tc>
          <w:tcPr>
            <w:tcW w:w="16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Fee(2)</w:t>
            </w:r>
          </w:p>
        </w:tc>
      </w:tr>
      <w:tr>
        <w:trPr>
          <w:trHeight w:val="105"/>
        </w:trPr>
        <w:tc>
          <w:tcPr>
            <w:tcW w:w="67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128"/>
        </w:trPr>
        <w:tc>
          <w:tcPr>
            <w:tcW w:w="670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680" w:type="dxa"/>
            <w:vAlign w:val="bottom"/>
            <w:tcBorders>
              <w:bottom w:val="single" w:sz="8" w:color="CCEEFF"/>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-107950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937"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57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Second Mortgage Notes due 2010</w:t>
            </w:r>
          </w:p>
        </w:tc>
        <w:tc>
          <w:tcPr>
            <w:tcW w:w="406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$370,000,000</w:t>
            </w:r>
          </w:p>
        </w:tc>
        <w:tc>
          <w:tcPr>
            <w:tcW w:w="15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$34,040</w:t>
            </w:r>
          </w:p>
        </w:tc>
      </w:tr>
      <w:tr>
        <w:trPr>
          <w:trHeight w:val="118"/>
        </w:trPr>
        <w:tc>
          <w:tcPr>
            <w:tcW w:w="90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266"/>
        </w:trPr>
        <w:tc>
          <w:tcPr>
            <w:tcW w:w="900" w:type="dxa"/>
            <w:vAlign w:val="bottom"/>
          </w:tcPr>
          <w:p>
            <w:pPr>
              <w:spacing w:after="0"/>
              <w:rPr>
                <w:sz w:val="20"/>
                <w:szCs w:val="20"/>
                <w:color w:val="auto"/>
              </w:rPr>
            </w:pPr>
            <w:r>
              <w:rPr>
                <w:rFonts w:ascii="Arial" w:cs="Arial" w:eastAsia="Arial" w:hAnsi="Arial"/>
                <w:sz w:val="14"/>
                <w:szCs w:val="14"/>
                <w:color w:val="auto"/>
                <w:w w:val="99"/>
              </w:rPr>
              <w:t>Guarantees of</w:t>
            </w:r>
          </w:p>
        </w:tc>
        <w:tc>
          <w:tcPr>
            <w:tcW w:w="4880" w:type="dxa"/>
            <w:vAlign w:val="bottom"/>
          </w:tcPr>
          <w:p>
            <w:pPr>
              <w:ind w:left="140"/>
              <w:spacing w:after="0"/>
              <w:rPr>
                <w:sz w:val="20"/>
                <w:szCs w:val="20"/>
                <w:color w:val="auto"/>
              </w:rPr>
            </w:pPr>
            <w:r>
              <w:rPr>
                <w:rFonts w:ascii="Arial" w:cs="Arial" w:eastAsia="Arial" w:hAnsi="Arial"/>
                <w:sz w:val="14"/>
                <w:szCs w:val="14"/>
                <w:color w:val="auto"/>
              </w:rPr>
              <w:t>% Second Mortgage Notes due 2010</w:t>
            </w:r>
          </w:p>
        </w:tc>
        <w:tc>
          <w:tcPr>
            <w:tcW w:w="4060" w:type="dxa"/>
            <w:vAlign w:val="bottom"/>
          </w:tcPr>
          <w:p>
            <w:pPr>
              <w:jc w:val="center"/>
              <w:ind w:left="2152"/>
              <w:spacing w:after="0"/>
              <w:rPr>
                <w:sz w:val="20"/>
                <w:szCs w:val="20"/>
                <w:color w:val="auto"/>
              </w:rPr>
            </w:pPr>
            <w:r>
              <w:rPr>
                <w:rFonts w:ascii="Arial" w:cs="Arial" w:eastAsia="Arial" w:hAnsi="Arial"/>
                <w:sz w:val="14"/>
                <w:szCs w:val="14"/>
                <w:color w:val="auto"/>
                <w:w w:val="83"/>
              </w:rPr>
              <w:t>None</w:t>
            </w:r>
          </w:p>
        </w:tc>
        <w:tc>
          <w:tcPr>
            <w:tcW w:w="1580" w:type="dxa"/>
            <w:vAlign w:val="bottom"/>
          </w:tcPr>
          <w:p>
            <w:pPr>
              <w:jc w:val="right"/>
              <w:ind w:right="652"/>
              <w:spacing w:after="0"/>
              <w:rPr>
                <w:sz w:val="20"/>
                <w:szCs w:val="20"/>
                <w:color w:val="auto"/>
              </w:rPr>
            </w:pPr>
            <w:r>
              <w:rPr>
                <w:rFonts w:ascii="Arial" w:cs="Arial" w:eastAsia="Arial" w:hAnsi="Arial"/>
                <w:sz w:val="14"/>
                <w:szCs w:val="14"/>
                <w:color w:val="auto"/>
              </w:rPr>
              <w:t>$0</w:t>
            </w:r>
          </w:p>
        </w:tc>
      </w:tr>
      <w:tr>
        <w:trPr>
          <w:trHeight w:val="105"/>
        </w:trPr>
        <w:tc>
          <w:tcPr>
            <w:tcW w:w="9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 with concurrent Registration Statements Nos. 333-98369 and 333-100768.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88-0464820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88-0459742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47-0846667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Limited</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46-0484987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-1182370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-1182370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-1182370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-1182370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-1182370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Wynn Resorts, Limited will be a guarantor of the second mortgage notes due 2010 co-issued by Wynn Las Vegas, LLC and Wynn Las Vegas Capital Corp., as described in Registration Statement No. 333-98369 (the "Registration Statement"). This registration statement is being filed for the sole purpose of adding Wynn Resorts, Limited as a co-registrant of the second mortgage notes in the Edgar transmission submission header. In all other respects, this registration statement is a re-filing of Amendment No. 9 to the Registration Statement filed with the Securities and Exchange Commission on 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Subject to Completion, Dated October 25, 2002</w:t>
      </w:r>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$365,000,000</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Capital Corp.</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4"/>
          <w:szCs w:val="24"/>
          <w:b w:val="1"/>
          <w:bCs w:val="1"/>
          <w:color w:val="auto"/>
        </w:rPr>
        <w:t>% Second Mortgage Notes due 2010</w:t>
      </w:r>
    </w:p>
    <w:p>
      <w:pPr>
        <w:sectPr>
          <w:pgSz w:w="11900" w:h="16838" w:orient="portrait"/>
          <w:cols w:equalWidth="0" w:num="1">
            <w:col w:w="11420"/>
          </w:cols>
          <w:pgMar w:left="240" w:top="127" w:right="239" w:bottom="0" w:gutter="0" w:footer="0" w:header="0"/>
        </w:sectPr>
      </w:pPr>
    </w:p>
    <w:p>
      <w:pPr>
        <w:spacing w:after="0" w:line="24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Wynn Las Vegas, LLC and Wynn Las Vegas Capital Corp. are offering $365 million aggregate principal amount at maturity of notes on and of each year, beginning , 2003. The second mortgage notes will mature 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0" w:hanging="215"/>
        <w:spacing w:after="0" w:line="239" w:lineRule="auto"/>
        <w:rPr>
          <w:sz w:val="20"/>
          <w:szCs w:val="20"/>
          <w:color w:val="auto"/>
        </w:rPr>
      </w:pPr>
      <w:r>
        <w:rPr>
          <w:rFonts w:ascii="Arial" w:cs="Arial" w:eastAsia="Arial" w:hAnsi="Arial"/>
          <w:sz w:val="14"/>
          <w:szCs w:val="14"/>
          <w:color w:val="auto"/>
        </w:rPr>
        <w:t>% second mortgage notes due 2010. We will pay interest on the second mortgage , 2010.</w:t>
      </w:r>
    </w:p>
    <w:p>
      <w:pPr>
        <w:spacing w:after="0" w:line="193" w:lineRule="exact"/>
        <w:rPr>
          <w:sz w:val="20"/>
          <w:szCs w:val="20"/>
          <w:color w:val="auto"/>
        </w:rPr>
      </w:pPr>
    </w:p>
    <w:p>
      <w:pPr>
        <w:sectPr>
          <w:pgSz w:w="11900" w:h="16838" w:orient="portrait"/>
          <w:cols w:equalWidth="0" w:num="2">
            <w:col w:w="6840" w:space="360"/>
            <w:col w:w="4220"/>
          </w:cols>
          <w:pgMar w:left="240" w:top="127" w:right="239" w:bottom="0" w:gutter="0" w:footer="0" w:header="0"/>
          <w:type w:val="continuous"/>
        </w:sectPr>
      </w:pPr>
    </w:p>
    <w:p>
      <w:pPr>
        <w:spacing w:after="0"/>
        <w:tabs>
          <w:tab w:leader="none" w:pos="3960" w:val="left"/>
          <w:tab w:leader="none" w:pos="8320" w:val="left"/>
        </w:tabs>
        <w:rPr>
          <w:sz w:val="20"/>
          <w:szCs w:val="20"/>
          <w:color w:val="auto"/>
        </w:rPr>
      </w:pPr>
      <w:r>
        <w:rPr>
          <w:rFonts w:ascii="Arial" w:cs="Arial" w:eastAsia="Arial" w:hAnsi="Arial"/>
          <w:sz w:val="14"/>
          <w:szCs w:val="14"/>
          <w:color w:val="auto"/>
        </w:rPr>
        <w:t>We may redeem the second mortgage notes at any time on or after</w:t>
      </w:r>
      <w:r>
        <w:rPr>
          <w:sz w:val="20"/>
          <w:szCs w:val="20"/>
          <w:color w:val="auto"/>
        </w:rPr>
        <w:tab/>
      </w:r>
      <w:r>
        <w:rPr>
          <w:rFonts w:ascii="Arial" w:cs="Arial" w:eastAsia="Arial" w:hAnsi="Arial"/>
          <w:sz w:val="14"/>
          <w:szCs w:val="14"/>
          <w:color w:val="auto"/>
        </w:rPr>
        <w:t>, 2006 at a premium decreasing ratably to zero. In addition, until</w:t>
      </w:r>
      <w:r>
        <w:rPr>
          <w:sz w:val="20"/>
          <w:szCs w:val="20"/>
          <w:color w:val="auto"/>
        </w:rPr>
        <w:tab/>
      </w:r>
      <w:r>
        <w:rPr>
          <w:rFonts w:ascii="Arial" w:cs="Arial" w:eastAsia="Arial" w:hAnsi="Arial"/>
          <w:sz w:val="12"/>
          <w:szCs w:val="12"/>
          <w:color w:val="auto"/>
        </w:rPr>
        <w:t>, 2005, we may redeem up to 35% of the second</w:t>
      </w:r>
    </w:p>
    <w:p>
      <w:pPr>
        <w:sectPr>
          <w:pgSz w:w="11900" w:h="16838" w:orient="portrait"/>
          <w:cols w:equalWidth="0" w:num="1">
            <w:col w:w="11420"/>
          </w:cols>
          <w:pgMar w:left="240" w:top="127" w:right="239" w:bottom="0" w:gutter="0" w:footer="0" w:header="0"/>
          <w:type w:val="continuous"/>
        </w:sectPr>
      </w:pPr>
    </w:p>
    <w:p>
      <w:pPr>
        <w:spacing w:after="0" w:line="11" w:lineRule="exact"/>
        <w:rPr>
          <w:sz w:val="20"/>
          <w:szCs w:val="20"/>
          <w:color w:val="auto"/>
        </w:rPr>
      </w:pPr>
    </w:p>
    <w:p>
      <w:pPr>
        <w:jc w:val="both"/>
        <w:ind w:right="300"/>
        <w:spacing w:after="0" w:line="221" w:lineRule="auto"/>
        <w:rPr>
          <w:sz w:val="20"/>
          <w:szCs w:val="20"/>
          <w:color w:val="auto"/>
        </w:rPr>
      </w:pPr>
      <w:r>
        <w:rPr>
          <w:rFonts w:ascii="Arial" w:cs="Arial" w:eastAsia="Arial" w:hAnsi="Arial"/>
          <w:sz w:val="14"/>
          <w:szCs w:val="14"/>
          <w:color w:val="auto"/>
        </w:rPr>
        <w:t>mortgage notes with the net proceeds of one or more qualified equity offerings. If we undergo a change of control we must offer to repurchase the notes. If we sell certain assets or suffer an event of loss, we must offer to repurchase the notes if we do not use the proceeds as required. The second mortgage notes may also be subject to redemption requirements imposed by gaming laws and regulations of gaming authorities in Nevada.</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second mortgage notes will be secured by:</w:t>
      </w:r>
    </w:p>
    <w:p>
      <w:pPr>
        <w:ind w:left="1080" w:hanging="532"/>
        <w:spacing w:after="0" w:line="198" w:lineRule="auto"/>
        <w:tabs>
          <w:tab w:leader="none" w:pos="1080" w:val="left"/>
        </w:tabs>
        <w:numPr>
          <w:ilvl w:val="0"/>
          <w:numId w:val="2"/>
        </w:numPr>
        <w:rPr>
          <w:rFonts w:ascii="Arial" w:cs="Arial" w:eastAsia="Arial" w:hAnsi="Arial"/>
          <w:sz w:val="27"/>
          <w:szCs w:val="27"/>
          <w:color w:val="auto"/>
          <w:vertAlign w:val="subscript"/>
        </w:rPr>
      </w:pPr>
      <w:r>
        <w:rPr>
          <w:rFonts w:ascii="Arial" w:cs="Arial" w:eastAsia="Arial" w:hAnsi="Arial"/>
          <w:sz w:val="14"/>
          <w:szCs w:val="14"/>
          <w:color w:val="auto"/>
        </w:rPr>
        <w:t>a first priority lien on the proceeds of this offering; and</w:t>
      </w:r>
    </w:p>
    <w:p>
      <w:pPr>
        <w:ind w:left="1080" w:hanging="532"/>
        <w:spacing w:after="0" w:line="185" w:lineRule="auto"/>
        <w:tabs>
          <w:tab w:leader="none" w:pos="1080" w:val="left"/>
        </w:tabs>
        <w:numPr>
          <w:ilvl w:val="0"/>
          <w:numId w:val="2"/>
        </w:numPr>
        <w:rPr>
          <w:rFonts w:ascii="Arial" w:cs="Arial" w:eastAsia="Arial" w:hAnsi="Arial"/>
          <w:sz w:val="18"/>
          <w:szCs w:val="18"/>
          <w:color w:val="auto"/>
          <w:vertAlign w:val="subscript"/>
        </w:rPr>
      </w:pPr>
      <w:r>
        <w:rPr>
          <w:rFonts w:ascii="Arial" w:cs="Arial" w:eastAsia="Arial" w:hAnsi="Arial"/>
          <w:sz w:val="10"/>
          <w:szCs w:val="10"/>
          <w:color w:val="auto"/>
        </w:rPr>
        <w:t>second priority liens on substantially all of our other existing and future assets, other than certain furniture, fixtures and equipment.</w:t>
      </w:r>
    </w:p>
    <w:p>
      <w:pPr>
        <w:spacing w:after="0" w:line="193"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The second mortgage notes will be jointly and severally guaranteed by Wynn Resorts, Limited and Valvino Lamore, LLC, our indirect parents, and certain of Valvino's subsidiaries. The guarantees will be secured by second priority liens on substantially all of the guarantors' existing and future assets. The guarantee by Wynn Resorts, Limited of the second mortgage notes will not be secured unless Wynn Resorts, Limited grants specified liens to secure other guarantees or indebtedness.</w:t>
      </w:r>
    </w:p>
    <w:p>
      <w:pPr>
        <w:spacing w:after="0" w:line="193"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Concurrent with the issuance of the second mortgage notes, we expect to enter into $1.0 billion of credit facilities, which will be secured by first priority liens on substantially all of our existing and future assets, other than the proceeds of this offering and certain furniture, fixtures and equipment. We also expect to enter into a $188.5 million furniture, fixtures and equipment loan facility, which will be secured by first priority liens on specified items of furniture, fixtures,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second mortgage notes and guarantees will:</w:t>
      </w:r>
    </w:p>
    <w:p>
      <w:pPr>
        <w:ind w:left="1080" w:hanging="532"/>
        <w:spacing w:after="0" w:line="208" w:lineRule="auto"/>
        <w:tabs>
          <w:tab w:leader="none" w:pos="1080" w:val="left"/>
        </w:tabs>
        <w:numPr>
          <w:ilvl w:val="0"/>
          <w:numId w:val="3"/>
        </w:numPr>
        <w:rPr>
          <w:rFonts w:ascii="Arial" w:cs="Arial" w:eastAsia="Arial" w:hAnsi="Arial"/>
          <w:sz w:val="27"/>
          <w:szCs w:val="27"/>
          <w:color w:val="auto"/>
          <w:vertAlign w:val="subscript"/>
        </w:rPr>
      </w:pPr>
      <w:r>
        <w:rPr>
          <w:rFonts w:ascii="Arial" w:cs="Arial" w:eastAsia="Arial" w:hAnsi="Arial"/>
          <w:sz w:val="14"/>
          <w:szCs w:val="14"/>
          <w:color w:val="auto"/>
        </w:rPr>
        <w:t>rank senior in right of payment to any future subordinated indebtedness we or the guarantors may incur;</w:t>
      </w:r>
    </w:p>
    <w:p>
      <w:pPr>
        <w:ind w:left="1080" w:hanging="532"/>
        <w:spacing w:after="0" w:line="197" w:lineRule="auto"/>
        <w:tabs>
          <w:tab w:leader="none" w:pos="1080" w:val="left"/>
        </w:tabs>
        <w:numPr>
          <w:ilvl w:val="0"/>
          <w:numId w:val="3"/>
        </w:numPr>
        <w:rPr>
          <w:rFonts w:ascii="Arial" w:cs="Arial" w:eastAsia="Arial" w:hAnsi="Arial"/>
          <w:sz w:val="10"/>
          <w:szCs w:val="10"/>
          <w:color w:val="auto"/>
          <w:vertAlign w:val="subscript"/>
        </w:rPr>
      </w:pPr>
      <w:r>
        <w:rPr>
          <w:rFonts w:ascii="Arial" w:cs="Arial" w:eastAsia="Arial" w:hAnsi="Arial"/>
          <w:sz w:val="8"/>
          <w:szCs w:val="8"/>
          <w:color w:val="auto"/>
        </w:rPr>
        <w:t>be effectively senior to our and the guarantors' existing and future unsecured indebtedness and other liabilities; and</w:t>
      </w:r>
    </w:p>
    <w:p>
      <w:pPr>
        <w:ind w:left="1080" w:right="200" w:hanging="532"/>
        <w:spacing w:after="0" w:line="184" w:lineRule="auto"/>
        <w:tabs>
          <w:tab w:leader="none" w:pos="1080" w:val="left"/>
        </w:tabs>
        <w:numPr>
          <w:ilvl w:val="0"/>
          <w:numId w:val="3"/>
        </w:numPr>
        <w:rPr>
          <w:rFonts w:ascii="Arial" w:cs="Arial" w:eastAsia="Arial" w:hAnsi="Arial"/>
          <w:sz w:val="23"/>
          <w:szCs w:val="23"/>
          <w:color w:val="auto"/>
          <w:vertAlign w:val="subscript"/>
        </w:rPr>
      </w:pPr>
      <w:r>
        <w:rPr>
          <w:rFonts w:ascii="Arial" w:cs="Arial" w:eastAsia="Arial" w:hAnsi="Arial"/>
          <w:sz w:val="12"/>
          <w:szCs w:val="12"/>
          <w:color w:val="auto"/>
        </w:rPr>
        <w:t>be effectively subordinated to our and the guarantors' obligations under our $1.0 billion credit facilities and our $188.5 million furniture, fixtures and equipment loan facility, because those facilities will be secured by higher priority liens on our assets.</w:t>
      </w:r>
    </w:p>
    <w:p>
      <w:pPr>
        <w:sectPr>
          <w:pgSz w:w="11900" w:h="16838" w:orient="portrait"/>
          <w:cols w:equalWidth="0" w:num="1">
            <w:col w:w="11420"/>
          </w:cols>
          <w:pgMar w:left="240" w:top="127"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uto"/>
        </w:rPr>
        <w:t>Intercreditor agreements with the holders of our other secured indebtedness will impose restrictions on payment and enforcement of the second mortgage notes.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Concurrent with this offering, Wynn Resorts, Limited, our ultimate parent, is offering shares of common stock in an initial public offering expected to raise approximately $450 million in gross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second mortgage notes involves a high degree of risk. See "Risk Factors" beginning on page 17.</w:t>
      </w:r>
    </w:p>
    <w:p>
      <w:pPr>
        <w:spacing w:after="0" w:line="227"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ind w:left="7200"/>
              <w:spacing w:after="0"/>
              <w:rPr>
                <w:sz w:val="20"/>
                <w:szCs w:val="20"/>
                <w:color w:val="auto"/>
              </w:rPr>
            </w:pPr>
            <w:r>
              <w:rPr>
                <w:rFonts w:ascii="Arial" w:cs="Arial" w:eastAsia="Arial" w:hAnsi="Arial"/>
                <w:sz w:val="14"/>
                <w:szCs w:val="14"/>
                <w:b w:val="1"/>
                <w:bCs w:val="1"/>
                <w:color w:val="auto"/>
              </w:rPr>
              <w:t>Per Note</w:t>
            </w:r>
          </w:p>
        </w:tc>
        <w:tc>
          <w:tcPr>
            <w:tcW w:w="46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83"/>
              </w:rPr>
              <w:t>Total</w:t>
            </w:r>
          </w:p>
        </w:tc>
      </w:tr>
      <w:tr>
        <w:trPr>
          <w:trHeight w:val="368"/>
        </w:trPr>
        <w:tc>
          <w:tcPr>
            <w:tcW w:w="7860" w:type="dxa"/>
            <w:vAlign w:val="bottom"/>
          </w:tcPr>
          <w:p>
            <w:pPr>
              <w:spacing w:after="0"/>
              <w:rPr>
                <w:sz w:val="20"/>
                <w:szCs w:val="20"/>
                <w:color w:val="auto"/>
              </w:rPr>
            </w:pPr>
            <w:r>
              <w:rPr>
                <w:rFonts w:ascii="Arial" w:cs="Arial" w:eastAsia="Arial" w:hAnsi="Arial"/>
                <w:sz w:val="14"/>
                <w:szCs w:val="14"/>
                <w:color w:val="auto"/>
              </w:rPr>
              <w:t>Public offering price</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6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49"/>
        </w:trPr>
        <w:tc>
          <w:tcPr>
            <w:tcW w:w="786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r>
      <w:tr>
        <w:trPr>
          <w:trHeight w:val="172"/>
        </w:trPr>
        <w:tc>
          <w:tcPr>
            <w:tcW w:w="7860" w:type="dxa"/>
            <w:vAlign w:val="bottom"/>
          </w:tcPr>
          <w:p>
            <w:pPr>
              <w:spacing w:after="0"/>
              <w:rPr>
                <w:sz w:val="20"/>
                <w:szCs w:val="20"/>
                <w:color w:val="auto"/>
              </w:rPr>
            </w:pPr>
            <w:r>
              <w:rPr>
                <w:rFonts w:ascii="Arial" w:cs="Arial" w:eastAsia="Arial" w:hAnsi="Arial"/>
                <w:sz w:val="14"/>
                <w:szCs w:val="14"/>
                <w:color w:val="auto"/>
              </w:rPr>
              <w:t>Proceeds, before expenses, to Wynn Las Vegas, LLC and Wynn Las Vegas Capital Corp.</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60" w:type="dxa"/>
            <w:vAlign w:val="bottom"/>
          </w:tcPr>
          <w:p>
            <w:pPr>
              <w:ind w:left="160"/>
              <w:spacing w:after="0"/>
              <w:rPr>
                <w:sz w:val="20"/>
                <w:szCs w:val="20"/>
                <w:color w:val="auto"/>
              </w:rPr>
            </w:pPr>
            <w:r>
              <w:rPr>
                <w:rFonts w:ascii="Arial" w:cs="Arial" w:eastAsia="Arial" w:hAnsi="Arial"/>
                <w:sz w:val="14"/>
                <w:szCs w:val="14"/>
                <w:color w:val="auto"/>
              </w:rPr>
              <w:t>$</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gridSpan w:val="8"/>
          </w:tcPr>
          <w:p>
            <w:pPr>
              <w:spacing w:after="0"/>
              <w:rPr>
                <w:sz w:val="20"/>
                <w:szCs w:val="20"/>
                <w:color w:val="auto"/>
              </w:rPr>
            </w:pPr>
            <w:r>
              <w:rPr>
                <w:rFonts w:ascii="Arial" w:cs="Arial" w:eastAsia="Arial" w:hAnsi="Arial"/>
                <w:sz w:val="14"/>
                <w:szCs w:val="14"/>
                <w:color w:val="auto"/>
                <w:w w:val="92"/>
              </w:rPr>
              <w:t>The public offering price set forth above does not include accrued interest, if any. Interest on the second mortgage notes will accrue from</w:t>
            </w:r>
          </w:p>
        </w:tc>
        <w:tc>
          <w:tcPr>
            <w:tcW w:w="1060" w:type="dxa"/>
            <w:vAlign w:val="bottom"/>
          </w:tcPr>
          <w:p>
            <w:pPr>
              <w:jc w:val="right"/>
              <w:ind w:right="172"/>
              <w:spacing w:after="0"/>
              <w:rPr>
                <w:sz w:val="20"/>
                <w:szCs w:val="20"/>
                <w:color w:val="auto"/>
              </w:rPr>
            </w:pPr>
            <w:r>
              <w:rPr>
                <w:rFonts w:ascii="Arial" w:cs="Arial" w:eastAsia="Arial" w:hAnsi="Arial"/>
                <w:sz w:val="14"/>
                <w:szCs w:val="14"/>
                <w:color w:val="auto"/>
              </w:rPr>
              <w:t>, 2002.</w:t>
            </w:r>
          </w:p>
        </w:tc>
        <w:tc>
          <w:tcPr>
            <w:tcW w:w="2520" w:type="dxa"/>
            <w:vAlign w:val="bottom"/>
          </w:tcPr>
          <w:p>
            <w:pPr>
              <w:spacing w:after="0"/>
              <w:rPr>
                <w:sz w:val="14"/>
                <w:szCs w:val="14"/>
                <w:color w:val="auto"/>
              </w:rPr>
            </w:pPr>
          </w:p>
        </w:tc>
      </w:tr>
      <w:tr>
        <w:trPr>
          <w:trHeight w:val="213"/>
        </w:trPr>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gridSpan w:val="2"/>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74"/>
        </w:trPr>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60" w:type="dxa"/>
            <w:vAlign w:val="bottom"/>
            <w:gridSpan w:val="5"/>
          </w:tcPr>
          <w:p>
            <w:pPr>
              <w:jc w:val="center"/>
              <w:ind w:right="1300"/>
              <w:spacing w:after="0"/>
              <w:rPr>
                <w:sz w:val="20"/>
                <w:szCs w:val="20"/>
                <w:color w:val="auto"/>
              </w:rPr>
            </w:pPr>
            <w:r>
              <w:rPr>
                <w:rFonts w:ascii="Arial" w:cs="Arial" w:eastAsia="Arial" w:hAnsi="Arial"/>
                <w:sz w:val="14"/>
                <w:szCs w:val="14"/>
                <w:i w:val="1"/>
                <w:iCs w:val="1"/>
                <w:color w:val="auto"/>
                <w:w w:val="88"/>
              </w:rPr>
              <w:t>Joint Book-Running Managers</w:t>
            </w: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19"/>
        </w:trPr>
        <w:tc>
          <w:tcPr>
            <w:tcW w:w="3180" w:type="dxa"/>
            <w:vAlign w:val="bottom"/>
            <w:gridSpan w:val="2"/>
          </w:tcPr>
          <w:p>
            <w:pPr>
              <w:ind w:left="160"/>
              <w:spacing w:after="0"/>
              <w:rPr>
                <w:sz w:val="20"/>
                <w:szCs w:val="20"/>
                <w:color w:val="auto"/>
              </w:rPr>
            </w:pPr>
            <w:r>
              <w:rPr>
                <w:rFonts w:ascii="Arial" w:cs="Arial" w:eastAsia="Arial" w:hAnsi="Arial"/>
                <w:sz w:val="22"/>
                <w:szCs w:val="22"/>
                <w:b w:val="1"/>
                <w:bCs w:val="1"/>
                <w:color w:val="auto"/>
              </w:rPr>
              <w:t>Deutsche Bank Securities</w:t>
            </w:r>
          </w:p>
        </w:tc>
        <w:tc>
          <w:tcPr>
            <w:tcW w:w="2420" w:type="dxa"/>
            <w:vAlign w:val="bottom"/>
            <w:gridSpan w:val="3"/>
          </w:tcPr>
          <w:p>
            <w:pPr>
              <w:jc w:val="center"/>
              <w:ind w:right="72"/>
              <w:spacing w:after="0"/>
              <w:rPr>
                <w:sz w:val="20"/>
                <w:szCs w:val="20"/>
                <w:color w:val="auto"/>
              </w:rPr>
            </w:pPr>
            <w:r>
              <w:rPr>
                <w:rFonts w:ascii="Arial" w:cs="Arial" w:eastAsia="Arial" w:hAnsi="Arial"/>
                <w:sz w:val="22"/>
                <w:szCs w:val="22"/>
                <w:b w:val="1"/>
                <w:bCs w:val="1"/>
                <w:color w:val="auto"/>
                <w:w w:val="89"/>
              </w:rPr>
              <w:t>Banc of America</w:t>
            </w:r>
          </w:p>
        </w:tc>
        <w:tc>
          <w:tcPr>
            <w:tcW w:w="3300" w:type="dxa"/>
            <w:vAlign w:val="bottom"/>
            <w:gridSpan w:val="4"/>
          </w:tcPr>
          <w:p>
            <w:pPr>
              <w:jc w:val="right"/>
              <w:ind w:right="452"/>
              <w:spacing w:after="0"/>
              <w:rPr>
                <w:sz w:val="20"/>
                <w:szCs w:val="20"/>
                <w:color w:val="auto"/>
              </w:rPr>
            </w:pPr>
            <w:r>
              <w:rPr>
                <w:rFonts w:ascii="Arial" w:cs="Arial" w:eastAsia="Arial" w:hAnsi="Arial"/>
                <w:sz w:val="22"/>
                <w:szCs w:val="22"/>
                <w:b w:val="1"/>
                <w:bCs w:val="1"/>
                <w:color w:val="auto"/>
              </w:rPr>
              <w:t>Bear, Stearns &amp; Co. Inc.</w:t>
            </w:r>
          </w:p>
        </w:tc>
        <w:tc>
          <w:tcPr>
            <w:tcW w:w="2520" w:type="dxa"/>
            <w:vAlign w:val="bottom"/>
          </w:tcPr>
          <w:p>
            <w:pPr>
              <w:jc w:val="center"/>
              <w:spacing w:after="0"/>
              <w:rPr>
                <w:sz w:val="20"/>
                <w:szCs w:val="20"/>
                <w:color w:val="auto"/>
              </w:rPr>
            </w:pPr>
            <w:r>
              <w:rPr>
                <w:rFonts w:ascii="Arial" w:cs="Arial" w:eastAsia="Arial" w:hAnsi="Arial"/>
                <w:sz w:val="22"/>
                <w:szCs w:val="22"/>
                <w:b w:val="1"/>
                <w:bCs w:val="1"/>
                <w:color w:val="auto"/>
                <w:w w:val="90"/>
              </w:rPr>
              <w:t>Dresdner Kleinwort</w:t>
            </w:r>
          </w:p>
        </w:tc>
      </w:tr>
      <w:tr>
        <w:trPr>
          <w:trHeight w:val="281"/>
        </w:trPr>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20" w:type="dxa"/>
            <w:vAlign w:val="bottom"/>
            <w:gridSpan w:val="3"/>
          </w:tcPr>
          <w:p>
            <w:pPr>
              <w:jc w:val="center"/>
              <w:ind w:right="72"/>
              <w:spacing w:after="0"/>
              <w:rPr>
                <w:sz w:val="20"/>
                <w:szCs w:val="20"/>
                <w:color w:val="auto"/>
              </w:rPr>
            </w:pPr>
            <w:r>
              <w:rPr>
                <w:rFonts w:ascii="Arial" w:cs="Arial" w:eastAsia="Arial" w:hAnsi="Arial"/>
                <w:sz w:val="22"/>
                <w:szCs w:val="22"/>
                <w:b w:val="1"/>
                <w:bCs w:val="1"/>
                <w:color w:val="auto"/>
                <w:w w:val="90"/>
              </w:rPr>
              <w:t>Securities LLC</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22"/>
                <w:szCs w:val="22"/>
                <w:b w:val="1"/>
                <w:bCs w:val="1"/>
                <w:color w:val="auto"/>
                <w:w w:val="84"/>
              </w:rPr>
              <w:t>Wasserstein</w:t>
            </w:r>
          </w:p>
        </w:tc>
      </w:tr>
      <w:tr>
        <w:trPr>
          <w:trHeight w:val="108"/>
        </w:trPr>
        <w:tc>
          <w:tcPr>
            <w:tcW w:w="318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130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358"/>
        </w:trPr>
        <w:tc>
          <w:tcPr>
            <w:tcW w:w="3180" w:type="dxa"/>
            <w:vAlign w:val="bottom"/>
            <w:gridSpan w:val="2"/>
          </w:tcPr>
          <w:p>
            <w:pPr>
              <w:ind w:left="860"/>
              <w:spacing w:after="0"/>
              <w:rPr>
                <w:sz w:val="20"/>
                <w:szCs w:val="20"/>
                <w:color w:val="auto"/>
              </w:rPr>
            </w:pPr>
            <w:r>
              <w:rPr>
                <w:rFonts w:ascii="Arial" w:cs="Arial" w:eastAsia="Arial" w:hAnsi="Arial"/>
                <w:sz w:val="22"/>
                <w:szCs w:val="22"/>
                <w:b w:val="1"/>
                <w:bCs w:val="1"/>
                <w:color w:val="auto"/>
              </w:rPr>
              <w:t>Fleet Securities, Inc.</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4"/>
          </w:tcPr>
          <w:p>
            <w:pPr>
              <w:jc w:val="center"/>
              <w:ind w:right="1340"/>
              <w:spacing w:after="0"/>
              <w:rPr>
                <w:sz w:val="20"/>
                <w:szCs w:val="20"/>
                <w:color w:val="auto"/>
              </w:rPr>
            </w:pPr>
            <w:r>
              <w:rPr>
                <w:rFonts w:ascii="Arial" w:cs="Arial" w:eastAsia="Arial" w:hAnsi="Arial"/>
                <w:sz w:val="22"/>
                <w:szCs w:val="22"/>
                <w:b w:val="1"/>
                <w:bCs w:val="1"/>
                <w:color w:val="auto"/>
                <w:w w:val="90"/>
              </w:rPr>
              <w:t>Scotia Capital</w:t>
            </w:r>
          </w:p>
        </w:tc>
        <w:tc>
          <w:tcPr>
            <w:tcW w:w="1060" w:type="dxa"/>
            <w:vAlign w:val="bottom"/>
          </w:tcPr>
          <w:p>
            <w:pPr>
              <w:spacing w:after="0"/>
              <w:rPr>
                <w:sz w:val="24"/>
                <w:szCs w:val="24"/>
                <w:color w:val="auto"/>
              </w:rPr>
            </w:pPr>
          </w:p>
        </w:tc>
        <w:tc>
          <w:tcPr>
            <w:tcW w:w="2520" w:type="dxa"/>
            <w:vAlign w:val="bottom"/>
          </w:tcPr>
          <w:p>
            <w:pPr>
              <w:ind w:left="240"/>
              <w:spacing w:after="0"/>
              <w:rPr>
                <w:sz w:val="20"/>
                <w:szCs w:val="20"/>
                <w:color w:val="auto"/>
              </w:rPr>
            </w:pPr>
            <w:r>
              <w:rPr>
                <w:rFonts w:ascii="Arial" w:cs="Arial" w:eastAsia="Arial" w:hAnsi="Arial"/>
                <w:sz w:val="22"/>
                <w:szCs w:val="22"/>
                <w:b w:val="1"/>
                <w:bCs w:val="1"/>
                <w:color w:val="auto"/>
              </w:rPr>
              <w:t>SG Cowen</w:t>
            </w:r>
          </w:p>
        </w:tc>
      </w:tr>
      <w:tr>
        <w:trPr>
          <w:trHeight w:val="108"/>
        </w:trPr>
        <w:tc>
          <w:tcPr>
            <w:tcW w:w="2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20" w:type="dxa"/>
            <w:vAlign w:val="bottom"/>
            <w:gridSpan w:val="2"/>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130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466"/>
        </w:trPr>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60" w:type="dxa"/>
            <w:vAlign w:val="bottom"/>
            <w:gridSpan w:val="6"/>
          </w:tcPr>
          <w:p>
            <w:pPr>
              <w:jc w:val="center"/>
              <w:ind w:left="292"/>
              <w:spacing w:after="0"/>
              <w:rPr>
                <w:sz w:val="20"/>
                <w:szCs w:val="20"/>
                <w:color w:val="auto"/>
              </w:rPr>
            </w:pPr>
            <w:r>
              <w:rPr>
                <w:rFonts w:ascii="Arial" w:cs="Arial" w:eastAsia="Arial" w:hAnsi="Arial"/>
                <w:sz w:val="22"/>
                <w:szCs w:val="22"/>
                <w:b w:val="1"/>
                <w:bCs w:val="1"/>
                <w:color w:val="auto"/>
                <w:w w:val="89"/>
              </w:rPr>
              <w:t>Jefferies &amp; Company, Inc.</w:t>
            </w: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8"/>
        </w:trPr>
        <w:tc>
          <w:tcPr>
            <w:tcW w:w="202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1160" w:type="dxa"/>
            <w:vAlign w:val="bottom"/>
          </w:tcPr>
          <w:p>
            <w:pPr>
              <w:jc w:val="right"/>
              <w:ind w:right="272"/>
              <w:spacing w:after="0"/>
              <w:rPr>
                <w:sz w:val="20"/>
                <w:szCs w:val="20"/>
                <w:color w:val="auto"/>
              </w:rPr>
            </w:pPr>
            <w:r>
              <w:rPr>
                <w:rFonts w:ascii="Arial" w:cs="Arial" w:eastAsia="Arial" w:hAnsi="Arial"/>
                <w:sz w:val="14"/>
                <w:szCs w:val="14"/>
                <w:color w:val="auto"/>
              </w:rPr>
              <w:t>, 2002.</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3"/>
        </w:trPr>
        <w:tc>
          <w:tcPr>
            <w:tcW w:w="20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-1764030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-1764030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-1000760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-1000760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-691515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-691515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 Rêve site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17 before making an investment decision.</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The second mortgage notes will be jointly issued by Wynn Las Vegas, LLC, a Nevada limited liability company, and its wholly owned subsidiary, Wynn Las Vegas Capital Corp., a Nevada corporation, referred to as Wynn Capital. The second mortgage notes will be guaranteed by Wynn Resorts, Limited, a Nevada corporation, our ultimate indirect parent, and, Valvino Lamore, LLC, a Nevada limited liability company, a subsidiary of Wynn Resorts, Limited and our indirect parent, and certain of Valvino's subsidiaries designated as restricted entities. In September 2002, all of the members of Valvino contributed their membership interests in Valvino to our ultimate parent, Wynn Resorts, Limited, a Nevada corporation, and Valvino became a wholly owned subsidiary of Wynn Resorts.</w:t>
      </w:r>
    </w:p>
    <w:p>
      <w:pPr>
        <w:spacing w:after="0" w:line="170"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collectively, Wynn Las Vegas, Valvino and its subsidiaries that are guaranteeing the second mortgage notes. References to any other entity mean that entity without any subsidiaries. References to the restricted entities or the restricted group mean Valvino, Wynn Resorts Holdings, LLC, Wynn Design &amp; Development, LLC, World Travel, LLC, Las Vegas Jet, LLC, Desert Inn Water Company, LLC and Palo, LLC.</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w:t>
      </w:r>
    </w:p>
    <w:p>
      <w:pPr>
        <w:spacing w:after="0" w:line="245" w:lineRule="exact"/>
        <w:rPr>
          <w:sz w:val="20"/>
          <w:szCs w:val="20"/>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bookmarkStart w:id="3" w:name="page4"/>
    <w:bookmarkEnd w:id="3"/>
    <w:p>
      <w:pPr>
        <w:ind w:left="540"/>
        <w:spacing w:after="0"/>
        <w:rPr>
          <w:sz w:val="20"/>
          <w:szCs w:val="20"/>
          <w:color w:val="auto"/>
        </w:rPr>
      </w:pPr>
      <w:r>
        <w:rPr>
          <w:rFonts w:ascii="Arial" w:cs="Arial" w:eastAsia="Arial" w:hAnsi="Arial"/>
          <w:sz w:val="16"/>
          <w:szCs w:val="16"/>
          <w:color w:val="auto"/>
        </w:rPr>
        <w:t>and that Le Rêve will represent a natural extension of the concepts Mr. Wynn has utilized in developing other major destination casino resorts.</w:t>
      </w:r>
    </w:p>
    <w:p>
      <w:pPr>
        <w:spacing w:after="0" w:line="262" w:lineRule="exact"/>
        <w:rPr>
          <w:sz w:val="20"/>
          <w:szCs w:val="20"/>
          <w:color w:val="auto"/>
        </w:rPr>
      </w:pPr>
    </w:p>
    <w:p>
      <w:pPr>
        <w:ind w:left="54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Create a "Must-Visit" Destination Casino Resort on the Las Vegas Strip</w:t>
      </w:r>
      <w:r>
        <w:rPr>
          <w:rFonts w:ascii="Arial" w:cs="Arial" w:eastAsia="Arial" w:hAnsi="Arial"/>
          <w:sz w:val="16"/>
          <w:szCs w:val="16"/>
          <w:color w:val="auto"/>
        </w:rPr>
        <w:t>. 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87" w:lineRule="exact"/>
        <w:rPr>
          <w:rFonts w:ascii="Arial" w:cs="Arial" w:eastAsia="Arial" w:hAnsi="Arial"/>
          <w:sz w:val="16"/>
          <w:szCs w:val="16"/>
          <w:color w:val="auto"/>
        </w:rPr>
      </w:pPr>
    </w:p>
    <w:p>
      <w:pPr>
        <w:jc w:val="both"/>
        <w:ind w:left="540" w:right="32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Open the First New Major Hotel Casino Resort on the Las Vegas Strip in Almost Five Years</w:t>
      </w:r>
      <w:r>
        <w:rPr>
          <w:rFonts w:ascii="Arial" w:cs="Arial" w:eastAsia="Arial" w:hAnsi="Arial"/>
          <w:sz w:val="18"/>
          <w:szCs w:val="18"/>
          <w:color w:val="auto"/>
        </w:rPr>
        <w:t>. We believe that, at the time of Le Rêve's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in April 2005, it will have been almost five years since a major new hotel casino resort opened on the Las Vegas Strip. As a result, we expect that there will be a high level of customer anticipation for Le Rêve.</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Generate Substantial Revenue from Le Rêve's Non-Gaming Amenities</w:t>
      </w:r>
      <w:r>
        <w:rPr>
          <w:rFonts w:ascii="Arial" w:cs="Arial" w:eastAsia="Arial" w:hAnsi="Arial"/>
          <w:sz w:val="18"/>
          <w:szCs w:val="18"/>
          <w:color w:val="auto"/>
        </w:rPr>
        <w:t>. 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540" w:right="40" w:hanging="532"/>
        <w:spacing w:after="0" w:line="290"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60" w:hanging="532"/>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Capitalize on Our Experienced Management Team</w:t>
      </w:r>
      <w:r>
        <w:rPr>
          <w:rFonts w:ascii="Arial" w:cs="Arial" w:eastAsia="Arial" w:hAnsi="Arial"/>
          <w:sz w:val="18"/>
          <w:szCs w:val="18"/>
          <w:color w:val="auto"/>
        </w:rPr>
        <w:t>. Mr. Wynn is designing Le Rêve and brings to the project his experience as the designer of</w:t>
      </w:r>
      <w:r>
        <w:rPr>
          <w:rFonts w:ascii="Arial" w:cs="Arial" w:eastAsia="Arial" w:hAnsi="Arial"/>
          <w:sz w:val="18"/>
          <w:szCs w:val="18"/>
          <w:i w:val="1"/>
          <w:iCs w:val="1"/>
          <w:color w:val="auto"/>
        </w:rPr>
        <w:t xml:space="preserve"> </w:t>
      </w:r>
      <w:r>
        <w:rPr>
          <w:rFonts w:ascii="Arial" w:cs="Arial" w:eastAsia="Arial" w:hAnsi="Arial"/>
          <w:sz w:val="18"/>
          <w:szCs w:val="18"/>
          <w:color w:val="auto"/>
        </w:rPr>
        <w:t>Bellagio, The Mirage and Treasure Island at The Mirage. Many of the other people on the design team worked with Mr. Wynn at Mirage Resorts to develop Bellagio.</w:t>
      </w:r>
    </w:p>
    <w:p>
      <w:pPr>
        <w:spacing w:after="0" w:line="221" w:lineRule="exact"/>
        <w:rPr>
          <w:rFonts w:ascii="Arial" w:cs="Arial" w:eastAsia="Arial" w:hAnsi="Arial"/>
          <w:sz w:val="18"/>
          <w:szCs w:val="18"/>
          <w:color w:val="auto"/>
        </w:rPr>
      </w:pPr>
    </w:p>
    <w:p>
      <w:pPr>
        <w:ind w:left="540" w:right="160" w:hanging="532"/>
        <w:spacing w:after="0" w:line="29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Carefully Manage Construction Costs and Risks</w:t>
      </w:r>
      <w:r>
        <w:rPr>
          <w:rFonts w:ascii="Arial" w:cs="Arial" w:eastAsia="Arial" w:hAnsi="Arial"/>
          <w:sz w:val="16"/>
          <w:szCs w:val="16"/>
          <w:color w:val="auto"/>
        </w:rPr>
        <w:t>. 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Wynn Resorts' initial public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ectPr>
          <w:pgSz w:w="11900" w:h="16838" w:orient="portrait"/>
          <w:cols w:equalWidth="0" w:num="1">
            <w:col w:w="10880"/>
          </w:cols>
          <w:pgMar w:left="780" w:top="131" w:right="239" w:bottom="0" w:gutter="0" w:footer="0" w:header="0"/>
        </w:sectPr>
      </w:pPr>
    </w:p>
    <w:bookmarkStart w:id="4" w:name="page5"/>
    <w:bookmarkEnd w:id="4"/>
    <w:p>
      <w:pPr>
        <w:ind w:left="1620" w:right="8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$31.2 million under Wynn Las Vegas' revolving credit facility that may be used to pay interest and other financing fees with respect to our indebtedness if completion is delayed.</w:t>
      </w:r>
    </w:p>
    <w:p>
      <w:pPr>
        <w:spacing w:after="0" w:line="186" w:lineRule="exact"/>
        <w:rPr>
          <w:sz w:val="20"/>
          <w:szCs w:val="20"/>
          <w:color w:val="auto"/>
        </w:rPr>
      </w:pPr>
    </w:p>
    <w:p>
      <w:pPr>
        <w:jc w:val="both"/>
        <w:ind w:left="1080" w:right="120"/>
        <w:spacing w:after="0" w:line="306" w:lineRule="auto"/>
        <w:rPr>
          <w:sz w:val="20"/>
          <w:szCs w:val="20"/>
          <w:color w:val="auto"/>
        </w:rPr>
      </w:pPr>
      <w:r>
        <w:rPr>
          <w:rFonts w:ascii="Arial" w:cs="Arial" w:eastAsia="Arial" w:hAnsi="Arial"/>
          <w:sz w:val="16"/>
          <w:szCs w:val="16"/>
          <w:color w:val="auto"/>
        </w:rPr>
        <w:t>We will enter into a disbursement agreement with the agents under the credit facilities and the furniture, fixtures and equipment loan facility and the second mortgage note trustee which will govern the sequence of funding and will require us to satisfy specified conditions before we may use the proceeds of our debt instruments and certain of the other sources described below to fund Le Rêve construction costs.</w:t>
      </w:r>
    </w:p>
    <w:p>
      <w:pPr>
        <w:spacing w:after="0" w:line="188" w:lineRule="exact"/>
        <w:rPr>
          <w:sz w:val="20"/>
          <w:szCs w:val="20"/>
          <w:color w:val="auto"/>
        </w:rPr>
      </w:pPr>
    </w:p>
    <w:p>
      <w:pPr>
        <w:ind w:left="108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the Significant Equity Investment. </w:t>
      </w:r>
      <w:r>
        <w:rPr>
          <w:rFonts w:ascii="Arial" w:cs="Arial" w:eastAsia="Arial" w:hAnsi="Arial"/>
          <w:sz w:val="16"/>
          <w:szCs w:val="16"/>
          <w:color w:val="auto"/>
        </w:rPr>
        <w:t>We will have a significant cash equity capitalization for the development of Le Rêve. From</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through the completion of Le Rêve, we expect to have received a total of approximately $937 million in cash equity contributions, which represents approximately 40% of the total estimated project costs. The $937 million derives from equity contributions from the prior members of Valvino and $387.0 million of the net proceeds of the concurrent initial public offering by Wynn Resorts. To date, Mr. Wynn has personally invested approximately $175 million in cash equity, which demonstrates his commitment to the Le Rêve project.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the second mortgage notes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to meet our obligations, including our obligations under the second mortgage notes, and we might have difficulty obtaining more financing;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securing the indebtedness under the credit facilities and FF&amp;E facility generally will be senior to the liens securing the second mortgage notes;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intercreditor agreements will limit the ability of the holders of the second mortgage notes to control decisions regarding the collateral and to take enforcement 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Gaming laws will impose additional restrictions on foreclosure;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Bankruptcy laws may significantly impair your rights to repossess and dispose of collateral securing the second mortgage notes; and</w:t>
      </w:r>
    </w:p>
    <w:p>
      <w:pPr>
        <w:spacing w:after="0" w:line="275"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Wynn Las Vegas and Wynn Capital are indirect subsidiaries of Wynn Resorts. Concurrent with this offering, Wynn Resorts is offering shares of its common stock in an initial public offering expected to raise approximately $450 million in gross proceeds. Wynn Resorts will contribute approximately $387.0 million of its initial public offering net proceeds and Valvino will contribute all of its existing cash on hand to Wynn Las Vegas. We intend to use</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contributions from Wynn Resorts and Valvino,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of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approximately $715.8 million under a $750.0 million revolving credit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$250.0 million under a delay draw term loan facility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of $188.5 million under a furniture, fixtures and equipment loan facility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fund Le Rêve's project costs. We have obtained commitments for the revolving credit facility and the delay draw term loan facility, and the placement agent for the furniture,</w:t>
      </w:r>
    </w:p>
    <w:p>
      <w:pPr>
        <w:sectPr>
          <w:pgSz w:w="11900" w:h="16838" w:orient="portrait"/>
          <w:cols w:equalWidth="0" w:num="1">
            <w:col w:w="11420"/>
          </w:cols>
          <w:pgMar w:left="240" w:top="145" w:right="239" w:bottom="26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261" w:gutter="0" w:footer="0" w:header="0"/>
          <w:type w:val="continuous"/>
        </w:sectPr>
      </w:pPr>
    </w:p>
    <w:bookmarkStart w:id="5" w:name="page6"/>
    <w:bookmarkEnd w:id="5"/>
    <w:p>
      <w:pPr>
        <w:ind w:right="380"/>
        <w:spacing w:after="0" w:line="298" w:lineRule="auto"/>
        <w:rPr>
          <w:sz w:val="20"/>
          <w:szCs w:val="20"/>
          <w:color w:val="auto"/>
        </w:rPr>
      </w:pPr>
      <w:r>
        <w:rPr>
          <w:rFonts w:ascii="Arial" w:cs="Arial" w:eastAsia="Arial" w:hAnsi="Arial"/>
          <w:sz w:val="16"/>
          <w:szCs w:val="16"/>
          <w:color w:val="auto"/>
        </w:rPr>
        <w:t>fixtures and equipment loan facility has received commitments from the lenders who will be parties to that loan facility. We sometimes refer to the revolving credit facility and the delay draw term loan facility as the credit facilities and to the furniture, fixtures and equipment loan facility as the FF&amp;E facility. Consummation of this offering is conditioned on consummation of the offering of Wynn Resorts' common stock and on Wynn Las Vegas entering into the agreements governing the credit facilities and FF&amp;E facility. These conditions may not be waived by the issuers.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the Macau-related subsidiaries, will not be guarantors and will not be subject to the covenants in the indenture governing the second mortgage notes, the credit facilities or the FF&amp;E facility. Wynn Resorts will also not be subject to those covenants. Wynn Resorts will guarantee the second mortgage notes on a senior unsecured basis (which will be pari passu with Wynn Resorts' guarantee of the credit facilities and the FF&amp;E facility).</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Wynn Resorts (Macau) S.A., a majority-owned indirect subsidiary of Wynn Resorts referred to as Wynn Macau,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 assets of Wynn Macau and other Macau-related subsidiaries will not serve as collateral for our Le Rêve indebtedness or for Wynn Resorts' guarantee.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47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 w:right="140" w:hanging="532"/>
        <w:spacing w:after="0" w:line="186" w:lineRule="auto"/>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5,769,231 shares of our common stock in which each of Mr. Wynn and Aruze USA has expressed an interest in purchasing in this offering.</w:t>
      </w:r>
    </w:p>
    <w:p>
      <w:pPr>
        <w:spacing w:after="0" w:line="87" w:lineRule="exact"/>
        <w:rPr>
          <w:rFonts w:ascii="Arial" w:cs="Arial" w:eastAsia="Arial" w:hAnsi="Arial"/>
          <w:sz w:val="27"/>
          <w:szCs w:val="27"/>
          <w:color w:val="auto"/>
          <w:vertAlign w:val="subscript"/>
        </w:rPr>
      </w:pPr>
    </w:p>
    <w:p>
      <w:pPr>
        <w:ind w:left="540" w:right="40" w:hanging="532"/>
        <w:spacing w:after="0" w:line="186" w:lineRule="auto"/>
        <w:tabs>
          <w:tab w:leader="none" w:pos="540" w:val="left"/>
        </w:tabs>
        <w:numPr>
          <w:ilvl w:val="0"/>
          <w:numId w:val="11"/>
        </w:numPr>
        <w:rPr>
          <w:rFonts w:ascii="Arial" w:cs="Arial" w:eastAsia="Arial" w:hAnsi="Arial"/>
          <w:sz w:val="24"/>
          <w:szCs w:val="24"/>
          <w:color w:val="auto"/>
          <w:vertAlign w:val="subscript"/>
        </w:rPr>
      </w:pPr>
      <w:r>
        <w:rPr>
          <w:rFonts w:ascii="Arial" w:cs="Arial" w:eastAsia="Arial" w:hAnsi="Arial"/>
          <w:sz w:val="12"/>
          <w:szCs w:val="12"/>
          <w:color w:val="auto"/>
        </w:rPr>
        <w:t>Consists of shares held by Baron Asset Fund on behalf of the Baron Asset Fund Series and the Baron Growth Fund Series. Ownership percentage includes 1,000,000 shares in which Baron Asset Fund has expressed an interest in purchasing in this offering.</w:t>
      </w:r>
    </w:p>
    <w:p>
      <w:pPr>
        <w:spacing w:after="0" w:line="70" w:lineRule="exact"/>
        <w:rPr>
          <w:rFonts w:ascii="Arial" w:cs="Arial" w:eastAsia="Arial" w:hAnsi="Arial"/>
          <w:sz w:val="24"/>
          <w:szCs w:val="24"/>
          <w:color w:val="auto"/>
          <w:vertAlign w:val="subscript"/>
        </w:rPr>
      </w:pPr>
    </w:p>
    <w:p>
      <w:pPr>
        <w:ind w:left="540" w:right="120" w:hanging="532"/>
        <w:spacing w:after="0" w:line="198" w:lineRule="auto"/>
        <w:tabs>
          <w:tab w:leader="none" w:pos="540" w:val="left"/>
        </w:tabs>
        <w:numPr>
          <w:ilvl w:val="0"/>
          <w:numId w:val="11"/>
        </w:numPr>
        <w:rPr>
          <w:rFonts w:ascii="Arial" w:cs="Arial" w:eastAsia="Arial" w:hAnsi="Arial"/>
          <w:sz w:val="26"/>
          <w:szCs w:val="26"/>
          <w:color w:val="auto"/>
          <w:vertAlign w:val="subscript"/>
        </w:rPr>
      </w:pPr>
      <w:r>
        <w:rPr>
          <w:rFonts w:ascii="Arial" w:cs="Arial" w:eastAsia="Arial" w:hAnsi="Arial"/>
          <w:sz w:val="13"/>
          <w:szCs w:val="13"/>
          <w:color w:val="auto"/>
        </w:rPr>
        <w:t>Following the completion of this offering and the offering of Wynn Resorts common stock,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1.7% Wynn Resorts' outstanding shares, and the percentage ownership interests of Mr. Wynn, Aruze USA, Baron Asset Fund, Kenneth R. Wynn Family Trust and the public stockholders would be approximately 32.6%, 32.6%, 3.9%, 0.1% and 29.1%, respectively.</w:t>
      </w:r>
    </w:p>
    <w:p>
      <w:pPr>
        <w:sectPr>
          <w:pgSz w:w="11900" w:h="16838" w:orient="portrait"/>
          <w:cols w:equalWidth="0" w:num="1">
            <w:col w:w="11400"/>
          </w:cols>
          <w:pgMar w:left="240" w:top="131" w:right="259" w:bottom="0"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31" w:right="259" w:bottom="0" w:gutter="0" w:footer="0" w:header="0"/>
          <w:type w:val="continuous"/>
        </w:sectPr>
      </w:pPr>
    </w:p>
    <w:bookmarkStart w:id="6" w:name="page7"/>
    <w:bookmarkEnd w:id="6"/>
    <w:p>
      <w:pPr>
        <w:ind w:left="540" w:right="2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Based on the number of shares proposed to be issued in Wynn Resorts' initial public offering, excluding any shares that may be issued pursuant to the exercise of the underwriters' over-allotment option in Wynn Resorts' initial public offering.</w:t>
      </w:r>
    </w:p>
    <w:p>
      <w:pPr>
        <w:spacing w:after="0" w:line="84" w:lineRule="exact"/>
        <w:rPr>
          <w:rFonts w:ascii="Arial" w:cs="Arial" w:eastAsia="Arial" w:hAnsi="Arial"/>
          <w:sz w:val="24"/>
          <w:szCs w:val="24"/>
          <w:color w:val="auto"/>
          <w:vertAlign w:val="subscript"/>
        </w:rPr>
      </w:pPr>
    </w:p>
    <w:p>
      <w:pPr>
        <w:ind w:left="540" w:right="60" w:hanging="532"/>
        <w:spacing w:after="0" w:line="19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on a senior unsecured basis (pari passu with its guarantee of the credit facilities and the FF&amp;E facility), but will not be a restricted entity. Wynn Resorts' subsidiaries that will develop the Macau opportunity will not be issuers, borrowers, guarantors or restricted entities with respect to the financing of Le Rêve, including the second mortgage notes.</w:t>
      </w:r>
    </w:p>
    <w:p>
      <w:pPr>
        <w:spacing w:after="0" w:line="72" w:lineRule="exact"/>
        <w:rPr>
          <w:rFonts w:ascii="Arial" w:cs="Arial" w:eastAsia="Arial" w:hAnsi="Arial"/>
          <w:sz w:val="26"/>
          <w:szCs w:val="26"/>
          <w:color w:val="auto"/>
          <w:vertAlign w:val="subscript"/>
        </w:rPr>
      </w:pPr>
    </w:p>
    <w:p>
      <w:pPr>
        <w:ind w:left="540" w:right="18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Includes a number of wholly owned and partially owned entities. Wynn Resorts owns an approximately 82.5% economic interest in, and effectively controls approximately 90% of the vote of, Wynn Macau indirectly through various subsidiaries.</w:t>
      </w:r>
    </w:p>
    <w:p>
      <w:pPr>
        <w:ind w:left="540" w:hanging="532"/>
        <w:spacing w:after="0" w:line="187"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Includes a number of wholly owned subsidiary limited liability companies. These entities include Rambas Marketing Co., LLC, Toasty, LLC and WorldWide Wynn, LLC.</w:t>
      </w:r>
    </w:p>
    <w:p>
      <w:pPr>
        <w:spacing w:after="0" w:line="85" w:lineRule="exact"/>
        <w:rPr>
          <w:rFonts w:ascii="Arial" w:cs="Arial" w:eastAsia="Arial" w:hAnsi="Arial"/>
          <w:sz w:val="27"/>
          <w:szCs w:val="27"/>
          <w:color w:val="auto"/>
          <w:vertAlign w:val="subscript"/>
        </w:rPr>
      </w:pPr>
    </w:p>
    <w:p>
      <w:pPr>
        <w:ind w:left="540" w:right="80" w:hanging="532"/>
        <w:spacing w:after="0" w:line="186"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The covenants in the credit agreement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73" w:lineRule="exact"/>
        <w:rPr>
          <w:rFonts w:ascii="Arial" w:cs="Arial" w:eastAsia="Arial" w:hAnsi="Arial"/>
          <w:sz w:val="27"/>
          <w:szCs w:val="27"/>
          <w:color w:val="auto"/>
          <w:vertAlign w:val="subscript"/>
        </w:rPr>
      </w:pPr>
    </w:p>
    <w:p>
      <w:pPr>
        <w:ind w:left="540" w:right="4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70" w:lineRule="exact"/>
        <w:rPr>
          <w:rFonts w:ascii="Arial" w:cs="Arial" w:eastAsia="Arial" w:hAnsi="Arial"/>
          <w:sz w:val="24"/>
          <w:szCs w:val="24"/>
          <w:color w:val="auto"/>
          <w:vertAlign w:val="subscript"/>
        </w:rPr>
      </w:pPr>
    </w:p>
    <w:p>
      <w:pPr>
        <w:jc w:val="both"/>
        <w:ind w:left="540" w:right="100" w:hanging="532"/>
        <w:spacing w:after="0" w:line="18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 million of the net proceeds of its initial public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on Issuers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Wynn Las Vegas and Wynn Capital are indirect wholly owned subsidiaries of Wynn Resorts. The principal executive offices of Wynn Las Vegas and Wynn Capital are located at 3145 Las Vegas Boulevard South, Las Vegas, Nevada 89109. The telephone number of Wynn Las Vegas and Wynn Capital is (702) 733-4444.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is a summary of the principal terms of the second mortgage notes. Please see "Description of the Second Mortgage Notes" for a more detailed description of the terms and conditions of the second mortgage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Issuers</w:t>
            </w: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5"/>
              </w:rPr>
              <w:t>Wynn Las Vegas and Wynn Capital. Wynn Las Vegas is constructing and will own and operate</w:t>
            </w:r>
          </w:p>
        </w:tc>
      </w:tr>
      <w:tr>
        <w:trPr>
          <w:trHeight w:val="216"/>
        </w:trPr>
        <w:tc>
          <w:tcPr>
            <w:tcW w:w="2940" w:type="dxa"/>
            <w:vAlign w:val="bottom"/>
          </w:tcPr>
          <w:p>
            <w:pPr>
              <w:spacing w:after="0"/>
              <w:rPr>
                <w:sz w:val="18"/>
                <w:szCs w:val="18"/>
                <w:color w:val="auto"/>
              </w:rPr>
            </w:pP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88"/>
              </w:rPr>
              <w:t>Le Rêve. Wynn Capital is a wholly owned subsidiary of Wynn Las Vegas that was incorporated solely</w:t>
            </w:r>
          </w:p>
        </w:tc>
      </w:tr>
      <w:tr>
        <w:trPr>
          <w:trHeight w:val="216"/>
        </w:trPr>
        <w:tc>
          <w:tcPr>
            <w:tcW w:w="2940" w:type="dxa"/>
            <w:vAlign w:val="bottom"/>
          </w:tcPr>
          <w:p>
            <w:pPr>
              <w:spacing w:after="0"/>
              <w:rPr>
                <w:sz w:val="18"/>
                <w:szCs w:val="18"/>
                <w:color w:val="auto"/>
              </w:rPr>
            </w:pP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0"/>
              </w:rPr>
              <w:t>to serve as a co-issuer of the notes in order to facilitate this offering. Wynn Capital will not have any</w:t>
            </w:r>
          </w:p>
        </w:tc>
      </w:tr>
      <w:tr>
        <w:trPr>
          <w:trHeight w:val="222"/>
        </w:trPr>
        <w:tc>
          <w:tcPr>
            <w:tcW w:w="2940" w:type="dxa"/>
            <w:vAlign w:val="bottom"/>
          </w:tcPr>
          <w:p>
            <w:pPr>
              <w:spacing w:after="0"/>
              <w:rPr>
                <w:sz w:val="19"/>
                <w:szCs w:val="19"/>
                <w:color w:val="auto"/>
              </w:rPr>
            </w:pPr>
          </w:p>
        </w:tc>
        <w:tc>
          <w:tcPr>
            <w:tcW w:w="6100" w:type="dxa"/>
            <w:vAlign w:val="bottom"/>
            <w:gridSpan w:val="2"/>
          </w:tcPr>
          <w:p>
            <w:pPr>
              <w:ind w:left="1300"/>
              <w:spacing w:after="0"/>
              <w:rPr>
                <w:sz w:val="20"/>
                <w:szCs w:val="20"/>
                <w:color w:val="auto"/>
              </w:rPr>
            </w:pPr>
            <w:r>
              <w:rPr>
                <w:rFonts w:ascii="Arial" w:cs="Arial" w:eastAsia="Arial" w:hAnsi="Arial"/>
                <w:sz w:val="18"/>
                <w:szCs w:val="18"/>
                <w:color w:val="auto"/>
                <w:w w:val="97"/>
              </w:rPr>
              <w:t>operations or material assets and will not have any revenues.</w:t>
            </w:r>
          </w:p>
        </w:tc>
        <w:tc>
          <w:tcPr>
            <w:tcW w:w="2380" w:type="dxa"/>
            <w:vAlign w:val="bottom"/>
          </w:tcPr>
          <w:p>
            <w:pPr>
              <w:spacing w:after="0"/>
              <w:rPr>
                <w:sz w:val="19"/>
                <w:szCs w:val="19"/>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7"/>
              </w:rPr>
              <w:t>$365 million aggregate principal amount at maturity of  % second mortgage notes due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Maturity</w:t>
            </w:r>
          </w:p>
        </w:tc>
        <w:tc>
          <w:tcPr>
            <w:tcW w:w="3740" w:type="dxa"/>
            <w:vAlign w:val="bottom"/>
          </w:tcPr>
          <w:p>
            <w:pPr>
              <w:ind w:left="2440"/>
              <w:spacing w:after="0"/>
              <w:rPr>
                <w:sz w:val="20"/>
                <w:szCs w:val="20"/>
                <w:color w:val="auto"/>
              </w:rPr>
            </w:pPr>
            <w:r>
              <w:rPr>
                <w:rFonts w:ascii="Arial" w:cs="Arial" w:eastAsia="Arial" w:hAnsi="Arial"/>
                <w:sz w:val="18"/>
                <w:szCs w:val="18"/>
                <w:color w:val="auto"/>
              </w:rPr>
              <w:t>, 2010.</w:t>
            </w: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Interest Rate</w:t>
            </w:r>
          </w:p>
        </w:tc>
        <w:tc>
          <w:tcPr>
            <w:tcW w:w="6100" w:type="dxa"/>
            <w:vAlign w:val="bottom"/>
            <w:gridSpan w:val="2"/>
          </w:tcPr>
          <w:p>
            <w:pPr>
              <w:ind w:left="1480"/>
              <w:spacing w:after="0"/>
              <w:rPr>
                <w:sz w:val="20"/>
                <w:szCs w:val="20"/>
                <w:color w:val="auto"/>
              </w:rPr>
            </w:pPr>
            <w:r>
              <w:rPr>
                <w:rFonts w:ascii="Arial" w:cs="Arial" w:eastAsia="Arial" w:hAnsi="Arial"/>
                <w:sz w:val="18"/>
                <w:szCs w:val="18"/>
                <w:color w:val="auto"/>
              </w:rPr>
              <w:t>% per year (calculated using a 360-day year).</w:t>
            </w:r>
          </w:p>
        </w:tc>
        <w:tc>
          <w:tcPr>
            <w:tcW w:w="238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3740" w:type="dxa"/>
            <w:vAlign w:val="bottom"/>
          </w:tcPr>
          <w:p>
            <w:pPr>
              <w:ind w:left="2440"/>
              <w:spacing w:after="0"/>
              <w:rPr>
                <w:sz w:val="20"/>
                <w:szCs w:val="20"/>
                <w:color w:val="auto"/>
              </w:rPr>
            </w:pPr>
            <w:r>
              <w:rPr>
                <w:rFonts w:ascii="Arial" w:cs="Arial" w:eastAsia="Arial" w:hAnsi="Arial"/>
                <w:sz w:val="18"/>
                <w:szCs w:val="18"/>
                <w:color w:val="auto"/>
              </w:rPr>
              <w:t>and</w:t>
            </w:r>
          </w:p>
        </w:tc>
        <w:tc>
          <w:tcPr>
            <w:tcW w:w="2360" w:type="dxa"/>
            <w:vAlign w:val="bottom"/>
          </w:tcPr>
          <w:p>
            <w:pPr>
              <w:ind w:left="800"/>
              <w:spacing w:after="0"/>
              <w:rPr>
                <w:sz w:val="20"/>
                <w:szCs w:val="20"/>
                <w:color w:val="auto"/>
              </w:rPr>
            </w:pPr>
            <w:r>
              <w:rPr>
                <w:rFonts w:ascii="Arial" w:cs="Arial" w:eastAsia="Arial" w:hAnsi="Arial"/>
                <w:sz w:val="18"/>
                <w:szCs w:val="18"/>
                <w:color w:val="auto"/>
              </w:rPr>
              <w:t>beginning on</w:t>
            </w:r>
          </w:p>
        </w:tc>
        <w:tc>
          <w:tcPr>
            <w:tcW w:w="2380" w:type="dxa"/>
            <w:vAlign w:val="bottom"/>
          </w:tcPr>
          <w:p>
            <w:pPr>
              <w:ind w:left="500"/>
              <w:spacing w:after="0"/>
              <w:rPr>
                <w:sz w:val="20"/>
                <w:szCs w:val="20"/>
                <w:color w:val="auto"/>
              </w:rPr>
            </w:pPr>
            <w:r>
              <w:rPr>
                <w:rFonts w:ascii="Arial" w:cs="Arial" w:eastAsia="Arial" w:hAnsi="Arial"/>
                <w:sz w:val="18"/>
                <w:szCs w:val="18"/>
                <w:color w:val="auto"/>
              </w:rPr>
              <w:t>, 2003. Interest will</w:t>
            </w:r>
          </w:p>
        </w:tc>
      </w:tr>
      <w:tr>
        <w:trPr>
          <w:trHeight w:val="222"/>
        </w:trPr>
        <w:tc>
          <w:tcPr>
            <w:tcW w:w="2940" w:type="dxa"/>
            <w:vAlign w:val="bottom"/>
          </w:tcPr>
          <w:p>
            <w:pPr>
              <w:spacing w:after="0"/>
              <w:rPr>
                <w:sz w:val="19"/>
                <w:szCs w:val="19"/>
                <w:color w:val="auto"/>
              </w:rPr>
            </w:pPr>
          </w:p>
        </w:tc>
        <w:tc>
          <w:tcPr>
            <w:tcW w:w="6100" w:type="dxa"/>
            <w:vAlign w:val="bottom"/>
            <w:gridSpan w:val="2"/>
          </w:tcPr>
          <w:p>
            <w:pPr>
              <w:ind w:left="1300"/>
              <w:spacing w:after="0"/>
              <w:rPr>
                <w:sz w:val="20"/>
                <w:szCs w:val="20"/>
                <w:color w:val="auto"/>
              </w:rPr>
            </w:pPr>
            <w:r>
              <w:rPr>
                <w:rFonts w:ascii="Arial" w:cs="Arial" w:eastAsia="Arial" w:hAnsi="Arial"/>
                <w:sz w:val="18"/>
                <w:szCs w:val="18"/>
                <w:color w:val="auto"/>
              </w:rPr>
              <w:t>accrue from the issue date of the second mortgage notes.</w:t>
            </w:r>
          </w:p>
        </w:tc>
        <w:tc>
          <w:tcPr>
            <w:tcW w:w="23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Guarantors</w:t>
            </w: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0"/>
              </w:rPr>
              <w:t>Valvino and certain of its subsidiaries will guarantee the second mortgage notes. Wynn Resorts will</w:t>
            </w:r>
          </w:p>
        </w:tc>
      </w:tr>
      <w:tr>
        <w:trPr>
          <w:trHeight w:val="216"/>
        </w:trPr>
        <w:tc>
          <w:tcPr>
            <w:tcW w:w="2940" w:type="dxa"/>
            <w:vAlign w:val="bottom"/>
          </w:tcPr>
          <w:p>
            <w:pPr>
              <w:spacing w:after="0"/>
              <w:rPr>
                <w:sz w:val="18"/>
                <w:szCs w:val="18"/>
                <w:color w:val="auto"/>
              </w:rPr>
            </w:pP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0"/>
              </w:rPr>
              <w:t>guarantee the second mortgage notes on a senior unsecured basis (which will be pari passu with its</w:t>
            </w:r>
          </w:p>
        </w:tc>
      </w:tr>
      <w:tr>
        <w:trPr>
          <w:trHeight w:val="216"/>
        </w:trPr>
        <w:tc>
          <w:tcPr>
            <w:tcW w:w="2940" w:type="dxa"/>
            <w:vAlign w:val="bottom"/>
          </w:tcPr>
          <w:p>
            <w:pPr>
              <w:spacing w:after="0"/>
              <w:rPr>
                <w:sz w:val="18"/>
                <w:szCs w:val="18"/>
                <w:color w:val="auto"/>
              </w:rPr>
            </w:pP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91"/>
              </w:rPr>
              <w:t>guarantee of the credit facilities and the FF&amp;E facility), but will not become subject to the restrictive</w:t>
            </w:r>
          </w:p>
        </w:tc>
      </w:tr>
      <w:tr>
        <w:trPr>
          <w:trHeight w:val="216"/>
        </w:trPr>
        <w:tc>
          <w:tcPr>
            <w:tcW w:w="2940" w:type="dxa"/>
            <w:vAlign w:val="bottom"/>
          </w:tcPr>
          <w:p>
            <w:pPr>
              <w:spacing w:after="0"/>
              <w:rPr>
                <w:sz w:val="18"/>
                <w:szCs w:val="18"/>
                <w:color w:val="auto"/>
              </w:rPr>
            </w:pP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86"/>
              </w:rPr>
              <w:t>covenants or other terms of the second mortgage notes. The guarantees may be released under certain</w:t>
            </w:r>
          </w:p>
        </w:tc>
      </w:tr>
      <w:tr>
        <w:trPr>
          <w:trHeight w:val="222"/>
        </w:trPr>
        <w:tc>
          <w:tcPr>
            <w:tcW w:w="2940" w:type="dxa"/>
            <w:vAlign w:val="bottom"/>
          </w:tcPr>
          <w:p>
            <w:pPr>
              <w:spacing w:after="0"/>
              <w:rPr>
                <w:sz w:val="19"/>
                <w:szCs w:val="19"/>
                <w:color w:val="auto"/>
              </w:rPr>
            </w:pPr>
          </w:p>
        </w:tc>
        <w:tc>
          <w:tcPr>
            <w:tcW w:w="3740" w:type="dxa"/>
            <w:vAlign w:val="bottom"/>
          </w:tcPr>
          <w:p>
            <w:pPr>
              <w:ind w:left="1300"/>
              <w:spacing w:after="0"/>
              <w:rPr>
                <w:sz w:val="20"/>
                <w:szCs w:val="20"/>
                <w:color w:val="auto"/>
              </w:rPr>
            </w:pPr>
            <w:r>
              <w:rPr>
                <w:rFonts w:ascii="Arial" w:cs="Arial" w:eastAsia="Arial" w:hAnsi="Arial"/>
                <w:sz w:val="18"/>
                <w:szCs w:val="18"/>
                <w:color w:val="auto"/>
              </w:rPr>
              <w:t>circumstances.</w:t>
            </w: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Security</w:t>
            </w:r>
          </w:p>
        </w:tc>
        <w:tc>
          <w:tcPr>
            <w:tcW w:w="8480" w:type="dxa"/>
            <w:vAlign w:val="bottom"/>
            <w:gridSpan w:val="3"/>
          </w:tcPr>
          <w:p>
            <w:pPr>
              <w:ind w:left="1300"/>
              <w:spacing w:after="0"/>
              <w:rPr>
                <w:sz w:val="20"/>
                <w:szCs w:val="20"/>
                <w:color w:val="auto"/>
              </w:rPr>
            </w:pPr>
            <w:r>
              <w:rPr>
                <w:rFonts w:ascii="Arial" w:cs="Arial" w:eastAsia="Arial" w:hAnsi="Arial"/>
                <w:sz w:val="18"/>
                <w:szCs w:val="18"/>
                <w:color w:val="auto"/>
                <w:w w:val="88"/>
              </w:rPr>
              <w:t>To the extent permitted by gaming and other applicable laws, and subject to specified permitted liens,</w:t>
            </w:r>
          </w:p>
        </w:tc>
      </w:tr>
      <w:tr>
        <w:trPr>
          <w:trHeight w:val="222"/>
        </w:trPr>
        <w:tc>
          <w:tcPr>
            <w:tcW w:w="2940" w:type="dxa"/>
            <w:vAlign w:val="bottom"/>
          </w:tcPr>
          <w:p>
            <w:pPr>
              <w:spacing w:after="0"/>
              <w:rPr>
                <w:sz w:val="19"/>
                <w:szCs w:val="19"/>
                <w:color w:val="auto"/>
              </w:rPr>
            </w:pPr>
          </w:p>
        </w:tc>
        <w:tc>
          <w:tcPr>
            <w:tcW w:w="6100" w:type="dxa"/>
            <w:vAlign w:val="bottom"/>
            <w:gridSpan w:val="2"/>
          </w:tcPr>
          <w:p>
            <w:pPr>
              <w:ind w:left="1300"/>
              <w:spacing w:after="0"/>
              <w:rPr>
                <w:sz w:val="20"/>
                <w:szCs w:val="20"/>
                <w:color w:val="auto"/>
              </w:rPr>
            </w:pPr>
            <w:r>
              <w:rPr>
                <w:rFonts w:ascii="Arial" w:cs="Arial" w:eastAsia="Arial" w:hAnsi="Arial"/>
                <w:sz w:val="18"/>
                <w:szCs w:val="18"/>
                <w:color w:val="auto"/>
              </w:rPr>
              <w:t>the second mortgage notes will be secured by:</w:t>
            </w:r>
          </w:p>
        </w:tc>
        <w:tc>
          <w:tcPr>
            <w:tcW w:w="2380" w:type="dxa"/>
            <w:vAlign w:val="bottom"/>
          </w:tcPr>
          <w:p>
            <w:pPr>
              <w:spacing w:after="0"/>
              <w:rPr>
                <w:sz w:val="19"/>
                <w:szCs w:val="19"/>
                <w:color w:val="auto"/>
              </w:rPr>
            </w:pPr>
          </w:p>
        </w:tc>
      </w:tr>
    </w:tbl>
    <w:p>
      <w:pPr>
        <w:spacing w:after="0" w:line="210" w:lineRule="exact"/>
        <w:rPr>
          <w:sz w:val="20"/>
          <w:szCs w:val="20"/>
          <w:color w:val="auto"/>
        </w:rPr>
      </w:pPr>
    </w:p>
    <w:p>
      <w:pPr>
        <w:ind w:left="4800" w:right="20" w:hanging="359"/>
        <w:spacing w:after="0" w:line="259" w:lineRule="auto"/>
        <w:tabs>
          <w:tab w:leader="none" w:pos="4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first priority lien on the net proceeds of this offering, which will be deposited in an interest reserve account, in a secured account pending release to fund disbursement requests under the disbursement agreement;</w:t>
      </w:r>
    </w:p>
    <w:p>
      <w:pPr>
        <w:spacing w:after="0" w:line="194" w:lineRule="exact"/>
        <w:rPr>
          <w:rFonts w:ascii="Arial" w:cs="Arial" w:eastAsia="Arial" w:hAnsi="Arial"/>
          <w:sz w:val="18"/>
          <w:szCs w:val="18"/>
          <w:color w:val="auto"/>
        </w:rPr>
      </w:pPr>
    </w:p>
    <w:p>
      <w:pPr>
        <w:ind w:left="4800" w:right="140" w:hanging="359"/>
        <w:spacing w:after="0" w:line="298" w:lineRule="auto"/>
        <w:tabs>
          <w:tab w:leader="none" w:pos="4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second priority lien on substantially all of the other existing and future assets of Wynn Las Vegas, including the land on which Le Rêve is to be constructed, all improvements constructed as part of the Le Rêve project, certain personal property (other than certain furniture, fixtures and equipment) and certain material agreements;</w:t>
      </w:r>
    </w:p>
    <w:p>
      <w:pPr>
        <w:spacing w:after="0" w:line="166" w:lineRule="exact"/>
        <w:rPr>
          <w:rFonts w:ascii="Arial" w:cs="Arial" w:eastAsia="Arial" w:hAnsi="Arial"/>
          <w:sz w:val="16"/>
          <w:szCs w:val="16"/>
          <w:color w:val="auto"/>
        </w:rPr>
      </w:pPr>
    </w:p>
    <w:p>
      <w:pPr>
        <w:ind w:left="4800" w:right="320" w:hanging="359"/>
        <w:spacing w:after="0" w:line="268" w:lineRule="auto"/>
        <w:tabs>
          <w:tab w:leader="none" w:pos="4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second priority lien on the $50.0 million to be deposited into the completion guarantor's completion guarantee deposit account;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right="340" w:hanging="359"/>
        <w:spacing w:after="0" w:line="268" w:lineRule="auto"/>
        <w:tabs>
          <w:tab w:leader="none" w:pos="4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second priority lien on the $30.0 million to be deposited into Wynn Las Vegas' liquidity reserve account; and</w:t>
      </w:r>
    </w:p>
    <w:p>
      <w:pPr>
        <w:sectPr>
          <w:pgSz w:w="11900" w:h="16838" w:orient="portrait"/>
          <w:cols w:equalWidth="0" w:num="1">
            <w:col w:w="11420"/>
          </w:cols>
          <w:pgMar w:left="240" w:top="318"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0" w:type="dxa"/>
            <w:vAlign w:val="bottom"/>
          </w:tcPr>
          <w:p>
            <w:pPr>
              <w:ind w:left="15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a third priority lien on the FF&amp;E collateral, consisting of specified items of furniture, fixtures</w:t>
            </w:r>
          </w:p>
        </w:tc>
      </w:tr>
      <w:tr>
        <w:trPr>
          <w:trHeight w:val="222"/>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7"/>
              </w:rPr>
              <w:t>and equipment that are also collateral for our FF&amp;E facility and our credit agreement.</w:t>
            </w:r>
          </w:p>
        </w:tc>
      </w:tr>
      <w:tr>
        <w:trPr>
          <w:trHeight w:val="426"/>
        </w:trPr>
        <w:tc>
          <w:tcPr>
            <w:tcW w:w="2860" w:type="dxa"/>
            <w:vAlign w:val="bottom"/>
          </w:tcPr>
          <w:p>
            <w:pPr>
              <w:spacing w:after="0"/>
              <w:rPr>
                <w:sz w:val="24"/>
                <w:szCs w:val="24"/>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90"/>
              </w:rPr>
              <w:t>The guarantors' (except Wynn Resorts) obligations under the guarantees, to the extent permitted by</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rPr>
              <w:t>gaming and other applicable laws, will be secured by:</w:t>
            </w:r>
          </w:p>
        </w:tc>
      </w:tr>
      <w:tr>
        <w:trPr>
          <w:trHeight w:val="426"/>
        </w:trPr>
        <w:tc>
          <w:tcPr>
            <w:tcW w:w="286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0"/>
              </w:rPr>
              <w:t>a second priority lien on substantially all of the existing and future assets (other than certain</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2"/>
              </w:rPr>
              <w:t>aircraft assets) of the guarantors, including the golf course land, the 20-acre parcel of land</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fronting Las Vegas Boulevard next to the Le Rêve site, to which we sometimes refer as the</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7"/>
              </w:rPr>
              <w:t>Phase II land, water rights for the golf course land and Le Rêve's water entertainment</w:t>
            </w:r>
          </w:p>
        </w:tc>
      </w:tr>
      <w:tr>
        <w:trPr>
          <w:trHeight w:val="222"/>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features, and certain specified material agreements; and</w:t>
            </w:r>
          </w:p>
        </w:tc>
      </w:tr>
      <w:tr>
        <w:trPr>
          <w:trHeight w:val="426"/>
        </w:trPr>
        <w:tc>
          <w:tcPr>
            <w:tcW w:w="286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0"/>
              </w:rPr>
              <w:t>a second priority pledge of the equity interests held by the guarantors in any of their existing</w:t>
            </w:r>
          </w:p>
        </w:tc>
      </w:tr>
      <w:tr>
        <w:trPr>
          <w:trHeight w:val="222"/>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or future subsidiaries, including the equity interests of Wynn Las Vegas.</w:t>
            </w:r>
          </w:p>
        </w:tc>
      </w:tr>
      <w:tr>
        <w:trPr>
          <w:trHeight w:val="432"/>
        </w:trPr>
        <w:tc>
          <w:tcPr>
            <w:tcW w:w="2860" w:type="dxa"/>
            <w:vAlign w:val="bottom"/>
          </w:tcPr>
          <w:p>
            <w:pPr>
              <w:spacing w:after="0"/>
              <w:rPr>
                <w:sz w:val="24"/>
                <w:szCs w:val="24"/>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rPr>
              <w:t>The guarantees will not be secured by the aircraft assets.</w:t>
            </w:r>
          </w:p>
        </w:tc>
      </w:tr>
      <w:tr>
        <w:trPr>
          <w:trHeight w:val="426"/>
        </w:trPr>
        <w:tc>
          <w:tcPr>
            <w:tcW w:w="2860" w:type="dxa"/>
            <w:vAlign w:val="bottom"/>
          </w:tcPr>
          <w:p>
            <w:pPr>
              <w:spacing w:after="0"/>
              <w:rPr>
                <w:sz w:val="24"/>
                <w:szCs w:val="24"/>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91"/>
              </w:rPr>
              <w:t>In the event that Wynn Resorts grants specified liens to secure other guarantees or indebtedness,</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88"/>
              </w:rPr>
              <w:t>Wynn Resorts will be required to grant liens on the same assets to secure its guarantee of the second</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88"/>
              </w:rPr>
              <w:t>mortgage notes and the credit facilities. Such liens securing the parent guarantee of the notes and the</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91"/>
              </w:rPr>
              <w:t>credit facilities will be subject to the subordination provisions of the intercreditor agreement and will</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92"/>
              </w:rPr>
              <w:t>have the same relative priorities as the second mortgage notes and the credit facilities have in the</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rPr>
              <w:t>collateral.</w:t>
            </w:r>
          </w:p>
        </w:tc>
      </w:tr>
      <w:tr>
        <w:trPr>
          <w:trHeight w:val="426"/>
        </w:trPr>
        <w:tc>
          <w:tcPr>
            <w:tcW w:w="2860" w:type="dxa"/>
            <w:vAlign w:val="bottom"/>
          </w:tcPr>
          <w:p>
            <w:pPr>
              <w:spacing w:after="0"/>
              <w:rPr>
                <w:sz w:val="20"/>
                <w:szCs w:val="20"/>
                <w:color w:val="auto"/>
              </w:rPr>
            </w:pPr>
            <w:r>
              <w:rPr>
                <w:rFonts w:ascii="Arial" w:cs="Arial" w:eastAsia="Arial" w:hAnsi="Arial"/>
                <w:sz w:val="18"/>
                <w:szCs w:val="18"/>
                <w:color w:val="auto"/>
              </w:rPr>
              <w:t>Release of Collateral</w:t>
            </w: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89"/>
              </w:rPr>
              <w:t>The second mortgage note holders' security interests in all or certain portions of the golf course land,</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91"/>
              </w:rPr>
              <w:t>and related collateral (including water rights), and in all of the Phase II land may be released under</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w w:val="88"/>
              </w:rPr>
              <w:t>certain circumstances. Upon any such release of those security interests, the disposition or transfer of</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rPr>
              <w:t>such assets will no longer be subject to any of the restrictive covenants in the indenture.</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Ranking</w:t>
            </w:r>
          </w:p>
        </w:tc>
        <w:tc>
          <w:tcPr>
            <w:tcW w:w="8560" w:type="dxa"/>
            <w:vAlign w:val="bottom"/>
            <w:gridSpan w:val="2"/>
          </w:tcPr>
          <w:p>
            <w:pPr>
              <w:ind w:left="1380"/>
              <w:spacing w:after="0"/>
              <w:rPr>
                <w:sz w:val="20"/>
                <w:szCs w:val="20"/>
                <w:color w:val="auto"/>
              </w:rPr>
            </w:pPr>
            <w:r>
              <w:rPr>
                <w:rFonts w:ascii="Arial" w:cs="Arial" w:eastAsia="Arial" w:hAnsi="Arial"/>
                <w:sz w:val="18"/>
                <w:szCs w:val="18"/>
                <w:color w:val="auto"/>
              </w:rPr>
              <w:t>The second mortgage notes will be general obligations of the issuers and will:</w:t>
            </w:r>
          </w:p>
        </w:tc>
      </w:tr>
      <w:tr>
        <w:trPr>
          <w:trHeight w:val="426"/>
        </w:trPr>
        <w:tc>
          <w:tcPr>
            <w:tcW w:w="286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rank senior in right of payment to any future subordinated indebtedness we or the guarantors</w:t>
            </w:r>
          </w:p>
        </w:tc>
      </w:tr>
      <w:tr>
        <w:trPr>
          <w:trHeight w:val="222"/>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may incur,</w:t>
            </w:r>
          </w:p>
        </w:tc>
      </w:tr>
      <w:tr>
        <w:trPr>
          <w:trHeight w:val="891"/>
        </w:trPr>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760" w:type="dxa"/>
            <w:vAlign w:val="bottom"/>
          </w:tcPr>
          <w:p>
            <w:pPr>
              <w:ind w:left="1020"/>
              <w:spacing w:after="0"/>
              <w:rPr>
                <w:sz w:val="20"/>
                <w:szCs w:val="20"/>
                <w:color w:val="auto"/>
              </w:rPr>
            </w:pPr>
            <w:r>
              <w:rPr>
                <w:rFonts w:ascii="Arial" w:cs="Arial" w:eastAsia="Arial" w:hAnsi="Arial"/>
                <w:sz w:val="18"/>
                <w:szCs w:val="18"/>
                <w:color w:val="auto"/>
              </w:rPr>
              <w:t>9</w:t>
            </w:r>
          </w:p>
        </w:tc>
      </w:tr>
      <w:tr>
        <w:trPr>
          <w:trHeight w:val="228"/>
        </w:trPr>
        <w:tc>
          <w:tcPr>
            <w:tcW w:w="28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800" w:right="280" w:hanging="359"/>
        <w:spacing w:after="0" w:line="268" w:lineRule="auto"/>
        <w:tabs>
          <w:tab w:leader="none" w:pos="4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effectively senior to our and the guarantors' existing and future unsecured indebtedness and other liabilities, and</w:t>
      </w:r>
    </w:p>
    <w:p>
      <w:pPr>
        <w:spacing w:after="0" w:line="185" w:lineRule="exact"/>
        <w:rPr>
          <w:rFonts w:ascii="Arial" w:cs="Arial" w:eastAsia="Arial" w:hAnsi="Arial"/>
          <w:sz w:val="18"/>
          <w:szCs w:val="18"/>
          <w:color w:val="auto"/>
        </w:rPr>
      </w:pPr>
    </w:p>
    <w:p>
      <w:pPr>
        <w:jc w:val="both"/>
        <w:ind w:left="4800" w:right="20" w:hanging="359"/>
        <w:spacing w:after="0" w:line="256" w:lineRule="auto"/>
        <w:tabs>
          <w:tab w:leader="none" w:pos="4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effectively subordinated to our and the guarantors' obligations under our $1.0 billion credit facilities and our $188.5 million FF&amp;E facility (which we would request the FF&amp;E lenders to increase to $198.5 million if we purchase a replacement corporate aircraft), which are secured by higher priority liens on our assets.</w:t>
      </w:r>
    </w:p>
    <w:p>
      <w:pPr>
        <w:spacing w:after="0" w:line="197" w:lineRule="exact"/>
        <w:rPr>
          <w:sz w:val="20"/>
          <w:szCs w:val="20"/>
          <w:color w:val="auto"/>
        </w:rPr>
      </w:pPr>
    </w:p>
    <w:p>
      <w:pPr>
        <w:ind w:left="4240" w:right="240"/>
        <w:spacing w:after="0" w:line="255" w:lineRule="auto"/>
        <w:rPr>
          <w:sz w:val="20"/>
          <w:szCs w:val="20"/>
          <w:color w:val="auto"/>
        </w:rPr>
      </w:pPr>
      <w:r>
        <w:rPr>
          <w:rFonts w:ascii="Arial" w:cs="Arial" w:eastAsia="Arial" w:hAnsi="Arial"/>
          <w:sz w:val="18"/>
          <w:szCs w:val="18"/>
          <w:color w:val="auto"/>
        </w:rPr>
        <w:t>Concurrent with the issuance of the second mortgage notes, we expect to enter into $1.0 billion of credit facilities, which will be secured by first priority liens on substantially all of our existing and future assets, other than the proceeds of this offering. We also expect to enter into a $188.5 million FF&amp;E loan facility, which will be secured by first priority liens on specified items of furniture, fixtures and equipment.</w:t>
      </w:r>
    </w:p>
    <w:p>
      <w:pPr>
        <w:spacing w:after="0" w:line="197"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guarantees of the second mortgage notes will be secured obligations of the guarantors and will:</w:t>
      </w:r>
    </w:p>
    <w:p>
      <w:pPr>
        <w:spacing w:after="0" w:line="248" w:lineRule="exact"/>
        <w:rPr>
          <w:sz w:val="20"/>
          <w:szCs w:val="20"/>
          <w:color w:val="auto"/>
        </w:rPr>
      </w:pPr>
    </w:p>
    <w:p>
      <w:pPr>
        <w:ind w:left="4800" w:right="120" w:hanging="359"/>
        <w:spacing w:after="0" w:line="268" w:lineRule="auto"/>
        <w:tabs>
          <w:tab w:leader="none" w:pos="4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rank senior in right of payment to any future subordinated indebtedness we or the guarantors may incur;</w:t>
      </w:r>
    </w:p>
    <w:p>
      <w:pPr>
        <w:spacing w:after="0" w:line="185" w:lineRule="exact"/>
        <w:rPr>
          <w:rFonts w:ascii="Arial" w:cs="Arial" w:eastAsia="Arial" w:hAnsi="Arial"/>
          <w:sz w:val="18"/>
          <w:szCs w:val="18"/>
          <w:color w:val="auto"/>
        </w:rPr>
      </w:pPr>
    </w:p>
    <w:p>
      <w:pPr>
        <w:ind w:left="4800" w:right="280" w:hanging="359"/>
        <w:spacing w:after="0" w:line="268" w:lineRule="auto"/>
        <w:tabs>
          <w:tab w:leader="none" w:pos="4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effectively senior to our and the guarantors' existing and future unsecured indebtedness and other liabilities; and</w:t>
      </w:r>
    </w:p>
    <w:p>
      <w:pPr>
        <w:spacing w:after="0" w:line="185" w:lineRule="exact"/>
        <w:rPr>
          <w:rFonts w:ascii="Arial" w:cs="Arial" w:eastAsia="Arial" w:hAnsi="Arial"/>
          <w:sz w:val="18"/>
          <w:szCs w:val="18"/>
          <w:color w:val="auto"/>
        </w:rPr>
      </w:pPr>
    </w:p>
    <w:p>
      <w:pPr>
        <w:ind w:left="4800" w:right="200" w:hanging="359"/>
        <w:spacing w:after="0" w:line="259" w:lineRule="auto"/>
        <w:tabs>
          <w:tab w:leader="none" w:pos="4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effectively subordinated to our and the guarantors' obligations under our credit facilities, our furniture, fixture and equipment loan facility, and any of our and the guarantors' future indebtedness that is secured with higher priority liens.</w:t>
      </w:r>
    </w:p>
    <w:p>
      <w:pPr>
        <w:spacing w:after="0" w:line="194" w:lineRule="exact"/>
        <w:rPr>
          <w:sz w:val="20"/>
          <w:szCs w:val="20"/>
          <w:color w:val="auto"/>
        </w:rPr>
      </w:pPr>
    </w:p>
    <w:p>
      <w:pPr>
        <w:ind w:left="4240" w:right="260" w:hanging="4240"/>
        <w:spacing w:after="0" w:line="256" w:lineRule="auto"/>
        <w:tabs>
          <w:tab w:leader="none" w:pos="4220" w:val="left"/>
        </w:tabs>
        <w:rPr>
          <w:sz w:val="20"/>
          <w:szCs w:val="20"/>
          <w:color w:val="auto"/>
        </w:rPr>
      </w:pPr>
      <w:r>
        <w:rPr>
          <w:rFonts w:ascii="Arial" w:cs="Arial" w:eastAsia="Arial" w:hAnsi="Arial"/>
          <w:sz w:val="18"/>
          <w:szCs w:val="18"/>
          <w:color w:val="auto"/>
        </w:rPr>
        <w:t>Optional Redemption After Qualified Equity Offerings</w:t>
      </w:r>
      <w:r>
        <w:rPr>
          <w:sz w:val="20"/>
          <w:szCs w:val="20"/>
          <w:color w:val="auto"/>
        </w:rPr>
        <w:tab/>
      </w:r>
      <w:r>
        <w:rPr>
          <w:rFonts w:ascii="Arial" w:cs="Arial" w:eastAsia="Arial" w:hAnsi="Arial"/>
          <w:sz w:val="18"/>
          <w:szCs w:val="18"/>
          <w:color w:val="auto"/>
        </w:rPr>
        <w:t>At any time prior to , 2005 we may, on one or more occasions redeem up to 35% of the outstanding second mortgage notes at a redemption price of %, plus accrued and unpaid interest, with the net cash proceeds of one or more qualified equity offerings of Wynn Resorts that are contributed to us, as long as, among other things:</w:t>
      </w:r>
    </w:p>
    <w:p>
      <w:pPr>
        <w:spacing w:after="0" w:line="197" w:lineRule="exact"/>
        <w:rPr>
          <w:sz w:val="20"/>
          <w:szCs w:val="20"/>
          <w:color w:val="auto"/>
        </w:rPr>
      </w:pPr>
    </w:p>
    <w:p>
      <w:pPr>
        <w:ind w:left="4800" w:right="260" w:hanging="359"/>
        <w:spacing w:after="0" w:line="268" w:lineRule="auto"/>
        <w:tabs>
          <w:tab w:leader="none" w:pos="4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redeem the second mortgage notes within 60 days of the closing of the qualified equity offering; and</w:t>
      </w:r>
    </w:p>
    <w:p>
      <w:pPr>
        <w:spacing w:after="0" w:line="185" w:lineRule="exact"/>
        <w:rPr>
          <w:rFonts w:ascii="Arial" w:cs="Arial" w:eastAsia="Arial" w:hAnsi="Arial"/>
          <w:sz w:val="18"/>
          <w:szCs w:val="18"/>
          <w:color w:val="auto"/>
        </w:rPr>
      </w:pPr>
    </w:p>
    <w:p>
      <w:pPr>
        <w:ind w:left="4800" w:right="300" w:hanging="359"/>
        <w:spacing w:after="0" w:line="332" w:lineRule="auto"/>
        <w:tabs>
          <w:tab w:leader="none" w:pos="4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least 65% of the aggregate principal amount of second mortgage notes originally issued remains outstanding (excluding notes held by Wynn Resorts and its affiliates).</w:t>
      </w:r>
    </w:p>
    <w:p>
      <w:pPr>
        <w:sectPr>
          <w:pgSz w:w="11900" w:h="16838" w:orient="portrait"/>
          <w:cols w:equalWidth="0" w:num="1">
            <w:col w:w="11420"/>
          </w:cols>
          <w:pgMar w:left="240" w:top="131" w:right="239" w:bottom="0" w:gutter="0" w:footer="0" w:header="0"/>
        </w:sectPr>
      </w:pPr>
    </w:p>
    <w:bookmarkStart w:id="8" w:name="page9"/>
    <w:bookmarkEnd w:id="8"/>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Optional Redemption</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9"/>
              </w:rPr>
              <w:t>Except in connection with a qualified equity offering of Wynn Resorts, we cannot redeem the second</w:t>
            </w:r>
          </w:p>
        </w:tc>
      </w:tr>
      <w:tr>
        <w:trPr>
          <w:trHeight w:val="216"/>
        </w:trPr>
        <w:tc>
          <w:tcPr>
            <w:tcW w:w="3220" w:type="dxa"/>
            <w:vAlign w:val="bottom"/>
          </w:tcPr>
          <w:p>
            <w:pPr>
              <w:spacing w:after="0"/>
              <w:rPr>
                <w:sz w:val="18"/>
                <w:szCs w:val="18"/>
                <w:color w:val="auto"/>
              </w:rPr>
            </w:pP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mortgage notes until</w:t>
            </w:r>
          </w:p>
        </w:tc>
        <w:tc>
          <w:tcPr>
            <w:tcW w:w="5500" w:type="dxa"/>
            <w:vAlign w:val="bottom"/>
          </w:tcPr>
          <w:p>
            <w:pPr>
              <w:ind w:left="120"/>
              <w:spacing w:after="0"/>
              <w:rPr>
                <w:sz w:val="20"/>
                <w:szCs w:val="20"/>
                <w:color w:val="auto"/>
              </w:rPr>
            </w:pPr>
            <w:r>
              <w:rPr>
                <w:rFonts w:ascii="Arial" w:cs="Arial" w:eastAsia="Arial" w:hAnsi="Arial"/>
                <w:sz w:val="18"/>
                <w:szCs w:val="18"/>
                <w:color w:val="auto"/>
                <w:w w:val="86"/>
              </w:rPr>
              <w:t>, 2006. Thereafter, we may redeem some or all of the second mortgage notes</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at a premium declining ratably to zero, plus accrued interest.</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Gaming Redemption</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9"/>
              </w:rPr>
              <w:t>The second mortgage notes will be subject to redemption requirements imposed by gaming laws and</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8"/>
              </w:rPr>
              <w:t>If a change in control occurs, we must offer to repurchase the second mortgage notes at 101% of their</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principal amount, plus accrued interest.</w:t>
            </w:r>
          </w:p>
        </w:tc>
      </w:tr>
      <w:tr>
        <w:trPr>
          <w:trHeight w:val="426"/>
        </w:trPr>
        <w:tc>
          <w:tcPr>
            <w:tcW w:w="3220" w:type="dxa"/>
            <w:vAlign w:val="bottom"/>
          </w:tcPr>
          <w:p>
            <w:pPr>
              <w:spacing w:after="0"/>
              <w:rPr>
                <w:sz w:val="24"/>
                <w:szCs w:val="24"/>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We might not be able to pay you the required price for the second mortgage notes you present for</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repurchase at the time of a change of control, because:</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we might not have enough funds at that time; or</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the terms of our credit facilities, FF&amp;E facility or other debt might prevent us from paying.</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Asset Sales and Events of Loss</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If we or the restricted entities sell certain assets or experience certain events of loss following the</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final completion date of Le Rêve, we may be required to offer to repurchase the second mortgage</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1"/>
              </w:rPr>
              <w:t>notes with any remaining net cash proceeds after satisfying our senior debt and other obligations if</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we do not use the proceeds as required.</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Certain Indenture Provisions</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The indenture governing the second mortgage notes will contain covenants restricting our and the</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restricted entities' ability to:</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pay dividends or distributions on capital stock or repurchase capital stock;</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incur additional debt;</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make investments;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create liens on assets to secure debt;</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enter into transactions with affiliates;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issue stock of subsidiaries;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enter into sale-leaseback transactions;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engage in other businesses;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merge or consolidate with another company;</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transfer and sell assets;</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issue preferred stock;</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designate restricted and unrestricted subsidiaries.</w:t>
            </w:r>
          </w:p>
        </w:tc>
      </w:tr>
      <w:tr>
        <w:trPr>
          <w:trHeight w:val="891"/>
        </w:trPr>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11</w:t>
            </w:r>
          </w:p>
        </w:tc>
        <w:tc>
          <w:tcPr>
            <w:tcW w:w="5500" w:type="dxa"/>
            <w:vAlign w:val="bottom"/>
          </w:tcPr>
          <w:p>
            <w:pPr>
              <w:spacing w:after="0"/>
              <w:rPr>
                <w:sz w:val="24"/>
                <w:szCs w:val="24"/>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gridSpan w:val="3"/>
          </w:tcPr>
          <w:p>
            <w:pPr>
              <w:spacing w:after="0"/>
              <w:rPr>
                <w:sz w:val="19"/>
                <w:szCs w:val="19"/>
                <w:color w:val="auto"/>
              </w:rPr>
            </w:pPr>
          </w:p>
        </w:tc>
      </w:tr>
      <w:tr>
        <w:trPr>
          <w:trHeight w:val="535"/>
        </w:trPr>
        <w:tc>
          <w:tcPr>
            <w:tcW w:w="3220" w:type="dxa"/>
            <w:vAlign w:val="bottom"/>
          </w:tcPr>
          <w:p>
            <w:pPr>
              <w:spacing w:after="0"/>
              <w:rPr>
                <w:sz w:val="24"/>
                <w:szCs w:val="24"/>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The indenture will also contain certain covenants restricting the activities of Wynn Capital.</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8"/>
              </w:rPr>
              <w:t>We will enter into a disbursement agreement with the trustee, representatives of the lenders under the</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credit facilities and the FF&amp;E facility and a disbursement agent that will establish the conditions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240" w:right="60"/>
        <w:spacing w:after="0" w:line="255" w:lineRule="auto"/>
        <w:rPr>
          <w:sz w:val="20"/>
          <w:szCs w:val="20"/>
          <w:color w:val="auto"/>
        </w:rPr>
      </w:pPr>
      <w:r>
        <w:rPr>
          <w:rFonts w:ascii="Arial" w:cs="Arial" w:eastAsia="Arial" w:hAnsi="Arial"/>
          <w:sz w:val="18"/>
          <w:szCs w:val="18"/>
          <w:color w:val="auto"/>
        </w:rPr>
        <w:t>and sequencing of funding of, the equity contributions held by us from Wynn Resorts, borrowings under the credit facilities and FF&amp;E facility and disbursements of funds from the account holding the proceeds of the second mortgage notes.</w:t>
      </w:r>
    </w:p>
    <w:p>
      <w:pPr>
        <w:spacing w:after="0" w:line="198" w:lineRule="exact"/>
        <w:rPr>
          <w:sz w:val="20"/>
          <w:szCs w:val="20"/>
          <w:color w:val="auto"/>
        </w:rPr>
      </w:pPr>
    </w:p>
    <w:p>
      <w:pPr>
        <w:ind w:left="4240" w:right="140"/>
        <w:spacing w:after="0" w:line="318" w:lineRule="auto"/>
        <w:rPr>
          <w:sz w:val="20"/>
          <w:szCs w:val="20"/>
          <w:color w:val="auto"/>
        </w:rPr>
      </w:pPr>
      <w:r>
        <w:rPr>
          <w:rFonts w:ascii="Arial" w:cs="Arial" w:eastAsia="Arial" w:hAnsi="Arial"/>
          <w:sz w:val="15"/>
          <w:szCs w:val="15"/>
          <w:color w:val="auto"/>
        </w:rPr>
        <w:t>Under the disbursement agreement, it will be a condition to disbursement of the proceeds of this offering that we first use a substantial portion of the cash equity contributions, other than the equity contributions that will be segregated into the completion guarantee account and the liquidity reserve account, to fund construction of the Le Rêve project. In turn, it is a condition to disbursement of borrowings under the credit facilities and the FF&amp;E facility that we first use the proceeds of this</w:t>
      </w:r>
    </w:p>
    <w:p>
      <w:pPr>
        <w:sectPr>
          <w:pgSz w:w="11900" w:h="16924" w:orient="portrait"/>
          <w:cols w:equalWidth="0" w:num="1">
            <w:col w:w="11420"/>
          </w:cols>
          <w:pgMar w:left="240" w:top="806" w:right="239"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offering, other than amounts sufficient to pay interest on the notes on the two ensuing payment dates, before we are permitted to borrow under those facilities.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disbursement agreement will also set forth procedures for approving construction change orders and amendments to the construction budget and schedule. Inspection &amp; Valuation International, Inc. will act as independent construction consultant on behalf of the lenders under the disbursement agreement and will be required to approve certain portions of each request by Wynn Las Vegas for the disbursement of funds.</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Representatives of the lenders under the credit facilities and the trustee will enter into a project lenders intercreditor agreement that will govern the relations between the holders of the second mortgage notes and the lenders under the credit facilities. The project lenders intercreditor agreement will reflect the fact that the second mortgage note holders will have a first priority security interest in the proceeds of this offering but that the lenders under the credit facilities will have a first priority security interest in substantially all of the other assets of Wynn Las Vegas and the restricted entities (other than certain furniture, fixtures and equipment) and the second mortgage note holders will have a second priority security interest in such collateral.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sectPr>
      </w:pPr>
    </w:p>
    <w:p>
      <w:pPr>
        <w:spacing w:after="0" w:line="376" w:lineRule="exact"/>
        <w:rPr>
          <w:sz w:val="20"/>
          <w:szCs w:val="20"/>
          <w:color w:val="auto"/>
        </w:rPr>
      </w:pPr>
    </w:p>
    <w:p>
      <w:pPr>
        <w:ind w:left="4240" w:right="160"/>
        <w:spacing w:after="0" w:line="268" w:lineRule="auto"/>
        <w:rPr>
          <w:sz w:val="20"/>
          <w:szCs w:val="20"/>
          <w:color w:val="auto"/>
        </w:rPr>
      </w:pPr>
      <w:r>
        <w:rPr>
          <w:rFonts w:ascii="Arial" w:cs="Arial" w:eastAsia="Arial" w:hAnsi="Arial"/>
          <w:sz w:val="18"/>
          <w:szCs w:val="18"/>
          <w:color w:val="auto"/>
        </w:rPr>
        <w:t>The project lenders intercreditor agreement will provide that, until the indebtedness under the credit facilities has been repaid in full:</w:t>
      </w:r>
    </w:p>
    <w:p>
      <w:pPr>
        <w:spacing w:after="0" w:line="186" w:lineRule="exact"/>
        <w:rPr>
          <w:sz w:val="20"/>
          <w:szCs w:val="20"/>
          <w:color w:val="auto"/>
        </w:rPr>
      </w:pPr>
    </w:p>
    <w:p>
      <w:pPr>
        <w:ind w:left="4800" w:hanging="359"/>
        <w:spacing w:after="0" w:line="298" w:lineRule="auto"/>
        <w:tabs>
          <w:tab w:leader="none" w:pos="4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the exclusive right to exercise remedies against the collateral securing the second mortgage notes and the credit facilities, and to determine the circumstances and manner in which that collateral may be disposed of, subject to the rights of the lenders under the FF&amp;E facility with respect to the FF&amp;E collateral,</w:t>
      </w:r>
    </w:p>
    <w:p>
      <w:pPr>
        <w:spacing w:after="0" w:line="166" w:lineRule="exact"/>
        <w:rPr>
          <w:rFonts w:ascii="Arial" w:cs="Arial" w:eastAsia="Arial" w:hAnsi="Arial"/>
          <w:sz w:val="16"/>
          <w:szCs w:val="16"/>
          <w:color w:val="auto"/>
        </w:rPr>
      </w:pPr>
    </w:p>
    <w:p>
      <w:pPr>
        <w:ind w:left="4800" w:right="60" w:hanging="359"/>
        <w:spacing w:after="0" w:line="332" w:lineRule="auto"/>
        <w:tabs>
          <w:tab w:leader="none" w:pos="4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agent under the credit facilities can amend various terms of, and waive defaults under, the security documents without the consent of the second mortgage noteholders and</w:t>
      </w:r>
    </w:p>
    <w:p>
      <w:pPr>
        <w:spacing w:after="0" w:line="139" w:lineRule="exact"/>
        <w:rPr>
          <w:rFonts w:ascii="Arial" w:cs="Arial" w:eastAsia="Arial" w:hAnsi="Arial"/>
          <w:sz w:val="16"/>
          <w:szCs w:val="16"/>
          <w:color w:val="auto"/>
        </w:rPr>
      </w:pPr>
    </w:p>
    <w:p>
      <w:pPr>
        <w:ind w:left="4800" w:right="200" w:hanging="359"/>
        <w:spacing w:after="0" w:line="259" w:lineRule="auto"/>
        <w:tabs>
          <w:tab w:leader="none" w:pos="4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agent under the credit facilities has the right to amend the disbursement agreement or to waive any defaults, or conditions to funding, under the disbursement agreement in certain circumstances.</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project lenders intercreditor agreement, the note holders cannot vote to accept a plan of reorganization or other restructuring plan, unless lenders holding two-thirds of the outstanding loans under the credit facilities vote in favor of that plan. However, the note holders are not required to vote in favor of a plan that the lenders under the credit facilities approve, and are free to challenge any such plan on fundamental fairness and other grounds.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project lenders intercreditor agreement will limit the exercise of remedies by the second mortgage note holders against their collateral and may prevent timely payment on the second mortgage notes if a default has occurred. Under the project lenders intercreditor agreement, the trustee will have the exclusive right to exercise, or not exercise, remedies against the net proceeds of this offering.</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representative of the lenders under the credit facilities and the trustee for the second mortgage notes, on the one hand, and the representative of the lenders under the FF&amp;E facility, on the other hand, will enter into an FF&amp;E intercreditor agreement that will govern the relations between the credit facilities lenders and the second mortgage note holders, on the one hand, and the lenders under the FF&amp;E facility on the other hand.</w:t>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240" w:right="60"/>
        <w:spacing w:after="0" w:line="298" w:lineRule="auto"/>
        <w:rPr>
          <w:sz w:val="20"/>
          <w:szCs w:val="20"/>
          <w:color w:val="auto"/>
        </w:rPr>
      </w:pPr>
      <w:r>
        <w:rPr>
          <w:rFonts w:ascii="Arial" w:cs="Arial" w:eastAsia="Arial" w:hAnsi="Arial"/>
          <w:sz w:val="16"/>
          <w:szCs w:val="16"/>
          <w:color w:val="auto"/>
        </w:rPr>
        <w:t>The FF&amp;E intercreditor agreement will reflect the fact that the lenders under the FF&amp;E facility will have a first priority lien on the furniture, fixtures and equipment for Le Rêve that is financed by draws on the FF&amp;E facility, the lenders under the credit facilities will have a second priority lien on such collateral and the second mortgage note holders will have a third priority lien on such collateral.</w:t>
      </w:r>
    </w:p>
    <w:p>
      <w:pPr>
        <w:spacing w:after="0" w:line="167" w:lineRule="exact"/>
        <w:rPr>
          <w:sz w:val="20"/>
          <w:szCs w:val="20"/>
          <w:color w:val="auto"/>
        </w:rPr>
      </w:pPr>
    </w:p>
    <w:p>
      <w:pPr>
        <w:ind w:left="4240" w:right="260"/>
        <w:spacing w:after="0" w:line="291" w:lineRule="auto"/>
        <w:rPr>
          <w:sz w:val="20"/>
          <w:szCs w:val="20"/>
          <w:color w:val="auto"/>
        </w:rPr>
      </w:pPr>
      <w:r>
        <w:rPr>
          <w:rFonts w:ascii="Arial" w:cs="Arial" w:eastAsia="Arial" w:hAnsi="Arial"/>
          <w:sz w:val="16"/>
          <w:szCs w:val="16"/>
          <w:color w:val="auto"/>
        </w:rPr>
        <w:t>The lenders under the FF&amp;E facility will have, until repayment in full of the FF&amp;E facility, the exclusive right to dispose of any of the FF&amp;E collateral or otherwise exercise any of the remedies available to a secured creditor in connection with the FF&amp;E collateral. The FF&amp;E intercreditor agreement will also limit the exercise of remedies by the lenders under the credit facilities and the second mortgage note holders against the FF&amp;E collateral and may prevent timely payment on the second mortgage notes if a default has occurred.</w:t>
      </w:r>
    </w:p>
    <w:p>
      <w:pPr>
        <w:spacing w:after="0" w:line="17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$50 Million Completion Guarantee</w:t>
      </w:r>
      <w:r>
        <w:rPr>
          <w:sz w:val="20"/>
          <w:szCs w:val="20"/>
          <w:color w:val="auto"/>
        </w:rPr>
        <w:tab/>
      </w:r>
      <w:r>
        <w:rPr>
          <w:rFonts w:ascii="Arial" w:cs="Arial" w:eastAsia="Arial" w:hAnsi="Arial"/>
          <w:sz w:val="15"/>
          <w:szCs w:val="15"/>
          <w:color w:val="auto"/>
        </w:rPr>
        <w:t>One of our wholly owned unrestricted subsidiaries, a special purpose entity sometimes referred to as</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completion guarantor, will be providing a $50.0 million completion guarantee in favor of the</w:t>
      </w:r>
    </w:p>
    <w:p>
      <w:pPr>
        <w:sectPr>
          <w:pgSz w:w="11900" w:h="16838" w:orient="portrait"/>
          <w:cols w:equalWidth="0" w:num="1">
            <w:col w:w="11420"/>
          </w:cols>
          <w:pgMar w:left="240" w:top="131" w:right="239" w:bottom="0" w:gutter="0" w:footer="0" w:header="0"/>
          <w:type w:val="continuous"/>
        </w:sectPr>
      </w:pPr>
    </w:p>
    <w:bookmarkStart w:id="10" w:name="page11"/>
    <w:bookmarkEnd w:id="10"/>
    <w:p>
      <w:pPr>
        <w:spacing w:after="0" w:line="88" w:lineRule="exact"/>
        <w:rPr>
          <w:sz w:val="20"/>
          <w:szCs w:val="20"/>
          <w:color w:val="auto"/>
        </w:rPr>
      </w:pPr>
    </w:p>
    <w:p>
      <w:pPr>
        <w:ind w:left="4240" w:right="80"/>
        <w:spacing w:after="0" w:line="255" w:lineRule="auto"/>
        <w:rPr>
          <w:sz w:val="20"/>
          <w:szCs w:val="20"/>
          <w:color w:val="auto"/>
        </w:rPr>
      </w:pPr>
      <w:r>
        <w:rPr>
          <w:rFonts w:ascii="Arial" w:cs="Arial" w:eastAsia="Arial" w:hAnsi="Arial"/>
          <w:sz w:val="18"/>
          <w:szCs w:val="18"/>
          <w:color w:val="auto"/>
        </w:rPr>
        <w:t>trustee (for the benefit of the holders of the second mortgage notes) and the administrative agent (as the representative of the lenders under the credit facilities). The completion guarantee will, subject to a $50.0 million cap, guarantee completion in full of the construction and opening of Le Rêve, including all furniture, fixtures and equipment, the parking structure, the golf course and the availability of initial working capital.</w:t>
      </w:r>
    </w:p>
    <w:p>
      <w:pPr>
        <w:spacing w:after="0" w:line="197" w:lineRule="exact"/>
        <w:rPr>
          <w:sz w:val="20"/>
          <w:szCs w:val="20"/>
          <w:color w:val="auto"/>
        </w:rPr>
      </w:pPr>
    </w:p>
    <w:p>
      <w:pPr>
        <w:ind w:left="4240" w:right="20"/>
        <w:spacing w:after="0" w:line="291" w:lineRule="auto"/>
        <w:rPr>
          <w:sz w:val="20"/>
          <w:szCs w:val="20"/>
          <w:color w:val="auto"/>
        </w:rPr>
      </w:pPr>
      <w:r>
        <w:rPr>
          <w:rFonts w:ascii="Arial" w:cs="Arial" w:eastAsia="Arial" w:hAnsi="Arial"/>
          <w:sz w:val="16"/>
          <w:szCs w:val="16"/>
          <w:color w:val="auto"/>
        </w:rPr>
        <w:t>Wynn Resorts will make a capital contribution concurrently with the closing of its initial public offering of $50.0 million of the net proceeds of that offering to the completion guarantor to support the completion guarantor's obligations under the completion guarantee. These funds will be deposited into a collateral account to be held in cash and/or certain permitted securities, and pledged to the lenders under the credit facilities on a first priority basis and the holders of the second mortgage notes on a second priority basis.</w:t>
      </w:r>
    </w:p>
    <w:p>
      <w:pPr>
        <w:spacing w:after="0" w:line="174" w:lineRule="exact"/>
        <w:rPr>
          <w:sz w:val="20"/>
          <w:szCs w:val="20"/>
          <w:color w:val="auto"/>
        </w:rPr>
      </w:pPr>
    </w:p>
    <w:p>
      <w:pPr>
        <w:ind w:left="4240"/>
        <w:spacing w:after="0" w:line="294" w:lineRule="auto"/>
        <w:rPr>
          <w:sz w:val="20"/>
          <w:szCs w:val="20"/>
          <w:color w:val="auto"/>
        </w:rPr>
      </w:pPr>
      <w:r>
        <w:rPr>
          <w:rFonts w:ascii="Arial" w:cs="Arial" w:eastAsia="Arial" w:hAnsi="Arial"/>
          <w:sz w:val="16"/>
          <w:szCs w:val="16"/>
          <w:color w:val="auto"/>
        </w:rPr>
        <w:t>Pursuant to the disbursement agreement, funds in the completion guarantee account will be available to us on a gradual basis to apply to the costs of the project, including for cost overruns, only after fifty percent of the Le Rêve construction work has been completed. After completion and opening of Le Rêve, any amounts remaining in the completion guarantee account may be released to us, and at our direction to our parent, Wynn Resorts.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26"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Liquidity Reserve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Limitations on Exercise of Remedies Against Completion Guarantee Account and Liquidity Reserve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Wynn Resorts will, concurrently with the closing of its initial public offering, make a capital contribution to us in an amount equal to $30.0 million. We will deposit these funds in the liquidity reserve account to be held in cash and/or permitted securities. The lenders under the credit facilities will have a first priority lien on this account and the holders of the second mortgage notes will have a second priority lien on this account.</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Amounts in the liquidity reserve account will be available to us on a gradual basis to apply to the costs of the project, including cost overruns, only after fifty percent of the construction work has been completed and only after amounts in the completion guarantee account have been exhausted. Following completion of Le Rêve, funds remaining in the liquidity reserve account will be available to meet our debt service needs. Once we have met prescribed cash flow tests for a period of four consecutive calendar quarters after the opening of Le Rêve, any remaining funds will be used to reduce the outstanding balance on our revolving credit facility but without reducing the revolving credit facility commitment.</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If an event of default occurs while amounts are outstanding under the credit facilities, the holders of the second mortgage notes will have limited or no recourse to the funds in the completion guarantee account and the liquidity reserve account because the lenders under the credit facilities would be entitled to payment in full of their obligations before the holders of the second mortgage notes are entitled to payments from any of our assets.</w:t>
      </w:r>
    </w:p>
    <w:p>
      <w:pPr>
        <w:spacing w:after="0" w:line="170" w:lineRule="exact"/>
        <w:rPr>
          <w:sz w:val="20"/>
          <w:szCs w:val="20"/>
          <w:color w:val="auto"/>
        </w:rPr>
      </w:pPr>
    </w:p>
    <w:p>
      <w:pPr>
        <w:sectPr>
          <w:pgSz w:w="11900" w:h="16926" w:orient="portrait"/>
          <w:cols w:equalWidth="0" w:num="2">
            <w:col w:w="3840" w:space="400"/>
            <w:col w:w="7180"/>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740" w:type="dxa"/>
            <w:vAlign w:val="bottom"/>
          </w:tcPr>
          <w:p>
            <w:pPr>
              <w:ind w:left="1560"/>
              <w:spacing w:after="0"/>
              <w:rPr>
                <w:sz w:val="20"/>
                <w:szCs w:val="20"/>
                <w:color w:val="auto"/>
              </w:rPr>
            </w:pPr>
            <w:r>
              <w:rPr>
                <w:rFonts w:ascii="Arial" w:cs="Arial" w:eastAsia="Arial" w:hAnsi="Arial"/>
                <w:sz w:val="18"/>
                <w:szCs w:val="18"/>
                <w:color w:val="auto"/>
                <w:w w:val="94"/>
              </w:rPr>
              <w:t>We intend to use the net proceeds from this offering, along with the borrowings under the credit</w:t>
            </w:r>
          </w:p>
        </w:tc>
      </w:tr>
      <w:tr>
        <w:trPr>
          <w:trHeight w:val="216"/>
        </w:trPr>
        <w:tc>
          <w:tcPr>
            <w:tcW w:w="2680" w:type="dxa"/>
            <w:vAlign w:val="bottom"/>
          </w:tcPr>
          <w:p>
            <w:pPr>
              <w:spacing w:after="0"/>
              <w:rPr>
                <w:sz w:val="18"/>
                <w:szCs w:val="18"/>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w w:val="95"/>
              </w:rPr>
              <w:t>facilities and FF&amp;E facility and equity contributions from Wynn Resorts and Valvino, to design,</w:t>
            </w:r>
          </w:p>
        </w:tc>
      </w:tr>
      <w:tr>
        <w:trPr>
          <w:trHeight w:val="222"/>
        </w:trPr>
        <w:tc>
          <w:tcPr>
            <w:tcW w:w="2680" w:type="dxa"/>
            <w:vAlign w:val="bottom"/>
          </w:tcPr>
          <w:p>
            <w:pPr>
              <w:spacing w:after="0"/>
              <w:rPr>
                <w:sz w:val="19"/>
                <w:szCs w:val="19"/>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rPr>
              <w:t>construct, develop, equip and open Le Rêve.</w:t>
            </w:r>
          </w:p>
        </w:tc>
      </w:tr>
      <w:tr>
        <w:trPr>
          <w:trHeight w:val="426"/>
        </w:trPr>
        <w:tc>
          <w:tcPr>
            <w:tcW w:w="2680" w:type="dxa"/>
            <w:vAlign w:val="bottom"/>
          </w:tcPr>
          <w:p>
            <w:pPr>
              <w:spacing w:after="0"/>
              <w:rPr>
                <w:sz w:val="24"/>
                <w:szCs w:val="24"/>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w w:val="89"/>
              </w:rPr>
              <w:t>The net proceeds of this offering will be deposited in a secured account and will be invested in highly</w:t>
            </w:r>
          </w:p>
        </w:tc>
      </w:tr>
      <w:tr>
        <w:trPr>
          <w:trHeight w:val="216"/>
        </w:trPr>
        <w:tc>
          <w:tcPr>
            <w:tcW w:w="2680" w:type="dxa"/>
            <w:vAlign w:val="bottom"/>
          </w:tcPr>
          <w:p>
            <w:pPr>
              <w:spacing w:after="0"/>
              <w:rPr>
                <w:sz w:val="18"/>
                <w:szCs w:val="18"/>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w w:val="86"/>
              </w:rPr>
              <w:t>rated securities at our discretion pending disbursement under the disbursement agreement. The trustee</w:t>
            </w:r>
          </w:p>
        </w:tc>
      </w:tr>
      <w:tr>
        <w:trPr>
          <w:trHeight w:val="216"/>
        </w:trPr>
        <w:tc>
          <w:tcPr>
            <w:tcW w:w="2680" w:type="dxa"/>
            <w:vAlign w:val="bottom"/>
          </w:tcPr>
          <w:p>
            <w:pPr>
              <w:spacing w:after="0"/>
              <w:rPr>
                <w:sz w:val="18"/>
                <w:szCs w:val="18"/>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w w:val="88"/>
              </w:rPr>
              <w:t>under the indenture governing the second mortgage notes, for the benefit of the holders of the second</w:t>
            </w:r>
          </w:p>
        </w:tc>
      </w:tr>
      <w:tr>
        <w:trPr>
          <w:trHeight w:val="222"/>
        </w:trPr>
        <w:tc>
          <w:tcPr>
            <w:tcW w:w="2680" w:type="dxa"/>
            <w:vAlign w:val="bottom"/>
          </w:tcPr>
          <w:p>
            <w:pPr>
              <w:spacing w:after="0"/>
              <w:rPr>
                <w:sz w:val="19"/>
                <w:szCs w:val="19"/>
                <w:color w:val="auto"/>
              </w:rPr>
            </w:pPr>
          </w:p>
        </w:tc>
        <w:tc>
          <w:tcPr>
            <w:tcW w:w="8740" w:type="dxa"/>
            <w:vAlign w:val="bottom"/>
          </w:tcPr>
          <w:p>
            <w:pPr>
              <w:ind w:left="1560"/>
              <w:spacing w:after="0"/>
              <w:rPr>
                <w:sz w:val="20"/>
                <w:szCs w:val="20"/>
                <w:color w:val="auto"/>
              </w:rPr>
            </w:pPr>
            <w:r>
              <w:rPr>
                <w:rFonts w:ascii="Arial" w:cs="Arial" w:eastAsia="Arial" w:hAnsi="Arial"/>
                <w:sz w:val="18"/>
                <w:szCs w:val="18"/>
                <w:color w:val="auto"/>
                <w:w w:val="96"/>
              </w:rPr>
              <w:t>mortgage notes, will have a first priority lien on the net proceeds held in the secured account.</w:t>
            </w:r>
          </w:p>
        </w:tc>
      </w:tr>
      <w:tr>
        <w:trPr>
          <w:trHeight w:val="891"/>
        </w:trPr>
        <w:tc>
          <w:tcPr>
            <w:tcW w:w="2680" w:type="dxa"/>
            <w:vAlign w:val="bottom"/>
          </w:tcPr>
          <w:p>
            <w:pPr>
              <w:spacing w:after="0"/>
              <w:rPr>
                <w:sz w:val="24"/>
                <w:szCs w:val="24"/>
                <w:color w:val="auto"/>
              </w:rPr>
            </w:pPr>
          </w:p>
        </w:tc>
        <w:tc>
          <w:tcPr>
            <w:tcW w:w="8740" w:type="dxa"/>
            <w:vAlign w:val="bottom"/>
          </w:tcPr>
          <w:p>
            <w:pPr>
              <w:ind w:left="2940"/>
              <w:spacing w:after="0"/>
              <w:rPr>
                <w:sz w:val="20"/>
                <w:szCs w:val="20"/>
                <w:color w:val="auto"/>
              </w:rPr>
            </w:pPr>
            <w:r>
              <w:rPr>
                <w:rFonts w:ascii="Arial" w:cs="Arial" w:eastAsia="Arial" w:hAnsi="Arial"/>
                <w:sz w:val="18"/>
                <w:szCs w:val="18"/>
                <w:color w:val="auto"/>
              </w:rPr>
              <w:t>15</w:t>
            </w:r>
          </w:p>
        </w:tc>
      </w:tr>
      <w:tr>
        <w:trPr>
          <w:trHeight w:val="228"/>
        </w:trPr>
        <w:tc>
          <w:tcPr>
            <w:tcW w:w="26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r>
        <w:trPr>
          <w:trHeight w:val="529"/>
        </w:trPr>
        <w:tc>
          <w:tcPr>
            <w:tcW w:w="2680" w:type="dxa"/>
            <w:vAlign w:val="bottom"/>
          </w:tcPr>
          <w:p>
            <w:pPr>
              <w:spacing w:after="0"/>
              <w:rPr>
                <w:sz w:val="24"/>
                <w:szCs w:val="24"/>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2"/>
              </w:rPr>
              <w:t>The disbursement agreement will require, among other conditions, that a substantial portion of the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1"/>
              </w:rPr>
              <w:t>cash equity contributions made by Wynn Resorts and Valvino be expended on the Le Rêve project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9"/>
              </w:rPr>
              <w:t>before the proceeds of this offering are released from the secured account and applied to the project.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4"/>
              </w:rPr>
              <w:t>The remaining cash equity contribution will be held in the completion guarantee account and the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9"/>
              </w:rPr>
              <w:t>liquidity reserve account. None of the proceeds of this offering of second mortgage notes will be used</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0"/>
              </w:rPr>
              <w:t>to fund the development or construction of Wynn Macau's casino(s) in Macau. For more information</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0"/>
              </w:rPr>
              <w:t>regarding the sources and uses of the financing for the construction of Le Rêve, please see "Use of</w:t>
            </w:r>
          </w:p>
        </w:tc>
      </w:tr>
      <w:tr>
        <w:trPr>
          <w:trHeight w:val="222"/>
        </w:trPr>
        <w:tc>
          <w:tcPr>
            <w:tcW w:w="2680" w:type="dxa"/>
            <w:vAlign w:val="bottom"/>
          </w:tcPr>
          <w:p>
            <w:pPr>
              <w:spacing w:after="0"/>
              <w:rPr>
                <w:sz w:val="19"/>
                <w:szCs w:val="19"/>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rPr>
              <w:t>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Foreign Investors</w:t>
      </w:r>
    </w:p>
    <w:p>
      <w:pPr>
        <w:spacing w:after="0" w:line="23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This prospectus does not constitute an offer to sell, or a solicitation of an offer to buy, the notes in any non-U.S. jurisdiction in which it is unlawful to make such offer or solicitation. The law of certain non-U.S. jurisdictions restricts distribution of this prospectus and the offer and sale of the notes. Persons who receive this prospectus or possess any of the notes must inform themselves about and observe any such restrictions. This prospectus may not be used for, or in connection with, any offer to, or solicitation by, anyone in any non-U.S. jurisdiction or circumstances in which such offer or solicitation is not authorized or is unlawful.</w:t>
      </w:r>
    </w:p>
    <w:p>
      <w:pPr>
        <w:sectPr>
          <w:pgSz w:w="11900" w:h="16926" w:orient="portrait"/>
          <w:cols w:equalWidth="0" w:num="1">
            <w:col w:w="11420"/>
          </w:cols>
          <w:pgMar w:left="240" w:top="131" w:right="239" w:bottom="0" w:gutter="0" w:footer="0" w:header="0"/>
          <w:type w:val="continuous"/>
        </w:sectPr>
      </w:pPr>
    </w:p>
    <w:bookmarkStart w:id="11" w:name="page12"/>
    <w:bookmarkEnd w:id="11"/>
    <w:p>
      <w:pPr>
        <w:spacing w:after="0" w:line="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Neither we nor the underwriters are making any representation to any offeree or purchaser of the notes regarding the legality of investment in the notes by any offeree or purchaser.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and the guarantors of the second mortgage notes may be unable to meet their obligations under the second mortgage notes and you may lose all or part of your investment in the second mortgage notes.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Concurrent with the closing of this offering and Wynn Resorts' initial public offering of common stock, we will enter into credit facilities providing for borrowings up to $1 billion and the FF&amp;E facility providing for additional loans up to $188.5 million, which Wynn Las Vegas may request the FF&amp;E lenders to increase to $198.5 million if we purchase a replacement corporate aircraft. The closings of this offering, Wynn Resorts' initial public offering, the credit facilities and the FF&amp;E facility will be conditioned on each other. Wynn Resorts will contribute $387.0 million of the net proceeds of its initial public offering and Valvino will contribute all of its existing cash to Wynn Las Vegas.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enter into a disbursement agreement with the agents under the credit facilities and the FF&amp;E facility and the second mortgage note trustee. Under the disbursement agreement, we are required to first use the equity contributions from Wynn Resorts and Valvino,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we will be permitted to use the proceeds of the second mortgage notes. We will not be permitted to borrow under the credit facilities or the FF&amp;E facility until we have applied all of the proceeds of this offering, other than amounts sufficient to pay interest on the notes on the two ensuing payment dates, which is expected to be approximately 14 to 17 months after the closing of this offering.</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ability to borrow under the credit facilities and the FF&amp;E facility will be subject to various conditions precedent. As such, substantially all of the proceeds from this offering will have been spent before we know whether the conditions to disbursement of funds under the credit facilities and the FF&amp;E facility will have been satisfied. In addition to other customary conditions to funding for these types of facilities, our ability to draw on the credit facilities and the FF&amp;E facility will be subject to the following conditions:</w:t>
      </w:r>
    </w:p>
    <w:p>
      <w:pPr>
        <w:spacing w:after="0" w:line="211" w:lineRule="exact"/>
        <w:rPr>
          <w:sz w:val="20"/>
          <w:szCs w:val="20"/>
          <w:color w:val="auto"/>
        </w:rPr>
      </w:pPr>
    </w:p>
    <w:p>
      <w:pPr>
        <w:ind w:left="1080" w:right="100" w:hanging="532"/>
        <w:spacing w:after="0" w:line="283"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23"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 and</w:t>
      </w:r>
    </w:p>
    <w:p>
      <w:pPr>
        <w:spacing w:after="0" w:line="7"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our lenders under the credit facilities and their consultants and is therefore beyond our control.</w:t>
      </w:r>
    </w:p>
    <w:p>
      <w:pPr>
        <w:spacing w:after="0" w:line="194"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Although these conditions must also be satisfied before we may draw funds from the second mortgage notes secured account, the lenders under our credit facilities and the FF&amp;E facility will not confirm that, from their perspective, any conditions have been satisfied until we request draws under their respective facilities.</w:t>
      </w:r>
    </w:p>
    <w:p>
      <w:pPr>
        <w:spacing w:after="0" w:line="194"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Any failure to satisfy the conditions to drawdowns under the credit facilities or the FF&amp;E facility could severely impact our ability to complete Le Rêve and could arise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other than from the secured proceeds account, effectively would be subordinated to the lenders under these facilities, given that these facilities are secured by liens that are prior to the liens securing the second mortage notes. Neither we nor Wynn Resorts may have access to alternative sources of funds necessary to complete Le Rêve on satisfactory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w:t>
      </w:r>
    </w:p>
    <w:p>
      <w:pPr>
        <w:sectPr>
          <w:pgSz w:w="11900" w:h="16894" w:orient="portrait"/>
          <w:cols w:equalWidth="0" w:num="1">
            <w:col w:w="11420"/>
          </w:cols>
          <w:pgMar w:left="240" w:top="131" w:right="239" w:bottom="0" w:gutter="0" w:footer="0" w:header="0"/>
        </w:sectPr>
      </w:pPr>
    </w:p>
    <w:bookmarkStart w:id="12" w:name="page13"/>
    <w:bookmarkEnd w:id="12"/>
    <w:p>
      <w:pPr>
        <w:spacing w:after="0" w:line="8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payments and commitment fees on the credit facilities, FF&amp;E facility, second mortgage notes and any other indebtedness and obligations of ours which will become due through the estimated commencement date of operations of Le Rêve have been included in our estimate of the total development cost.</w:t>
      </w:r>
    </w:p>
    <w:p>
      <w:pPr>
        <w:spacing w:after="0" w:line="13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the project is halfway completed. If we are unable to use these contingencies or if these contingencies are not sufficient to cover these costs, we may not have the funds required to pay the excess costs. Our inability to pay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development costs as they are incurred will negatively affect our ability to complete Le Rêve and thus may significantly impair our business operations and prospects.</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disbursement agreement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2"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ectPr>
          <w:pgSz w:w="11900" w:h="16924" w:orient="portrait"/>
          <w:cols w:equalWidth="0" w:num="1">
            <w:col w:w="11420"/>
          </w:cols>
          <w:pgMar w:left="240" w:top="131" w:right="239" w:bottom="0" w:gutter="0" w:footer="0" w:header="0"/>
        </w:sectPr>
      </w:pPr>
    </w:p>
    <w:bookmarkStart w:id="13" w:name="page14"/>
    <w:bookmarkEnd w:id="13"/>
    <w:p>
      <w:pPr>
        <w:ind w:right="78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 Rêve is scheduled to open in April 2005, and Wynn Resorts' subsidiary Wynn Macau may pursue development of its first permanent casino resort in Macau in the same time period. If both projects are being built simultaneously, members of Wynn Resorts' senior management will be involved in planning and developing both projects. Developing the Macau opportunity simultaneously with Le Rêve may divert management resources from the construction and/or opening of Le Rêve. Management's inability to devote sufficient time and attention to the Le Rêve project may delay the construction or opening of Le Rêve. This type of delay could have a negative effect on our business and operations.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debt in relation to our equity, which debt will increase during the construction period. Concurrent with the closing of this offering, we will enter into debt facilities that will result in total outstanding indebtedness of approximately $1.5 billion, including the second mortgage notes, by the time Le Rêve is completed.</w:t>
      </w:r>
    </w:p>
    <w:p>
      <w:pPr>
        <w:sectPr>
          <w:pgSz w:w="11900" w:h="16838" w:orient="portrait"/>
          <w:cols w:equalWidth="0" w:num="1">
            <w:col w:w="11400"/>
          </w:cols>
          <w:pgMar w:left="240" w:top="125" w:right="259" w:bottom="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the second mortgage notes;</w:t>
      </w:r>
    </w:p>
    <w:p>
      <w:pPr>
        <w:spacing w:after="0" w:line="36"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do not complete construction of Le Rêve by the scheduled completion date, which may be extended in accordance with the disbursement agreement, but not beyond September 30, 2005, except for certain limited permitted extensions due to force majeure events, fail to meet our payment obligations or otherwise default under the agreements governing our other indebtedness, the lenders under those agreements will have the right to accelerate the indebtedness and exercise other rights and remedies against us. These rights and remedies include the rights to:</w:t>
      </w:r>
    </w:p>
    <w:p>
      <w:pPr>
        <w:spacing w:after="0" w:line="180" w:lineRule="exact"/>
        <w:rPr>
          <w:rFonts w:ascii="Arial" w:cs="Arial" w:eastAsia="Arial" w:hAnsi="Arial"/>
          <w:sz w:val="16"/>
          <w:szCs w:val="16"/>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we are insolvent, to initiate involuntary bankruptcy proceedings against us,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80" w:hanging="532"/>
        <w:spacing w:after="0" w:line="28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22" w:lineRule="exact"/>
        <w:rPr>
          <w:rFonts w:ascii="Arial" w:cs="Arial" w:eastAsia="Arial" w:hAnsi="Arial"/>
          <w:sz w:val="16"/>
          <w:szCs w:val="16"/>
          <w:color w:val="auto"/>
        </w:rPr>
      </w:pPr>
    </w:p>
    <w:p>
      <w:pPr>
        <w:ind w:left="1080" w:right="540" w:hanging="532"/>
        <w:spacing w:after="0" w:line="370"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Once Le Rêve is operating, we will be required to use a substantial portion of our cash flow from operations to service and amortize our indebtedness, which will reduce the available cash flow to fund working capital, capital expenditures and other general corporate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0" w:hanging="532"/>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7" w:lineRule="exact"/>
        <w:rPr>
          <w:rFonts w:ascii="Arial" w:cs="Arial" w:eastAsia="Arial" w:hAnsi="Arial"/>
          <w:sz w:val="18"/>
          <w:szCs w:val="18"/>
          <w:color w:val="auto"/>
        </w:rPr>
      </w:pPr>
    </w:p>
    <w:p>
      <w:pPr>
        <w:ind w:left="1080" w:right="520" w:hanging="532"/>
        <w:spacing w:after="0" w:line="25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20"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terms of the indenture, our credit facilities and our FF&amp;E facility, we will be permitted to incur additional indebtedness, which will be limited under our credit facilities and FF&amp;E facility to $71 million, of which up to $60 million may be secured senior indebtedness. We will also be permitted to incur additional secured senior indebtedness in an amount sufficient to acquire up to ten indentified parcels of land adjacent to the golf course land at fair market value. If we incur additional indebtedness, the risks described above will be exacerbated.</w:t>
      </w:r>
    </w:p>
    <w:p>
      <w:pPr>
        <w:spacing w:after="0" w:line="19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 including our obligations under the second mortgage notes.</w:t>
      </w:r>
    </w:p>
    <w:p>
      <w:pPr>
        <w:spacing w:after="0" w:line="18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Before the opening of Le Rêve, which is expected to occur in April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94" w:lineRule="exact"/>
        <w:rPr>
          <w:sz w:val="20"/>
          <w:szCs w:val="20"/>
          <w:color w:val="auto"/>
        </w:rPr>
      </w:pPr>
    </w:p>
    <w:p>
      <w:pPr>
        <w:jc w:val="both"/>
        <w:ind w:right="40" w:firstLine="341"/>
        <w:spacing w:after="0" w:line="256"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22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these factors are beyond our control. Any inability to meet our debt service obligations would have a material adverse effect on us. In addition, future financing documents for the Macau opportunity may contain restrictions or prohibitions on the distribution to Wynn Resorts of any cash flow generated by the casino(s). Any cash flow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generated by one or more Macau casinos operated by Wynn Macau will not be generated by entities which are guarantors of our indebtedness. Thus, any cash flow generated by the Macau casinos may not be available to service our debt service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mortgage notes will have a junior lien on a substantial portion of our assets, and will have no liens on certain assets.</w:t>
      </w:r>
    </w:p>
    <w:p>
      <w:pPr>
        <w:spacing w:after="0" w:line="231" w:lineRule="exact"/>
        <w:rPr>
          <w:sz w:val="20"/>
          <w:szCs w:val="20"/>
          <w:color w:val="auto"/>
        </w:rPr>
      </w:pPr>
    </w:p>
    <w:p>
      <w:pPr>
        <w:ind w:right="40" w:firstLine="341"/>
        <w:spacing w:after="0" w:line="335" w:lineRule="auto"/>
        <w:rPr>
          <w:sz w:val="20"/>
          <w:szCs w:val="20"/>
          <w:color w:val="auto"/>
        </w:rPr>
      </w:pPr>
      <w:r>
        <w:rPr>
          <w:rFonts w:ascii="Arial" w:cs="Arial" w:eastAsia="Arial" w:hAnsi="Arial"/>
          <w:sz w:val="15"/>
          <w:szCs w:val="15"/>
          <w:color w:val="auto"/>
        </w:rPr>
        <w:t>Although the holders of the second mortgage notes will have a first priority lien on the net proceeds of this offering, once those proceeds are disbursed pursuant to the disbursement agreement for the construction of the Le Rêve project, they will have only a second priority lien on the assets comprising the project and a third priority lien on the furniture, fixtures and equipment that are purchased under the FF&amp;E facility. None of the assets of Wynn Resorts will secure its</w:t>
      </w:r>
    </w:p>
    <w:p>
      <w:pPr>
        <w:sectPr>
          <w:pgSz w:w="11900" w:h="16838" w:orient="portrait"/>
          <w:cols w:equalWidth="0" w:num="1">
            <w:col w:w="11400"/>
          </w:cols>
          <w:pgMar w:left="240" w:top="131" w:right="259" w:bottom="0" w:gutter="0" w:footer="0" w:header="0"/>
        </w:sectPr>
      </w:pPr>
    </w:p>
    <w:bookmarkStart w:id="15" w:name="page16"/>
    <w:bookmarkEnd w:id="15"/>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guarantee of the second mortgage notes, unless Wynn Resorts grants specified liens to secure other guarantees or indebtedness and is required to grant second priority liens on the same assets to secure the second mortgage notes.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the second mortgage notes will not have a lien on our gaming license because under the Nevada gaming laws it may not be pledged as collateral. In addition, we must seek approval from the Public Utilities Commission of Nevada before we may grant any liens in the water rights which would be used for general irrigation purposes, irrigation of the golf course and to supply water for the Lê Reve lake. We will not have such approval at the time of the closing and may not obtain such approval before we begin disbursing the second mortgage notes proceeds or at all. The credit facilities, the FF&amp;E facility and the second mortgage notes will not be secured by any assets related to Wynn Macau's planned operations in Macau.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guarantors of the second mortgage notes likely will not be able to contribute to any payments with respect to the second mortgage notes.</w:t>
      </w:r>
    </w:p>
    <w:p>
      <w:pPr>
        <w:spacing w:after="0" w:line="25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primary purpose of the guarantees (except the unsecured guarantee of Wynn Resorts) is to provide second priority liens on the assets of the guarantors, including the golf course, the Phase II land, and equity interests in their subsidiaries. While Valvino and its subsidiaries hold assets that are integral to Le Rêve, they are not expected to have operations that generate significant cash flows. As such, you should not expect Valvino or any of the other guarantors to contribute to any payments of principal, interest or other amounts required to be made on the second mortgage notes.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Wynn Resorts will be able to contribute to payments of principal, interest or other amounts required to be made on the second mortgage notes only to the extent it has unrestricted funds from other sources. The subsidiaries of Wynn Resorts will have no obligation to make payments or distributions to Wynn Resorts to enable Wynn Resorts to make payments under its guarantee. In addition, the subsidiaries of Wynn Resorts may be parties to financing or other agreements that restrict their ability to make any payments or distributions to Wynn Resorts.</w:t>
      </w:r>
    </w:p>
    <w:p>
      <w:pPr>
        <w:spacing w:after="0" w:line="161"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The credit facilities, the FF&amp;E facility and the indenture governing the second mortgage notes will contain covenants that will restrict our ability to engage in certain transactions and may impair our ability to respond to changing business and economic conditions.</w:t>
      </w:r>
    </w:p>
    <w:p>
      <w:pPr>
        <w:spacing w:after="0" w:line="13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us and specified affiliates designated as restricted entities. The restrictions that will be imposed under these debt instruments will include, among other things, limitations on our ability to:</w:t>
      </w:r>
    </w:p>
    <w:p>
      <w:pPr>
        <w:spacing w:after="0" w:line="208" w:lineRule="exact"/>
        <w:rPr>
          <w:sz w:val="20"/>
          <w:szCs w:val="20"/>
          <w:color w:val="auto"/>
        </w:rPr>
      </w:pPr>
    </w:p>
    <w:p>
      <w:pPr>
        <w:ind w:left="5620" w:right="5100" w:hanging="5072"/>
        <w:spacing w:after="0" w:line="613" w:lineRule="auto"/>
        <w:tabs>
          <w:tab w:leader="none" w:pos="10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 dividends or distributions on capital stock or repurchase capital stock; 24</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-1928495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credit facilities will require us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other events beyond our control and delayed completion of Le Rêve. As a result, we cannot assure you that we will be able to comply with these covenants. Our failure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 Risks Related to the Offering and the Second Mortgage Notes—The liens securing the indebtedness under the credit facilities and FF&amp;E facility generally will be senior to the liens securing the second mortgage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w:t>
      </w:r>
    </w:p>
    <w:p>
      <w:pPr>
        <w:sectPr>
          <w:pgSz w:w="11900" w:h="16921" w:orient="portrait"/>
          <w:cols w:equalWidth="0" w:num="1">
            <w:col w:w="11400"/>
          </w:cols>
          <w:pgMar w:left="240" w:top="131" w:right="25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profitable.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and Chief Executive Officer and one of the principal stockholders of Wynn Resorts. Wynn Resorts has entered into an employment agreement with Mr. Wynn. However, we cannot assure you that Mr. Wynn will remain with us. If Wynn Resorts loses the services of Mr. Wynn or if he is unable to devote sufficient attention to our operations, our business may be significantly impaired. In addition, if Mr. Wynn is no longer either employed by Wynn Resorts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ectPr>
          <w:pgSz w:w="11900" w:h="16838" w:orient="portrait"/>
          <w:cols w:equalWidth="0" w:num="1">
            <w:col w:w="11420"/>
          </w:cols>
          <w:pgMar w:left="240" w:top="131" w:right="239" w:bottom="373"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73" w:gutter="0" w:footer="0" w:header="0"/>
          <w:type w:val="continuous"/>
        </w:sectPr>
      </w:pPr>
    </w:p>
    <w:bookmarkStart w:id="17" w:name="page18"/>
    <w:bookmarkEnd w:id="17"/>
    <w:p>
      <w:pPr>
        <w:spacing w:after="0" w:line="69"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we may be entirely dependent upon one property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We do not expect to have material assets or operations other than Le Rêve for the foreseeable future. As a result, we likely will be entirely dependent upon Le Rêve for all of our cash flow. The Macau-related entities are not guarantors of our indebtedness and their stock and assets are not collateral for our obligations or for Wynn Resorts' guarantee. In addition, the financing documents for the Macau opportunity may contain restrictions or prohibitions on the distribution to Wynn Resorts of any cash flow generated by these projects. Accordingly, cash flow generated by those Macau casino(s) will not be available to service our indebtedness, including our obligations under the second mortgage notes, or support our operations. See "—Risks Related to Our Substantial Indebtedness—We may not generate sufficient cash flow to meet our substantial debt service and other obligations, including our obligations under the second mortgage notes."</w:t>
      </w:r>
    </w:p>
    <w:p>
      <w:pPr>
        <w:spacing w:after="0" w:line="15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greater degrees of risk than a gaming company with more operating properties. The risks to which we will have a greater degree of exposure include the following:</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Also, although we have obtained title insurance policies to protect the lenders under our credit facilities and the note holders against defects in title of the Le Rêve property, the amount of our debt will be so large that any losses due to defects in title may exceed the resources of the title insurance companies.</w:t>
      </w:r>
    </w:p>
    <w:p>
      <w:pPr>
        <w:spacing w:after="0" w:line="139" w:lineRule="exact"/>
        <w:rPr>
          <w:sz w:val="20"/>
          <w:szCs w:val="20"/>
          <w:color w:val="auto"/>
        </w:rPr>
      </w:pPr>
    </w:p>
    <w:p>
      <w:pPr>
        <w:ind w:right="60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3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Wynn Resorts' ownership and management of both Le Rêve and a second resort developed on either the 20-acre parcel or the golf course land could negatively impact Le Rêve.</w:t>
      </w:r>
    </w:p>
    <w:p>
      <w:pPr>
        <w:spacing w:after="0" w:line="18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ownership of both Le Rêve and additional resorts developed on the 20-acre parcel adjacent to the site of Le Rêve and/or the golf course parcel may result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conflicting business goals because, once released from the liens under the credit facilities and second mortgage notes, a Phase II or other project developed on either site would likely be developed through an entity that is not part of the restricted group and could potentially compete with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for the Phase II resort over Le Rêve. In addition, that entity also may choose to allocate certain business opportunities, such as potential restaurant, dining and entertainment tenants or requests for room reservations, to the Phase II resort instead of Le Rêve. Although Wynn Resorts' common ownership of both Le Rêve and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 operation of the resorts. In certain circumstances, management may devote more time to the ownership and operational responsibilities of the Phase II resort than those of Le Rêve.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220" w:firstLine="341"/>
        <w:spacing w:after="0" w:line="370" w:lineRule="auto"/>
        <w:rPr>
          <w:sz w:val="20"/>
          <w:szCs w:val="20"/>
          <w:color w:val="auto"/>
        </w:rPr>
      </w:pPr>
      <w:r>
        <w:rPr>
          <w:rFonts w:ascii="Arial" w:cs="Arial" w:eastAsia="Arial" w:hAnsi="Arial"/>
          <w:sz w:val="15"/>
          <w:szCs w:val="15"/>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w:t>
      </w:r>
    </w:p>
    <w:p>
      <w:pPr>
        <w:sectPr>
          <w:pgSz w:w="11900" w:h="16908" w:orient="portrait"/>
          <w:cols w:equalWidth="0" w:num="1">
            <w:col w:w="11420"/>
          </w:cols>
          <w:pgMar w:left="240" w:top="131" w:right="239" w:bottom="0" w:gutter="0" w:footer="0" w:header="0"/>
        </w:sectPr>
      </w:pPr>
    </w:p>
    <w:bookmarkStart w:id="18" w:name="page19"/>
    <w:bookmarkEnd w:id="18"/>
    <w:p>
      <w:pPr>
        <w:ind w:right="120"/>
        <w:spacing w:after="0" w:line="268" w:lineRule="auto"/>
        <w:rPr>
          <w:sz w:val="20"/>
          <w:szCs w:val="20"/>
          <w:color w:val="auto"/>
        </w:rPr>
      </w:pPr>
      <w:r>
        <w:rPr>
          <w:rFonts w:ascii="Arial" w:cs="Arial" w:eastAsia="Arial" w:hAnsi="Arial"/>
          <w:sz w:val="18"/>
          <w:szCs w:val="18"/>
          <w:color w:val="auto"/>
        </w:rPr>
        <w:t>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8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80"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opening and operation of Le Rêve will be contingent upon our receipt and maintenance of all regulatory licenses, permits, approvals, registrations, findings of suitability,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20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second mortgage notes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Nevada gaming regulatory issues may arise regarding the licensing of owners of Wynn Resorts, which may cause us to incur additional debt.</w:t>
      </w:r>
    </w:p>
    <w:p>
      <w:pPr>
        <w:spacing w:after="0" w:line="25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Wynn Resorts' initial public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Transactions—Stockholders Agreement" and "—Buy-Out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Wynn, the Nevada Gaming Commission could order Aruze USA or its affiliate to dispose of its voting securities within a prescribed period of time that may not be sufficient.</w:t>
      </w:r>
    </w:p>
    <w:p>
      <w:pPr>
        <w:sectPr>
          <w:pgSz w:w="11900" w:h="16838" w:orient="portrait"/>
          <w:cols w:equalWidth="0" w:num="1">
            <w:col w:w="11420"/>
          </w:cols>
          <w:pgMar w:left="240" w:top="131" w:right="239" w:bottom="20" w:gutter="0" w:footer="0" w:header="0"/>
        </w:sectPr>
      </w:pPr>
    </w:p>
    <w:bookmarkStart w:id="19" w:name="page20"/>
    <w:bookmarkEnd w:id="19"/>
    <w:p>
      <w:pPr>
        <w:ind w:right="4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Resorts Holdings and Valvino, will be required to comply with certain reporting requirements concerning gaming activities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associations in Macau proposed to be conducted by Wynn Resorts' Macau-related subsidiaries. Wynn Resorts and its licensed Nevada subsidiaries,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also will be subject to disciplinary action by the Nevada Gaming Commission if Wynn Resorts' Macau-related subsidiaries:</w:t>
      </w:r>
    </w:p>
    <w:p>
      <w:pPr>
        <w:spacing w:after="0" w:line="23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160" w:hanging="532"/>
        <w:spacing w:after="0" w:line="370"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3"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ectPr>
          <w:pgSz w:w="11900" w:h="16838" w:orient="portrait"/>
          <w:cols w:equalWidth="0" w:num="1">
            <w:col w:w="11400"/>
          </w:cols>
          <w:pgMar w:left="240" w:top="131" w:right="259" w:bottom="119" w:gutter="0" w:footer="0" w:header="0"/>
        </w:sectPr>
      </w:pPr>
    </w:p>
    <w:bookmarkStart w:id="20" w:name="page21"/>
    <w:bookmarkEnd w:id="20"/>
    <w:p>
      <w:pPr>
        <w:ind w:right="14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6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recruit a substantial number of new employees before Le Rêve opens and our employees may seek unionization.</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Wynn Las Vegas' affiliates will be subject to regulatory control by the Public Utilities Commission of Nevada.</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Wynn Resorts decides to make changes to our or its ownership structure, such as in a merger or acquisition 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operations.</w:t>
      </w:r>
    </w:p>
    <w:p>
      <w:pPr>
        <w:spacing w:after="0" w:line="1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ectPr>
          <w:pgSz w:w="11900" w:h="16838" w:orient="portrait"/>
          <w:cols w:equalWidth="0" w:num="1">
            <w:col w:w="11420"/>
          </w:cols>
          <w:pgMar w:left="240" w:top="131" w:right="239" w:bottom="194" w:gutter="0" w:footer="0" w:header="0"/>
        </w:sectPr>
      </w:pPr>
    </w:p>
    <w:bookmarkStart w:id="21" w:name="page22"/>
    <w:bookmarkEnd w:id="21"/>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liens securing the indebtedness under the credit facilities and FF&amp;E facility generally will be senior to the liens securing the second mortgage notes.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mortgage notes will be secured by:</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first priority lien on the proceeds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second priority lien on substantially all of our other existing and future assets, subject to regulatory limitations and specified exceptions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third priority lien on the assets securing our FF&amp;E facility.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lenders under our credit facilities will have first priority liens on substantially all of our assets. The lenders under our FF&amp;E facility will have first priority liens on furniture, fixtures and equipment, including assets that are integral to the operation of Le Rêve, such as elevators, escalators, heating, vacuum and air conditioning equipment and gaming equipment. However, the guarantee of the second mortgage notes by Wynn Resorts will not be secured by any assets of Wynn Resorts, unless Wynn Resorts grants specified liens to secure other guarantees or indebtedness.</w:t>
      </w:r>
    </w:p>
    <w:p>
      <w:pPr>
        <w:spacing w:after="0" w:line="16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 The second mortgage notes will also not be secured by the aircraft assets.</w:t>
      </w:r>
    </w:p>
    <w:p>
      <w:pPr>
        <w:spacing w:after="0" w:line="16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Because the liens securing the indebtedness under the credit facilities will generally be prior to the liens securing the second mortgage notes, the second mortgage notes will be effectively subordinated to the indebtedness under our $1.0 billion credit facilities. In addition, the liens on the collateral securing our $188.5 million FF&amp;E facility will be prior to the liens securing the credit facilities and the second mortgage notes upon the FF&amp;E collateral. We will also be permitted, under the indenture governing the second mortgage notes, to incur additional indebtedness, which may increase the amount of our credit facilities or FF&amp;E facility.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 Security Interests."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liens granted by the guarantors (except Wynn Resorts, which will guarantee the second mortgage notes on a senior unsecured basis) to secure their guarantees of the credit facilities will also be senior to the liens securing the second mortgage note guarantees, and, therefore, the second mortgage note guarantees will also be effectively subordinated to the guarantees of the indebtedness under the credit facilities and all of our guarantors' (except Wynn Resorts's) other senior indebtedness secured by higher priority liens.</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there is a default, the value of the collateral may not be sufficient to repay both the higher priority creditors and the holders of the second mortgage notes.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of the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At the completion of Le Rêve, we expect to have approximately $715.8 million outstanding under the revolving credit facility, $250 million outstanding under the delay draw term loan facility and $188.5 million outstanding under the FF&amp;E facility. We also expect to have at such time approximately $31.2 million of borrowing availability under the revolving credit facility. Under the indenture governing the second mortgage notes, we will be permitted to incur additional indebtedness that is secured by first priority liens on the second mortgage note collateral.</w:t>
      </w:r>
    </w:p>
    <w:p>
      <w:pPr>
        <w:spacing w:after="0" w:line="16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trustee under the indenture governing the second mortgage notes will enter into a project lenders intercreditor agreement with the agent for the lenders under the credit facilities and an FF&amp;E intercreditor agreement with the agent for the lenders under the credit facilities and the agent for lenders under the FF&amp;E facility. The intercreditor agreements will provide for the allocation of rights among the trustee and these lenders with respect to their respective interests in the collateral and the enforcement of their rights.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190" w:lineRule="exact"/>
        <w:rPr>
          <w:sz w:val="20"/>
          <w:szCs w:val="20"/>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the disbursement</w:t>
      </w:r>
    </w:p>
    <w:p>
      <w:pPr>
        <w:sectPr>
          <w:pgSz w:w="11900" w:h="16838" w:orient="portrait"/>
          <w:cols w:equalWidth="0" w:num="1">
            <w:col w:w="11420"/>
          </w:cols>
          <w:pgMar w:left="240" w:top="131"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agreement or waive any defaults or conditions precedent to funding thereunder in various circumstances; which could result in a reduction of the scope which we are required to build and in funding additional amounts which effectively are senior to the second mortgage notes, in each case, to the detriment of the holders of second mortgage notes;</w:t>
      </w:r>
    </w:p>
    <w:p>
      <w:pPr>
        <w:spacing w:after="0" w:line="208" w:lineRule="exact"/>
        <w:rPr>
          <w:sz w:val="20"/>
          <w:szCs w:val="20"/>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intercreditor agreements will give the lenders under the credit facilities the right to determine whether to foreclose on the collateral and the terms of any foreclosure following an event of default under the second mortgage notes or the credit facilities.</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pursuant to the intercreditor agreements, the trustee will agree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lenders under the FF&amp;E facility will similarly have the right, without the consent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both the periodic amounts payable on our secured indebtedness and the amounts secured by claims effectively senior the claims of the second mortgage note holders.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intercreditor agreements, so long as the credit facilities and the FF&amp;E facility remain outstanding, the holders of the second mortgage notes will be restrained from exercising their remedies following a default. As such, the lenders under the credit facilities and the FF&amp;E facility will be permitted to exercise their remedies and foreclose their respective liens on the note collateral before holders of the second mortgage notes could enforce their liens. We cannot assure you that any proceeds of foreclosure sales would be sufficient to make any payments on the second mortgage notes after repaying in full the credit facilities and the FF&amp;E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laws will impose additional restrictions on foreclosure.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Utilities Commission of Nevada will impose additional restrictions on foreclosure.</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5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80"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Pursuant to the intercreditor agreements, the lenders under our credit facilities are permitted to foreclose on the liens securing such facilities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additional risks, including additional restrictions on exercising rights against collateral.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ectPr>
          <w:pgSz w:w="11900" w:h="16838" w:orient="portrait"/>
          <w:cols w:equalWidth="0" w:num="1">
            <w:col w:w="11420"/>
          </w:cols>
          <w:pgMar w:left="240" w:top="131" w:right="239" w:bottom="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Because we have multiple lenders, holders of the second mortgage notes may be disadvantaged by actions taken by one or more of our other lenders.</w:t>
      </w:r>
    </w:p>
    <w:p>
      <w:pPr>
        <w:spacing w:after="0" w:line="26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Multiple parties will be providing financing for the construction and development of Le Rêve, including the lenders under the credit facilities and under the FF&amp;E facility and the holders of the second mortgage notes. Our lenders will enter into agreements, including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disbursement agreement and the intercreditor agreements, to govern the relationships among them. These agreements may limit the rights of the second mortgage note holders.</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will affect, and may impair, the interests of the holders of the second mortgage notes.</w:t>
      </w:r>
    </w:p>
    <w:p>
      <w:pPr>
        <w:spacing w:after="0" w:line="16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Subject to specified conditions, the disbursement agreement will also require each lender to fund its proportionate share of each disbursement. However, we cannot assure you that each lender will always perform its obligations under the disbursement agreement. If any lender fails to fund its share of the amounts to be advanced under the disbursement agreement, we may not have sufficient funds to complete Le Rêve.</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Further, given that we are required to expend all of the proceeds of the second mortgage notes, other than amounts sufficient to pay interest on the notes on the two ensuing payment dates,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pacing w:after="0" w:line="16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addition, financing by multiple lenders with security interests in common collateral or collateral that is interrelated by use or location may increase complexity and reduce flexibility in a debt restructuring of our indebtedness. In particular, the FF&amp;E lenders will have control of assets that are required for the ordinary course operations of Le Rêve. Thus, notwithstanding the relatively small portion of Le Rêve's indebtedness that will be held by the FF&amp;E lenders, upon the occurrence of a default under the FF&amp;E facility, the FF&amp;E lenders may be able to prevent Le Rêve from operating. However, the lenders under the FF&amp;E facility will agree in the intercreditor agreement with the lenders under our credit facilities and the holders of the second mortgage notes, subject to specified limitations, upon default under such facility, not to exercise remedies for a period of up to 60 days before completion of Le Rêve or 45 days after completion of Le Rêve. However, we cannot assure you that the lenders under the FF&amp;E facility will respect such obligations or, even if they do respect such obligations, that such standstill period will be sufficient to restructure our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fulfill our repurchase obligations with respect to the second mortgage notes upon a change of control.</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second mortgage notes at 101% of the principal amount of the second mortgage notes plus accrued and unpaid interest to the date of repurchase. We cannot assure you that we will have available funds sufficient to pay the change of control purchase price for any or all of the second mortgage notes that might be delivered by holders of the second mortgage notes seeking to accept the change of control offer. Moreover, under the indenture governing the second mortgage notes, certain important corporate events, such as leveraged recapitalizations that would increase the level of our indebtedness, would not constitute a "change of control" and thus would not give rise to any repurchase rights. See "Description of the Second Mortgage Notes—Repurchase at the Option of Holders—Change of Control" and "Description of Other Indebtedness—Credit Facilities."</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the credit facilities will contain, and any future credit agreement likely will contain, restrictions or prohibitions on our ability to repurchase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the Second Mortgage Notes—Events of Default."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laws may significantly impair your rights to repossess and dispose of collateral securing the second mortgage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 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use the funds in the second mortgage notes proceeds account as cash collateral if the debtor provided adequate protection for such use by granting replacement liens on other collateral, which might not consist of liquid assets.</w:t>
      </w:r>
    </w:p>
    <w:p>
      <w:pPr>
        <w:sectPr>
          <w:pgSz w:w="11900" w:h="16838" w:orient="portrait"/>
          <w:cols w:equalWidth="0" w:num="1">
            <w:col w:w="11420"/>
          </w:cols>
          <w:pgMar w:left="240" w:top="125" w:right="239" w:bottom="0" w:gutter="0" w:footer="0" w:header="0"/>
        </w:sectPr>
      </w:pPr>
    </w:p>
    <w:bookmarkStart w:id="24" w:name="page25"/>
    <w:bookmarkEnd w:id="24"/>
    <w:p>
      <w:pPr>
        <w:ind w:right="200" w:firstLine="351"/>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Factors that might bear on the recovery by the holders of the second mortgage notes in these circumstances, among others, would include:</w:t>
      </w:r>
    </w:p>
    <w:p>
      <w:pPr>
        <w:spacing w:after="0" w:line="262" w:lineRule="exact"/>
        <w:rPr>
          <w:sz w:val="20"/>
          <w:szCs w:val="20"/>
          <w:color w:val="auto"/>
        </w:rPr>
      </w:pPr>
    </w:p>
    <w:p>
      <w:pPr>
        <w:ind w:left="1080" w:right="2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lack of adequate protection of their liens and the collateral securing the second mortgage notes as a basis for opposing a motion or other relief approved by the lenders under the credit facilities. See "Intercreditor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 under agreements serving as collateral for the second mortgage notes may be rejected in bankruptcy.</w:t>
      </w:r>
    </w:p>
    <w:p>
      <w:pPr>
        <w:spacing w:after="0" w:line="231"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 constitutes a lease of real property, the resulting claim of the lessor for damages resulting from termination may be capped pursuant to Section 502(b)(6) of the bankruptcy code.</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you to accept subordinated or other securities in exchange for the second mortgage notes, or substantive consolidation of us with Wynn Resorts in a bankruptcy in which Wynn Resorts was debtor. Regardless of the ultimate disposition of any of these or other motions or claims, we cannot assure you that during litigation of these issues our payments on the second mortgage notes would be paid in full or on time.</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8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However, we cannot assure you that a bankruptcy court would agree in the event that any of Wynn Resorts, Valvino or any such other affiliates becomes a debtor under the bankruptcy code, particularly in light of the guarantee by these affiliates of the obligations of the issuers under the second mortgage notes and the obligations of Wynn Las Vegas under the credit facilities and the FF&amp;E facility. If a bankruptcy court concludes that substantive consolidation of Wynn Las Vegas or Wynn Capital with any affiliated party referred to in this paragraph is warranted, the risks described above under "Bankruptcy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may significantly impair your rights to repossess and dispose of collateral securing the second mortgage notes" and "—Contract rights under agreements serving as collateral may be rejected in bankruptcy" would apply as a result of such bankruptcy filing, whether or not that Wynn Las Vegas was then successfully operating Le Rêve and is able to pay its obligations as they become due. If substantive consolidation is ordered, noteholders should expect payments on the second mortgage notes to be delayed and/or reduced.</w:t>
      </w:r>
    </w:p>
    <w:p>
      <w:pPr>
        <w:spacing w:after="0" w:line="19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9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liens securing the second mortgage notes in the Phase II land and in certain portions of the golf course land will be automatically released if the lenders under the credit facilities release their first priority liens on the Phase II land or those portions of the golf course land. Although the credit facilities will specify earnings tests that need to be satisfied before the lenders can release their liens in that collateral, the lenders under the credit facilities will be free to amend or waive those tests at any time. The interests of the lenders may be different than those of the second mortgage note holders, and investors should not rely on the lenders to act in the note holders' interests.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earnings or leverage and ratings tests specified in the second mortgage notes indenture are met, the note holders' liens on some of the real property collateral will be released.</w:t>
      </w:r>
    </w:p>
    <w:p>
      <w:pPr>
        <w:spacing w:after="0" w:line="18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liens on all of the golf course land and certain related water permits will be released after the third anniversary of commencing operations at Le Rêve if we achieve a ratio of total debt to earnings before interest, tax, depreciation and amortization of 3.0 to 1.0 or less, the indebtedness under our credit facilities is rated BB+ or higher by Standard &amp; Poor's and Ba1 or higher by Moody's Investors Service both before and after giving effect to the release of those liens and we satisfy specified conditions relating to water required for the Le Rêve casino water features and the golf course.</w:t>
      </w:r>
    </w:p>
    <w:p>
      <w:pPr>
        <w:sectPr>
          <w:pgSz w:w="11900" w:h="16838" w:orient="portrait"/>
          <w:cols w:equalWidth="0" w:num="1">
            <w:col w:w="11420"/>
          </w:cols>
          <w:pgMar w:left="240" w:top="131" w:right="239" w:bottom="0" w:gutter="0" w:footer="0" w:header="0"/>
        </w:sectPr>
      </w:pPr>
    </w:p>
    <w:bookmarkStart w:id="25" w:name="page26"/>
    <w:bookmarkEnd w:id="25"/>
    <w:p>
      <w:pPr>
        <w:ind w:right="140" w:firstLine="348"/>
        <w:spacing w:after="0" w:line="298" w:lineRule="auto"/>
        <w:rPr>
          <w:sz w:val="20"/>
          <w:szCs w:val="20"/>
          <w:color w:val="auto"/>
        </w:rPr>
      </w:pPr>
      <w:r>
        <w:rPr>
          <w:rFonts w:ascii="Arial" w:cs="Arial" w:eastAsia="Arial" w:hAnsi="Arial"/>
          <w:sz w:val="16"/>
          <w:szCs w:val="16"/>
          <w:color w:val="auto"/>
        </w:rPr>
        <w:t>The security interests in two acres of the golf course land will be released to allow the construction of a home for Mr. Wynn if the purchase price paid by Mr. Wynn is at least equal to the fair market value of that land, the sale proceeds are contributed by Wynn Resorts Holdings to Wynn Las Vegas as a capital contribution, the construction of Mr. Wynn's home will not interfere with the design, construction, operation or use of the remainder of the golf course land as a golf course and we satisfy specified conditions relating to water required for the Le Rêve casino water features and the golf course.</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Once the security interests in the Phase II land, the golf course land and the related water permits are released, the note holders will have only a second priority lien on the assets comprising the hotel and casino and the equity interests of the restricted subsidiaries of Valvino, and a third priority lien on the FF&amp;E facility collateral. See "—Risks Related to Our Substantial Indebtedness—The second mortgage notes will have a junior lien on a substantial portion of our assets, and will have no liens on certain assets."</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8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creditors or the creditors of our guarantors could challenge the second mortgage note guarantees and the liens securing those guarantees as fraudulent conveyances or 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grounds. Under the federal bankruptcy law and comparable provisions of state fraudulent transfer laws, the delivery of the guarantees and the grant of the second priority liens securing the guarantees could be avoided as fraudulent transfers if a court determined that the guarantor, at the time it incurred the indebtedness evidenced by its guarantee or granted its lien:</w:t>
      </w:r>
    </w:p>
    <w:p>
      <w:pPr>
        <w:spacing w:after="0" w:line="20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the guarantees were avoided or limited under fraudulent transfer or other laws, any claim you may make against us for amounts payable on the second mortgage notes would be effectively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additional guarantees or liens on collateral provided after the second mortgage notes are issued could also be avoided as preferential transfers.</w:t>
      </w:r>
    </w:p>
    <w:p>
      <w:pPr>
        <w:spacing w:after="0" w:line="25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that we and the existing guarantors acquire after the second mortgage notes are issued, and under certain circumstances, Wynn Resorts will be required to grant second priority liens on the same assets to secure its guarantee of the second mortgage notes. If any new guarantor, or Wynn Resorts or any other issuer or guarantor providing new collateral for the second mortgage notes, is insolvent or anticipates insolvency at the time the guarantee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lien is granted, the guarantee or lien, as applicable, could be avoided as a preferential transfer.</w:t>
      </w:r>
    </w:p>
    <w:p>
      <w:pPr>
        <w:spacing w:after="0" w:line="21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80"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w:t>
      </w:r>
    </w:p>
    <w:p>
      <w:pPr>
        <w:sectPr>
          <w:pgSz w:w="11900" w:h="16838" w:orient="portrait"/>
          <w:cols w:equalWidth="0" w:num="1">
            <w:col w:w="11360"/>
          </w:cols>
          <w:pgMar w:left="240" w:top="131" w:right="299" w:bottom="0" w:gutter="0" w:footer="0" w:header="0"/>
        </w:sectPr>
      </w:pPr>
    </w:p>
    <w:bookmarkStart w:id="26" w:name="page27"/>
    <w:bookmarkEnd w:id="26"/>
    <w:p>
      <w:pPr>
        <w:spacing w:after="0" w:line="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fund payments in respect of the second mortgage notes. Accordingly, we may not be able to rely on the cash flow or assets of unrestricted subsidiaries to pay any of our indebtedness, including the second mortgage notes.</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collateral securing the second mortgage notes includes real property and, as a result, holders of the second mortgage notes may be subject to certain environmental risks.</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and limitation of claims.</w:t>
      </w:r>
    </w:p>
    <w:p>
      <w:pPr>
        <w:spacing w:after="0" w:line="23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notes will be issued with original issue discount. As a result, the aggregate face amount, or principal amount at maturity, of the notes will be $365 million, but the initial aggregate principal amount of the notes will be only $340 million.</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a bankruptcy case, the claim of a noteholder may be less than the face amount. Unmatured interest may be excluded and the claim may be valued as the sum of the initial principal amount of the holder's notes, plus a pro rated portion of the original issue discount, based on the time elapsed since issuance.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upon an event of default under the notes, the indenture will limit the noteholders' recovery to the then-outstanding principal amount.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public market for the second mortgage notes, and we cannot assure you that a market for the second mortgage notes will develop.</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second mortgage notes are a new issue of securities for which there is currently no active trading market. We do not intend to file an application to have the second mortgage notes listed on any securities exchange or included for quotation on any automated dealer quotation system. Although the underwriters have informed us that they intend to make a market in the second mortgage notes as over-the-counter securities that are not traded on an exchange, they have no obligation to do so and may discontinue their market-making activity at any time without notice.</w:t>
      </w:r>
    </w:p>
    <w:p>
      <w:pPr>
        <w:spacing w:after="0" w:line="16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and our future direction.</w:t>
      </w:r>
    </w:p>
    <w:p>
      <w:pPr>
        <w:spacing w:after="0" w:line="25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After this offering and the offering of Wynn Resorts' common stock, Mr. Wynn and Aruze USA will each own approximately 33.2%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as a practical matter, control Wynn Resorts' board of directors.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second mortgage notes due to regulatory considerations, either as required by gaming authorities or in our discretion.</w:t>
      </w:r>
    </w:p>
    <w:p>
      <w:pPr>
        <w:spacing w:after="0" w:line="25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indenture will grant us the power to redeem the second mortgage notes that you own or control if any governmental gaming authority requires you, or a beneficial owner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second mortgage notes, to be licensed, qualified or found suitable under any applicable gaming law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governmental gaming authority) or</w:t>
      </w:r>
    </w:p>
    <w:p>
      <w:pPr>
        <w:sectPr>
          <w:pgSz w:w="11900" w:h="16906" w:orient="portrait"/>
          <w:cols w:equalWidth="0" w:num="1">
            <w:col w:w="11420"/>
          </w:cols>
          <w:pgMar w:left="240" w:top="131" w:right="239" w:bottom="0" w:gutter="0" w:footer="0" w:header="0"/>
        </w:sectPr>
      </w:pPr>
    </w:p>
    <w:bookmarkStart w:id="27" w:name="page28"/>
    <w:bookmarkEnd w:id="27"/>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you or such beneficial owner is determined by a governmental gaming authority to be unsuitable to own or control the second mortgage notes.</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foregoing circumstances, under the indenture, we will be able to redeem, and if required by the applicable gaming authority, we must redeem, your second mortgage notes to the extent required by the gaming authority or deemed necessary or advisable by us. The redemption price will be, in each case, together with accrued and unpaid interest on the second mortgage note, equal to:</w:t>
      </w:r>
    </w:p>
    <w:p>
      <w:pPr>
        <w:spacing w:after="0" w:line="22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determined by the governmental gaming authority or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governmental gaming authority does not determine a price, the lesser of (1) the principal amount of the second mortgage notes and (2) the price that you or the beneficial owner paid for the second mortgage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20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associated with entering into a new venture and new construction, including our ability to construct and open Le Rêve on time and on budget;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61" w:right="239" w:bottom="0" w:gutter="0" w:footer="0" w:header="0"/>
        </w:sectPr>
      </w:pPr>
    </w:p>
    <w:bookmarkStart w:id="28" w:name="page29"/>
    <w:bookmarkEnd w:id="28"/>
    <w:p>
      <w:pPr>
        <w:ind w:left="1080"/>
        <w:spacing w:after="0"/>
        <w:rPr>
          <w:sz w:val="20"/>
          <w:szCs w:val="20"/>
          <w:color w:val="auto"/>
        </w:rPr>
      </w:pPr>
      <w:r>
        <w:rPr>
          <w:rFonts w:ascii="Arial" w:cs="Arial" w:eastAsia="Arial" w:hAnsi="Arial"/>
          <w:sz w:val="18"/>
          <w:szCs w:val="18"/>
          <w:color w:val="auto"/>
        </w:rPr>
        <w:t>changes in federal or state tax laws or the administration of these laws;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expect to receive approximately $326.0 million in net proceeds from this offering, after deducting underwriting discounts and commissions and estimated offering expenses.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ind w:left="1080" w:right="20" w:hanging="532"/>
        <w:spacing w:after="0" w:line="29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Wynn Resorts will consummate an initial public offering of its common stock. We expect Wynn Resorts to raise approximately $450 million in gross proceeds for its initial public offering (based on the number of shares and an assumed offering price set forth on the cover of the preliminary prospectus relating thereto). Wynn Resorts will contribute to Wynn Las Vegas approximately $387.0 million of the net proceeds from the initial public offering. Additionally, if the underwriters for the initial public offering exercise their over-allotment option in full, we expect Wynn Resorts' net proceeds from the over-allotment exercise to be approximately $62.8 million. Wynn Resorts may, at its option, contribute those funds to us for our use, but is under no obligation to do so;</w:t>
      </w:r>
    </w:p>
    <w:p>
      <w:pPr>
        <w:spacing w:after="0" w:line="201"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will enter into a $750.0 million revolving credit facility, a $250.0 million delay draw term loan facility and a $188.5 million FF&amp;E facility. We have received commitments for the credit facility and the delay draw term loan facility, and our placement agent for the FF&amp;E facility has received commitments from the lenders who will enter into the FF&amp;E facility. See "Description of Other Indebtedness."</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intend to use the net proceeds from this offering, together with equity contributions from Wynn Resorts' initial public offering proceeds and Valvino's existing cash on hand,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 We expect to begin to request disbursements of the second mortgage note proceeds, subject to satisfaction of the conditions in the disbursement agreement, approximately ten to twelve months after the consummation of this offering.</w:t>
      </w:r>
    </w:p>
    <w:p>
      <w:pPr>
        <w:spacing w:after="0" w:line="174"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net proceeds from this offering will be used to fund the initial phases of construction, including contractor monthly payment applications, design fees and operational payroll and interest on the notes.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table sets forth estimated sources and uses by Wynn Las Vegas and the guarantor entities, of funds to design, develop, construct, equip and open Le Rêve and for other operations related primarily to the Le Rêve project. The table includes all sources and uses of funds since the inception of Valvino and its subsidiaries. The table assumes that the financing transactions, including this offering, closed on October 1, 2002. For purposes of calculating total construction costs, the revolving credit facility balance and interest and commitment fees, this table also includes certain final construction cost payments that we assume will be made after the opening of Le Rêve.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ind w:left="1900"/>
              <w:spacing w:after="0"/>
              <w:rPr>
                <w:sz w:val="20"/>
                <w:szCs w:val="20"/>
                <w:color w:val="auto"/>
              </w:rPr>
            </w:pPr>
            <w:r>
              <w:rPr>
                <w:rFonts w:ascii="Arial" w:cs="Arial" w:eastAsia="Arial" w:hAnsi="Arial"/>
                <w:sz w:val="14"/>
                <w:szCs w:val="14"/>
                <w:b w:val="1"/>
                <w:bCs w:val="1"/>
                <w:color w:val="auto"/>
              </w:rPr>
              <w:t>Sources (in millions)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tcPr>
          <w:p>
            <w:pPr>
              <w:jc w:val="right"/>
              <w:ind w:right="422"/>
              <w:spacing w:after="0"/>
              <w:rPr>
                <w:sz w:val="20"/>
                <w:szCs w:val="20"/>
                <w:color w:val="auto"/>
              </w:rPr>
            </w:pPr>
            <w:r>
              <w:rPr>
                <w:rFonts w:ascii="Arial" w:cs="Arial" w:eastAsia="Arial" w:hAnsi="Arial"/>
                <w:sz w:val="14"/>
                <w:szCs w:val="14"/>
                <w:b w:val="1"/>
                <w:bCs w:val="1"/>
                <w:color w:val="auto"/>
                <w:w w:val="96"/>
              </w:rPr>
              <w:t>Uses (in millions)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715.8</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costs:</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Delay draw term loan facility</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164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Interior design, related FF&amp;E,</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mortgage notes</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signage and electronic</w:t>
            </w: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income (2)</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w w:val="98"/>
              </w:rPr>
              <w:t>Design and engineering fees</w:t>
            </w:r>
          </w:p>
        </w:tc>
        <w:tc>
          <w:tcPr>
            <w:tcW w:w="1640" w:type="dxa"/>
            <w:vAlign w:val="bottom"/>
          </w:tcPr>
          <w:p>
            <w:pPr>
              <w:spacing w:after="0"/>
              <w:rPr>
                <w:sz w:val="18"/>
                <w:szCs w:val="18"/>
                <w:color w:val="auto"/>
              </w:rPr>
            </w:pP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1640" w:type="dxa"/>
            <w:vAlign w:val="bottom"/>
          </w:tcPr>
          <w:p>
            <w:pPr>
              <w:spacing w:after="0"/>
              <w:rPr>
                <w:sz w:val="18"/>
                <w:szCs w:val="18"/>
                <w:color w:val="auto"/>
              </w:rPr>
            </w:pP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6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1640" w:type="dxa"/>
            <w:vAlign w:val="bottom"/>
          </w:tcPr>
          <w:p>
            <w:pPr>
              <w:spacing w:after="0"/>
              <w:rPr>
                <w:sz w:val="18"/>
                <w:szCs w:val="18"/>
                <w:color w:val="auto"/>
              </w:rPr>
            </w:pP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Miscellaneous capital projects</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-1727200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-1727200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Construction period utilities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&amp; security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contingency (4)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18"/>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Total construction costs</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1,407.2</w:t>
            </w:r>
          </w:p>
        </w:tc>
      </w:tr>
      <w:tr>
        <w:trPr>
          <w:trHeight w:val="218"/>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 (5)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Owner-acquired FF&amp;E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Entertainment production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expenditures (6)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8"/>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Aircraft acquisition and 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22"/>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repayment (7)</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8"/>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commitment fees (8)</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Working capital needs at opening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completion guarantee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Liquidity reserve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fees and expenses (9)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118"/>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Total Sources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2,473.2</w:t>
            </w:r>
          </w:p>
        </w:tc>
        <w:tc>
          <w:tcPr>
            <w:tcW w:w="3960" w:type="dxa"/>
            <w:vAlign w:val="bottom"/>
          </w:tcPr>
          <w:p>
            <w:pPr>
              <w:ind w:left="400"/>
              <w:spacing w:after="0"/>
              <w:rPr>
                <w:sz w:val="20"/>
                <w:szCs w:val="20"/>
                <w:color w:val="auto"/>
              </w:rPr>
            </w:pPr>
            <w:r>
              <w:rPr>
                <w:rFonts w:ascii="Arial" w:cs="Arial" w:eastAsia="Arial" w:hAnsi="Arial"/>
                <w:sz w:val="18"/>
                <w:szCs w:val="18"/>
                <w:color w:val="auto"/>
              </w:rPr>
              <w:t>Total Uses</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2,473.2</w:t>
            </w:r>
          </w:p>
        </w:tc>
      </w:tr>
      <w:tr>
        <w:trPr>
          <w:trHeight w:val="147"/>
        </w:trPr>
        <w:tc>
          <w:tcPr>
            <w:tcW w:w="6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0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Represents contributions of (a) approximately $562.3 million of Valvino member net contributions from inception and (b) approximately $387.0 million of the anticipated net proceeds from Wynn Resorts' initial public offering.</w:t>
      </w:r>
    </w:p>
    <w:p>
      <w:pPr>
        <w:spacing w:after="0" w:line="70" w:lineRule="exact"/>
        <w:rPr>
          <w:rFonts w:ascii="Arial" w:cs="Arial" w:eastAsia="Arial" w:hAnsi="Arial"/>
          <w:sz w:val="24"/>
          <w:szCs w:val="24"/>
          <w:color w:val="auto"/>
          <w:vertAlign w:val="subscript"/>
        </w:rPr>
      </w:pPr>
    </w:p>
    <w:p>
      <w:pPr>
        <w:ind w:left="540" w:right="80" w:hanging="532"/>
        <w:spacing w:after="0" w:line="188" w:lineRule="auto"/>
        <w:tabs>
          <w:tab w:leader="none" w:pos="540" w:val="left"/>
        </w:tabs>
        <w:numPr>
          <w:ilvl w:val="0"/>
          <w:numId w:val="45"/>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18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right="5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6"/>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right="360" w:hanging="532"/>
        <w:spacing w:after="0" w:line="204"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71" w:lineRule="exact"/>
        <w:rPr>
          <w:rFonts w:ascii="Arial" w:cs="Arial" w:eastAsia="Arial" w:hAnsi="Arial"/>
          <w:sz w:val="24"/>
          <w:szCs w:val="24"/>
          <w:color w:val="auto"/>
          <w:vertAlign w:val="subscript"/>
        </w:rPr>
      </w:pPr>
    </w:p>
    <w:p>
      <w:pPr>
        <w:ind w:left="540" w:right="20" w:hanging="532"/>
        <w:spacing w:after="0" w:line="204"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5.50% margin for the delay draw term loan facility.</w:t>
      </w:r>
    </w:p>
    <w:p>
      <w:pPr>
        <w:ind w:left="540" w:hanging="532"/>
        <w:spacing w:after="0" w:line="198"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and (b) the revolving credit facility, the delay draw term loan facility and the FF&amp;E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sets forth the capitalization of Wynn Las Vegas, Wynn Capital and the guarantors of the second mortgage notes as of June 30, 2002:</w:t>
      </w:r>
    </w:p>
    <w:p>
      <w:pPr>
        <w:spacing w:after="0" w:line="26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$365 million in aggregate principal amount at maturity of the second mortgage notes in this offering and the expected contributions by Wynn Resorts to Wynn Las Vegas of $387.0 million in net proceeds from Wynn Resorts' initial public offering; and</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the FF&amp;E facility and the contributions from Wynn Resorts expected to be necessary for the construction of Le Rêve has occurred. See "Use of Proceeds." We have assumed that approximately $715.8 million of the $750 million revolving credit facility will be drawn for the construction of Le Rêve.</w:t>
      </w:r>
    </w:p>
    <w:p>
      <w:pPr>
        <w:spacing w:after="0" w:line="197"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As of June 30, 2002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center"/>
              <w:ind w:left="252"/>
              <w:spacing w:after="0"/>
              <w:rPr>
                <w:sz w:val="20"/>
                <w:szCs w:val="20"/>
                <w:color w:val="auto"/>
              </w:rPr>
            </w:pPr>
            <w:r>
              <w:rPr>
                <w:rFonts w:ascii="Arial" w:cs="Arial" w:eastAsia="Arial" w:hAnsi="Arial"/>
                <w:sz w:val="14"/>
                <w:szCs w:val="14"/>
                <w:b w:val="1"/>
                <w:bCs w:val="1"/>
                <w:color w:val="auto"/>
                <w:w w:val="90"/>
              </w:rPr>
              <w:t>Pro Forma for the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Note Offering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Actual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90"/>
              </w:rPr>
              <w:t>and Capital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40" w:type="dxa"/>
            <w:vAlign w:val="bottom"/>
          </w:tcPr>
          <w:p>
            <w:pPr>
              <w:jc w:val="center"/>
              <w:ind w:left="192"/>
              <w:spacing w:after="0"/>
              <w:rPr>
                <w:sz w:val="20"/>
                <w:szCs w:val="20"/>
                <w:color w:val="auto"/>
              </w:rPr>
            </w:pPr>
            <w:r>
              <w:rPr>
                <w:rFonts w:ascii="Arial" w:cs="Arial" w:eastAsia="Arial" w:hAnsi="Arial"/>
                <w:sz w:val="14"/>
                <w:szCs w:val="14"/>
                <w:b w:val="1"/>
                <w:bCs w:val="1"/>
                <w:color w:val="auto"/>
                <w:w w:val="86"/>
              </w:rPr>
              <w:t>(As restated)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Contributions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FF&amp;E facility(1)</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-1369060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-1369060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-742950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-742950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-742950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-742950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-742950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-742950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3"/>
        </w:trPr>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6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21"/>
                <w:szCs w:val="21"/>
                <w:color w:val="auto"/>
              </w:rPr>
            </w:pPr>
          </w:p>
        </w:tc>
      </w:tr>
      <w:tr>
        <w:trPr>
          <w:trHeight w:val="241"/>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r>
      <w:tr>
        <w:trPr>
          <w:trHeight w:val="120"/>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6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4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120" w:type="dxa"/>
            <w:vAlign w:val="bottom"/>
            <w:shd w:val="clear" w:color="auto" w:fill="CCEEFF"/>
          </w:tcPr>
          <w:p>
            <w:pPr>
              <w:spacing w:after="0"/>
              <w:rPr>
                <w:sz w:val="21"/>
                <w:szCs w:val="2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Contributed capital(3)</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CCEEFF"/>
          </w:tcPr>
          <w:p>
            <w:pPr>
              <w:spacing w:after="0"/>
              <w:rPr>
                <w:sz w:val="21"/>
                <w:szCs w:val="21"/>
                <w:color w:val="auto"/>
              </w:rPr>
            </w:pPr>
          </w:p>
        </w:tc>
      </w:tr>
      <w:tr>
        <w:trPr>
          <w:trHeight w:val="241"/>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6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7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4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r>
      <w:tr>
        <w:trPr>
          <w:trHeight w:val="120"/>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6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4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Members' Equity (Excluding Non-Guarantors)(4)</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20" w:type="dxa"/>
            <w:vAlign w:val="bottom"/>
            <w:shd w:val="clear" w:color="auto" w:fill="CCEEFF"/>
          </w:tcPr>
          <w:p>
            <w:pPr>
              <w:spacing w:after="0"/>
              <w:rPr>
                <w:sz w:val="21"/>
                <w:szCs w:val="21"/>
                <w:color w:val="auto"/>
              </w:rPr>
            </w:pPr>
          </w:p>
        </w:tc>
      </w:tr>
      <w:tr>
        <w:trPr>
          <w:trHeight w:val="118"/>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554.4</w:t>
            </w:r>
          </w:p>
        </w:tc>
        <w:tc>
          <w:tcPr>
            <w:tcW w:w="180" w:type="dxa"/>
            <w:vAlign w:val="bottom"/>
          </w:tcPr>
          <w:p>
            <w:pPr>
              <w:spacing w:after="0"/>
              <w:rPr>
                <w:sz w:val="24"/>
                <w:szCs w:val="24"/>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1,281.4</w:t>
            </w:r>
          </w:p>
        </w:tc>
        <w:tc>
          <w:tcPr>
            <w:tcW w:w="20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2,407.2</w:t>
            </w:r>
          </w:p>
        </w:tc>
        <w:tc>
          <w:tcPr>
            <w:tcW w:w="120" w:type="dxa"/>
            <w:vAlign w:val="bottom"/>
          </w:tcPr>
          <w:p>
            <w:pPr>
              <w:spacing w:after="0"/>
              <w:rPr>
                <w:sz w:val="24"/>
                <w:szCs w:val="24"/>
                <w:color w:val="auto"/>
              </w:rPr>
            </w:pPr>
          </w:p>
        </w:tc>
      </w:tr>
      <w:tr>
        <w:trPr>
          <w:trHeight w:val="107"/>
        </w:trPr>
        <w:tc>
          <w:tcPr>
            <w:tcW w:w="6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6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3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-1540510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-1540510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-1540510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-1540510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-1540510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-1540510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-786130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-786130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-786130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-786130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-786130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-786130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-477520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-477520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-477520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-477520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-477520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52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spacing w:after="0" w:line="84" w:lineRule="exact"/>
        <w:rPr>
          <w:rFonts w:ascii="Arial" w:cs="Arial" w:eastAsia="Arial" w:hAnsi="Arial"/>
          <w:sz w:val="24"/>
          <w:szCs w:val="24"/>
          <w:color w:val="auto"/>
          <w:vertAlign w:val="subscript"/>
        </w:rPr>
      </w:pPr>
    </w:p>
    <w:p>
      <w:pPr>
        <w:ind w:left="540" w:right="140" w:hanging="532"/>
        <w:spacing w:after="0" w:line="214"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3" w:lineRule="exact"/>
        <w:rPr>
          <w:rFonts w:ascii="Arial" w:cs="Arial" w:eastAsia="Arial" w:hAnsi="Arial"/>
          <w:sz w:val="24"/>
          <w:szCs w:val="24"/>
          <w:color w:val="auto"/>
          <w:vertAlign w:val="subscript"/>
        </w:rPr>
      </w:pPr>
    </w:p>
    <w:p>
      <w:pPr>
        <w:ind w:left="540" w:right="34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Contributed capital on a pro forma and pro forma as adjusted basis includes the expected contributions by Wynn Resorts to Wynn Las Vegas of $387.0 million in net proceeds from Wynn Resorts' initial public offering.</w:t>
      </w:r>
    </w:p>
    <w:p>
      <w:pPr>
        <w:spacing w:after="0" w:line="70" w:lineRule="exact"/>
        <w:rPr>
          <w:rFonts w:ascii="Arial" w:cs="Arial" w:eastAsia="Arial" w:hAnsi="Arial"/>
          <w:sz w:val="24"/>
          <w:szCs w:val="24"/>
          <w:color w:val="auto"/>
          <w:vertAlign w:val="subscript"/>
        </w:rPr>
      </w:pPr>
    </w:p>
    <w:p>
      <w:pPr>
        <w:ind w:left="540" w:right="42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Excludes members' equity of approximately $22.3 million of the non-guarantor subsidiaries Valvino had as of June 30, 2002, including Wynn Macau. For more information on the non-guarantor entities, see Note 11 to the financial statements included in this prospectus.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 OF WYNN RESORTS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Japan and holds a significant share of Japan's pachislot machine market in terms of annual sales.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ectPr>
          <w:pgSz w:w="11900" w:h="16838" w:orient="portrait"/>
          <w:cols w:equalWidth="0" w:num="1">
            <w:col w:w="11420"/>
          </w:cols>
          <w:pgMar w:left="240" w:top="140" w:right="239" w:bottom="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7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October 2002, Valvino transferred its interests in Wynn Group Asia, Inc., Kevyn, LLC, Rambas Marketing Co., LLC, Toasty, LLC and WorldWide Wynn, LLC to Wynn Resorts. Therefore, following this offering, the assets and operations of the restricted group will no longer include those of such subsidiaries.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Six Months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Six Months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700" w:type="dxa"/>
            <w:vAlign w:val="bottom"/>
            <w:gridSpan w:val="2"/>
          </w:tcPr>
          <w:p>
            <w:pPr>
              <w:jc w:val="center"/>
              <w:ind w:left="227"/>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12"/>
                <w:szCs w:val="12"/>
                <w:color w:val="auto"/>
              </w:rPr>
            </w:pPr>
          </w:p>
        </w:tc>
        <w:tc>
          <w:tcPr>
            <w:tcW w:w="12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89"/>
              </w:rPr>
              <w:t>2000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left="227"/>
              <w:spacing w:after="0" w:line="149" w:lineRule="exact"/>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(As restated)</w:t>
            </w:r>
          </w:p>
        </w:tc>
        <w:tc>
          <w:tcPr>
            <w:tcW w:w="180" w:type="dxa"/>
            <w:vAlign w:val="bottom"/>
          </w:tcPr>
          <w:p>
            <w:pPr>
              <w:spacing w:after="0"/>
              <w:rPr>
                <w:sz w:val="15"/>
                <w:szCs w:val="15"/>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(As restated)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(As restated)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spacing w:after="0"/>
              <w:rPr>
                <w:sz w:val="20"/>
                <w:szCs w:val="20"/>
                <w:color w:val="auto"/>
              </w:rPr>
            </w:pPr>
          </w:p>
        </w:tc>
        <w:tc>
          <w:tcPr>
            <w:tcW w:w="11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1,157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686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(12,033)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(20,060)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(9,770)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(13,403)</w:t>
            </w:r>
          </w:p>
        </w:tc>
        <w:tc>
          <w:tcPr>
            <w:tcW w:w="16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6"/>
          </w:tcPr>
          <w:p>
            <w:pPr>
              <w:ind w:left="220"/>
              <w:spacing w:after="0"/>
              <w:rPr>
                <w:sz w:val="20"/>
                <w:szCs w:val="20"/>
                <w:color w:val="auto"/>
              </w:rPr>
            </w:pPr>
            <w:r>
              <w:rPr>
                <w:rFonts w:ascii="Arial" w:cs="Arial" w:eastAsia="Arial" w:hAnsi="Arial"/>
                <w:sz w:val="18"/>
                <w:szCs w:val="18"/>
                <w:color w:val="auto"/>
                <w:w w:val="95"/>
              </w:rPr>
              <w:t>Net Loss Accumulated During the Development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Stage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(10,616)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(17,726)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(8,234)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8"/>
                <w:szCs w:val="18"/>
                <w:color w:val="auto"/>
              </w:rPr>
              <w:t>(12,776)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(40.52)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(61.19)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December 31, 2000</w:t>
            </w:r>
          </w:p>
        </w:tc>
        <w:tc>
          <w:tcPr>
            <w:tcW w:w="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2001</w:t>
            </w:r>
          </w:p>
        </w:tc>
        <w:tc>
          <w:tcPr>
            <w:tcW w:w="190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w w:val="90"/>
              </w:rPr>
              <w:t>June 30, 2002</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(As restated)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190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w w:val="93"/>
              </w:rPr>
              <w:t>(As restated)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388,543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586,036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28,810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544,948</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center"/>
              <w:ind w:left="1182"/>
              <w:spacing w:after="0" w:line="149" w:lineRule="exact"/>
              <w:rPr>
                <w:sz w:val="20"/>
                <w:szCs w:val="20"/>
                <w:color w:val="auto"/>
              </w:rPr>
            </w:pPr>
            <w:r>
              <w:rPr>
                <w:rFonts w:ascii="Arial" w:cs="Arial" w:eastAsia="Arial" w:hAnsi="Arial"/>
                <w:sz w:val="14"/>
                <w:szCs w:val="14"/>
                <w:b w:val="1"/>
                <w:bCs w:val="1"/>
                <w:color w:val="auto"/>
                <w:w w:val="89"/>
              </w:rPr>
              <w:t>2000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522"/>
              <w:spacing w:after="0" w:line="149" w:lineRule="exact"/>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(As restated)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4"/>
              </w:rPr>
              <w:t>(As restated)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20" w:type="dxa"/>
            <w:vAlign w:val="bottom"/>
            <w:gridSpan w:val="5"/>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Ratio of Earnings to Cover Fixed Charges(2)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Earnings Deficiency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(10,616)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(17,726)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-3410585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-3410585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-3410585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-3410585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-3410585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-3410585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-3410585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-3410585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-3410585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-3410585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-1866900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-1866900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-1866900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-1866900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-1866900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-1866900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-443230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-443230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-443230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-443230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-443230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9"/>
        </w:numPr>
        <w:rPr>
          <w:rFonts w:ascii="Arial" w:cs="Arial" w:eastAsia="Arial" w:hAnsi="Arial"/>
          <w:sz w:val="23"/>
          <w:szCs w:val="23"/>
          <w:color w:val="auto"/>
          <w:vertAlign w:val="subscript"/>
        </w:rPr>
      </w:pPr>
      <w:r>
        <w:rPr>
          <w:rFonts w:ascii="Arial" w:cs="Arial" w:eastAsia="Arial" w:hAnsi="Arial"/>
          <w:sz w:val="12"/>
          <w:szCs w:val="12"/>
          <w:color w:val="auto"/>
        </w:rPr>
        <w:t>For the periods presented, earnings were not sufficient to cover fixed charges and, accordingly, such ratios have not been presented.</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right="420" w:firstLine="341"/>
        <w:spacing w:after="0" w:line="306" w:lineRule="auto"/>
        <w:rPr>
          <w:sz w:val="20"/>
          <w:szCs w:val="20"/>
          <w:color w:val="auto"/>
        </w:rPr>
      </w:pPr>
      <w:r>
        <w:rPr>
          <w:rFonts w:ascii="Arial" w:cs="Arial" w:eastAsia="Arial" w:hAnsi="Arial"/>
          <w:sz w:val="16"/>
          <w:szCs w:val="16"/>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ectPr>
          <w:pgSz w:w="11900" w:h="16838" w:orient="portrait"/>
          <w:cols w:equalWidth="0" w:num="1">
            <w:col w:w="11520"/>
          </w:cols>
          <w:pgMar w:left="240" w:top="131" w:right="139" w:bottom="0" w:gutter="0" w:footer="0" w:header="0"/>
        </w:sectPr>
      </w:pPr>
    </w:p>
    <w:bookmarkStart w:id="32" w:name="page33"/>
    <w:bookmarkEnd w:id="32"/>
    <w:p>
      <w:pPr>
        <w:ind w:right="20"/>
        <w:spacing w:after="0" w:line="291" w:lineRule="auto"/>
        <w:rPr>
          <w:sz w:val="20"/>
          <w:szCs w:val="20"/>
          <w:color w:val="auto"/>
        </w:rPr>
      </w:pPr>
      <w:r>
        <w:rPr>
          <w:rFonts w:ascii="Arial" w:cs="Arial" w:eastAsia="Arial" w:hAnsi="Arial"/>
          <w:sz w:val="16"/>
          <w:szCs w:val="16"/>
          <w:color w:val="auto"/>
        </w:rPr>
        <w:t>in Macau. We have not included a discussion of the Macau related entities in Management's Discussion and Analysis of Financial Condition and Results of Operations as the development of the Macau casino will have no effect on the financial position or results of operations of Wynn Las Vegas and Wynn Capital. In addition, the financial position and operating results of World Travel and Las Vegas Jet, which include principally the operation and charter services of a corporate aircraft, are included in Valvino's financial statements. Moreover, we continue to operate an art gallery displaying works from The Wynn Collection, which consists of artwork from the personal art collection of Stephen and Elaine Wynn. Until summer 2002, we also operated the golf course located on the site of the former Desert Inn Resort &amp; Casino. Valvino's historical operating results will not be indicative of future operating results.</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 Wynn Macau and the other Macau-related entities are part of a line of subsidiaries that is separate from the subsidiaries that own and operate Le Rêve. As a result, cash flow generated by the Macau-related entities may not be available to service our indebtedness, including our obligations under the second mortgage notes, or support our operations. Moreover, the assets of the Macau-related entities will not serve as collateral for our Le Rêve-related indebtedness or for Wynn Resorts' guarantee. Accordingly, the following discussion does not address the operations or assets of the Macau-related entities.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Valvino was organized in April 2000. Wynn Las Vegas was organized in April 2001 and Wynn Capital was formed in June 2002.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70"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w:t>
      </w:r>
    </w:p>
    <w:p>
      <w:pPr>
        <w:sectPr>
          <w:pgSz w:w="11900" w:h="16838" w:orient="portrait"/>
          <w:cols w:equalWidth="0" w:num="1">
            <w:col w:w="11380"/>
          </w:cols>
          <w:pgMar w:left="240" w:top="131" w:right="279" w:bottom="0" w:gutter="0" w:footer="0" w:header="0"/>
        </w:sectPr>
      </w:pPr>
    </w:p>
    <w:bookmarkStart w:id="33" w:name="page34"/>
    <w:bookmarkEnd w:id="33"/>
    <w:p>
      <w:pPr>
        <w:ind w:left="1080"/>
        <w:spacing w:after="0"/>
        <w:rPr>
          <w:sz w:val="20"/>
          <w:szCs w:val="20"/>
          <w:color w:val="auto"/>
        </w:rPr>
      </w:pPr>
      <w:r>
        <w:rPr>
          <w:rFonts w:ascii="Arial" w:cs="Arial" w:eastAsia="Arial" w:hAnsi="Arial"/>
          <w:sz w:val="18"/>
          <w:szCs w:val="18"/>
          <w:color w:val="auto"/>
        </w:rPr>
        <w:t>condition and credit history, industry trends, economic conditions and the historical results of collections.</w:t>
      </w:r>
    </w:p>
    <w:p>
      <w:pPr>
        <w:spacing w:after="0" w:line="239" w:lineRule="exact"/>
        <w:rPr>
          <w:sz w:val="20"/>
          <w:szCs w:val="20"/>
          <w:color w:val="auto"/>
        </w:rPr>
      </w:pPr>
    </w:p>
    <w:p>
      <w:pPr>
        <w:ind w:left="1080" w:right="60" w:hanging="532"/>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 million for the year ended December 31, 2001 as compared to the period from inception to December 31, 2000.</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$750,000 decrease in interest income from 2002 to 2001. This reduction in interest income is mainly attributable to lower interest rates during the six months ended June 30, 2002 as compared to the six months ended June 30, 2001.</w:t>
      </w:r>
    </w:p>
    <w:p>
      <w:pPr>
        <w:sectPr>
          <w:pgSz w:w="11900" w:h="16838" w:orient="portrait"/>
          <w:cols w:equalWidth="0" w:num="1">
            <w:col w:w="11380"/>
          </w:cols>
          <w:pgMar w:left="240" w:top="131" w:right="279" w:bottom="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Certain trends that may affect development activities and future results of operations</w:t>
      </w:r>
    </w:p>
    <w:p>
      <w:pPr>
        <w:sectPr>
          <w:pgSz w:w="11900" w:h="16838" w:orient="portrait"/>
          <w:cols w:equalWidth="0" w:num="1">
            <w:col w:w="11380"/>
          </w:cols>
          <w:pgMar w:left="240" w:top="131" w:right="279" w:bottom="0" w:gutter="0" w:footer="0" w:header="0"/>
          <w:type w:val="continuous"/>
        </w:sectPr>
      </w:pPr>
    </w:p>
    <w:bookmarkStart w:id="34" w:name="page35"/>
    <w:bookmarkEnd w:id="34"/>
    <w:p>
      <w:pPr>
        <w:ind w:right="2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66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administrative agent, to make an approximately $110.5 million equity distribution to Mr. Wynn. At the time of this distribution, Mr. Wynn was the only member of Valvino.</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100" w:hanging="532"/>
        <w:spacing w:after="0" w:line="28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 resulting 47.5% ownership interest in Valvino, after these contributions, reflects the fair value of his investment in Wynn Macau relative to the fair value of the contributions from Aruze USA and Baron Asset Fund;</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ectPr>
          <w:pgSz w:w="11900" w:h="16838" w:orient="portrait"/>
          <w:cols w:equalWidth="0" w:num="1">
            <w:col w:w="11360"/>
          </w:cols>
          <w:pgMar w:left="240" w:top="131" w:right="299" w:bottom="0" w:gutter="0" w:footer="0" w:header="0"/>
        </w:sectPr>
      </w:pPr>
    </w:p>
    <w:bookmarkStart w:id="35" w:name="page36"/>
    <w:bookmarkEnd w:id="35"/>
    <w:p>
      <w:pPr>
        <w:spacing w:after="0" w:line="3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3"/>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3"/>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8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June 30, 2002, Valvino had approximately $187.9 million ($160.9 million excluding the cash held by non-guarantor entities)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borrowings under our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borrowings under our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proceeds from this offering of second mortgage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because Wynn Resorts' Macau-related subsidiaries are not guarantors of the second mortgage notes or any other Le Rêve-related indebtedness. All time periods in these tables 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measured from the closing of this offering and are based upon our best estimate at this time of our expected long-term indebtedness and commercial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4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Less than 1 Year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w w:val="86"/>
              </w:rPr>
              <w:t>1-3 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4-5 Years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1"/>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1"/>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-1358900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-1358900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-1015365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-1015365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-1015365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-1015365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-1015365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-1015365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-1015365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-1015365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-1015365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-1015365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-1015365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-1015365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00"/>
          </w:cols>
          <w:pgMar w:left="240" w:top="131" w:right="25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20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9"/>
                <w:szCs w:val="19"/>
                <w:color w:val="auto"/>
              </w:rPr>
            </w:pPr>
          </w:p>
        </w:tc>
        <w:tc>
          <w:tcPr>
            <w:tcW w:w="680" w:type="dxa"/>
            <w:vAlign w:val="bottom"/>
          </w:tcPr>
          <w:p>
            <w:pPr>
              <w:jc w:val="center"/>
              <w:ind w:left="81"/>
              <w:spacing w:after="0"/>
              <w:rPr>
                <w:sz w:val="20"/>
                <w:szCs w:val="20"/>
                <w:color w:val="auto"/>
              </w:rPr>
            </w:pPr>
            <w:r>
              <w:rPr>
                <w:rFonts w:ascii="Arial" w:cs="Arial" w:eastAsia="Arial" w:hAnsi="Arial"/>
                <w:sz w:val="18"/>
                <w:szCs w:val="18"/>
                <w:color w:val="auto"/>
                <w:w w:val="86"/>
              </w:rPr>
              <w:t>1,519.6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w w:val="79"/>
              </w:rPr>
              <w:t>0.1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40" w:type="dxa"/>
            <w:vAlign w:val="bottom"/>
            <w:tcBorders>
              <w:right w:val="single" w:sz="8" w:color="808080"/>
            </w:tcBorders>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13"/>
          </w:tcPr>
          <w:p>
            <w:pPr>
              <w:jc w:val="center"/>
              <w:ind w:right="40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Amounts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Over</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Committed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1-3 Years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5"/>
          </w:tcPr>
          <w:p>
            <w:pPr>
              <w:jc w:val="center"/>
              <w:ind w:left="112"/>
              <w:spacing w:after="0"/>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4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4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259.8</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88900</wp:posOffset>
            </wp:positionV>
            <wp:extent cx="382905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29050" cy="1905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-1591945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-1155065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-1155065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-1155065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-1155065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-1155065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-1155065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jc w:val="both"/>
        <w:ind w:left="540" w:right="20" w:hanging="532"/>
        <w:spacing w:after="0" w:line="205" w:lineRule="auto"/>
        <w:tabs>
          <w:tab w:leader="none" w:pos="540" w:val="left"/>
        </w:tabs>
        <w:numPr>
          <w:ilvl w:val="0"/>
          <w:numId w:val="55"/>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$715.8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71" w:lineRule="exact"/>
        <w:rPr>
          <w:rFonts w:ascii="Arial" w:cs="Arial" w:eastAsia="Arial" w:hAnsi="Arial"/>
          <w:sz w:val="26"/>
          <w:szCs w:val="26"/>
          <w:color w:val="auto"/>
          <w:vertAlign w:val="subscript"/>
        </w:rPr>
      </w:pPr>
    </w:p>
    <w:p>
      <w:pPr>
        <w:ind w:left="540" w:right="380" w:hanging="532"/>
        <w:spacing w:after="0" w:line="186" w:lineRule="auto"/>
        <w:tabs>
          <w:tab w:leader="none" w:pos="540" w:val="left"/>
        </w:tabs>
        <w:numPr>
          <w:ilvl w:val="0"/>
          <w:numId w:val="55"/>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100" w:hanging="532"/>
        <w:spacing w:after="0" w:line="196" w:lineRule="auto"/>
        <w:tabs>
          <w:tab w:leader="none" w:pos="540" w:val="left"/>
        </w:tabs>
        <w:numPr>
          <w:ilvl w:val="0"/>
          <w:numId w:val="55"/>
        </w:numPr>
        <w:rPr>
          <w:rFonts w:ascii="Arial" w:cs="Arial" w:eastAsia="Arial" w:hAnsi="Arial"/>
          <w:sz w:val="27"/>
          <w:szCs w:val="27"/>
          <w:color w:val="auto"/>
          <w:vertAlign w:val="subscript"/>
        </w:rPr>
      </w:pPr>
      <w:r>
        <w:rPr>
          <w:rFonts w:ascii="Arial" w:cs="Arial" w:eastAsia="Arial" w:hAnsi="Arial"/>
          <w:sz w:val="14"/>
          <w:szCs w:val="14"/>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Transactions—Aircraft Arrangements." World Travel intends to issue Wynn Las Vegas an intercompany note in the amount of the funds received by it to repay the Bank of America loan.</w:t>
      </w:r>
    </w:p>
    <w:p>
      <w:pPr>
        <w:spacing w:after="0" w:line="88" w:lineRule="exact"/>
        <w:rPr>
          <w:rFonts w:ascii="Arial" w:cs="Arial" w:eastAsia="Arial" w:hAnsi="Arial"/>
          <w:sz w:val="27"/>
          <w:szCs w:val="27"/>
          <w:color w:val="auto"/>
          <w:vertAlign w:val="subscript"/>
        </w:rPr>
      </w:pPr>
    </w:p>
    <w:p>
      <w:pPr>
        <w:ind w:left="540" w:right="60" w:hanging="532"/>
        <w:spacing w:after="0" w:line="186" w:lineRule="auto"/>
        <w:tabs>
          <w:tab w:leader="none" w:pos="540" w:val="left"/>
        </w:tabs>
        <w:numPr>
          <w:ilvl w:val="0"/>
          <w:numId w:val="55"/>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55"/>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98" w:lineRule="auto"/>
        <w:tabs>
          <w:tab w:leader="none" w:pos="540" w:val="left"/>
        </w:tabs>
        <w:numPr>
          <w:ilvl w:val="0"/>
          <w:numId w:val="55"/>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joint book-running managers of this offering and Wynn Resorts' initial public offering. The revolving credit facility will mature on the sixth anniversary of the closing of the credit facilities. Borrowings under the delay draw term loan facility will be available for 27 months after the closing of the credit facilities and will be repayable in quarterly installments from the first full fiscal quarter after completion of Le Rêve until the seventh anniversary of the closing of the credit facilities in amounts to be determined. The credit facilities will close concurrently with the closing of this offering. All amounts outstanding under the credit facilities will bear interest, at our option (subject to certain limitations), at either (1) a base rate equal to the greater of the prime lending rate as stated in the British Banking Association Telerate page 5 and 0.5% in excess of the federal funds rate or (2) the Eurodollar rate, as determined by the administrative agent, in both cases plus certain margins. For each year after Le Rêve commences operations, we will be required to prepay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Proceeds," "Certain Relationships and Related Transactions—Aircraft Arrangements" and "Description of Other Indebtedness."</w:t>
      </w:r>
    </w:p>
    <w:p>
      <w:pPr>
        <w:sectPr>
          <w:pgSz w:w="11900" w:h="16838" w:orient="portrait"/>
          <w:cols w:equalWidth="0" w:num="1">
            <w:col w:w="11380"/>
          </w:cols>
          <w:pgMar w:left="240" w:top="347" w:right="279" w:bottom="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Wynn Las Vegas and Wynn Capital, each of which is an indirect subsidiary of Valvino, are jointly offering $365 million in aggregate principal amount at maturity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 senior unsecured basis, but will not be subject to the restrictive covenants in its subsidiaries' debt facilities. In the event that Wynn Resorts grants specified liens to secure other guarantees or indebtedness, then Wynn Resorts will be required to grant second priority liens on the same assets to secure its guarantees of the second mortgage notes. The domestic and foreign subsidiaries of Wynn Resorts related to the Macau opportunity will not be guarantors and will not be subject to the covenants in the second mortgage notes or the 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representatives for the lenders under our credit facilities and the trustee for the second mortgage notes may release the liens on the approximately 137-acre golf course parcel and related water rights. Our credit facility and indenture will provide that the liens will be released after the third anniversary of commencing operations at Le Rêve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 and Wynn Las Vegas satisfies certain conditions related to water required for the Le Rêve casino water features.</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us fair market value for the property.</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Finally, the credit facilities will provide that the liens on the 20-acre parcel fronting Las Vegas Boulevard adjacent to the site of Le Rêve will be released by representatives for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lenders under the credit facilities if we meet certain earnings before interest, taxes, depreciation and amortization targets for four consecutive calendar quarters after the commencement of operations at Le Rêve and Wynn Las Vegas satisfies certain conditions related to water required for the Le Rêve casino water features and the golf course.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and Wynn Las Vegas satisfies certain conditions related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the Offering and the Second Mortgage Notes—If earnings or leverage and ratings tests specified in the second mortgage notes indenture are met, the note holders' liens on some of the real property collateral will be released" and "—If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to Wynn Las Vegas by Wynn Resorts before accessing the proceeds from the offering of the second mortgage notes. The disbursement agreement also requires us to use all of the proceeds from this offering of second mortgage notes, other than amounts sufficient to pay interest on the two ensuing payment dates,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14-17 months after the closing of this offering and after applying all of the proceeds of this offering towards the development and construction of Le Rêve.</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1" w:right="239" w:bottom="0" w:gutter="0" w:footer="0" w:header="0"/>
          <w:type w:val="continuous"/>
        </w:sectPr>
      </w:pPr>
    </w:p>
    <w:bookmarkStart w:id="38" w:name="page39"/>
    <w:bookmarkEnd w:id="38"/>
    <w:p>
      <w:pPr>
        <w:ind w:left="1080" w:right="6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Le Rêve's construction must be in substantial conformity with the plans and specifications for the project as amended from time to time in accordance with the terms of the disbursement agreement;</w:t>
      </w:r>
    </w:p>
    <w:p>
      <w:pPr>
        <w:spacing w:after="0" w:line="212"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80"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our entering into scope change orders that will increase or decrease the anticipated costs of the project. These conditions will require us to fund equity into an account subject to a security interest in favor of the lenders under the credit facilities and the holders of the second mortgage notes or to allocate realized cost savings then available under the project budget in an amount equal to the anticipated incremental cost of the change orders. In addition,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or against assets of Wynn Resorts if and to the extent that liens on assets of Wynn Resorts then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Initial Public Offering of Wynn Resorts</w:t>
      </w:r>
    </w:p>
    <w:p>
      <w:pPr>
        <w:spacing w:after="0" w:line="225" w:lineRule="exact"/>
        <w:rPr>
          <w:sz w:val="20"/>
          <w:szCs w:val="20"/>
          <w:color w:val="auto"/>
        </w:rPr>
      </w:pPr>
    </w:p>
    <w:p>
      <w:pPr>
        <w:ind w:right="1060" w:firstLine="351"/>
        <w:spacing w:after="0" w:line="268" w:lineRule="auto"/>
        <w:rPr>
          <w:sz w:val="20"/>
          <w:szCs w:val="20"/>
          <w:color w:val="auto"/>
        </w:rPr>
      </w:pPr>
      <w:r>
        <w:rPr>
          <w:rFonts w:ascii="Arial" w:cs="Arial" w:eastAsia="Arial" w:hAnsi="Arial"/>
          <w:sz w:val="18"/>
          <w:szCs w:val="18"/>
          <w:color w:val="auto"/>
        </w:rPr>
        <w:t>Concurrent with this offering, Wynn Resorts will offer shares of its common stock in an initial public offering with expected gross proceeds of approximately $450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Following the completion of Le Rêve, we expect to fund our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If Wynn Resorts grants specified liens to secure other guarantees or indebtedness, then the credit facilities and second mortgage notes will be secured by liens on the same assets with the same relative priorities as the credit facilities and the second mortgage notes. We cannot assure you that we will be able to refinance any of our indebtedness, including the credit facilities, the FF&amp;E facility or the second mortgage notes on acceptable terms or at all. See "Risk Factors—Risks Related to Our Substantial Indebtedness—We may not generate sufficient cash flow to meet our substantial debt service and other obligations, including our obligations under the second mortgage notes."</w:t>
      </w:r>
    </w:p>
    <w:p>
      <w:pPr>
        <w:spacing w:after="0" w:line="177"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Wynn Resorts will contribute $30 million of the net proceeds of its common stock offering to Wynn Las Vegas to be held in a liquidity reserve account and pledged to the lenders under the credit facilities and the holders of the second mortgage notes to secure Wynn Las Vegas' obligation to develop and construct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holders of the second mortgage</w:t>
      </w:r>
    </w:p>
    <w:p>
      <w:pPr>
        <w:sectPr>
          <w:pgSz w:w="11900" w:h="16838" w:orient="portrait"/>
          <w:cols w:equalWidth="0" w:num="1">
            <w:col w:w="11420"/>
          </w:cols>
          <w:pgMar w:left="240" w:top="388"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88" w:right="239" w:bottom="0" w:gutter="0" w:footer="0" w:header="0"/>
          <w:type w:val="continuous"/>
        </w:sectPr>
      </w:pPr>
    </w:p>
    <w:bookmarkStart w:id="39" w:name="page40"/>
    <w:bookmarkEnd w:id="39"/>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any remaining funds will be used to reduce the outstanding balance of our revolving credit facility, but without reducing the revolving credit facility commitment.</w:t>
      </w:r>
    </w:p>
    <w:p>
      <w:pPr>
        <w:spacing w:after="0" w:line="15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Showcase the "Wynn Brand." </w:t>
      </w:r>
      <w:r>
        <w:rPr>
          <w:rFonts w:ascii="Arial" w:cs="Arial" w:eastAsia="Arial" w:hAnsi="Arial"/>
          <w:sz w:val="18"/>
          <w:szCs w:val="18"/>
          <w:color w:val="auto"/>
        </w:rPr>
        <w:t>We believe that Mr. Wynn's involvement with Le Rêve provides a distinct advantage over other gaming enterprises in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Wynn's tenure with Mirage Resorts, the company had grown to own and operate eight hotel casino resort properties totaling 630,000 square feet of casino</w:t>
      </w:r>
    </w:p>
    <w:p>
      <w:pPr>
        <w:sectPr>
          <w:pgSz w:w="11900" w:h="16838" w:orient="portrait"/>
          <w:cols w:equalWidth="0" w:num="1">
            <w:col w:w="11420"/>
          </w:cols>
          <w:pgMar w:left="240" w:top="725" w:right="239" w:bottom="0" w:gutter="0" w:footer="0" w:header="0"/>
        </w:sectPr>
      </w:pPr>
    </w:p>
    <w:bookmarkStart w:id="40" w:name="page41"/>
    <w:bookmarkEnd w:id="40"/>
    <w:p>
      <w:pPr>
        <w:spacing w:after="0" w:line="6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gaming space and 16,577 hotel rooms that generated approximately $2.4 billion in revenue, $573 million in earnings before depreciation, interest, taxes and pre-opening costs and $110.4 million in net income.</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the major hotel destination casino resorts he has previously developed, Mr. Wynn has successfully employed a formula which integrates luxurious surroundings, upscale design,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 du</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-3372485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-3372485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-3372485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-3372485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-3372485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-3372485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8"/>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8"/>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80" w:hanging="532"/>
        <w:spacing w:after="0" w:line="191" w:lineRule="auto"/>
        <w:tabs>
          <w:tab w:leader="none" w:pos="540" w:val="left"/>
        </w:tabs>
        <w:numPr>
          <w:ilvl w:val="0"/>
          <w:numId w:val="58"/>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8"/>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8"/>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5" w:lineRule="auto"/>
        <w:tabs>
          <w:tab w:leader="none" w:pos="540" w:val="left"/>
        </w:tabs>
        <w:numPr>
          <w:ilvl w:val="0"/>
          <w:numId w:val="58"/>
        </w:numPr>
        <w:rPr>
          <w:rFonts w:ascii="Arial" w:cs="Arial" w:eastAsia="Arial" w:hAnsi="Arial"/>
          <w:sz w:val="18"/>
          <w:szCs w:val="18"/>
          <w:color w:val="auto"/>
          <w:vertAlign w:val="subscript"/>
        </w:rPr>
      </w:pPr>
      <w:r>
        <w:rPr>
          <w:rFonts w:ascii="Arial" w:cs="Arial" w:eastAsia="Arial" w:hAnsi="Arial"/>
          <w:sz w:val="10"/>
          <w:szCs w:val="10"/>
          <w:color w:val="auto"/>
        </w:rPr>
        <w:t>Includes circulation (corridors) and patio space.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27"/>
          <w:szCs w:val="27"/>
          <w:color w:val="auto"/>
          <w:vertAlign w:val="subscript"/>
        </w:rPr>
      </w:pPr>
      <w:r>
        <w:rPr>
          <w:rFonts w:ascii="Arial" w:cs="Arial" w:eastAsia="Arial" w:hAnsi="Arial"/>
          <w:sz w:val="14"/>
          <w:szCs w:val="14"/>
          <w:color w:val="auto"/>
        </w:rPr>
        <w:t>Based on information located at www.mirage.com as of May 23, 2002.</w:t>
      </w:r>
    </w:p>
    <w:p>
      <w:pPr>
        <w:ind w:left="540" w:hanging="532"/>
        <w:spacing w:after="0" w:line="197" w:lineRule="auto"/>
        <w:tabs>
          <w:tab w:leader="none" w:pos="540" w:val="left"/>
        </w:tabs>
        <w:numPr>
          <w:ilvl w:val="0"/>
          <w:numId w:val="59"/>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59"/>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59"/>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b w:val="1"/>
          <w:bCs w:val="1"/>
          <w:i w:val="1"/>
          <w:iCs w:val="1"/>
          <w:color w:val="auto"/>
        </w:rPr>
        <w:t xml:space="preserve">Open the First New Major Hotel Casino Resort on the Las Vegas Strip in Almost Five Years. </w:t>
      </w:r>
      <w:r>
        <w:rPr>
          <w:rFonts w:ascii="Arial" w:cs="Arial" w:eastAsia="Arial" w:hAnsi="Arial"/>
          <w:sz w:val="15"/>
          <w:szCs w:val="15"/>
          <w:color w:val="auto"/>
        </w:rPr>
        <w:t>Although a number of hotel casino resorts have announced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w:t>
      </w:r>
    </w:p>
    <w:p>
      <w:pPr>
        <w:sectPr>
          <w:pgSz w:w="11900" w:h="16899" w:orient="portrait"/>
          <w:cols w:equalWidth="0" w:num="1">
            <w:col w:w="11380"/>
          </w:cols>
          <w:pgMar w:left="240" w:top="131" w:right="279" w:bottom="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t>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94"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 bound by any non-competition or non-solicitation agreements with MGM Mirage arising out of the acquisition of MGM Grand's acquisition of Mirage Resorts.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ectPr>
          <w:pgSz w:w="11900" w:h="16838" w:orient="portrait"/>
          <w:cols w:equalWidth="0" w:num="1">
            <w:col w:w="11420"/>
          </w:cols>
          <w:pgMar w:left="240" w:top="131" w:right="239" w:bottom="236"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Capitalize on the Attractive Location of Le Rêve.</w:t>
      </w:r>
    </w:p>
    <w:p>
      <w:pPr>
        <w:sectPr>
          <w:pgSz w:w="11900" w:h="16838" w:orient="portrait"/>
          <w:cols w:equalWidth="0" w:num="1">
            <w:col w:w="11420"/>
          </w:cols>
          <w:pgMar w:left="240" w:top="131" w:right="239" w:bottom="236" w:gutter="0" w:footer="0" w:header="0"/>
          <w:type w:val="continuous"/>
        </w:sectPr>
      </w:pPr>
    </w:p>
    <w:bookmarkStart w:id="42" w:name="page43"/>
    <w:bookmarkEnd w:id="42"/>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Capitalize on Our Experienced Management and Design Teams. </w:t>
      </w:r>
      <w:r>
        <w:rPr>
          <w:rFonts w:ascii="Arial" w:cs="Arial" w:eastAsia="Arial" w:hAnsi="Arial"/>
          <w:sz w:val="18"/>
          <w:szCs w:val="18"/>
          <w:color w:val="auto"/>
        </w:rPr>
        <w:t>The members of our management team have extensive experience in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large-scale hotels and casinos, and many of them worked with Mr. Wynn at Mirage Resorts. In addition to Wynn Resorts' executive officers, each of whose background is described in "Management," our management team includes:</w:t>
      </w:r>
    </w:p>
    <w:p>
      <w:pPr>
        <w:spacing w:after="0" w:line="208"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ectPr>
          <w:pgSz w:w="11900" w:h="16838" w:orient="portrait"/>
          <w:cols w:equalWidth="0" w:num="1">
            <w:col w:w="11400"/>
          </w:cols>
          <w:pgMar w:left="240" w:top="131" w:right="259" w:bottom="0" w:gutter="0" w:footer="0" w:header="0"/>
        </w:sectPr>
      </w:pPr>
    </w:p>
    <w:bookmarkStart w:id="43" w:name="page44"/>
    <w:bookmarkEnd w:id="43"/>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subsidiary of Valvino, is responsible for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costs and risks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86"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440" w:hanging="532"/>
        <w:spacing w:after="0" w:line="298"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80"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liquidity reserve account to be held by us which will be funded by $30 million of the net proceeds of Wynn Resorts' common stock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$31.2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Benefit from the Significant Equity Investment. </w:t>
      </w:r>
      <w:r>
        <w:rPr>
          <w:rFonts w:ascii="Arial" w:cs="Arial" w:eastAsia="Arial" w:hAnsi="Arial"/>
          <w:sz w:val="18"/>
          <w:szCs w:val="18"/>
          <w:color w:val="auto"/>
        </w:rPr>
        <w:t>We will have a significant cash equity capitalization for the development of Le Rêve.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completion of 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Rêve, we expect to have received a total of approximately $937 million in cash equity, which represents approximately 40% of the total project costs. The</w:t>
      </w:r>
    </w:p>
    <w:p>
      <w:pPr>
        <w:spacing w:after="0" w:line="3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$937 million derives from equity contributions from the prior members of Valvino and $387.0 million of the net proceeds of the concurrent initial public offering by Wynn Resorts. To date, Mr. Wynn has invested approximately $175 million in cash equity, which demonstrates his commitment to the Le Rêve project.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our indebtedness.</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w:t>
      </w:r>
    </w:p>
    <w:p>
      <w:pPr>
        <w:sectPr>
          <w:pgSz w:w="11900" w:h="16838" w:orient="portrait"/>
          <w:cols w:equalWidth="0" w:num="1">
            <w:col w:w="11360"/>
          </w:cols>
          <w:pgMar w:left="240" w:top="131" w:right="299" w:bottom="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570 feet, respectively. Once the guests arrive on their floor, we expect that the maximum walking distance to the most remote guest room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240 feet, as compared to similar hotels such as Bellagio, The Mirage, Treasure Island at The Mirage and The Venetian at approximately 360 feet.</w:t>
      </w:r>
    </w:p>
    <w:p>
      <w:pPr>
        <w:spacing w:after="0" w:line="24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Golf Course. </w:t>
      </w:r>
      <w:r>
        <w:rPr>
          <w:rFonts w:ascii="Arial" w:cs="Arial" w:eastAsia="Arial" w:hAnsi="Arial"/>
          <w:sz w:val="18"/>
          <w:szCs w:val="18"/>
          <w:color w:val="auto"/>
        </w:rPr>
        <w:t>We plan to construct a world-class, 18-hole championship golf course at the site of the former Desert Inn golf course. Based on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available plans, when Le Rêve opens, we believe this golf course will be the only golf course on the site of a hotel casino resort on the Las Vegas Strip. Tom Fazio and Mr. Wynn, the designers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Restaurants, Lounges, Bars and Nightclub. </w:t>
      </w:r>
      <w:r>
        <w:rPr>
          <w:rFonts w:ascii="Arial" w:cs="Arial" w:eastAsia="Arial" w:hAnsi="Arial"/>
          <w:sz w:val="16"/>
          <w:szCs w:val="16"/>
          <w:color w:val="auto"/>
        </w:rPr>
        <w:t>We plan to offer 18 food and beverage outlets, including six fine-dining restaurants and an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6"/>
          <w:szCs w:val="16"/>
          <w:i w:val="1"/>
          <w:iCs w:val="1"/>
          <w:color w:val="auto"/>
        </w:rPr>
        <w:t>Bon Appetit Magazine</w:t>
      </w:r>
      <w:r>
        <w:rPr>
          <w:rFonts w:ascii="Arial" w:cs="Arial" w:eastAsia="Arial" w:hAnsi="Arial"/>
          <w:sz w:val="16"/>
          <w:szCs w:val="16"/>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6"/>
          <w:szCs w:val="16"/>
          <w:i w:val="1"/>
          <w:iCs w:val="1"/>
          <w:color w:val="auto"/>
        </w:rPr>
        <w:t>The International Herald Tribune</w:t>
      </w:r>
      <w:r>
        <w:rPr>
          <w:rFonts w:ascii="Arial" w:cs="Arial" w:eastAsia="Arial" w:hAnsi="Arial"/>
          <w:sz w:val="16"/>
          <w:szCs w:val="16"/>
          <w:color w:val="auto"/>
        </w:rPr>
        <w:t xml:space="preserve"> in 1993 and received </w:t>
      </w:r>
      <w:r>
        <w:rPr>
          <w:rFonts w:ascii="Arial" w:cs="Arial" w:eastAsia="Arial" w:hAnsi="Arial"/>
          <w:sz w:val="16"/>
          <w:szCs w:val="16"/>
          <w:i w:val="1"/>
          <w:iCs w:val="1"/>
          <w:color w:val="auto"/>
        </w:rPr>
        <w:t>Gourmet Magazine's</w:t>
      </w:r>
      <w:r>
        <w:rPr>
          <w:rFonts w:ascii="Arial" w:cs="Arial" w:eastAsia="Arial" w:hAnsi="Arial"/>
          <w:sz w:val="16"/>
          <w:szCs w:val="16"/>
          <w:color w:val="auto"/>
        </w:rPr>
        <w:t xml:space="preserve"> "Top Table" award in 1997.</w:t>
      </w:r>
    </w:p>
    <w:p>
      <w:pPr>
        <w:spacing w:after="0" w:line="17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w:t>
      </w:r>
    </w:p>
    <w:p>
      <w:pPr>
        <w:sectPr>
          <w:pgSz w:w="11900" w:h="16838" w:orient="portrait"/>
          <w:cols w:equalWidth="0" w:num="1">
            <w:col w:w="11420"/>
          </w:cols>
          <w:pgMar w:left="240" w:top="131" w:right="239" w:bottom="0" w:gutter="0" w:footer="0" w:header="0"/>
        </w:sectPr>
      </w:pPr>
    </w:p>
    <w:bookmarkStart w:id="45" w:name="page46"/>
    <w:bookmarkEnd w:id="45"/>
    <w:p>
      <w:pPr>
        <w:spacing w:after="0" w:line="1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 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8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w:t>
      </w:r>
    </w:p>
    <w:p>
      <w:pPr>
        <w:sectPr>
          <w:pgSz w:w="11900" w:h="16939" w:orient="portrait"/>
          <w:cols w:equalWidth="0" w:num="1">
            <w:col w:w="11400"/>
          </w:cols>
          <w:pgMar w:left="240" w:top="131" w:right="25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completing major hotel casino resorts. The Wynn Design &amp; Development team includes:</w:t>
      </w:r>
    </w:p>
    <w:p>
      <w:pPr>
        <w:spacing w:after="0" w:line="239" w:lineRule="exact"/>
        <w:rPr>
          <w:sz w:val="20"/>
          <w:szCs w:val="20"/>
          <w:color w:val="auto"/>
        </w:rPr>
      </w:pPr>
    </w:p>
    <w:p>
      <w:pPr>
        <w:ind w:left="1080" w:right="80" w:hanging="532"/>
        <w:spacing w:after="0" w:line="255"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W. Todd Nisbet, Executive Vice President</w:t>
      </w:r>
      <w:r>
        <w:rPr>
          <w:rFonts w:ascii="Arial" w:cs="Arial" w:eastAsia="Arial" w:hAnsi="Arial"/>
          <w:sz w:val="16"/>
          <w:szCs w:val="16"/>
          <w:color w:val="auto"/>
        </w:rPr>
        <w:t>—Project Director. 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DeRuyter O. Butler, Executive Vice President—Architecture</w:t>
      </w:r>
      <w:r>
        <w:rPr>
          <w:rFonts w:ascii="Arial" w:cs="Arial" w:eastAsia="Arial" w:hAnsi="Arial"/>
          <w:sz w:val="18"/>
          <w:szCs w:val="18"/>
          <w:color w:val="auto"/>
        </w:rPr>
        <w:t>. 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Roger P. Thomas, Executive Vice President—Design</w:t>
      </w:r>
      <w:r>
        <w:rPr>
          <w:rFonts w:ascii="Arial" w:cs="Arial" w:eastAsia="Arial" w:hAnsi="Arial"/>
          <w:sz w:val="18"/>
          <w:szCs w:val="18"/>
          <w:color w:val="auto"/>
        </w:rPr>
        <w:t>. 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redecoration of the original tower, the casino and the lobby.</w:t>
      </w:r>
    </w:p>
    <w:p>
      <w:pPr>
        <w:spacing w:after="0" w:line="224" w:lineRule="exact"/>
        <w:rPr>
          <w:sz w:val="20"/>
          <w:szCs w:val="20"/>
          <w:color w:val="auto"/>
        </w:rPr>
      </w:pPr>
    </w:p>
    <w:p>
      <w:pPr>
        <w:ind w:left="1080" w:right="120" w:hanging="532"/>
        <w:spacing w:after="0" w:line="30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Janellen Sachs Radoff, Vice President—Design</w:t>
      </w:r>
      <w:r>
        <w:rPr>
          <w:rFonts w:ascii="Arial" w:cs="Arial" w:eastAsia="Arial" w:hAnsi="Arial"/>
          <w:sz w:val="16"/>
          <w:szCs w:val="16"/>
          <w:color w:val="auto"/>
        </w:rPr>
        <w:t>. 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"Construction Contracts for Le Rêve" and "Risk Factors—Risks Associated with Our Construction of Le Rêve."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ectPr>
          <w:pgSz w:w="11900" w:h="16838" w:orient="portrait"/>
          <w:cols w:equalWidth="0" w:num="1">
            <w:col w:w="11400"/>
          </w:cols>
          <w:pgMar w:left="240" w:top="131" w:right="259" w:bottom="0" w:gutter="0" w:footer="0" w:header="0"/>
        </w:sectPr>
      </w:pPr>
    </w:p>
    <w:bookmarkStart w:id="47" w:name="page48"/>
    <w:bookmarkEnd w:id="47"/>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Wynn Resorts' common stock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Wynn Resorts' offering of common stock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Water Show Entertainment Production Agreement</w:t>
      </w:r>
    </w:p>
    <w:p>
      <w:pPr>
        <w:sectPr>
          <w:pgSz w:w="11900" w:h="16838" w:orient="portrait"/>
          <w:cols w:equalWidth="0" w:num="1">
            <w:col w:w="11400"/>
          </w:cols>
          <w:pgMar w:left="240" w:top="145" w:right="259" w:bottom="0" w:gutter="0" w:footer="0" w:header="0"/>
          <w:type w:val="continuous"/>
        </w:sectPr>
      </w:pPr>
    </w:p>
    <w:bookmarkStart w:id="48" w:name="page49"/>
    <w:bookmarkEnd w:id="48"/>
    <w:p>
      <w:pPr>
        <w:ind w:right="20" w:firstLine="348"/>
        <w:spacing w:after="0" w:line="304" w:lineRule="auto"/>
        <w:rPr>
          <w:sz w:val="20"/>
          <w:szCs w:val="20"/>
          <w:color w:val="auto"/>
        </w:rPr>
      </w:pPr>
      <w:r>
        <w:rPr>
          <w:rFonts w:ascii="Arial" w:cs="Arial" w:eastAsia="Arial" w:hAnsi="Arial"/>
          <w:sz w:val="15"/>
          <w:szCs w:val="15"/>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agreements, as amended, will provide Wynn Las Vegas with an option to 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project has not been executed.</w:t>
      </w:r>
    </w:p>
    <w:p>
      <w:pPr>
        <w:spacing w:after="0" w:line="39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Wynn Resorts'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Following the completion of this offering and the offering of Wynn Resorts' common stock,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Growth Opportunities</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5668645" cy="25298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20" w:firstLine="341"/>
        <w:spacing w:after="0" w:line="268" w:lineRule="auto"/>
        <w:rPr>
          <w:sz w:val="20"/>
          <w:szCs w:val="20"/>
          <w:color w:val="auto"/>
        </w:rPr>
      </w:pPr>
      <w:r>
        <w:rPr>
          <w:rFonts w:ascii="Arial" w:cs="Arial" w:eastAsia="Arial" w:hAnsi="Arial"/>
          <w:sz w:val="18"/>
          <w:szCs w:val="18"/>
          <w:color w:val="auto"/>
        </w:rPr>
        <w:t>According to the Nevada State Gaming Control Board, Las Vegas Strip gaming revenue has increased from approximately $3.6 billion in 1996 to approximately $4.7 billion in 2001, a</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93980</wp:posOffset>
            </wp:positionV>
            <wp:extent cx="5454015" cy="27355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w:t>
      </w:r>
    </w:p>
    <w:p>
      <w:pPr>
        <w:sectPr>
          <w:pgSz w:w="11900" w:h="16838" w:orient="portrait"/>
          <w:cols w:equalWidth="0" w:num="1">
            <w:col w:w="11380"/>
          </w:cols>
          <w:pgMar w:left="240" w:top="1440" w:right="279" w:bottom="589"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589" w:gutter="0" w:footer="0" w:header="0"/>
          <w:type w:val="continuous"/>
        </w:sectPr>
      </w:pPr>
    </w:p>
    <w:bookmarkStart w:id="50" w:name="page51"/>
    <w:bookmarkEnd w:id="50"/>
    <w:p>
      <w:pPr>
        <w:ind w:right="40"/>
        <w:spacing w:after="0" w:line="288" w:lineRule="auto"/>
        <w:rPr>
          <w:sz w:val="20"/>
          <w:szCs w:val="20"/>
          <w:color w:val="auto"/>
        </w:rPr>
      </w:pPr>
      <w:r>
        <w:rPr>
          <w:rFonts w:ascii="Arial" w:cs="Arial" w:eastAsia="Arial" w:hAnsi="Arial"/>
          <w:sz w:val="16"/>
          <w:szCs w:val="16"/>
          <w:color w:val="auto"/>
        </w:rPr>
        <w:t>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960" w:type="dxa"/>
            <w:vAlign w:val="bottom"/>
            <w:gridSpan w:val="3"/>
          </w:tcPr>
          <w:p>
            <w:pPr>
              <w:spacing w:after="0"/>
              <w:rPr>
                <w:sz w:val="20"/>
                <w:szCs w:val="20"/>
                <w:color w:val="auto"/>
              </w:rPr>
            </w:pPr>
            <w:r>
              <w:rPr>
                <w:rFonts w:ascii="Arial" w:cs="Arial" w:eastAsia="Arial" w:hAnsi="Arial"/>
                <w:sz w:val="14"/>
                <w:szCs w:val="14"/>
                <w:color w:val="auto"/>
              </w:rPr>
              <w:t>Total Visitor Expenditures(2)</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9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280" w:type="dxa"/>
            <w:vAlign w:val="bottom"/>
          </w:tcPr>
          <w:p>
            <w:pPr>
              <w:spacing w:after="0"/>
              <w:rPr>
                <w:sz w:val="13"/>
                <w:szCs w:val="13"/>
                <w:color w:val="auto"/>
              </w:rPr>
            </w:pPr>
          </w:p>
        </w:tc>
        <w:tc>
          <w:tcPr>
            <w:tcW w:w="11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80" w:type="dxa"/>
            <w:vAlign w:val="bottom"/>
          </w:tcPr>
          <w:p>
            <w:pPr>
              <w:spacing w:after="0"/>
              <w:rPr>
                <w:sz w:val="13"/>
                <w:szCs w:val="13"/>
                <w:color w:val="auto"/>
              </w:rPr>
            </w:pPr>
          </w:p>
        </w:tc>
        <w:tc>
          <w:tcPr>
            <w:tcW w:w="11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 Rate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for All Days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88.9%</w:t>
            </w:r>
          </w:p>
        </w:tc>
        <w:tc>
          <w:tcPr>
            <w:tcW w:w="11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960" w:type="dxa"/>
            <w:vAlign w:val="bottom"/>
            <w:gridSpan w:val="3"/>
          </w:tcPr>
          <w:p>
            <w:pPr>
              <w:spacing w:after="0"/>
              <w:rPr>
                <w:sz w:val="20"/>
                <w:szCs w:val="20"/>
                <w:color w:val="auto"/>
              </w:rPr>
            </w:pPr>
            <w:r>
              <w:rPr>
                <w:rFonts w:ascii="Arial" w:cs="Arial" w:eastAsia="Arial" w:hAnsi="Arial"/>
                <w:sz w:val="14"/>
                <w:szCs w:val="14"/>
                <w:color w:val="auto"/>
              </w:rPr>
              <w:t>Las Vegas Hotel/Motel Room</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gridSpan w:val="3"/>
          </w:tcPr>
          <w:p>
            <w:pPr>
              <w:spacing w:after="0"/>
              <w:rPr>
                <w:sz w:val="20"/>
                <w:szCs w:val="20"/>
                <w:color w:val="auto"/>
              </w:rPr>
            </w:pPr>
            <w:r>
              <w:rPr>
                <w:rFonts w:ascii="Arial" w:cs="Arial" w:eastAsia="Arial" w:hAnsi="Arial"/>
                <w:sz w:val="14"/>
                <w:szCs w:val="14"/>
                <w:color w:val="auto"/>
              </w:rPr>
              <w:t>Supply</w:t>
            </w: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-1583690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-1583690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-1583690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-1583690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-1583690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-1583690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-1583690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-1583690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-1583690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-1583690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-1583690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-1583690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-1583690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9"/>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9"/>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in Las Vegas</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hotels on the Las Vegas Strip and those in downtown Las Vegas, as well as a large number of hotels and motels in and near Las Vegas.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77"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ectPr>
          <w:pgSz w:w="11900" w:h="16838" w:orient="portrait"/>
          <w:cols w:equalWidth="0" w:num="1">
            <w:col w:w="11420"/>
          </w:cols>
          <w:pgMar w:left="240" w:top="131" w:right="239" w:bottom="0" w:gutter="0" w:footer="0" w:header="0"/>
        </w:sectPr>
      </w:pPr>
    </w:p>
    <w:bookmarkStart w:id="51" w:name="page52"/>
    <w:bookmarkEnd w:id="51"/>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Retail Competition. </w:t>
      </w:r>
      <w:r>
        <w:rPr>
          <w:rFonts w:ascii="Arial" w:cs="Arial" w:eastAsia="Arial" w:hAnsi="Arial"/>
          <w:sz w:val="18"/>
          <w:szCs w:val="18"/>
          <w:color w:val="auto"/>
        </w:rPr>
        <w:t>Le Rêve's retail stores will operate in a highly competitive environment. Le Rêve's retail stores will compete with other retail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other Las Vegas hotel casino resorts and shopping districts. Among these Las Vegas shopping 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ectPr>
          <w:pgSz w:w="11900" w:h="16838" w:orient="portrait"/>
          <w:cols w:equalWidth="0" w:num="1">
            <w:col w:w="11420"/>
          </w:cols>
          <w:pgMar w:left="240" w:top="131" w:right="239" w:bottom="0" w:gutter="0" w:footer="0" w:header="0"/>
        </w:sectPr>
      </w:pPr>
    </w:p>
    <w:bookmarkStart w:id="52" w:name="page53"/>
    <w:bookmarkEnd w:id="52"/>
    <w:p>
      <w:pPr>
        <w:spacing w:after="0" w:line="73"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LE RÊVE are for goods or services that would, if finally rejected, have a material impact on our business.</w:t>
      </w:r>
    </w:p>
    <w:p>
      <w:pPr>
        <w:spacing w:after="0" w:line="225"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site of the former Desert Inn Resort &amp; Casino and the remaining homes around the golf course. As a result of its service obligations to the remaining homes,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plan to transfer the water rights owned by Desert Inn Improvement Co. and Valvino to Wynn Resorts Holdings and Wynn Las Vegas for use in connection with the golf course and the Le Rêve lake, subject to approval by the Public Utilities Commission of Nevada and the Nevada State Division of Water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w:t>
      </w:r>
    </w:p>
    <w:p>
      <w:pPr>
        <w:sectPr>
          <w:pgSz w:w="11900" w:h="16912" w:orient="portrait"/>
          <w:cols w:equalWidth="0" w:num="1">
            <w:col w:w="11420"/>
          </w:cols>
          <w:pgMar w:left="240" w:top="131" w:right="239" w:bottom="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trial in this matter currently is scheduled for February 2003. The court has, nonetheless, entered several preliminary injunction orders concerning the parties' respective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w:t>
      </w:r>
    </w:p>
    <w:p>
      <w:pPr>
        <w:sectPr>
          <w:pgSz w:w="11900" w:h="16838" w:orient="portrait"/>
          <w:cols w:equalWidth="0" w:num="1">
            <w:col w:w="11400"/>
          </w:cols>
          <w:pgMar w:left="240" w:top="131" w:right="259" w:bottom="0" w:gutter="0" w:footer="0" w:header="0"/>
        </w:sectPr>
      </w:pPr>
    </w:p>
    <w:bookmarkStart w:id="54" w:name="page55"/>
    <w:bookmarkEnd w:id="54"/>
    <w:p>
      <w:pPr>
        <w:spacing w:after="0" w:line="8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62" w:lineRule="exact"/>
        <w:rPr>
          <w:sz w:val="20"/>
          <w:szCs w:val="20"/>
          <w:color w:val="auto"/>
        </w:rPr>
      </w:pPr>
    </w:p>
    <w:p>
      <w:pPr>
        <w:ind w:left="1080" w:right="2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213"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further drawings under the credit facilities.</w:t>
      </w:r>
    </w:p>
    <w:p>
      <w:pPr>
        <w:spacing w:after="0" w:line="17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under the credit facilities and the FF&amp;E facility, if any such "out of balance" event occurs in the latter stages of construction, the second</w:t>
      </w:r>
    </w:p>
    <w:p>
      <w:pPr>
        <w:sectPr>
          <w:pgSz w:w="11900" w:h="16925" w:orient="portrait"/>
          <w:cols w:equalWidth="0" w:num="1">
            <w:col w:w="11400"/>
          </w:cols>
          <w:pgMar w:left="240" w:top="131" w:right="259" w:bottom="0" w:gutter="0" w:footer="0" w:header="0"/>
        </w:sectPr>
      </w:pPr>
    </w:p>
    <w:bookmarkStart w:id="55" w:name="page56"/>
    <w:bookmarkEnd w:id="55"/>
    <w:p>
      <w:pPr>
        <w:spacing w:after="0" w:line="7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mortgage note holders would be fully exposed and the lenders under our credit facilities and FF&amp;E facility would have no obligation to commence or continue funding loans under their respective facilities.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70" w:lineRule="auto"/>
        <w:tabs>
          <w:tab w:leader="none" w:pos="10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w:t>
      </w:r>
    </w:p>
    <w:p>
      <w:pPr>
        <w:sectPr>
          <w:pgSz w:w="11900" w:h="16911" w:orient="portrait"/>
          <w:cols w:equalWidth="0" w:num="1">
            <w:col w:w="11420"/>
          </w:cols>
          <w:pgMar w:left="240" w:top="131" w:right="239" w:bottom="0" w:gutter="0" w:footer="0" w:header="0"/>
        </w:sectPr>
      </w:pPr>
    </w:p>
    <w:bookmarkStart w:id="56" w:name="page57"/>
    <w:bookmarkEnd w:id="56"/>
    <w:p>
      <w:pPr>
        <w:ind w:right="20"/>
        <w:spacing w:after="0" w:line="268" w:lineRule="auto"/>
        <w:rPr>
          <w:sz w:val="20"/>
          <w:szCs w:val="20"/>
          <w:color w:val="auto"/>
        </w:rPr>
      </w:pPr>
      <w:r>
        <w:rPr>
          <w:rFonts w:ascii="Arial" w:cs="Arial" w:eastAsia="Arial" w:hAnsi="Arial"/>
          <w:sz w:val="18"/>
          <w:szCs w:val="18"/>
          <w:color w:val="auto"/>
        </w:rPr>
        <w:t>will be completed on schedule and, if completion of the construction is delayed beyond the five-day grace period, our actual damages likely will exceed $300,000 per day.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ectPr>
          <w:pgSz w:w="11900" w:h="16838" w:orient="portrait"/>
          <w:cols w:equalWidth="0" w:num="1">
            <w:col w:w="11400"/>
          </w:cols>
          <w:pgMar w:left="240" w:top="131" w:right="25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131" w:right="259" w:bottom="0" w:gutter="0" w:footer="0" w:header="0"/>
          <w:type w:val="continuous"/>
        </w:sectPr>
      </w:pPr>
    </w:p>
    <w:bookmarkStart w:id="57" w:name="page58"/>
    <w:bookmarkEnd w:id="57"/>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 /or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w:t>
      </w:r>
    </w:p>
    <w:p>
      <w:pPr>
        <w:sectPr>
          <w:pgSz w:w="11900" w:h="16838" w:orient="portrait"/>
          <w:cols w:equalWidth="0" w:num="1">
            <w:col w:w="11420"/>
          </w:cols>
          <w:pgMar w:left="240" w:top="719" w:right="239" w:bottom="0" w:gutter="0" w:footer="0" w:header="0"/>
        </w:sectPr>
      </w:pPr>
    </w:p>
    <w:bookmarkStart w:id="58" w:name="page59"/>
    <w:bookmarkEnd w:id="58"/>
    <w:p>
      <w:pPr>
        <w:spacing w:after="0" w:line="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0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AFFILIATE'S OPPORTUNITY IN MACAU</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owns an approximately 82.5% economic interest in Wynn Macau through a line of subsidiaries that is separate from the subsidiaries of Wynn Resorts that own Le Rêve and, accordingly, the Macau-related entities are not part of the restricted group. As a result, cash flow generated by the Macau casino(s) operated by Wynn Macau may not be available to service our indebtedness, including our obligations under the second mortgage notes, or support our operations, and financing documents for the Macau opportunity may contain restrictions or prohibitions on the distribution to Wynn Resorts of any cash flow generated by the Macau casino(s). In addition, 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0"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25, 2002 exchange rate of approximately eight Macau patacas to one U.S. dollar, which is the middle of the buy and sell rates as reported by the</w:t>
      </w:r>
    </w:p>
    <w:p>
      <w:pPr>
        <w:sectPr>
          <w:pgSz w:w="11900" w:h="16864" w:orient="portrait"/>
          <w:cols w:equalWidth="0" w:num="1">
            <w:col w:w="11380"/>
          </w:cols>
          <w:pgMar w:left="240" w:top="131" w:right="279" w:bottom="0" w:gutter="0" w:footer="0" w:header="0"/>
        </w:sectPr>
      </w:pPr>
    </w:p>
    <w:bookmarkStart w:id="59" w:name="page60"/>
    <w:bookmarkEnd w:id="59"/>
    <w:p>
      <w:pPr>
        <w:ind w:right="100"/>
        <w:spacing w:after="0" w:line="256" w:lineRule="auto"/>
        <w:rPr>
          <w:sz w:val="20"/>
          <w:szCs w:val="20"/>
          <w:color w:val="auto"/>
        </w:rPr>
      </w:pPr>
      <w:r>
        <w:rPr>
          <w:rFonts w:ascii="Arial" w:cs="Arial" w:eastAsia="Arial" w:hAnsi="Arial"/>
          <w:sz w:val="18"/>
          <w:szCs w:val="18"/>
          <w:color w:val="auto"/>
        </w:rPr>
        <w:t>Monetary Authority of Macau)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Macau currently contemplates that it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Wynn Macau expects to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Wynn Macau believes that this land, located in the outer harbor of downtown Macau opposite the largest, most well-known casino, the Hotel Lisboa, is an attractive location for its first Macau casino.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Wynn Macau believes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20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Wynn Resorts intends to invest up to $40 million of the net proceeds from its initial public offering of its common stock in Wynn Macau as part of the financing of the Macau opportunity, in addition to the approximately $23.8 million Wynn Resorts has already invested in Wynn Macau. Wynn Macau has begun preliminary discussions to arrange the additional financing that would be required to complete the initial phase of its first casino resort. At the present time, Wynn Macau has not yet determined the amount of financing that will be required to complete the initial phase.</w:t>
      </w:r>
    </w:p>
    <w:p>
      <w:pPr>
        <w:spacing w:after="0" w:line="167" w:lineRule="exact"/>
        <w:rPr>
          <w:sz w:val="20"/>
          <w:szCs w:val="20"/>
          <w:color w:val="auto"/>
        </w:rPr>
      </w:pPr>
    </w:p>
    <w:p>
      <w:pPr>
        <w:ind w:right="420" w:firstLine="348"/>
        <w:spacing w:after="0" w:line="298" w:lineRule="auto"/>
        <w:rPr>
          <w:sz w:val="20"/>
          <w:szCs w:val="20"/>
          <w:color w:val="auto"/>
        </w:rPr>
      </w:pPr>
      <w:r>
        <w:rPr>
          <w:rFonts w:ascii="Arial" w:cs="Arial" w:eastAsia="Arial" w:hAnsi="Arial"/>
          <w:sz w:val="16"/>
          <w:szCs w:val="16"/>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Wynn Macau's discussions with government officials, it believes legislative changes relating to these matters will be introduced by early 2003. However, such proposed legislative changes may not be enacted by the Macau government.</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Wynn Macau may determine not to go forward with the Macau opportunity at any time if certain objectives and conditions described above, among other things, are not met. If Wynn Macau ceases the development or operations of one or more casinos in Macau, Wynn Resorts may lose its entire investment in Wynn Macau.</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Wynn Macau has entered into a 20-year concession agreement with the government of the Macau Special Administrative Region of the People's Republic of China permitting it to construct and operate one or more casinos in Macau.</w:t>
      </w:r>
    </w:p>
    <w:p>
      <w:pPr>
        <w:spacing w:after="0" w:line="18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have converted all pataca references into U.S. dollars using an exchange rate of approximately eight patacas to one U.S. dollar (which is the middle of the buy and sell rates on October 25, 2002, as reported by the Monetary Authority of Macau). The key terms of the concession agreement into which Wynn Macau has entered with the Macau government are as follows:</w:t>
      </w:r>
    </w:p>
    <w:p>
      <w:pPr>
        <w:spacing w:after="0" w:line="208" w:lineRule="exact"/>
        <w:rPr>
          <w:sz w:val="20"/>
          <w:szCs w:val="20"/>
          <w:color w:val="auto"/>
        </w:rPr>
      </w:pPr>
    </w:p>
    <w:p>
      <w:pPr>
        <w:ind w:left="1080" w:right="60" w:hanging="532"/>
        <w:spacing w:after="0" w:line="29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Macau is obligated to invest no less than a total of 4 billion patacas (approximately US $500 million) in one or more casino projects in Macau by June 26, 2009 and must commence operations of its first permanent casino resort in Macau no later than December 2006.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Prior to April 1, 2009, the Macau government is prohibited from granting any additional concessions for the operation of casinos in Macau.</w:t>
      </w:r>
    </w:p>
    <w:p>
      <w:pPr>
        <w:spacing w:after="0" w:line="261" w:lineRule="exact"/>
        <w:rPr>
          <w:rFonts w:ascii="Arial" w:cs="Arial" w:eastAsia="Arial" w:hAnsi="Arial"/>
          <w:sz w:val="16"/>
          <w:szCs w:val="16"/>
          <w:color w:val="auto"/>
        </w:rPr>
      </w:pPr>
    </w:p>
    <w:p>
      <w:pPr>
        <w:ind w:left="1080" w:right="58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Beginning in June 2005, or earlier if and when Wynn Macau begins operating casino games for the public, Wynn Macau must pay a fixed premium of 30 million patacas (approximately US $3.8 million) per year, and a variable premium based on the number of table games and machines Wynn Macau operates in Macau, with a set minimum of 45 million patacas (approximately US $5.6 million) per year (which is temporarily lowered if Wynn Macau operates a temporary casino before completion of its first permanent casino resort).</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must pay a special gaming tax of 35% on its gross gaming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contribute a total of 4.0% of its gross gaming revenue for the promotion of public interests, infrastructure and tourism.</w:t>
      </w:r>
    </w:p>
    <w:p>
      <w:pPr>
        <w:spacing w:after="0" w:line="261" w:lineRule="exact"/>
        <w:rPr>
          <w:rFonts w:ascii="Arial" w:cs="Arial" w:eastAsia="Arial" w:hAnsi="Arial"/>
          <w:sz w:val="16"/>
          <w:szCs w:val="16"/>
          <w:color w:val="auto"/>
        </w:rPr>
      </w:pPr>
    </w:p>
    <w:p>
      <w:pPr>
        <w:ind w:left="1080" w:right="36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pay taxes imposed by Macau law, including a complementary income tax at the rate of 15% on the profits realized from conducting business in Macau and a 15% withholding tax on dividends paid from Macau entities to their stockholders, unless Wynn Macau is granted exemptions from both of these taxes, which it is currently seeking, on the grounds that the tax payments required by the concession agreement are in lieu of the generally imposed complementary income tax and dividend withholding tax.</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is obligated to maintain bank guarantees or bonds satisfactory to the government.</w:t>
      </w:r>
    </w:p>
    <w:p>
      <w:pPr>
        <w:sectPr>
          <w:pgSz w:w="11900" w:h="16838" w:orient="portrait"/>
          <w:cols w:equalWidth="0" w:num="1">
            <w:col w:w="11400"/>
          </w:cols>
          <w:pgMar w:left="240" w:top="131" w:right="259" w:bottom="0" w:gutter="0" w:footer="0" w:header="0"/>
        </w:sectPr>
      </w:pPr>
    </w:p>
    <w:bookmarkStart w:id="60" w:name="page61"/>
    <w:bookmarkEnd w:id="60"/>
    <w:p>
      <w:pPr>
        <w:ind w:left="1080" w:right="6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the end of the term of the concession agreement, and any agreed upon extensions, the areas defined as casino areas under Macau law and all of the gaming equipment pertaining to the operations of Wynn Macau will be automatically transferred to the government of Macau without compensation to Wynn Macau.</w:t>
      </w:r>
    </w:p>
    <w:p>
      <w:pPr>
        <w:spacing w:after="0" w:line="221"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From June 27, 2017 until the end of the term of the concession agreement, the government of Macau will have the right to redeem the concession granted to Wynn Macau under the concession agreement and the government will be required to provide fair compensation for a resort-hotel-casino complex under the investment plan under the agreement. However, the concession agreement is unclear as to how the compensation provision will apply if more than one resort-hotel-casino has been built.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w:t>
      </w:r>
    </w:p>
    <w:p>
      <w:pPr>
        <w:sectPr>
          <w:pgSz w:w="11900" w:h="16838" w:orient="portrait"/>
          <w:cols w:equalWidth="0" w:num="1">
            <w:col w:w="11400"/>
          </w:cols>
          <w:pgMar w:left="240" w:top="145" w:right="259"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reported to, or approved by, the Nevada Gaming Commission.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rights of redemption are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Wynn Resorts' common stock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Wynn, the Nevada Gaming Commission could order Aruze USA or its affiliate to dispose of its voting securities within a prescribed period of time that may</w:t>
      </w:r>
    </w:p>
    <w:p>
      <w:pPr>
        <w:sectPr>
          <w:pgSz w:w="11900" w:h="16838" w:orient="portrait"/>
          <w:cols w:equalWidth="0" w:num="1">
            <w:col w:w="11420"/>
          </w:cols>
          <w:pgMar w:left="240" w:top="131" w:right="239" w:bottom="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not be sufficient.</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Resorts Holdings, Wynn Las Vegas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Wynn Resorts will be subject to disciplinary action if, after it receives notice that a person is unsuitable to hold an equity interest or to have any other relationship with, it:</w:t>
      </w:r>
    </w:p>
    <w:p>
      <w:pPr>
        <w:spacing w:after="0" w:line="215"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that person any dividend or interest upon any voting securities;</w:t>
      </w:r>
    </w:p>
    <w:p>
      <w:pPr>
        <w:spacing w:after="0" w:line="252" w:lineRule="exact"/>
        <w:rPr>
          <w:rFonts w:ascii="Arial" w:cs="Arial" w:eastAsia="Arial" w:hAnsi="Arial"/>
          <w:sz w:val="18"/>
          <w:szCs w:val="18"/>
          <w:color w:val="auto"/>
        </w:rPr>
      </w:pPr>
    </w:p>
    <w:p>
      <w:pPr>
        <w:ind w:left="5580" w:right="2300" w:hanging="5032"/>
        <w:spacing w:after="0" w:line="51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held by that person relating to Wynn Resorts; 111</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-735330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83"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Once Wynn Resorts and Wynn Las Vegas become registered companies, they may not make a public offering of their securities without the prior approval of the Nevada Gaming 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98"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The Nevada State Gaming Control Board Chairman considered Wynn Resorts' and Wynn Las Vegas' ruling request and issued an administrative ruling that it is not necessary to submit an application for prior approval of this offering or the offering of common stock.</w:t>
      </w:r>
    </w:p>
    <w:p>
      <w:pPr>
        <w:spacing w:after="0" w:line="172"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The pledge of the equity interests in Wynn Resorts Holdings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Resorts Holdings,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 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must obtain prior approval of the Nevada Gaming Commission with respect to a change in control through:</w:t>
      </w:r>
    </w:p>
    <w:p>
      <w:pPr>
        <w:spacing w:after="0" w:line="213"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 or asset acquisitions;</w:t>
      </w:r>
    </w:p>
    <w:p>
      <w:pPr>
        <w:sectPr>
          <w:pgSz w:w="11900" w:h="16838" w:orient="portrait"/>
          <w:cols w:equalWidth="0" w:num="1">
            <w:col w:w="11380"/>
          </w:cols>
          <w:pgMar w:left="240" w:top="125" w:right="279" w:bottom="0" w:gutter="0" w:footer="0" w:header="0"/>
        </w:sectPr>
      </w:pPr>
    </w:p>
    <w:bookmarkStart w:id="64" w:name="page65"/>
    <w:bookmarkEnd w:id="64"/>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5580" w:right="5000" w:hanging="5032"/>
        <w:spacing w:after="0" w:line="613" w:lineRule="auto"/>
        <w:tabs>
          <w:tab w:leader="none" w:pos="10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act or conduct by a person by which the person obtains control of them.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53"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discredit or disrepute upon the State of Nevada or gaming in Nevada, or is contrary to the gaming policies of Nevada;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ectPr>
          <w:pgSz w:w="11900" w:h="16838" w:orient="portrait"/>
          <w:cols w:equalWidth="0" w:num="1">
            <w:col w:w="11420"/>
          </w:cols>
          <w:pgMar w:left="240" w:top="145" w:right="239" w:bottom="73" w:gutter="0" w:footer="0" w:header="0"/>
        </w:sectPr>
      </w:pPr>
    </w:p>
    <w:bookmarkStart w:id="65" w:name="page66"/>
    <w:bookmarkEnd w:id="65"/>
    <w:p>
      <w:pPr>
        <w:ind w:right="60" w:firstLine="348"/>
        <w:spacing w:after="0" w:line="255"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Wynn Las Vegas, Wynn Resorts Holdings and Valvino are member-managed limited liability companies and do not have boards of directors. As a result, Wynn Resorts, through its subsidiaries, controls Wynn Las Vegas and Wynn Capital. Upon consummation of this offering, the following individuals will serve as directors and executive officers of Wynn Resorts and Wynn Capital, respectively, and their ages and positions will be as follows: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35</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-2413635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-2413635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-2413635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-2413635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-2413635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-2413635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of Wynn Resorts since June 2002. From April 2000 to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Wynn was 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of Wynn Resorts since October 2002. Mr. Okada founded Aruze Corp., a Japanese manufacturer of</w:t>
      </w:r>
      <w:r>
        <w:rPr>
          <w:rFonts w:ascii="Arial" w:cs="Arial" w:eastAsia="Arial" w:hAnsi="Arial"/>
          <w:sz w:val="16"/>
          <w:szCs w:val="16"/>
          <w:i w:val="1"/>
          <w:iCs w:val="1"/>
          <w:color w:val="auto"/>
        </w:rPr>
        <w:t xml:space="preserve"> </w:t>
      </w:r>
      <w:r>
        <w:rPr>
          <w:rFonts w:ascii="Arial" w:cs="Arial" w:eastAsia="Arial" w:hAnsi="Arial"/>
          <w:sz w:val="16"/>
          <w:szCs w:val="16"/>
          <w:color w:val="auto"/>
        </w:rPr>
        <w:t>pachislot 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of Wynn Resorts since October 2002. Mr. Kramer has served as President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since April 2002. From July 1999 to October 2001, Mr. Kramer was a Managing Director at Dresdner Kleinwort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4" w:lineRule="exact"/>
        <w:rPr>
          <w:sz w:val="20"/>
          <w:szCs w:val="20"/>
          <w:color w:val="auto"/>
        </w:rPr>
      </w:pPr>
    </w:p>
    <w:p>
      <w:pPr>
        <w:ind w:right="280" w:firstLine="351"/>
        <w:spacing w:after="0" w:line="318" w:lineRule="auto"/>
        <w:rPr>
          <w:sz w:val="20"/>
          <w:szCs w:val="20"/>
          <w:color w:val="auto"/>
        </w:rPr>
      </w:pPr>
      <w:r>
        <w:rPr>
          <w:rFonts w:ascii="Arial" w:cs="Arial" w:eastAsia="Arial" w:hAnsi="Arial"/>
          <w:sz w:val="15"/>
          <w:szCs w:val="15"/>
          <w:i w:val="1"/>
          <w:iCs w:val="1"/>
          <w:color w:val="auto"/>
        </w:rPr>
        <w:t xml:space="preserve">Robert J. Miller </w:t>
      </w:r>
      <w:r>
        <w:rPr>
          <w:rFonts w:ascii="Arial" w:cs="Arial" w:eastAsia="Arial" w:hAnsi="Arial"/>
          <w:sz w:val="15"/>
          <w:szCs w:val="15"/>
          <w:color w:val="auto"/>
        </w:rPr>
        <w:t>has served as a director of Wynn Resorts since October 2002. Robert J. Miller has been a partner of the Nevada law firm of Jones Vargas</w:t>
      </w:r>
      <w:r>
        <w:rPr>
          <w:rFonts w:ascii="Arial" w:cs="Arial" w:eastAsia="Arial" w:hAnsi="Arial"/>
          <w:sz w:val="15"/>
          <w:szCs w:val="15"/>
          <w:i w:val="1"/>
          <w:iCs w:val="1"/>
          <w:color w:val="auto"/>
        </w:rPr>
        <w:t xml:space="preserve"> </w:t>
      </w:r>
      <w:r>
        <w:rPr>
          <w:rFonts w:ascii="Arial" w:cs="Arial" w:eastAsia="Arial" w:hAnsi="Arial"/>
          <w:sz w:val="15"/>
          <w:szCs w:val="15"/>
          <w:color w:val="auto"/>
        </w:rPr>
        <w:t>since 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5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of Wynn Resorts since October 2002. Mr. Moran is the retired Chairman of Dyson-Kissner-Moran Corporation,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i w:val="1"/>
          <w:iCs w:val="1"/>
          <w:color w:val="auto"/>
        </w:rPr>
        <w:t xml:space="preserve">Elaine P. Wynn </w:t>
      </w:r>
      <w:r>
        <w:rPr>
          <w:rFonts w:ascii="Arial" w:cs="Arial" w:eastAsia="Arial" w:hAnsi="Arial"/>
          <w:sz w:val="15"/>
          <w:szCs w:val="15"/>
          <w:color w:val="auto"/>
        </w:rPr>
        <w:t>has served as a director of Wynn Resorts since October 2002. Mrs. Wynn has served as Co-Chairperson of the Greater Las Vegas Inner-City</w:t>
      </w:r>
      <w:r>
        <w:rPr>
          <w:rFonts w:ascii="Arial" w:cs="Arial" w:eastAsia="Arial" w:hAnsi="Arial"/>
          <w:sz w:val="15"/>
          <w:szCs w:val="15"/>
          <w:i w:val="1"/>
          <w:iCs w:val="1"/>
          <w:color w:val="auto"/>
        </w:rPr>
        <w:t xml:space="preserve"> </w:t>
      </w:r>
      <w:r>
        <w:rPr>
          <w:rFonts w:ascii="Arial" w:cs="Arial" w:eastAsia="Arial" w:hAnsi="Arial"/>
          <w:sz w:val="15"/>
          <w:szCs w:val="15"/>
          <w:color w:val="auto"/>
        </w:rPr>
        <w:t>Games 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ectPr>
          <w:pgSz w:w="11900" w:h="16838" w:orient="portrait"/>
          <w:cols w:equalWidth="0" w:num="1">
            <w:col w:w="11420"/>
          </w:cols>
          <w:pgMar w:left="240" w:top="131" w:right="239" w:bottom="0" w:gutter="0" w:footer="0" w:header="0"/>
        </w:sectPr>
      </w:pPr>
    </w:p>
    <w:bookmarkStart w:id="66" w:name="page67"/>
    <w:bookmarkEnd w:id="66"/>
    <w:p>
      <w:pPr>
        <w:spacing w:after="0" w:line="7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of Wynn Resorts since October 2002. Since 1977, Mr. Zax has served as Chairman of the Board, and, since 1978,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of Wynn Resorts since October 2002. Mr. Zeman has served as chairman of Lan Kwai Fong Holdings Limited,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engaged in 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of Wynn Resorts. Since April 2001, Mr. Schorr has served as Chief Operating Officer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From June 2000 through April 2001, Mr. Schorr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of Wynn Resorts. Since November 2001, Mr. Strzemp has served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of Wynn Resorts. Since April 2001, Mr. Rubinstein has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President—General 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of Wynn Resorts. Mr. Maddox has served as Vice President—Investor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subsidiary of Valvino, since June 2000. From 1973 until</w:t>
      </w:r>
      <w:r>
        <w:rPr>
          <w:rFonts w:ascii="Arial" w:cs="Arial" w:eastAsia="Arial" w:hAnsi="Arial"/>
          <w:sz w:val="16"/>
          <w:szCs w:val="16"/>
          <w:i w:val="1"/>
          <w:iCs w:val="1"/>
          <w:color w:val="auto"/>
        </w:rPr>
        <w:t xml:space="preserve"> </w:t>
      </w:r>
      <w:r>
        <w:rPr>
          <w:rFonts w:ascii="Arial" w:cs="Arial" w:eastAsia="Arial" w:hAnsi="Arial"/>
          <w:sz w:val="16"/>
          <w:szCs w:val="16"/>
          <w:color w:val="auto"/>
        </w:rPr>
        <w:t>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Wynn Resorts'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Resorts' articles of incorporation and bylaws provide for a classified board of directors consisting of three classes of directors, each serving staggered three-year terms. As a result, a portion of Wynn Resorts' board of directors will be elected each year. To implement the classified board of directors structure, prior to the completion of Wynn Resorts' common stock offering, three of the members of the board of directors will be Class I directors elected to one-year terms, two will be Class II directors elected to two-year terms and three will be Class III directors elected to three-year terms. Thereafter, directors will be elected for three-year terms. Upon the completion of Wynn Resorts' common stock offering, Class I will consist of Elaine P. Wynn, Ronald J. Kramer and John A. Moran; Class II will consist of Mr. Wynn and Stanley R. Zax; and Class III will consist of Robert J. Miller, Allan Zeman and Kazuo Okada.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 expects to have a board of directors comprised of the same members as Wynn Resorts' board of directors.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Upon completion of Wynn Resorts' common stock offering, the board of directors of Wynn Resorts intends to appoint an executive committee, an audit committee and a compensation committee. Wynn Capital's board of directors will also appoint an executive committee, an audit committee and a compensation committee, which committees will be comprised of the same members as Wynn Resorts' committees. The composition of the board committees of Wynn Resorts and Wynn Capital will comply with the requirements of The Nasdaq National Market and the Sarbanes-Oxley Act of 2002.</w:t>
      </w:r>
    </w:p>
    <w:p>
      <w:pPr>
        <w:sectPr>
          <w:pgSz w:w="11900" w:h="16912" w:orient="portrait"/>
          <w:cols w:equalWidth="0" w:num="1">
            <w:col w:w="11400"/>
          </w:cols>
          <w:pgMar w:left="240" w:top="131" w:right="259" w:bottom="0" w:gutter="0" w:footer="0" w:header="0"/>
        </w:sectPr>
      </w:pPr>
    </w:p>
    <w:bookmarkStart w:id="67" w:name="page68"/>
    <w:bookmarkEnd w:id="67"/>
    <w:p>
      <w:pPr>
        <w:ind w:right="220" w:firstLine="348"/>
        <w:spacing w:after="0" w:line="268" w:lineRule="auto"/>
        <w:rPr>
          <w:sz w:val="20"/>
          <w:szCs w:val="20"/>
          <w:color w:val="auto"/>
        </w:rPr>
      </w:pPr>
      <w:r>
        <w:rPr>
          <w:rFonts w:ascii="Arial" w:cs="Arial" w:eastAsia="Arial" w:hAnsi="Arial"/>
          <w:sz w:val="18"/>
          <w:szCs w:val="18"/>
          <w:color w:val="auto"/>
        </w:rPr>
        <w:t>The executive committees of Wynn Resorts and Wynn Capital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Wynn Resorts'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Las Vegas' Annual Reports on Form 10-K to be filed with the Securities and Exchange Commission. We expect that the audit committees of Wynn Resorts and Wynn Capital will be comprised of three independent directors.</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compensation committees of Wynn Resorts and Wynn Capital will review and approve on behalf of the entire board of directors of Wynn Resorts and Wynn Capital, respectively, the (1) annual salaries and other compensation of its respective officers, and (2) individual stock and stock option grants. The compensation committees of Wynn Resorts and Wynn Capital also will provide assistance and recommendations with respect to its respective compensation policies and practices and assist with the administration of the compensation plan of Wynn Resorts and Wynn Capital. We expect that each of the compensation committees of Wynn Resorts and Wynn Capital will be comprised of at least two independent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noted above, the board of directors of Wynn Resorts and Wynn Capital will appoint a compensation committee upon completion of Wynn Resorts' initial public offering. We do not expect that any of Wynn Resorts' or Wynn Capital's executive officers will serve as a director or member of the compensation committee of another entity, one of whose executive officers serves on Wynn Resorts' or Wynn Capital's board of directors or compensation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Upon completion of Wynn Resorts' initial public offering, each of the directors of Wynn Resorts and Wynn Capital who is not an employee of Wynn Resorts or its subsidiaries will receive a monthly fee of $4,000 for services as a director. Directors who serve on the executive, audit and compensation committees will receive an additional monthly fee of $1,000. Directors will also receive reimbursement for medical expenses and coverage under a life insurance program. Directors who are employees of Wynn Resorts or its subsidiaries will not receive compensation for their services as directors.</w:t>
      </w:r>
    </w:p>
    <w:p>
      <w:pPr>
        <w:spacing w:after="0" w:line="16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Each non-employee director of Wynn Resorts and Wynn Capital will receive stock options each year under Wynn Resorts' 2002 stock incentive plan in an amount to be determined. The stock options will have an exercise price equal to the market value of Wynn Resorts' common stock on the date of grant and will vest over a period defined in the option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and Wynn Capital's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88"/>
              </w:rPr>
              <w:t>Annual Compensation</w:t>
            </w: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Other Annual</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71,190(3)(4)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Chief Executive Officer and President of Wynn Resorts Holdings</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31,511(3)(4)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D. Schorr(5)</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92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Kenneth R. Wynn(6)</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John Strzemp(7)</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1"/>
                <w:szCs w:val="11"/>
                <w:color w:val="auto"/>
              </w:rPr>
            </w:pPr>
          </w:p>
        </w:tc>
        <w:tc>
          <w:tcPr>
            <w:tcW w:w="2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300,530</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14,963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w w:val="92"/>
              </w:rPr>
              <w:t>Executive Vice President and Chief Financial Officer of Wynn Resorts</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65,769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150,000</w:t>
            </w:r>
          </w:p>
        </w:tc>
        <w:tc>
          <w:tcPr>
            <w:tcW w:w="300" w:type="dxa"/>
            <w:vAlign w:val="bottom"/>
          </w:tcPr>
          <w:p>
            <w:pPr>
              <w:spacing w:after="0"/>
              <w:rPr>
                <w:sz w:val="12"/>
                <w:szCs w:val="12"/>
                <w:color w:val="auto"/>
              </w:rPr>
            </w:pPr>
          </w:p>
        </w:tc>
        <w:tc>
          <w:tcPr>
            <w:tcW w:w="1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DeRuyter O. Butler(8)</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88"/>
              </w:rPr>
              <w:t>Executive Vice President—Architecture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197,885</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35,000</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H. Rubinstein(9)</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286,279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00" w:type="dxa"/>
            <w:vAlign w:val="bottom"/>
            <w:gridSpan w:val="3"/>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113,708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12,500</w:t>
            </w:r>
          </w:p>
        </w:tc>
        <w:tc>
          <w:tcPr>
            <w:tcW w:w="300" w:type="dxa"/>
            <w:vAlign w:val="bottom"/>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-1832610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-1832610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-1395095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-1395095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-1395095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-1395095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-1395095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-1395095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-1395095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-1395095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-1395095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-1395095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2"/>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2"/>
        </w:numPr>
        <w:rPr>
          <w:rFonts w:ascii="Arial" w:cs="Arial" w:eastAsia="Arial" w:hAnsi="Arial"/>
          <w:sz w:val="23"/>
          <w:szCs w:val="23"/>
          <w:color w:val="auto"/>
          <w:vertAlign w:val="subscript"/>
        </w:rPr>
      </w:pPr>
      <w:r>
        <w:rPr>
          <w:rFonts w:ascii="Arial" w:cs="Arial" w:eastAsia="Arial" w:hAnsi="Arial"/>
          <w:sz w:val="12"/>
          <w:szCs w:val="12"/>
          <w:color w:val="auto"/>
        </w:rPr>
        <w:t>Stephen A. Wynn served as managing member of Valvino from its inception to September 2002 and has served as Chief Executive Officer and President of Wynn Resorts Holdings since April 1, 2001.</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2"/>
        </w:numPr>
        <w:rPr>
          <w:rFonts w:ascii="Arial" w:cs="Arial" w:eastAsia="Arial" w:hAnsi="Arial"/>
          <w:sz w:val="23"/>
          <w:szCs w:val="23"/>
          <w:color w:val="auto"/>
          <w:vertAlign w:val="subscript"/>
        </w:rPr>
      </w:pPr>
      <w:r>
        <w:rPr>
          <w:rFonts w:ascii="Arial" w:cs="Arial" w:eastAsia="Arial" w:hAnsi="Arial"/>
          <w:sz w:val="12"/>
          <w:szCs w:val="12"/>
          <w:color w:val="auto"/>
        </w:rPr>
        <w:t>Represents (i) salary of a driver whom we employ for Stephen A. Wynn's business and personal use and (ii) accounting services.</w:t>
      </w:r>
    </w:p>
    <w:p>
      <w:pPr>
        <w:spacing w:after="0" w:line="71" w:lineRule="exact"/>
        <w:rPr>
          <w:rFonts w:ascii="Arial" w:cs="Arial" w:eastAsia="Arial" w:hAnsi="Arial"/>
          <w:sz w:val="23"/>
          <w:szCs w:val="23"/>
          <w:color w:val="auto"/>
          <w:vertAlign w:val="subscript"/>
        </w:rPr>
      </w:pPr>
    </w:p>
    <w:p>
      <w:pPr>
        <w:jc w:val="both"/>
        <w:ind w:left="540" w:right="120" w:hanging="532"/>
        <w:spacing w:after="0" w:line="188" w:lineRule="auto"/>
        <w:tabs>
          <w:tab w:leader="none" w:pos="540" w:val="left"/>
        </w:tabs>
        <w:numPr>
          <w:ilvl w:val="0"/>
          <w:numId w:val="92"/>
        </w:numPr>
        <w:rPr>
          <w:rFonts w:ascii="Arial" w:cs="Arial" w:eastAsia="Arial" w:hAnsi="Arial"/>
          <w:sz w:val="26"/>
          <w:szCs w:val="26"/>
          <w:color w:val="auto"/>
          <w:vertAlign w:val="subscript"/>
        </w:rPr>
      </w:pPr>
      <w:r>
        <w:rPr>
          <w:rFonts w:ascii="Arial" w:cs="Arial" w:eastAsia="Arial" w:hAnsi="Arial"/>
          <w:sz w:val="13"/>
          <w:szCs w:val="13"/>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92"/>
        </w:numPr>
        <w:rPr>
          <w:rFonts w:ascii="Arial" w:cs="Arial" w:eastAsia="Arial" w:hAnsi="Arial"/>
          <w:sz w:val="27"/>
          <w:szCs w:val="27"/>
          <w:color w:val="auto"/>
          <w:vertAlign w:val="subscript"/>
        </w:rPr>
      </w:pPr>
      <w:r>
        <w:rPr>
          <w:rFonts w:ascii="Arial" w:cs="Arial" w:eastAsia="Arial" w:hAnsi="Arial"/>
          <w:sz w:val="14"/>
          <w:szCs w:val="14"/>
          <w:color w:val="auto"/>
        </w:rPr>
        <w:t>Mr. Schorr was employed by Valvino from June 1, 2000 until his employment with Wynn Resorts Holdings commenced on April 1, 2001.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Kenneth R. Wynn's employment with Wynn Design &amp; Development commenced on June 1, 2000.</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93"/>
        </w:numPr>
        <w:rPr>
          <w:rFonts w:ascii="Arial" w:cs="Arial" w:eastAsia="Arial" w:hAnsi="Arial"/>
          <w:sz w:val="21"/>
          <w:szCs w:val="21"/>
          <w:color w:val="auto"/>
          <w:vertAlign w:val="subscript"/>
        </w:rPr>
      </w:pPr>
      <w:r>
        <w:rPr>
          <w:rFonts w:ascii="Arial" w:cs="Arial" w:eastAsia="Arial" w:hAnsi="Arial"/>
          <w:sz w:val="11"/>
          <w:szCs w:val="11"/>
          <w:color w:val="auto"/>
        </w:rPr>
        <w:t>Mr. Strzemp was employed by Valvino from November 1, 2000 until his employment with Wynn Resorts Holdings commenced on April 1, 2001.</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3"/>
        </w:numPr>
        <w:rPr>
          <w:rFonts w:ascii="Arial" w:cs="Arial" w:eastAsia="Arial" w:hAnsi="Arial"/>
          <w:sz w:val="23"/>
          <w:szCs w:val="23"/>
          <w:color w:val="auto"/>
          <w:vertAlign w:val="subscript"/>
        </w:rPr>
      </w:pPr>
      <w:r>
        <w:rPr>
          <w:rFonts w:ascii="Arial" w:cs="Arial" w:eastAsia="Arial" w:hAnsi="Arial"/>
          <w:sz w:val="12"/>
          <w:szCs w:val="12"/>
          <w:color w:val="auto"/>
        </w:rPr>
        <w:t>Mr. Butler's employment with Wynn Design &amp; Development commenced on June 1, 2000.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3"/>
        </w:numPr>
        <w:rPr>
          <w:rFonts w:ascii="Arial" w:cs="Arial" w:eastAsia="Arial" w:hAnsi="Arial"/>
          <w:sz w:val="23"/>
          <w:szCs w:val="23"/>
          <w:color w:val="auto"/>
          <w:vertAlign w:val="subscript"/>
        </w:rPr>
      </w:pPr>
      <w:r>
        <w:rPr>
          <w:rFonts w:ascii="Arial" w:cs="Arial" w:eastAsia="Arial" w:hAnsi="Arial"/>
          <w:sz w:val="12"/>
          <w:szCs w:val="12"/>
          <w:color w:val="auto"/>
        </w:rPr>
        <w:t>Mr. Rubinstein was employed by Valvino from June 23, 2000 until his employment with Wynn Resorts Holdings commenced on April 1, 2001.</w:t>
      </w:r>
    </w:p>
    <w:p>
      <w:pPr>
        <w:sectPr>
          <w:pgSz w:w="11900" w:h="16838" w:orient="portrait"/>
          <w:cols w:equalWidth="0" w:num="1">
            <w:col w:w="11420"/>
          </w:cols>
          <w:pgMar w:left="240" w:top="131" w:right="239" w:bottom="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401(k) Plan</w:t>
      </w:r>
    </w:p>
    <w:p>
      <w:pPr>
        <w:sectPr>
          <w:pgSz w:w="11900" w:h="16838" w:orient="portrait"/>
          <w:cols w:equalWidth="0" w:num="1">
            <w:col w:w="11420"/>
          </w:cols>
          <w:pgMar w:left="240" w:top="131" w:right="239" w:bottom="0" w:gutter="0" w:footer="0" w:header="0"/>
          <w:type w:val="continuous"/>
        </w:sectPr>
      </w:pPr>
    </w:p>
    <w:bookmarkStart w:id="68" w:name="page69"/>
    <w:bookmarkEnd w:id="68"/>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Wynn Resorts has adopted its 2002 stock incentive plan. The 2002 stock incentive plan provides for the grant of stock awards, incentive stock options and non-qualified stock options to our employees, directors and specified consultants. Wynn Resorts intends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certain events occur that result in a change of Wynn Resorts'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6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Following the completion of this offering and the offering of Wynn Resorts' common stock, Wynn Resorts intends to grant awards of 189,723 shares of restricted stock under its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9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Wynn Resorts has entered into employment agreements with Stephen A. Wynn, John Strzemp, Marc D. Schorr and Marc H. Rubinstein, and Wynn Design &amp; Development has entered into employment agreements with Kenneth R. Wynn and DeRuyter O. Butler.</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Under Stephen A. Wynn's employment agreement, the annual base salary is $1,250,000 for the first year and will increase by $500,000 each year to a maximum of $2,750,000. Under</w:t>
      </w:r>
    </w:p>
    <w:p>
      <w:pPr>
        <w:sectPr>
          <w:pgSz w:w="11900" w:h="16838" w:orient="portrait"/>
          <w:cols w:equalWidth="0" w:num="1">
            <w:col w:w="11420"/>
          </w:cols>
          <w:pgMar w:left="240" w:top="131" w:right="239" w:bottom="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Schorr's employment agreement, the annual base salary is $750,000 for the first year and $1,000,000 thereafter. The annual base salary is $459,000 for Mr. Strzemp, $360,000 for Mr. Rubinstein, $350,000 for Mr. Butler and $250,000 for Kenneth Wynn.</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Wynn Resorts' board of directors, in its sole and exclusive discretion, may determine. However, after Wynn Resorts'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will end on May 31, 2006. If this offering does not close on or before April 1, 2003, the employment contracts will become null and void. In addition to base salary and bonuses, each executive will participate in all of Wynn Resorts'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Wynn Resorts' sole cost and expense to Stephen A. Wynn, and Stephen A. Wynn, Mr. Schorr and Kenneth Wynn will enter into time-sharing agreements with their respective employing entity covering their personal use of our aircraft, with each such executive paying such employing entity the lesser of (1) his and his family's share of the direct costs incurred by us in operating the aircraft or (2) the amount required by applicable federal aviation regulations.</w:t>
      </w:r>
    </w:p>
    <w:p>
      <w:pPr>
        <w:spacing w:after="0" w:line="175" w:lineRule="exact"/>
        <w:rPr>
          <w:sz w:val="20"/>
          <w:szCs w:val="20"/>
          <w:color w:val="auto"/>
        </w:rPr>
      </w:pPr>
    </w:p>
    <w:p>
      <w:pPr>
        <w:ind w:right="80" w:firstLine="351"/>
        <w:spacing w:after="0" w:line="301" w:lineRule="auto"/>
        <w:rPr>
          <w:sz w:val="20"/>
          <w:szCs w:val="20"/>
          <w:color w:val="auto"/>
        </w:rPr>
      </w:pPr>
      <w:r>
        <w:rPr>
          <w:rFonts w:ascii="Arial" w:cs="Arial" w:eastAsia="Arial" w:hAnsi="Arial"/>
          <w:sz w:val="15"/>
          <w:szCs w:val="15"/>
          <w:color w:val="auto"/>
        </w:rPr>
        <w:t>If the employing entity terminates the employment of an executive without "cause," or the executive terminates his employment with such employing entity upon "good reason" following a "change of control" (as these terms are defined in the employment contracts), the employing entity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the Internal Revenue Code Section 4999. If the executive is entitled to receive the separation payment, he will also be entitled to continue participating in the employing entity's health benefits coverage for the period for which the separation payment is payable on the same basis as if he were still employed by the employing entity. Except as provided below, if the executive's employment terminates for any other reason before the expiration of the term (i.e., because of the executive's death, disability, discharge for cause or revocation of gaming license), the employing entity will be required to pay the executive only accrued but unpaid base salary and vacation pay through his termination date. If Mr. Wynn's employment agreement is terminated as a result of death, complete disability or denial or revocation of</w:t>
      </w:r>
    </w:p>
    <w:p>
      <w:pPr>
        <w:spacing w:after="0" w:line="3"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Mr. Wynn's gaming license, then the employing entity will pay Mr. Wynn a separation payment equal to his base salary for the remainder of the term of the employment contract, but not less than one year, and the bonus that Mr. Wynn received for the preceding bonus period projected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over the remainder of the term, but not less than the preceding bonus that was paid, projected over one year.</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w:t>
      </w:r>
    </w:p>
    <w:p>
      <w:pPr>
        <w:sectPr>
          <w:pgSz w:w="11900" w:h="16838" w:orient="portrait"/>
          <w:cols w:equalWidth="0" w:num="1">
            <w:col w:w="11400"/>
          </w:cols>
          <w:pgMar w:left="240" w:top="131" w:right="259" w:bottom="0" w:gutter="0" w:footer="0" w:header="0"/>
        </w:sectPr>
      </w:pPr>
    </w:p>
    <w:bookmarkStart w:id="70" w:name="page71"/>
    <w:bookmarkEnd w:id="70"/>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Capital's articles of incorporation and bylaws contain similar limited liability and indemnification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operating agreement provides that it shall indemnify its members to the maximum extent permitted by Nevada law.</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ectPr>
          <w:pgSz w:w="11900" w:h="16881" w:orient="portrait"/>
          <w:cols w:equalWidth="0" w:num="1">
            <w:col w:w="11420"/>
          </w:cols>
          <w:pgMar w:left="240" w:top="131" w:right="239" w:bottom="0" w:gutter="0" w:footer="0" w:header="0"/>
        </w:sectPr>
      </w:pPr>
    </w:p>
    <w:bookmarkStart w:id="71" w:name="page72"/>
    <w:bookmarkEnd w:id="71"/>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subsidiary of Valvino, is responsible for the design and architecture of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Art Gallery. </w:t>
      </w:r>
      <w:r>
        <w:rPr>
          <w:rFonts w:ascii="Arial" w:cs="Arial" w:eastAsia="Arial" w:hAnsi="Arial"/>
          <w:sz w:val="18"/>
          <w:szCs w:val="18"/>
          <w:color w:val="auto"/>
        </w:rPr>
        <w:t>We operate an art gallery at the former premises of the Desert Inn Resort &amp; Casino in which we display paintings from The Wynn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9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w:t>
      </w:r>
    </w:p>
    <w:p>
      <w:pPr>
        <w:sectPr>
          <w:pgSz w:w="11900" w:h="16884" w:orient="portrait"/>
          <w:cols w:equalWidth="0" w:num="1">
            <w:col w:w="11400"/>
          </w:cols>
          <w:pgMar w:left="240" w:top="131" w:right="259" w:bottom="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by Mr. Wynn. Valvino paid Las Vegas Jet approximately $356,000 for its use of the aircraft during this period. Wynn Macau paid Las Vegas Jet approximately $211,000 for its use of the aircraft during the period following the contribution by Wynn Macau to Valvino and prior to May 30, 2002.</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Tax Indemnification Agreement. </w:t>
      </w:r>
      <w:r>
        <w:rPr>
          <w:rFonts w:ascii="Arial" w:cs="Arial" w:eastAsia="Arial" w:hAnsi="Arial"/>
          <w:sz w:val="18"/>
          <w:szCs w:val="18"/>
          <w:color w:val="auto"/>
        </w:rPr>
        <w:t>Mr. Wynn, Aruze USA, Baron Asset Fund, and the Kenneth R. Wynn Family Trust, referred to collectively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Transfer of Valvino Assets. </w:t>
      </w:r>
      <w:r>
        <w:rPr>
          <w:rFonts w:ascii="Arial" w:cs="Arial" w:eastAsia="Arial" w:hAnsi="Arial"/>
          <w:sz w:val="16"/>
          <w:szCs w:val="16"/>
          <w:color w:val="auto"/>
        </w:rPr>
        <w:t>In October 2002, Valvino transferred certain of its assets, including, among other things, its interest in Wynn Group Asia,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the indirect parent of Wynn Macau, Kevyn, LLC, Rambas Marketing Co., LLC, Toasty, LLC and WorldWide Wynn, LLC to Wynn Resorts.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2002, Valvino also contributed its equity interests in World Travel and Las Vegas Jet to Wynn Las Vegas.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Other Intercompany Agreements. </w:t>
      </w:r>
      <w:r>
        <w:rPr>
          <w:rFonts w:ascii="Arial" w:cs="Arial" w:eastAsia="Arial" w:hAnsi="Arial"/>
          <w:sz w:val="16"/>
          <w:szCs w:val="16"/>
          <w:color w:val="auto"/>
        </w:rPr>
        <w:t>Wynn Las Vegas has entered or plans to enter into various intercompany agreements with Valvino and/or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pursuant to which Wynn Las Vegas will lease the land on which the golf course, the driving range and an employee parking lot will be built, and the office building located on the 20-acre parcel located next to Le Rêve. Wynn Las Vegas will sublease space in the office building to Wynn Design &amp; Development and Wynn Resorts and will sublease the art gallery space to Wynn Resorts Holdings. Wynn Las Vegas, World Travel and Las Vegas Jet will enter into an agreement regarding use of the corporate aircraft. Wynn Design &amp; Development will enter into a contract with Wynn Las Vegas providing for design services in connection with Le Rêve by Wynn Design &amp; Development to Wynn Las Vegas.</w:t>
      </w:r>
    </w:p>
    <w:p>
      <w:pPr>
        <w:spacing w:after="0" w:line="174"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Wynn Resorts will enter into a management agreement with the restricted entities to provide management and consulting services to Valvino and the restricted entities.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ectPr>
          <w:pgSz w:w="11900" w:h="16838" w:orient="portrait"/>
          <w:cols w:equalWidth="0" w:num="1">
            <w:col w:w="11420"/>
          </w:cols>
          <w:pgMar w:left="240" w:top="131" w:right="239" w:bottom="0" w:gutter="0" w:footer="0" w:header="0"/>
        </w:sectPr>
      </w:pPr>
    </w:p>
    <w:bookmarkStart w:id="73" w:name="page74"/>
    <w:bookmarkEnd w:id="73"/>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Discussion &amp; Analysis of Financial Condition and Results of Operations—Liquidity and Capital Resources—Material Transactions Affecting Liquidity and Capital Resources."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Wynn Resorts' initial public offering and a joint book-running manager in this offering. In addition, affiliates of Dresdner Kleinwort Wasserstein may participate in the credit facilities and/or FF&amp;E facility.</w:t>
      </w:r>
    </w:p>
    <w:p>
      <w:pPr>
        <w:spacing w:after="0" w:line="19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w:t>
      </w:r>
      <w:r>
        <w:rPr>
          <w:rFonts w:ascii="Arial" w:cs="Arial" w:eastAsia="Arial" w:hAnsi="Arial"/>
          <w:sz w:val="16"/>
          <w:szCs w:val="16"/>
          <w:color w:val="auto"/>
        </w:rPr>
        <w:t>Each of Stephen A. Wynn, Chairman of the Board, Chief Executive Officer and a principal stockholder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Aruze USA, a principal stockholder of Wynn Resorts, has expressed interest in purchasing 5,769,231 shares of common stock directly from us at the price being offered to the public. Wynn Resorts intends to offer these shares directly to Mr. Wynn and Aruze USA as part of this offering.</w:t>
      </w:r>
    </w:p>
    <w:p>
      <w:pPr>
        <w:spacing w:after="0" w:line="16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underwriters will not receive any underwriting discounts or commissions on any shares of common stock purchased by Mr. Wynn, or Aruze USA.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June 3, 2002, and in preparation for its offering of common stock,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current directors and executive officers of Wynn Resorts as a group.</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74,615,000 shares of common stock outstanding after completion of Wynn Resorts'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3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7"/>
              </w:rPr>
              <w:t>Before Offering</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3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w w:val="81"/>
              </w:rPr>
              <w:t>Percent</w:t>
            </w:r>
          </w:p>
        </w:tc>
        <w:tc>
          <w:tcPr>
            <w:tcW w:w="360" w:type="dxa"/>
            <w:vAlign w:val="bottom"/>
          </w:tcPr>
          <w:p>
            <w:pPr>
              <w:spacing w:after="0"/>
              <w:rPr>
                <w:sz w:val="23"/>
                <w:szCs w:val="23"/>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24,741,530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300" w:type="dxa"/>
            <w:vAlign w:val="bottom"/>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24,741,530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24,741,530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300" w:type="dxa"/>
            <w:vAlign w:val="bottom"/>
          </w:tcPr>
          <w:p>
            <w:pPr>
              <w:jc w:val="right"/>
              <w:spacing w:after="0"/>
              <w:rPr>
                <w:sz w:val="20"/>
                <w:szCs w:val="20"/>
                <w:color w:val="auto"/>
              </w:rPr>
            </w:pPr>
            <w:r>
              <w:rPr>
                <w:rFonts w:ascii="Arial" w:cs="Arial" w:eastAsia="Arial" w:hAnsi="Arial"/>
                <w:sz w:val="18"/>
                <w:szCs w:val="18"/>
                <w:color w:val="auto"/>
              </w:rPr>
              <w:t>58,317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58,317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49,541,377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-2387600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-2387600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-2387600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-2387600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-2139315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-2139315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-2139315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-2139315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-2139315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-2139315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-2139315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-2139315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-2139315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-2139315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400" w:hanging="532"/>
        <w:spacing w:after="0" w:line="186" w:lineRule="auto"/>
        <w:tabs>
          <w:tab w:leader="none" w:pos="540" w:val="left"/>
        </w:tabs>
        <w:numPr>
          <w:ilvl w:val="0"/>
          <w:numId w:val="99"/>
        </w:numPr>
        <w:rPr>
          <w:rFonts w:ascii="Arial" w:cs="Arial" w:eastAsia="Arial" w:hAnsi="Arial"/>
          <w:sz w:val="27"/>
          <w:szCs w:val="27"/>
          <w:color w:val="auto"/>
          <w:vertAlign w:val="subscript"/>
        </w:rPr>
      </w:pPr>
      <w:r>
        <w:rPr>
          <w:rFonts w:ascii="Arial" w:cs="Arial" w:eastAsia="Arial" w:hAnsi="Arial"/>
          <w:sz w:val="14"/>
          <w:szCs w:val="14"/>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w:t>
      </w:r>
    </w:p>
    <w:p>
      <w:pPr>
        <w:sectPr>
          <w:pgSz w:w="11900" w:h="16838" w:orient="portrait"/>
          <w:cols w:equalWidth="0" w:num="1">
            <w:col w:w="11420"/>
          </w:cols>
          <w:pgMar w:left="240" w:top="131" w:right="239" w:bottom="88"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88" w:gutter="0" w:footer="0" w:header="0"/>
          <w:type w:val="continuous"/>
        </w:sectPr>
      </w:pPr>
    </w:p>
    <w:bookmarkStart w:id="74" w:name="page75"/>
    <w:bookmarkEnd w:id="74"/>
    <w:p>
      <w:pPr>
        <w:ind w:left="540"/>
        <w:spacing w:after="0"/>
        <w:rPr>
          <w:sz w:val="20"/>
          <w:szCs w:val="20"/>
          <w:color w:val="auto"/>
        </w:rPr>
      </w:pPr>
      <w:r>
        <w:rPr>
          <w:rFonts w:ascii="Arial" w:cs="Arial" w:eastAsia="Arial" w:hAnsi="Arial"/>
          <w:sz w:val="12"/>
          <w:szCs w:val="12"/>
          <w:color w:val="auto"/>
        </w:rPr>
        <w:t>and percentage ownership of after the offering include 5,769,231 shares of our common stock for which each of Mr. Wynn and Aruze USA, Inc. has expressed an interest in purchasing in this offering.</w:t>
      </w:r>
    </w:p>
    <w:p>
      <w:pPr>
        <w:spacing w:after="0" w:line="173" w:lineRule="exact"/>
        <w:rPr>
          <w:sz w:val="20"/>
          <w:szCs w:val="20"/>
          <w:color w:val="auto"/>
        </w:rPr>
      </w:pPr>
    </w:p>
    <w:p>
      <w:pPr>
        <w:ind w:left="540" w:right="40" w:hanging="532"/>
        <w:spacing w:after="0" w:line="188" w:lineRule="auto"/>
        <w:tabs>
          <w:tab w:leader="none" w:pos="540" w:val="left"/>
        </w:tabs>
        <w:numPr>
          <w:ilvl w:val="0"/>
          <w:numId w:val="100"/>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85" w:lineRule="exact"/>
        <w:rPr>
          <w:rFonts w:ascii="Arial" w:cs="Arial" w:eastAsia="Arial" w:hAnsi="Arial"/>
          <w:sz w:val="26"/>
          <w:szCs w:val="26"/>
          <w:color w:val="auto"/>
          <w:vertAlign w:val="subscript"/>
        </w:rPr>
      </w:pPr>
    </w:p>
    <w:p>
      <w:pPr>
        <w:ind w:left="540" w:right="200" w:hanging="532"/>
        <w:spacing w:after="0" w:line="186" w:lineRule="auto"/>
        <w:tabs>
          <w:tab w:leader="none" w:pos="540" w:val="left"/>
        </w:tabs>
        <w:numPr>
          <w:ilvl w:val="0"/>
          <w:numId w:val="100"/>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87" w:lineRule="auto"/>
        <w:tabs>
          <w:tab w:leader="none" w:pos="540" w:val="left"/>
        </w:tabs>
        <w:numPr>
          <w:ilvl w:val="0"/>
          <w:numId w:val="100"/>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1" w:lineRule="exact"/>
        <w:rPr>
          <w:rFonts w:ascii="Arial" w:cs="Arial" w:eastAsia="Arial" w:hAnsi="Arial"/>
          <w:sz w:val="27"/>
          <w:szCs w:val="27"/>
          <w:color w:val="auto"/>
          <w:vertAlign w:val="subscript"/>
        </w:rPr>
      </w:pPr>
    </w:p>
    <w:p>
      <w:pPr>
        <w:ind w:left="540" w:right="240" w:hanging="532"/>
        <w:spacing w:after="0" w:line="186" w:lineRule="auto"/>
        <w:tabs>
          <w:tab w:leader="none" w:pos="540" w:val="left"/>
        </w:tabs>
        <w:numPr>
          <w:ilvl w:val="0"/>
          <w:numId w:val="100"/>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 Includes 11,538,462 shares in which Mr. Wynn and Aruze USA have expressed an interest in purchasing in this offering.</w:t>
      </w:r>
    </w:p>
    <w:p>
      <w:pPr>
        <w:spacing w:after="0" w:line="195"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b w:val="1"/>
          <w:bCs w:val="1"/>
          <w:i w:val="1"/>
          <w:iCs w:val="1"/>
          <w:color w:val="auto"/>
        </w:rPr>
        <w:t>Additional Stock Grants.</w:t>
      </w:r>
      <w:r>
        <w:rPr>
          <w:sz w:val="20"/>
          <w:szCs w:val="20"/>
          <w:color w:val="auto"/>
        </w:rPr>
        <w:tab/>
      </w:r>
      <w:r>
        <w:rPr>
          <w:rFonts w:ascii="Arial" w:cs="Arial" w:eastAsia="Arial" w:hAnsi="Arial"/>
          <w:sz w:val="16"/>
          <w:szCs w:val="16"/>
          <w:color w:val="auto"/>
        </w:rPr>
        <w:t>Following the completion of this offering and the offering of Wynn Resorts common stock, we intend to grant awards of 189,723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shares of restricted stock under our 2002 stock incentive plan to each of the following employees: DeRuyter O. Butler, W. Todd Nisbet, Marc D. Schorr, John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Strzemp, Roger P. Thomas and Kenneth R. Wynn. The restricted stock will vest in November 2004 as to Mr. Strzemp, in May 2005 as to Mr. Schorr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Kenneth R. Wynn, in May 2006 as to Mr. Butler and Mr. Thomas and in June 2006 as to Mr. Nisbet. The restricted stock will vest immediately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 if such individual terminates employment with us under circumstances that entitle him to receive a "separation payment" under his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b w:val="1"/>
          <w:bCs w:val="1"/>
          <w:i w:val="1"/>
          <w:iCs w:val="1"/>
          <w:color w:val="auto"/>
        </w:rPr>
        <w:t xml:space="preserve">Buy-Out of Aruze USA Stock. </w:t>
      </w:r>
      <w:r>
        <w:rPr>
          <w:rFonts w:ascii="Arial" w:cs="Arial" w:eastAsia="Arial" w:hAnsi="Arial"/>
          <w:sz w:val="15"/>
          <w:szCs w:val="15"/>
          <w:color w:val="auto"/>
        </w:rPr>
        <w:t>Mr. Wynn, Kazuo Okada, Aruze USA, Aruze Corp. and Wynn Resorts have entered into arrangements which provide that if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"—Nevada gaming regulatory issues may arise regarding the licensing of owners of Wynn Resorts."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SECOND MORTGAGE NOTES</w:t>
      </w:r>
    </w:p>
    <w:p>
      <w:pPr>
        <w:spacing w:after="0" w:line="231"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"Issuers" refers collectively to Wynn Las Vegas, LLC and Wynn Las Vegas Capital Corp. and not to any of their respective subsidiaries, and the words "we," "us" and "our" refer to Wynn Las Vegas and its subsidiaries.</w:t>
      </w:r>
    </w:p>
    <w:p>
      <w:pPr>
        <w:spacing w:after="0" w:line="19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Issuers will issue the notes under an indenture among Wynn Las Vegas and Wynn Las Vegas Capital Corp., as joint and several obligors, Desert Inn Water Company, LLC, Wynn Design &amp; Development, LLC, Wynn Resorts Holdings, Las Vegas Jet, LLC, World Travel, LLC, Palo, LLC, Valvino Lamore and Wynn Resorts, Limited as guarantors, and Wells Fargo Bank, National Association, as indenture trustee. The terms of the notes include those stated in the indenture and those made part of the indenture by reference to the Trust Indenture Act of 1939, as amended. The Collateral Documents referred to under "— Security Interests" define the terms of the agreements that will secure the notes.</w:t>
      </w:r>
    </w:p>
    <w:p>
      <w:pPr>
        <w:spacing w:after="0" w:line="170"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ectPr>
          <w:pgSz w:w="11900" w:h="16838" w:orient="portrait"/>
          <w:cols w:equalWidth="0" w:num="1">
            <w:col w:w="11420"/>
          </w:cols>
          <w:pgMar w:left="240" w:top="129" w:right="239" w:bottom="0" w:gutter="0" w:footer="0" w:header="0"/>
        </w:sectPr>
      </w:pPr>
    </w:p>
    <w:bookmarkStart w:id="75" w:name="page76"/>
    <w:bookmarkEnd w:id="75"/>
    <w:p>
      <w:pPr>
        <w:ind w:left="540"/>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is constructing and will own and operate Le Rêve. Wynn Capital is a wholly owned subsidiary of 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solely to serve as a corporate co-issuer of the notes in order to facilitate this offering. We believe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principal, interest or other amounts required to be paid on the notes.</w:t>
      </w:r>
    </w:p>
    <w:p>
      <w:pPr>
        <w:spacing w:after="0" w:line="170"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General terms.</w:t>
      </w:r>
      <w:r>
        <w:rPr>
          <w:sz w:val="20"/>
          <w:szCs w:val="20"/>
          <w:color w:val="auto"/>
        </w:rPr>
        <w:tab/>
      </w:r>
      <w:r>
        <w:rPr>
          <w:rFonts w:ascii="Arial" w:cs="Arial" w:eastAsia="Arial" w:hAnsi="Arial"/>
          <w:sz w:val="15"/>
          <w:szCs w:val="15"/>
          <w:color w:val="auto"/>
        </w:rPr>
        <w:t>The notes:</w:t>
      </w:r>
    </w:p>
    <w:p>
      <w:pPr>
        <w:spacing w:after="0" w:line="239" w:lineRule="exact"/>
        <w:rPr>
          <w:sz w:val="20"/>
          <w:szCs w:val="20"/>
          <w:color w:val="auto"/>
        </w:rPr>
      </w:pPr>
    </w:p>
    <w:p>
      <w:pPr>
        <w:ind w:left="1080" w:right="6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will be second mortgage notes, issued in an original aggregate principal amount of $365.0 million at maturity, with a maximum aggregate principal amount at maturity of $465.0 million;</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4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240"/>
              <w:spacing w:after="0"/>
              <w:rPr>
                <w:sz w:val="20"/>
                <w:szCs w:val="20"/>
                <w:color w:val="auto"/>
              </w:rPr>
            </w:pPr>
            <w:r>
              <w:rPr>
                <w:rFonts w:ascii="Arial" w:cs="Arial" w:eastAsia="Arial" w:hAnsi="Arial"/>
                <w:sz w:val="18"/>
                <w:szCs w:val="18"/>
                <w:color w:val="auto"/>
              </w:rPr>
              <w:t>will mature on</w:t>
            </w:r>
          </w:p>
        </w:tc>
        <w:tc>
          <w:tcPr>
            <w:tcW w:w="1760" w:type="dxa"/>
            <w:vAlign w:val="bottom"/>
          </w:tcPr>
          <w:p>
            <w:pPr>
              <w:jc w:val="right"/>
              <w:ind w:right="632"/>
              <w:spacing w:after="0"/>
              <w:rPr>
                <w:sz w:val="20"/>
                <w:szCs w:val="20"/>
                <w:color w:val="auto"/>
              </w:rPr>
            </w:pPr>
            <w:r>
              <w:rPr>
                <w:rFonts w:ascii="Arial" w:cs="Arial" w:eastAsia="Arial" w:hAnsi="Arial"/>
                <w:sz w:val="18"/>
                <w:szCs w:val="18"/>
                <w:color w:val="auto"/>
              </w:rPr>
              <w:t>, 2010;</w:t>
            </w:r>
          </w:p>
        </w:tc>
        <w:tc>
          <w:tcPr>
            <w:tcW w:w="1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100" w:type="dxa"/>
            <w:vAlign w:val="bottom"/>
            <w:gridSpan w:val="5"/>
          </w:tcPr>
          <w:p>
            <w:pPr>
              <w:ind w:left="240"/>
              <w:spacing w:after="0"/>
              <w:rPr>
                <w:sz w:val="20"/>
                <w:szCs w:val="20"/>
                <w:color w:val="auto"/>
              </w:rPr>
            </w:pPr>
            <w:r>
              <w:rPr>
                <w:rFonts w:ascii="Arial" w:cs="Arial" w:eastAsia="Arial" w:hAnsi="Arial"/>
                <w:sz w:val="18"/>
                <w:szCs w:val="18"/>
                <w:color w:val="auto"/>
                <w:w w:val="91"/>
              </w:rPr>
              <w:t>will bear interest at the rate of  % per annum (based on a 360-day year of twelve 30-day months), payable in arrears each</w:t>
            </w:r>
          </w:p>
        </w:tc>
        <w:tc>
          <w:tcPr>
            <w:tcW w:w="800" w:type="dxa"/>
            <w:vAlign w:val="bottom"/>
          </w:tcPr>
          <w:p>
            <w:pPr>
              <w:ind w:left="260"/>
              <w:spacing w:after="0"/>
              <w:rPr>
                <w:sz w:val="20"/>
                <w:szCs w:val="20"/>
                <w:color w:val="auto"/>
              </w:rPr>
            </w:pPr>
            <w:r>
              <w:rPr>
                <w:rFonts w:ascii="Arial" w:cs="Arial" w:eastAsia="Arial" w:hAnsi="Arial"/>
                <w:sz w:val="18"/>
                <w:szCs w:val="18"/>
                <w:color w:val="auto"/>
              </w:rPr>
              <w:t>and</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30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Arial" w:cs="Arial" w:eastAsia="Arial" w:hAnsi="Arial"/>
                <w:sz w:val="18"/>
                <w:szCs w:val="18"/>
                <w:color w:val="auto"/>
              </w:rPr>
              <w:t>commencing</w:t>
            </w:r>
          </w:p>
        </w:tc>
        <w:tc>
          <w:tcPr>
            <w:tcW w:w="1760" w:type="dxa"/>
            <w:vAlign w:val="bottom"/>
          </w:tcPr>
          <w:p>
            <w:pPr>
              <w:jc w:val="right"/>
              <w:ind w:right="752"/>
              <w:spacing w:after="0"/>
              <w:rPr>
                <w:sz w:val="20"/>
                <w:szCs w:val="20"/>
                <w:color w:val="auto"/>
              </w:rPr>
            </w:pPr>
            <w:r>
              <w:rPr>
                <w:rFonts w:ascii="Arial" w:cs="Arial" w:eastAsia="Arial" w:hAnsi="Arial"/>
                <w:sz w:val="18"/>
                <w:szCs w:val="18"/>
                <w:color w:val="auto"/>
              </w:rPr>
              <w:t>, 2003;</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w w:val="97"/>
              </w:rPr>
              <w:t>will not be redeemable at our option prior to</w:t>
            </w: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 2006, except that until</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w w:val="94"/>
              </w:rPr>
              <w:t>, 2005, we may redeem up to 35% in principal amount of the</w:t>
            </w:r>
          </w:p>
        </w:tc>
      </w:tr>
      <w:tr>
        <w:trPr>
          <w:trHeight w:val="222"/>
        </w:trPr>
        <w:tc>
          <w:tcPr>
            <w:tcW w:w="30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Arial" w:cs="Arial" w:eastAsia="Arial" w:hAnsi="Arial"/>
                <w:sz w:val="18"/>
                <w:szCs w:val="18"/>
                <w:color w:val="auto"/>
                <w:w w:val="91"/>
              </w:rPr>
              <w:t>notes at a premium of</w:t>
            </w:r>
          </w:p>
        </w:tc>
        <w:tc>
          <w:tcPr>
            <w:tcW w:w="7240" w:type="dxa"/>
            <w:vAlign w:val="bottom"/>
            <w:gridSpan w:val="4"/>
          </w:tcPr>
          <w:p>
            <w:pPr>
              <w:ind w:left="100"/>
              <w:spacing w:after="0"/>
              <w:rPr>
                <w:sz w:val="20"/>
                <w:szCs w:val="20"/>
                <w:color w:val="auto"/>
              </w:rPr>
            </w:pPr>
            <w:r>
              <w:rPr>
                <w:rFonts w:ascii="Arial" w:cs="Arial" w:eastAsia="Arial" w:hAnsi="Arial"/>
                <w:sz w:val="18"/>
                <w:szCs w:val="18"/>
                <w:color w:val="auto"/>
              </w:rPr>
              <w:t>% with the proceeds of Qualified Equity Offerings (other than the IPO);</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w w:val="95"/>
              </w:rPr>
              <w:t>will be redeemable at our option, in whole or in part, commencing</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 2006, at a premium declining ratably to par;</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right="4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asset sales, sale-leaseback transactions, and restricting dividend and other payments affecting subsidiaries, mergers, consolidations or sales of substantially all assets, sales of subsidiary stock and other specified types of transactions.</w:t>
      </w:r>
    </w:p>
    <w:p>
      <w:pPr>
        <w:spacing w:after="0" w:line="161"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i w:val="1"/>
          <w:iCs w:val="1"/>
          <w:color w:val="auto"/>
        </w:rPr>
        <w:t>Security and Ranking.</w:t>
      </w:r>
      <w:r>
        <w:rPr>
          <w:sz w:val="20"/>
          <w:szCs w:val="20"/>
          <w:color w:val="auto"/>
        </w:rPr>
        <w:tab/>
      </w:r>
      <w:r>
        <w:rPr>
          <w:rFonts w:ascii="Arial" w:cs="Arial" w:eastAsia="Arial" w:hAnsi="Arial"/>
          <w:sz w:val="15"/>
          <w:szCs w:val="15"/>
          <w:color w:val="auto"/>
        </w:rPr>
        <w:t>The notes:</w:t>
      </w:r>
    </w:p>
    <w:p>
      <w:pPr>
        <w:spacing w:after="0" w:line="252" w:lineRule="exact"/>
        <w:rPr>
          <w:sz w:val="20"/>
          <w:szCs w:val="20"/>
          <w:color w:val="auto"/>
        </w:rPr>
      </w:pPr>
    </w:p>
    <w:p>
      <w:pPr>
        <w:ind w:left="1080" w:hanging="532"/>
        <w:spacing w:after="0" w:line="298"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will be secured by (1) a perfected first priority security interest in the net proceeds of this offering, (2) perfected second priority security interests in substantially all of our other existing and future assets, including the Project, the Liquidity Reserve Account, and pledged Equity Interests in our Restricted Subsidiaries, but excluding (a) gaming licenses and other assets in which the grant of a security interest is restricted by law, and (b) the FF&amp;E Collateral, and (3) perfected third priority security interests in the FF&amp;E Collateral owned by Wynn Las Vegas;</w:t>
      </w:r>
    </w:p>
    <w:p>
      <w:pPr>
        <w:spacing w:after="0" w:line="180"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will be effectively subordinated to borrowings (1) of up to $1.0 billion under our Credit Agreement, secured by perfected first priority security interests in substantially all of our existing and future assets, other than (a) gaming licenses and other assets in which the grant of a security interest is restricted by law, (b) the FF&amp;E Collateral, and (c) the proceeds of this offering, and (2) of up to $188.5 million (or $198.5 million if and after a replacement corporate aircraft is acquired) under the FF&amp;E Facility;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we may incur; and</w:t>
      </w:r>
    </w:p>
    <w:p>
      <w:pPr>
        <w:spacing w:after="0" w:line="252" w:lineRule="exact"/>
        <w:rPr>
          <w:rFonts w:ascii="Arial" w:cs="Arial" w:eastAsia="Arial" w:hAnsi="Arial"/>
          <w:sz w:val="18"/>
          <w:szCs w:val="18"/>
          <w:color w:val="auto"/>
        </w:rPr>
      </w:pPr>
    </w:p>
    <w:p>
      <w:pPr>
        <w:ind w:left="360" w:right="160" w:firstLine="188"/>
        <w:spacing w:after="0" w:line="563" w:lineRule="auto"/>
        <w:tabs>
          <w:tab w:leader="none" w:pos="109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will be subject to restrictions on payment and exercise of remedies contained in the Intercreditor Agreements. See "—Intercreditor Agreements." The notes will be guaranteed by the Guarantors, will be supported on a second priority basis by the Completion Guarantee.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Guarantees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The Guarantors. </w:t>
      </w:r>
      <w:r>
        <w:rPr>
          <w:rFonts w:ascii="Arial" w:cs="Arial" w:eastAsia="Arial" w:hAnsi="Arial"/>
          <w:sz w:val="18"/>
          <w:szCs w:val="18"/>
          <w:color w:val="auto"/>
        </w:rPr>
        <w:t>The notes will be guaranteed by our indirect parents, Wynn Resorts and Valvino Lamore, and by Valvino Lamore's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(other than the Issuers and their Unrestricted Subsidiaries). Valvino Lamore and its subsidiaries (other than the Issuers and their Unrestricted Subsidiaries) are referred to as the "Restricted Entities." These subsidiaries are:</w:t>
      </w:r>
    </w:p>
    <w:p>
      <w:pPr>
        <w:spacing w:after="0" w:line="208"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Wynn Resorts Holdings, which owns the Golf Course Land;</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Desert Inn Water Company, LLC, which owns the stock of Desert Inn Improvement Co., which in turn owns certain water rights intended to irrigate the Golf Course Land;</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federal aviation regulations, Part 91;</w:t>
      </w:r>
    </w:p>
    <w:p>
      <w:pPr>
        <w:spacing w:after="0" w:line="212" w:lineRule="exact"/>
        <w:rPr>
          <w:rFonts w:ascii="Arial" w:cs="Arial" w:eastAsia="Arial" w:hAnsi="Arial"/>
          <w:sz w:val="18"/>
          <w:szCs w:val="18"/>
          <w:color w:val="auto"/>
        </w:rPr>
      </w:pPr>
    </w:p>
    <w:p>
      <w:pPr>
        <w:jc w:val="center"/>
        <w:ind w:left="5580" w:right="740" w:hanging="5032"/>
        <w:spacing w:after="0" w:line="519" w:lineRule="auto"/>
        <w:tabs>
          <w:tab w:leader="none" w:pos="10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 and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26"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Palo, LLC, which owns three residential lots adjacent to the Golf Course Land.</w:t>
      </w:r>
    </w:p>
    <w:p>
      <w:pPr>
        <w:sectPr>
          <w:pgSz w:w="11900" w:h="16838" w:orient="portrait"/>
          <w:cols w:equalWidth="0" w:num="1">
            <w:col w:w="11420"/>
          </w:cols>
          <w:pgMar w:left="240" w:top="131" w:right="239" w:bottom="0" w:gutter="0" w:footer="0" w:header="0"/>
          <w:type w:val="continuous"/>
        </w:sectPr>
      </w:pPr>
    </w:p>
    <w:bookmarkStart w:id="76" w:name="page77"/>
    <w:bookmarkEnd w:id="76"/>
    <w:p>
      <w:pPr>
        <w:ind w:right="220" w:firstLine="341"/>
        <w:spacing w:after="0" w:line="268" w:lineRule="auto"/>
        <w:rPr>
          <w:sz w:val="20"/>
          <w:szCs w:val="20"/>
          <w:color w:val="auto"/>
        </w:rPr>
      </w:pPr>
      <w:r>
        <w:rPr>
          <w:rFonts w:ascii="Arial" w:cs="Arial" w:eastAsia="Arial" w:hAnsi="Arial"/>
          <w:sz w:val="18"/>
          <w:szCs w:val="18"/>
          <w:color w:val="auto"/>
        </w:rPr>
        <w:t>As of the date of the indenture, Wynn Las Vegas' only subsidiaries will be Wynn Capital, World Travel, Las Vegas Jet and the Completion Guarantor. The Completion Guarantor will be an Unrestricted Subsidiary of Wynn Las Vegas.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Parent Guarantor. </w:t>
      </w:r>
      <w:r>
        <w:rPr>
          <w:rFonts w:ascii="Arial" w:cs="Arial" w:eastAsia="Arial" w:hAnsi="Arial"/>
          <w:sz w:val="16"/>
          <w:szCs w:val="16"/>
          <w:color w:val="auto"/>
        </w:rPr>
        <w:t>Wynn Resorts will guarantee the second mortgage notes on a senior unsecured basis. In the event that Wynn Resorts grants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liens to secure other guarantees or specified indebtedness, Wynn Resorts will be required to grant second priority liens on the same assets to secure its guarantee of the second mortgage notes, but will not become subject to the restrictive covenants or other terms of the notes. The Parent Guarantee:</w:t>
      </w:r>
    </w:p>
    <w:p>
      <w:pPr>
        <w:spacing w:after="0" w:line="174" w:lineRule="exact"/>
        <w:rPr>
          <w:sz w:val="20"/>
          <w:szCs w:val="20"/>
          <w:color w:val="auto"/>
        </w:rPr>
      </w:pPr>
    </w:p>
    <w:p>
      <w:pPr>
        <w:ind w:left="1080" w:right="7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will be pari passu with Wynn Resorts' guarantee of the credit facility and the FF&amp;E facility, and senior in right of payment to any future subordinated indebtedness the Parent Guarantor may incur;</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secured, will be subject to the subordination provisions of the intercreditor agreement, and the guarantees will have the same relative priorities as the notes and credit facilities in the collateral;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ind w:left="360"/>
        <w:spacing w:after="0"/>
        <w:tabs>
          <w:tab w:leader="none" w:pos="3200" w:val="left"/>
        </w:tabs>
        <w:rPr>
          <w:sz w:val="20"/>
          <w:szCs w:val="20"/>
          <w:color w:val="auto"/>
        </w:rPr>
      </w:pPr>
      <w:r>
        <w:rPr>
          <w:rFonts w:ascii="Arial" w:cs="Arial" w:eastAsia="Arial" w:hAnsi="Arial"/>
          <w:sz w:val="18"/>
          <w:szCs w:val="18"/>
          <w:i w:val="1"/>
          <w:iCs w:val="1"/>
          <w:color w:val="auto"/>
        </w:rPr>
        <w:t>General Terms, Security and Ranking.</w:t>
      </w:r>
      <w:r>
        <w:rPr>
          <w:sz w:val="20"/>
          <w:szCs w:val="20"/>
          <w:color w:val="auto"/>
        </w:rPr>
        <w:tab/>
      </w:r>
      <w:r>
        <w:rPr>
          <w:rFonts w:ascii="Arial" w:cs="Arial" w:eastAsia="Arial" w:hAnsi="Arial"/>
          <w:sz w:val="15"/>
          <w:szCs w:val="15"/>
          <w:color w:val="auto"/>
        </w:rPr>
        <w:t>The Guarantees will be unconditional, joint and several obligations of the Guarantors. Each Guarantee (except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Guarantee):</w:t>
      </w:r>
    </w:p>
    <w:p>
      <w:pPr>
        <w:spacing w:after="0" w:line="232" w:lineRule="exact"/>
        <w:rPr>
          <w:sz w:val="20"/>
          <w:szCs w:val="20"/>
          <w:color w:val="auto"/>
        </w:rPr>
      </w:pPr>
    </w:p>
    <w:p>
      <w:pPr>
        <w:ind w:left="1080" w:right="60" w:hanging="532"/>
        <w:spacing w:after="0" w:line="255"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secured by (1) perfected second priority security interests in substantially all of the Guarantors' existing and future assets, including pledged Equity Interests in Wynn Las Vegas, in the Water Companies and in the Guarantors' Restricted Subsidiaries, and at least initially, including the Phase II Land and the Golf Course Land, but excluding (a) gaming licenses and other assets in which the grant of a security interest is prohibited by law, and (b) the FF&amp;E Collateral, and (2) perfected third priority security interests in any FF&amp;E Collateral owned by the Guarantors (except the Parent Guarantor);</w:t>
      </w:r>
    </w:p>
    <w:p>
      <w:pPr>
        <w:spacing w:after="0" w:line="223"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will be effectively subordinated to guarantees (1) of up to $1.0 billion of obligations under our Credit Agreement, secured by perfected first priority security interests in substantially all of our existing and future assets, other than (a) gaming licenses and other assets in which the grant of a security interest is prohibited by law, (b) the FF&amp;E Collateral, and (c) the proceeds of this offering, and (2) of up to $188.5 million (or $198.5 million if and after a replacement corporate aircraft is acquired) under the FF&amp;E Facility;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the Guarantors may incur;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primary purpose of the Guarantees (except the unsecured guarantee of Wynn Resorts) is to provide second priority liens on the assets of the Guarantors, including the golf course, the Phase II Land, and equity interests in their Restricted Subsidiaries. While Valvino and its subsidiaries hold assets that are integral to the Project, they are not expected to have operations that generate significant cash flows. As such, you should not expect Valvino Lamore or any of the other Guarantors to contribute to any payments of principal, interest or other amounts required to be made on the notes. Wynn Resorts will be able contribute to</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payments of principal, interest or other amounts required to be made on the second mortgage notes only to the extent it has unrestricted funds from other sources. The subsidiaries of Wynn Resorts that are not restricted entities will have no obligation to make payments or distributions to Wynn Resorts to enable Wynn Resorts to make payments under its guarantee. In addition, the subsidiaries of Wynn Resorts may be parties to financing or other agreements that restrict their ability to make any distributions to Wynn Resorts.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Completion Guarantee.</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Wynn Resorts will make a capital contribution of $50.0 million of the net proceeds of its IPO to the Completion Guarantor. The Completion Guarantor will provide the Completion Guarantee in an amount up to $50.0 million to secure completion of the Project, secured by second priority security interests in favor of the trustee for the benefit of the Holders in the contributed funds.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proceeds of the notes will be applied to the design, development, construction, opening and operation of the Project, and activities related and incidental thereto, in accordance with the Disbursement Agreement. Pending application to the Project, net proceeds of this offering will be held in a secured account of Wynn Las Vegas as security for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trustee will enter into two intercreditor agreements, a project lenders intercreditor agreement to govern the relations between the noteholders and the lenders under the Credit Agreement with respect to the Collateral (the "Project Lenders Intercreditor Agreement"), and an FF&amp;E intercreditor agreement to govern the relations between the noteholders and the lenders under the Credit Agreement, on the one hand, and the lenders under the FF&amp;E Facility, on the other hand, with respect to the FF&amp;E Collateral (the "FF&amp;E Intercreditor Agreement"). The Intercreditor Agreements will impose restrictions on payment and enforcement of the notes and the guarantees under specified circumstances.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Project Lenders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will provide that, until the indebtedness under the Credit Agreement has been repaid in full:</w:t>
      </w:r>
    </w:p>
    <w:p>
      <w:pPr>
        <w:spacing w:after="0" w:line="252" w:lineRule="exact"/>
        <w:rPr>
          <w:sz w:val="20"/>
          <w:szCs w:val="20"/>
          <w:color w:val="auto"/>
        </w:rPr>
      </w:pPr>
    </w:p>
    <w:p>
      <w:pPr>
        <w:jc w:val="both"/>
        <w:ind w:left="1080" w:right="4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lenders under the Credit Agreement will have the exclusive right to exercise remedies against the Collateral securing the notes and the Credit Agreement, and to determine the circumstances and manner in which that Collateral may be disposed of, subject to the rights of the lenders under the FF&amp;E Facility with respect to the FF&amp;E Collateral;</w:t>
      </w:r>
    </w:p>
    <w:p>
      <w:pPr>
        <w:sectPr>
          <w:pgSz w:w="11900" w:h="16838" w:orient="portrait"/>
          <w:cols w:equalWidth="0" w:num="1">
            <w:col w:w="11360"/>
          </w:cols>
          <w:pgMar w:left="240" w:top="131" w:right="299" w:bottom="0" w:gutter="0" w:footer="0" w:header="0"/>
        </w:sectPr>
      </w:pPr>
    </w:p>
    <w:bookmarkStart w:id="77" w:name="page78"/>
    <w:bookmarkEnd w:id="77"/>
    <w:p>
      <w:pPr>
        <w:ind w:left="1080" w:right="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agent under the Credit Agreement can amend various terms of, and waive defaults under, the Collateral Documents, without the consent of the note holders; and</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agent under the Credit Agreement has the right to amend the Disbursement Agreement or to waive any defaults, or conditions to funding, under the Disbursement Agreement in certain circumstances.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Project Lenders Intercreditor Agreement, the note holders cannot vote to accept a plan of reorganization or other restructuring plan, unless lenders holding two-thirds of the outstanding loans under the Credit Agreement vote in favor of that plan. However, the note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holders are not required to vote in favor of a plan that the lenders under the Credit Agreement approve, and are free to challenge any such plan on fundamental fairness and other grounds.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Project Lenders Intercreditor Agreement, the trustee will have the exclusive right to exercise, or not to exercise, remedies against the net proceeds of this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FF&amp;E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FF&amp;E Intercreditor Agreement will provide that, until the indebtedness under the FF&amp;E Facility has been repaid in full:</w:t>
      </w:r>
    </w:p>
    <w:p>
      <w:pPr>
        <w:spacing w:after="0" w:line="239" w:lineRule="exact"/>
        <w:rPr>
          <w:sz w:val="20"/>
          <w:szCs w:val="20"/>
          <w:color w:val="auto"/>
        </w:rPr>
      </w:pPr>
    </w:p>
    <w:p>
      <w:pPr>
        <w:ind w:left="1080" w:right="22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lenders under the FF&amp;E Facility will be subject to a standstill period ranging from 30 to 60 days prior to exercising remedies following the occurrence of the first event of default during the construction period of the Project and the first event of default after completion of the Project; and</w:t>
      </w:r>
    </w:p>
    <w:p>
      <w:pPr>
        <w:spacing w:after="0" w:line="207"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the standstill periods described above, the lenders under the FF&amp;E Facility will have the exclusive right to exercise remedies against the collateral securing the FF&amp;E Facility, and to determine the circumstances and manner in which that collateral may be disposed of.</w:t>
      </w:r>
    </w:p>
    <w:p>
      <w:pPr>
        <w:spacing w:after="0" w:line="139"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 FF&amp;E Intercreditor Agreement will permit the lenders under the Credit Agreement and, from and after 180 days after the occurrence of an event of default, the note holders, to repay off the outstanding portion of the FF&amp;E Facility obligations that is allocable to the collateral securing the FF&amp;E Facility (excluding amounts allocable to the Aircraft Assets) thereby obtaining the release of the security interest held by the lenders under the FF&amp;E Facility in that collateral.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Phase II Land and Golf Course Land.</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indenture will provide that upon release of the security interest in the Phase II Land under the Credit Agreement, the noteholders' security interest in the Phase II Land will be released. Upon meeting specified leverage test and debt ratings conditions and no less than three years after the Opening Date, the noteholders' security interest in the Golf Course Land will be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 xml:space="preserve">The Issuers may issue notes in a maximum aggregate principal amount at maturity of (a) $465.0 million, </w:t>
      </w:r>
      <w:r>
        <w:rPr>
          <w:rFonts w:ascii="Arial" w:cs="Arial" w:eastAsia="Arial" w:hAnsi="Arial"/>
          <w:sz w:val="15"/>
          <w:szCs w:val="15"/>
          <w:i w:val="1"/>
          <w:iCs w:val="1"/>
          <w:color w:val="auto"/>
        </w:rPr>
        <w:t>less</w:t>
      </w:r>
      <w:r>
        <w:rPr>
          <w:rFonts w:ascii="Arial" w:cs="Arial" w:eastAsia="Arial" w:hAnsi="Arial"/>
          <w:sz w:val="15"/>
          <w:szCs w:val="15"/>
          <w:color w:val="auto"/>
        </w:rPr>
        <w:t xml:space="preserve"> (b) the aggregate principal amount of all Indebtedness incurred pursuant to clauses (11) and (12) of the covenant captioned "—Incurrence of Indebtedness and Issuance of Preferred Equity" other than through the issuance of additional notes under the indenture. $365.0 million of this maximum aggregate principal amount at maturity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gridSpan w:val="4"/>
          </w:tcPr>
          <w:p>
            <w:pPr>
              <w:spacing w:after="0"/>
              <w:rPr>
                <w:sz w:val="20"/>
                <w:szCs w:val="20"/>
                <w:color w:val="auto"/>
              </w:rPr>
            </w:pPr>
            <w:r>
              <w:rPr>
                <w:rFonts w:ascii="Arial" w:cs="Arial" w:eastAsia="Arial" w:hAnsi="Arial"/>
                <w:sz w:val="18"/>
                <w:szCs w:val="18"/>
                <w:color w:val="auto"/>
                <w:w w:val="89"/>
              </w:rPr>
              <w:t>under the indenture will be treated as a single class of securities for all purposes under the indenture, including, without limitation, waivers, amendments,</w:t>
            </w:r>
          </w:p>
        </w:tc>
        <w:tc>
          <w:tcPr>
            <w:tcW w:w="560" w:type="dxa"/>
            <w:vAlign w:val="bottom"/>
          </w:tcPr>
          <w:p>
            <w:pPr>
              <w:spacing w:after="0"/>
              <w:rPr>
                <w:sz w:val="18"/>
                <w:szCs w:val="18"/>
                <w:color w:val="auto"/>
              </w:rPr>
            </w:pPr>
          </w:p>
        </w:tc>
      </w:tr>
      <w:tr>
        <w:trPr>
          <w:trHeight w:val="216"/>
        </w:trPr>
        <w:tc>
          <w:tcPr>
            <w:tcW w:w="10860" w:type="dxa"/>
            <w:vAlign w:val="bottom"/>
            <w:gridSpan w:val="4"/>
          </w:tcPr>
          <w:p>
            <w:pPr>
              <w:spacing w:after="0"/>
              <w:rPr>
                <w:sz w:val="20"/>
                <w:szCs w:val="20"/>
                <w:color w:val="auto"/>
              </w:rPr>
            </w:pPr>
            <w:r>
              <w:rPr>
                <w:rFonts w:ascii="Arial" w:cs="Arial" w:eastAsia="Arial" w:hAnsi="Arial"/>
                <w:sz w:val="18"/>
                <w:szCs w:val="18"/>
                <w:color w:val="auto"/>
                <w:w w:val="92"/>
              </w:rPr>
              <w:t>redemptions and offers to purchase. The Issuers will issue notes in denominations of $1,000 and integral multiples of $1,000. The notes will mature</w:t>
            </w:r>
          </w:p>
        </w:tc>
        <w:tc>
          <w:tcPr>
            <w:tcW w:w="560" w:type="dxa"/>
            <w:vAlign w:val="bottom"/>
          </w:tcPr>
          <w:p>
            <w:pPr>
              <w:spacing w:after="0"/>
              <w:rPr>
                <w:sz w:val="18"/>
                <w:szCs w:val="18"/>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on</w:t>
            </w:r>
          </w:p>
        </w:tc>
        <w:tc>
          <w:tcPr>
            <w:tcW w:w="2560" w:type="dxa"/>
            <w:vAlign w:val="bottom"/>
          </w:tcPr>
          <w:p>
            <w:pPr>
              <w:jc w:val="right"/>
              <w:ind w:right="1892"/>
              <w:spacing w:after="0"/>
              <w:rPr>
                <w:sz w:val="20"/>
                <w:szCs w:val="20"/>
                <w:color w:val="auto"/>
              </w:rPr>
            </w:pPr>
            <w:r>
              <w:rPr>
                <w:rFonts w:ascii="Arial" w:cs="Arial" w:eastAsia="Arial" w:hAnsi="Arial"/>
                <w:sz w:val="18"/>
                <w:szCs w:val="18"/>
                <w:color w:val="auto"/>
              </w:rPr>
              <w:t>, 2010.</w:t>
            </w:r>
          </w:p>
        </w:tc>
        <w:tc>
          <w:tcPr>
            <w:tcW w:w="5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3780" w:type="dxa"/>
            <w:vAlign w:val="bottom"/>
            <w:gridSpan w:val="2"/>
          </w:tcPr>
          <w:p>
            <w:pPr>
              <w:ind w:left="360"/>
              <w:spacing w:after="0"/>
              <w:rPr>
                <w:sz w:val="20"/>
                <w:szCs w:val="20"/>
                <w:color w:val="auto"/>
              </w:rPr>
            </w:pPr>
            <w:r>
              <w:rPr>
                <w:rFonts w:ascii="Arial" w:cs="Arial" w:eastAsia="Arial" w:hAnsi="Arial"/>
                <w:sz w:val="18"/>
                <w:szCs w:val="18"/>
                <w:color w:val="auto"/>
                <w:w w:val="94"/>
              </w:rPr>
              <w:t>Interest on the notes will accrue at the rate of</w:t>
            </w:r>
          </w:p>
        </w:tc>
        <w:tc>
          <w:tcPr>
            <w:tcW w:w="5160" w:type="dxa"/>
            <w:vAlign w:val="bottom"/>
          </w:tcPr>
          <w:p>
            <w:pPr>
              <w:jc w:val="right"/>
              <w:ind w:right="492"/>
              <w:spacing w:after="0"/>
              <w:rPr>
                <w:sz w:val="20"/>
                <w:szCs w:val="20"/>
                <w:color w:val="auto"/>
              </w:rPr>
            </w:pPr>
            <w:r>
              <w:rPr>
                <w:rFonts w:ascii="Arial" w:cs="Arial" w:eastAsia="Arial" w:hAnsi="Arial"/>
                <w:sz w:val="18"/>
                <w:szCs w:val="18"/>
                <w:color w:val="auto"/>
                <w:w w:val="93"/>
              </w:rPr>
              <w:t>% per annum and will be payable semi-annually in arrears on</w:t>
            </w:r>
          </w:p>
        </w:tc>
        <w:tc>
          <w:tcPr>
            <w:tcW w:w="1920" w:type="dxa"/>
            <w:vAlign w:val="bottom"/>
          </w:tcPr>
          <w:p>
            <w:pPr>
              <w:ind w:left="560"/>
              <w:spacing w:after="0"/>
              <w:rPr>
                <w:sz w:val="20"/>
                <w:szCs w:val="20"/>
                <w:color w:val="auto"/>
              </w:rPr>
            </w:pPr>
            <w:r>
              <w:rPr>
                <w:rFonts w:ascii="Arial" w:cs="Arial" w:eastAsia="Arial" w:hAnsi="Arial"/>
                <w:sz w:val="18"/>
                <w:szCs w:val="18"/>
                <w:color w:val="auto"/>
              </w:rPr>
              <w:t>and</w:t>
            </w:r>
          </w:p>
        </w:tc>
        <w:tc>
          <w:tcPr>
            <w:tcW w:w="56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w w:val="94"/>
              </w:rPr>
              <w:t>commencing on</w:t>
            </w:r>
          </w:p>
        </w:tc>
        <w:tc>
          <w:tcPr>
            <w:tcW w:w="256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160" w:type="dxa"/>
            <w:vAlign w:val="bottom"/>
          </w:tcPr>
          <w:p>
            <w:pPr>
              <w:jc w:val="right"/>
              <w:ind w:right="3012"/>
              <w:spacing w:after="0"/>
              <w:rPr>
                <w:sz w:val="20"/>
                <w:szCs w:val="20"/>
                <w:color w:val="auto"/>
              </w:rPr>
            </w:pPr>
            <w:r>
              <w:rPr>
                <w:rFonts w:ascii="Arial" w:cs="Arial" w:eastAsia="Arial" w:hAnsi="Arial"/>
                <w:sz w:val="18"/>
                <w:szCs w:val="18"/>
                <w:color w:val="auto"/>
              </w:rPr>
              <w:t>139</w:t>
            </w: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12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tabs>
          <w:tab w:leader="none" w:pos="8540" w:val="left"/>
          <w:tab w:leader="none" w:pos="9980" w:val="left"/>
        </w:tabs>
        <w:rPr>
          <w:sz w:val="20"/>
          <w:szCs w:val="20"/>
          <w:color w:val="auto"/>
        </w:rPr>
      </w:pPr>
      <w:r>
        <w:rPr>
          <w:rFonts w:ascii="Arial" w:cs="Arial" w:eastAsia="Arial" w:hAnsi="Arial"/>
          <w:sz w:val="18"/>
          <w:szCs w:val="18"/>
          <w:color w:val="auto"/>
        </w:rPr>
        <w:t>2003. The Issuers will make each interest payment to the Holders of record on the immediately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At any time prior to , 2005, the Issuers may on one or more occasions redeem up to 35% of the aggregate principal amount of notes issued under the indenture at a redemption price of % of the principal amount redeemed, plus accrued and unpaid interest thereon to the redemption date, with the</w:t>
      </w:r>
    </w:p>
    <w:p>
      <w:pPr>
        <w:spacing w:after="0"/>
        <w:rPr>
          <w:sz w:val="20"/>
          <w:szCs w:val="20"/>
          <w:color w:val="auto"/>
        </w:rPr>
      </w:pPr>
      <w:r>
        <w:rPr>
          <w:rFonts w:ascii="Arial" w:cs="Arial" w:eastAsia="Arial" w:hAnsi="Arial"/>
          <w:sz w:val="18"/>
          <w:szCs w:val="18"/>
          <w:color w:val="auto"/>
        </w:rPr>
        <w:t>net cash proceeds of one or more Qualified Equity Offerings (other than the IPO), so long as</w:t>
      </w:r>
    </w:p>
    <w:p>
      <w:pPr>
        <w:spacing w:after="0" w:line="246" w:lineRule="exact"/>
        <w:rPr>
          <w:sz w:val="20"/>
          <w:szCs w:val="20"/>
          <w:color w:val="auto"/>
        </w:rPr>
      </w:pPr>
    </w:p>
    <w:p>
      <w:pPr>
        <w:ind w:left="540" w:right="720" w:hanging="532"/>
        <w:spacing w:after="0" w:line="370" w:lineRule="auto"/>
        <w:tabs>
          <w:tab w:leader="none" w:pos="5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at least 65% of the aggregate principal amount of notes issued under the indenture remains outstanding immediately after the occurrence of such redemption (excluding notes held by Wynn Resorts, any of its Affiliates, any of their respective employees or the Existing Stockholders); and</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Qualified Equity Offering.</w:t>
      </w:r>
    </w:p>
    <w:p>
      <w:pPr>
        <w:sectPr>
          <w:pgSz w:w="11900" w:h="16838" w:orient="portrait"/>
          <w:cols w:equalWidth="0" w:num="1">
            <w:col w:w="11420"/>
          </w:cols>
          <w:pgMar w:left="240" w:top="145" w:right="239" w:bottom="0" w:gutter="0" w:footer="0" w:header="0"/>
        </w:sectPr>
      </w:pPr>
    </w:p>
    <w:bookmarkStart w:id="78" w:name="page79"/>
    <w:bookmarkEnd w:id="78"/>
    <w:p>
      <w:pPr>
        <w:ind w:left="360"/>
        <w:spacing w:after="0"/>
        <w:rPr>
          <w:sz w:val="20"/>
          <w:szCs w:val="20"/>
          <w:color w:val="auto"/>
        </w:rPr>
      </w:pPr>
      <w:r>
        <w:rPr>
          <w:rFonts w:ascii="Arial" w:cs="Arial" w:eastAsia="Arial" w:hAnsi="Arial"/>
          <w:sz w:val="15"/>
          <w:szCs w:val="15"/>
          <w:color w:val="auto"/>
        </w:rPr>
        <w:t>Except pursuant to the preceding paragraph, the notes will not be redeemable at the Issuers' option prior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2006.</w:t>
      </w:r>
    </w:p>
    <w:p>
      <w:pPr>
        <w:spacing w:after="0" w:line="200" w:lineRule="exact"/>
        <w:rPr>
          <w:sz w:val="20"/>
          <w:szCs w:val="20"/>
          <w:color w:val="auto"/>
        </w:rPr>
      </w:pPr>
    </w:p>
    <w:p>
      <w:pPr>
        <w:sectPr>
          <w:pgSz w:w="11900" w:h="16838" w:orient="portrait"/>
          <w:cols w:equalWidth="0" w:num="2">
            <w:col w:w="8260" w:space="720"/>
            <w:col w:w="2360"/>
          </w:cols>
          <w:pgMar w:left="240" w:top="131" w:right="319" w:bottom="0" w:gutter="0" w:footer="0" w:header="0"/>
        </w:sectPr>
      </w:pPr>
    </w:p>
    <w:p>
      <w:pPr>
        <w:spacing w:after="0" w:line="60" w:lineRule="exact"/>
        <w:rPr>
          <w:sz w:val="20"/>
          <w:szCs w:val="20"/>
          <w:color w:val="auto"/>
        </w:rPr>
      </w:pPr>
    </w:p>
    <w:p>
      <w:pPr>
        <w:ind w:left="340"/>
        <w:spacing w:after="0"/>
        <w:tabs>
          <w:tab w:leader="none" w:pos="184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notes upon not less than 30 nor more than 60 days' notice, at the redemption prices</w:t>
      </w:r>
    </w:p>
    <w:p>
      <w:pPr>
        <w:sectPr>
          <w:pgSz w:w="11900" w:h="16838" w:orient="portrait"/>
          <w:cols w:equalWidth="0" w:num="1">
            <w:col w:w="11340"/>
          </w:cols>
          <w:pgMar w:left="240" w:top="131" w:right="319" w:bottom="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(expressed as percentages of principal amount) set forth below plus accrued and unpaid interest on the notes redeemed, to the applicable redemption date, if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redeemed during the twelve-month period beginning on</w:t>
            </w:r>
          </w:p>
        </w:tc>
        <w:tc>
          <w:tcPr>
            <w:tcW w:w="4960" w:type="dxa"/>
            <w:vAlign w:val="bottom"/>
            <w:gridSpan w:val="4"/>
          </w:tcPr>
          <w:p>
            <w:pPr>
              <w:jc w:val="right"/>
              <w:ind w:right="2340"/>
              <w:spacing w:after="0"/>
              <w:rPr>
                <w:sz w:val="20"/>
                <w:szCs w:val="20"/>
                <w:color w:val="auto"/>
              </w:rPr>
            </w:pPr>
            <w:r>
              <w:rPr>
                <w:rFonts w:ascii="Arial" w:cs="Arial" w:eastAsia="Arial" w:hAnsi="Arial"/>
                <w:sz w:val="18"/>
                <w:szCs w:val="18"/>
                <w:color w:val="auto"/>
              </w:rPr>
              <w:t>of the years indicated below:</w:t>
            </w:r>
          </w:p>
        </w:tc>
        <w:tc>
          <w:tcPr>
            <w:tcW w:w="0" w:type="dxa"/>
            <w:vAlign w:val="bottom"/>
          </w:tcPr>
          <w:p>
            <w:pPr>
              <w:spacing w:after="0"/>
              <w:rPr>
                <w:sz w:val="1"/>
                <w:szCs w:val="1"/>
                <w:color w:val="auto"/>
              </w:rPr>
            </w:pPr>
          </w:p>
        </w:tc>
      </w:tr>
      <w:tr>
        <w:trPr>
          <w:trHeight w:val="373"/>
        </w:trPr>
        <w:tc>
          <w:tcPr>
            <w:tcW w:w="196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2007</w:t>
            </w:r>
          </w:p>
        </w:tc>
        <w:tc>
          <w:tcPr>
            <w:tcW w:w="4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4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-492760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-492760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-492760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-492760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211" w:lineRule="exact"/>
        <w:rPr>
          <w:sz w:val="20"/>
          <w:szCs w:val="20"/>
          <w:color w:val="auto"/>
        </w:rPr>
      </w:pPr>
    </w:p>
    <w:p>
      <w:pPr>
        <w:ind w:left="540" w:right="260" w:hanging="532"/>
        <w:spacing w:after="0" w:line="268"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261" w:lineRule="exact"/>
        <w:rPr>
          <w:rFonts w:ascii="Arial" w:cs="Arial" w:eastAsia="Arial" w:hAnsi="Arial"/>
          <w:sz w:val="16"/>
          <w:szCs w:val="16"/>
          <w:color w:val="auto"/>
        </w:rPr>
      </w:pPr>
    </w:p>
    <w:p>
      <w:pPr>
        <w:ind w:left="1080" w:right="300" w:hanging="532"/>
        <w:spacing w:after="0" w:line="268"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199"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238"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will not be required to make mandatory redemption or sinking fund payments with respect to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Guarantees and the Parent Guarantee will be joint and several obligations of the Guarantors. The obligations of each Guarantor under its Guarantee and of the Parent Guarantor under the Parent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 the guarantees and require note holders to return payments received from us, the Guarantors or the Parent Guarantor.</w:t>
      </w:r>
    </w:p>
    <w:p>
      <w:pPr>
        <w:spacing w:after="0" w:line="197"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The Guarantees will be secured by substantially all of the assets of the Guarantors as more fully described under "Security Interests—Security for the Guarantees." The Parent Guarantee may be secured by a security interest in all or specified existing or future assets of Wynn Resorts, in the event that Wynn</w:t>
      </w:r>
    </w:p>
    <w:p>
      <w:pPr>
        <w:sectPr>
          <w:pgSz w:w="11900" w:h="16838" w:orient="portrait"/>
          <w:cols w:equalWidth="0" w:num="1">
            <w:col w:w="11340"/>
          </w:cols>
          <w:pgMar w:left="240" w:top="131" w:right="319" w:bottom="0" w:gutter="0" w:footer="0" w:header="0"/>
          <w:type w:val="continuous"/>
        </w:sectPr>
      </w:pPr>
    </w:p>
    <w:bookmarkStart w:id="79" w:name="page80"/>
    <w:bookmarkEnd w:id="79"/>
    <w:p>
      <w:pPr>
        <w:ind w:right="240"/>
        <w:spacing w:after="0" w:line="268" w:lineRule="auto"/>
        <w:rPr>
          <w:sz w:val="20"/>
          <w:szCs w:val="20"/>
          <w:color w:val="auto"/>
        </w:rPr>
      </w:pPr>
      <w:r>
        <w:rPr>
          <w:rFonts w:ascii="Arial" w:cs="Arial" w:eastAsia="Arial" w:hAnsi="Arial"/>
          <w:sz w:val="18"/>
          <w:szCs w:val="18"/>
          <w:color w:val="auto"/>
        </w:rPr>
        <w:t>Resorts grants specified liens to secure other guarantees or indebtedness, as more fully described in the section captioned "Certain Covenants—Restrictions on Certain Activities of Wynn Resorts."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199" w:lineRule="exact"/>
        <w:rPr>
          <w:sz w:val="20"/>
          <w:szCs w:val="20"/>
          <w:color w:val="auto"/>
        </w:rPr>
      </w:pPr>
    </w:p>
    <w:p>
      <w:pPr>
        <w:ind w:left="540" w:right="20" w:hanging="532"/>
        <w:spacing w:after="0" w:line="306" w:lineRule="auto"/>
        <w:tabs>
          <w:tab w:leader="none" w:pos="5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 consolidation) to a Person that is not (either before or after giving effect to such transaction) Wynn Las Vegas, a Restricted Entity or one of their respective Restricted Subsidiaries, or the Parent Guarantor, if the sale or other disposition complies with the provisions of the indenture; or</w:t>
      </w:r>
    </w:p>
    <w:p>
      <w:pPr>
        <w:spacing w:after="0" w:line="187"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connection with any sale of all of the capital stock of a Guarantor, to a Person that is not (either before or after giving effect to such transaction) Wynn Las Vegas, a Restricted Entity or one of their respective Restricted Subsidiaries, or the Parent Guarantor, if the sale complies with the provisions of the indenture.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"—Repurchase at the Option of Holders—Asset Sales," "—Designation of Restricted and Unrestricted Subsidiaries" and "—Merger, Consolidation or Sale of Assets."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to the release of the Guarantees by Wynn Resorts Holdings or Valvino Lamore pursuant to the provisions described above, the security interests of the noteholders in the real property assets owned by Wynn Resorts Holdings and Valvino Lamore may be released under the circumstances described below under "Security Interests—Release of Golf Course Land and Phase II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Interests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Notes</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19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200" w:lineRule="exact"/>
        <w:rPr>
          <w:sz w:val="20"/>
          <w:szCs w:val="20"/>
          <w:color w:val="auto"/>
        </w:rPr>
      </w:pPr>
    </w:p>
    <w:p>
      <w:pPr>
        <w:sectPr>
          <w:pgSz w:w="11900" w:h="16838" w:orient="portrait"/>
          <w:cols w:equalWidth="0" w:num="2">
            <w:col w:w="980" w:space="100"/>
            <w:col w:w="10320"/>
          </w:cols>
          <w:pgMar w:left="240" w:top="131" w:right="259" w:bottom="0" w:gutter="0" w:footer="0" w:header="0"/>
          <w:type w:val="continuous"/>
        </w:sectPr>
      </w:pPr>
    </w:p>
    <w:p>
      <w:pPr>
        <w:spacing w:after="0" w:line="21" w:lineRule="exact"/>
        <w:rPr>
          <w:sz w:val="20"/>
          <w:szCs w:val="20"/>
          <w:color w:val="auto"/>
        </w:rPr>
      </w:pPr>
    </w:p>
    <w:p>
      <w:pPr>
        <w:ind w:left="1080" w:right="300" w:hanging="532"/>
        <w:spacing w:after="0" w:line="306"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perfected second priority security interest in the $50.0 million in funds deposited into the Completion Guarantee Deposit Account held at the Completion Guarantor to support the $50.0 million guarantee by the Completion Guarantor of the completion in full of the construction and opening of the Project, subject to disbursement pursuant to the Disbursement Agreement;</w:t>
      </w:r>
    </w:p>
    <w:p>
      <w:pPr>
        <w:spacing w:after="0" w:line="17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$30.0 million in funds deposited into the Liquidity Reserve Account held at Wynn Las Vegas to support completion of the construction and opening of the Project and the payment of debt service on the notes and the loans under the Credit Agreement, subject to disbursement pursuant to the Disbursement Agreement;</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pledge of the equity interests held by the Issuers in any of their respective existing or future Restricted Subsidiaries, including the equity interests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held by Wynn Las Vegas in Wynn Capital, the Completion Guarantor, Las Vegas Jet, LLC and World Travel, LLC; and</w:t>
      </w:r>
    </w:p>
    <w:p>
      <w:pPr>
        <w:spacing w:after="0" w:line="252"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owned by Wynn Las Vegas.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Secured Account. </w:t>
      </w:r>
      <w:r>
        <w:rPr>
          <w:rFonts w:ascii="Arial" w:cs="Arial" w:eastAsia="Arial" w:hAnsi="Arial"/>
          <w:sz w:val="16"/>
          <w:szCs w:val="16"/>
          <w:color w:val="auto"/>
        </w:rPr>
        <w:t>Pending application to the Project, the net proceeds of this offering will be held in a secured account of Wynn Las Vegas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by a securities intermediary, on behalf of the trustee for the benefit of the holders of the notes. The Secured Account will be governed by a control agreement (the "Secured Account Agreement") to be entered into among the Issuers, the securities intermediary and the trustee. The funds in the Secured Account will be required to be invested in Permitted Securities at the direction of Wynn Las Vegas. The trustee, for the benefit of the holders of the notes, will have a perfected first priority security interest in the funds and Permitted Securities held in the Secured Account. Neither the lenders under the Credit Agreement nor the FF&amp;E Facility will have a security interest in the Secured Account or the funds held in it.</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or as directed by Wynn Las Vegas in accordance with the Disbursement Agreement and applied to the development and construction of the Project and to pay interest on the notes, in each case in accordance with the Project Budget. See "Disbursement Agreement."</w:t>
      </w:r>
    </w:p>
    <w:p>
      <w:pPr>
        <w:sectPr>
          <w:pgSz w:w="11900" w:h="16838" w:orient="portrait"/>
          <w:cols w:equalWidth="0" w:num="1">
            <w:col w:w="11400"/>
          </w:cols>
          <w:pgMar w:left="240" w:top="131" w:right="259" w:bottom="0" w:gutter="0" w:footer="0" w:header="0"/>
          <w:type w:val="continuous"/>
        </w:sectPr>
      </w:pPr>
    </w:p>
    <w:bookmarkStart w:id="80" w:name="page81"/>
    <w:bookmarkEnd w:id="80"/>
    <w:p>
      <w:pPr>
        <w:spacing w:after="0" w:line="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Completion Guarantee Deposit Account. </w:t>
      </w:r>
      <w:r>
        <w:rPr>
          <w:rFonts w:ascii="Arial" w:cs="Arial" w:eastAsia="Arial" w:hAnsi="Arial"/>
          <w:sz w:val="16"/>
          <w:szCs w:val="16"/>
          <w:color w:val="auto"/>
        </w:rPr>
        <w:t>Wynn Completion Guarantor, LLC, one of Wynn Las Vegas' Wholly Owned Unrestricted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Guarantor") will provide a $50.0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 of this offering and the IPO, of $50.0 million of the net proceeds of the IPO to the Completion Guarantor to support its obligations under the Completion Guarantee. These funds will be deposited into a collateral account (the "Completion Guarantee Deposit Account") to be held in cash and/or Permitted Securities. The lenders under the Credit Agreement will have a first priority security interest in the funds in the Completion Guarantee Deposit Account, and the trustee will have a second priority security interest in the funds in the Completion Guarantee Deposit Account for the benefit of the Holders. Amounts in the Completion Guarantee Deposit Account may be applied to the costs of the Project in accordance with the Disbursement Agreement. Pursuant to the Disbursement Agreement, these funds will be available to 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respective documents. Upon the Completion Guarantee Release Date, any amounts then remaining in the Completion Guarantee Deposit Account will be released to Wynn Las Vegas, after reserving necessary amounts for completion of punchlist items and disputed claims, which may distribute such funds at its discretion, including to Wynn Resorts, and the Completion Guarantor will be dissolved. See "Disbursement Agreement—Completion Guarantee Deposit Account."</w:t>
      </w:r>
    </w:p>
    <w:p>
      <w:pPr>
        <w:spacing w:after="0" w:line="142"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i w:val="1"/>
          <w:iCs w:val="1"/>
          <w:color w:val="auto"/>
        </w:rPr>
        <w:t xml:space="preserve">Liquidity Reserve Account. </w:t>
      </w:r>
      <w:r>
        <w:rPr>
          <w:rFonts w:ascii="Arial" w:cs="Arial" w:eastAsia="Arial" w:hAnsi="Arial"/>
          <w:sz w:val="16"/>
          <w:szCs w:val="16"/>
          <w:color w:val="auto"/>
        </w:rPr>
        <w:t>Wynn Resorts will, concurrently with the closing of this offering and the IPO, make a common equity capital contribution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Reserve Capital Contribution") to Wynn Las Vegas in an amount equal to $30.0 million of the net proceeds of the IPO.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for the benefit of the noteholders. Amounts in the Liquidity Reserve Account may be applied to the costs of the Project, including cost overruns, in accordance with the Disbursement Agreement. Pursuant to the Disbursement Agreement, these funds will be available to Wynn Las Vegas on a gradual basis to apply to the costs of the Project, commencing after fifty percent of the construction work has been completed. Upon the Completion Date, any amounts then remaining in the Liquidity Reserve Account will, to the extent funds are not otherwise available from operations, be used solely to pay debt service under the Credit Agreement and/or the notes until such time as the actual Consolidated EBITDA of Wynn Las Vegas and its Restricted Subsidiaries for the period of four full consecutive fiscal quarters of Wynn Las Vegas equals or exceeds certain specified Consolidated EBITDA levels. At such time, any amounts then remaining in the Liquidity Reserve Account, if any, must be used to reduce the amounts then outstanding under the revolving loans under the Credit Agreement without reducing the corresponding commitments under the Credit Agreement. See "Disbursement Agreement—Liquidity Reserve Account."</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Guarantees will be secured by, among other things:</w:t>
      </w:r>
    </w:p>
    <w:p>
      <w:pPr>
        <w:spacing w:after="0" w:line="262" w:lineRule="exact"/>
        <w:rPr>
          <w:sz w:val="20"/>
          <w:szCs w:val="20"/>
          <w:color w:val="auto"/>
        </w:rPr>
      </w:pPr>
    </w:p>
    <w:p>
      <w:pPr>
        <w:jc w:val="both"/>
        <w:ind w:left="1080" w:right="6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perfected second priority security interest in substantially all of the existing and future assets (other than gaming licenses and Aircraft Assets, if any) of the Guarantors, including: if approved by the Nevada PUC, the Water Rights for the Golf Course Land owned by Desert Inn Improvement Co., and the rights of any Guarantor under the Key Project Documents to which it is a party,</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Golf Course Land owned by Wynn Resorts Holdings and, if the grant of such security interest is approved by the Nevada PUC, in the related Water Rights held by Desert Inn Water Company, LLC, in each case, subject to release as described below under "—Release of Golf Course Land and Phase II Land,"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Phase II Land, subject to release as described below under "—Release of Golf Course Land and Phase II Land,"</w:t>
      </w:r>
    </w:p>
    <w:p>
      <w:pPr>
        <w:spacing w:after="0" w:line="199" w:lineRule="exact"/>
        <w:rPr>
          <w:rFonts w:ascii="Arial" w:cs="Arial" w:eastAsia="Arial" w:hAnsi="Arial"/>
          <w:sz w:val="18"/>
          <w:szCs w:val="18"/>
          <w:color w:val="auto"/>
        </w:rPr>
      </w:pPr>
    </w:p>
    <w:p>
      <w:pPr>
        <w:ind w:left="1080" w:right="700" w:hanging="532"/>
        <w:spacing w:after="0" w:line="33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Guarantors in Wynn Las Vegas, any Restricted Entity or any of their respective Restricted Subsidiaries, including the equity interests held by Valvino Lamore in each of: Desert Inn Water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
        <w:spacing w:after="0" w:line="298" w:lineRule="auto"/>
        <w:rPr>
          <w:sz w:val="20"/>
          <w:szCs w:val="20"/>
          <w:color w:val="auto"/>
        </w:rPr>
      </w:pPr>
      <w:r>
        <w:rPr>
          <w:rFonts w:ascii="Arial" w:cs="Arial" w:eastAsia="Arial" w:hAnsi="Arial"/>
          <w:sz w:val="16"/>
          <w:szCs w:val="16"/>
          <w:color w:val="auto"/>
        </w:rPr>
        <w:t>Company, LLC, which owns all of the stock of Desert Inn Improvement Co., Wynn Design &amp; Development, LLC, which is responsible for the design and architecture of the Project, Wynn Resorts Holdings, which owns the Golf Course Land, by Wynn Resorts Holdings in Wynn Las Vegas and Palo, LLC, which owns three parcels of residential real estate adjacent to the Golf Course Land, and by Desert Inn Water Company, LLC in Desert Inn Improvement Co., which owns the principal Water Rights for the Golf Course Land, and</w:t>
      </w:r>
    </w:p>
    <w:p>
      <w:pPr>
        <w:spacing w:after="0" w:line="194" w:lineRule="exact"/>
        <w:rPr>
          <w:sz w:val="20"/>
          <w:szCs w:val="20"/>
          <w:color w:val="auto"/>
        </w:rPr>
      </w:pPr>
    </w:p>
    <w:p>
      <w:pPr>
        <w:ind w:left="360" w:right="3380" w:firstLine="188"/>
        <w:spacing w:after="0" w:line="501" w:lineRule="auto"/>
        <w:tabs>
          <w:tab w:leader="none" w:pos="10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if any, owned by the Guarantors. The Guarantees will not be secured by a security interest in the Aircraft Assets.</w:t>
      </w:r>
    </w:p>
    <w:p>
      <w:pPr>
        <w:ind w:right="220"/>
        <w:spacing w:after="0" w:line="268" w:lineRule="auto"/>
        <w:rPr>
          <w:sz w:val="20"/>
          <w:szCs w:val="20"/>
          <w:color w:val="auto"/>
        </w:rPr>
      </w:pPr>
      <w:r>
        <w:rPr>
          <w:rFonts w:ascii="Arial" w:cs="Arial" w:eastAsia="Arial" w:hAnsi="Arial"/>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Golf Course Land and Phase II Land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noteholders' security interests in all or certain portions of the Golf Course Land (and the related Water Rights, if applicable) and in all of the Phase II Land may be released under the circumstances described below. Upon any such release of those security interests, the disposition or transfer of such assets will no longer be subject to any of the restrictive covenants in the indenture.</w:t>
      </w:r>
    </w:p>
    <w:p>
      <w:pPr>
        <w:sectPr>
          <w:pgSz w:w="11900" w:h="16843" w:orient="portrait"/>
          <w:cols w:equalWidth="0" w:num="1">
            <w:col w:w="11400"/>
          </w:cols>
          <w:pgMar w:left="240" w:top="131" w:right="259" w:bottom="0" w:gutter="0" w:footer="0" w:header="0"/>
        </w:sectPr>
      </w:pPr>
    </w:p>
    <w:bookmarkStart w:id="81" w:name="page82"/>
    <w:bookmarkEnd w:id="81"/>
    <w:p>
      <w:pPr>
        <w:ind w:left="360"/>
        <w:spacing w:after="0"/>
        <w:tabs>
          <w:tab w:leader="none" w:pos="3280" w:val="left"/>
        </w:tabs>
        <w:rPr>
          <w:sz w:val="20"/>
          <w:szCs w:val="20"/>
          <w:color w:val="auto"/>
        </w:rPr>
      </w:pPr>
      <w:r>
        <w:rPr>
          <w:rFonts w:ascii="Arial" w:cs="Arial" w:eastAsia="Arial" w:hAnsi="Arial"/>
          <w:sz w:val="18"/>
          <w:szCs w:val="18"/>
          <w:i w:val="1"/>
          <w:iCs w:val="1"/>
          <w:color w:val="auto"/>
        </w:rPr>
        <w:t>Release of All of the Golf Course Land.</w:t>
      </w:r>
      <w:r>
        <w:rPr>
          <w:sz w:val="20"/>
          <w:szCs w:val="20"/>
          <w:color w:val="auto"/>
        </w:rPr>
        <w:tab/>
      </w:r>
      <w:r>
        <w:rPr>
          <w:rFonts w:ascii="Arial" w:cs="Arial" w:eastAsia="Arial" w:hAnsi="Arial"/>
          <w:sz w:val="16"/>
          <w:szCs w:val="16"/>
          <w:color w:val="auto"/>
        </w:rPr>
        <w:t>The security interests in all of the Golf Course Land, the equity interests in Desert Inn Improvement Co. and/or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 and the DIIC Water Permits (other than the DIIC Casino Water Permit) will be released so long as:</w:t>
      </w:r>
    </w:p>
    <w:p>
      <w:pPr>
        <w:spacing w:after="0" w:line="232" w:lineRule="exact"/>
        <w:rPr>
          <w:sz w:val="20"/>
          <w:szCs w:val="20"/>
          <w:color w:val="auto"/>
        </w:rPr>
      </w:pPr>
    </w:p>
    <w:p>
      <w:pPr>
        <w:ind w:left="1080" w:right="280" w:hanging="532"/>
        <w:spacing w:after="0" w:line="298"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 binding agreement is entered into) and after giving pro forma effect to that release (as if, for purposes of calculating the Consolidated Leverage Ratio, such release had been made at the beginning of the applicable four-quarter period):</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620" w:hanging="532"/>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Default or Event of Default exists,</w:t>
      </w:r>
    </w:p>
    <w:p>
      <w:pPr>
        <w:spacing w:after="0" w:line="238"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full consecutive fiscal quarters of Wynn Las Vegas ending immediately prior to the release date is 3.0 to 1.0 or less,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release occurs on or after the third anniversary of the Opening Date,</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Golf Course Land, the equity interests in Desert Inn Improvement Co. and/or Desert Inn Water Company, LLC and the DIIC Water Permits (other than the DIIC Casino Water Permits), in each case, to be released by the trustee,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Desert Inn Water Company owns no assets other than the stock of Desert Inn Improvement Co.,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94"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Valvino Water Permits and the DIIC Casino Water Permit, wells associated therewith or rights-of-way necessary for the transportation to the Le Rêve casino water features of water drawn or to be drawn pursuant to such Water Permits, are located on the Golf Course Land or (2) the applicable entities that own the Golf Course Land to be released shall have transferred at no cost such easements to Wynn Las Vegas as are necessary for Wynn Las Vegas to access such Points of Diversion, own and operate such wells and transport the water drawn therefrom to the Le Rêve casino water features,</w:t>
      </w:r>
    </w:p>
    <w:p>
      <w:pPr>
        <w:spacing w:after="0" w:line="183"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Las Vegas shall have taken all actions required pursuant to the covenant captioned "—Additional Collateral; Acquisition of Assets or Property" with respect to any assets or property acquired pursuant to clause (e) above,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Resorts Holdings delivers an officers' certificate (including supporting calculations in reasonable detail) to the trustee confirming that the conditions in clauses (a), (b), (c), (d), (e) and (f) above have been satisfied.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Release of Portions of the Golf Course Land. </w:t>
      </w:r>
      <w:r>
        <w:rPr>
          <w:rFonts w:ascii="Arial" w:cs="Arial" w:eastAsia="Arial" w:hAnsi="Arial"/>
          <w:sz w:val="16"/>
          <w:szCs w:val="16"/>
          <w:color w:val="auto"/>
        </w:rPr>
        <w:t>The security interests granted by Wynn Resorts Holdings in approximately 20 acres of the Golf Course Land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released if the lenders under the Credit Agreement concurrently release their first priority security interest in such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an extension, refinancing, renewal, replacement, amendment and restatement, restatement, defeasance or refunding (collectively,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approximately 20 acres of the Golf Course Land, Wynn Las Vegas, the Restricted Entities or any of their respective Restricted Subsidiaries grants a security interest in any or all of such portions to secure such refinancing Indebtedness or any guarantee thereof, such Person will concurrently grant a security interest in such portions of the Golf Course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w:t>
      </w:r>
    </w:p>
    <w:p>
      <w:pPr>
        <w:spacing w:after="0" w:line="178"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Credit Agreement currently provides that the lenders will release their security interests in approximately 20 acres of the Golf Course Land when Wynn Las Vegas achieves a specified minimum level of Consolidated EBITDA for four full consecutive fiscal quarters and satisfies certain conditions relating to water required for the Le Rêve casino water features and the golf course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pacing w:after="0" w:line="159"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i w:val="1"/>
          <w:iCs w:val="1"/>
          <w:color w:val="auto"/>
        </w:rPr>
        <w:t xml:space="preserve">Release of Homesite Acreage. </w:t>
      </w:r>
      <w:r>
        <w:rPr>
          <w:rFonts w:ascii="Arial" w:cs="Arial" w:eastAsia="Arial" w:hAnsi="Arial"/>
          <w:sz w:val="18"/>
          <w:szCs w:val="18"/>
          <w:color w:val="auto"/>
        </w:rPr>
        <w:t>The security interests in approximately two acres of the Golf Course Land will be released in order to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personal residence for Stephen A. Wynn, so long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238"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ectPr>
          <w:pgSz w:w="11900" w:h="16838" w:orient="portrait"/>
          <w:cols w:equalWidth="0" w:num="1">
            <w:col w:w="11420"/>
          </w:cols>
          <w:pgMar w:left="240" w:top="131" w:right="239" w:bottom="0" w:gutter="0" w:footer="0" w:header="0"/>
        </w:sectPr>
      </w:pPr>
    </w:p>
    <w:bookmarkStart w:id="82" w:name="page83"/>
    <w:bookmarkEnd w:id="82"/>
    <w:p>
      <w:pPr>
        <w:ind w:left="1080" w:right="100"/>
        <w:spacing w:after="0" w:line="332" w:lineRule="auto"/>
        <w:rPr>
          <w:sz w:val="20"/>
          <w:szCs w:val="20"/>
          <w:color w:val="auto"/>
        </w:rPr>
      </w:pPr>
      <w:r>
        <w:rPr>
          <w:rFonts w:ascii="Arial" w:cs="Arial" w:eastAsia="Arial" w:hAnsi="Arial"/>
          <w:sz w:val="16"/>
          <w:szCs w:val="16"/>
          <w:color w:val="auto"/>
        </w:rPr>
        <w:t>the purchase price is paid directly to Wynn Resorts Holdings so long as, prior to the release of the security interests, the purchase price is contributed in immediately available funds to Wynn Las Vegas as a common equity capital contribution (the "Steve Wynn Capital Contribution"),</w:t>
      </w:r>
    </w:p>
    <w:p>
      <w:pPr>
        <w:spacing w:after="0" w:line="153" w:lineRule="exact"/>
        <w:rPr>
          <w:sz w:val="20"/>
          <w:szCs w:val="20"/>
          <w:color w:val="auto"/>
        </w:rPr>
      </w:pPr>
    </w:p>
    <w:p>
      <w:pPr>
        <w:jc w:val="both"/>
        <w:ind w:left="1080" w:right="60" w:hanging="532"/>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portions of the Golf Course Land to be released by the trustee,</w:t>
      </w:r>
    </w:p>
    <w:p>
      <w:pPr>
        <w:spacing w:after="0" w:line="199"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Water Permits, wells associated therewith or rights-of-way necessary for the transportation to the Golf Course Land or the Le Rêve casino water features of water drawn or to be drawn pursuant to Water Permits, are located on the released Golf Course Land or (2) the entity that owns the released Golf Course Land shall have transferred at no cost:</w:t>
      </w:r>
    </w:p>
    <w:p>
      <w:pPr>
        <w:spacing w:after="0" w:line="390" w:lineRule="exact"/>
        <w:rPr>
          <w:rFonts w:ascii="Arial" w:cs="Arial" w:eastAsia="Arial" w:hAnsi="Arial"/>
          <w:sz w:val="16"/>
          <w:szCs w:val="16"/>
          <w:color w:val="auto"/>
        </w:rPr>
      </w:pPr>
    </w:p>
    <w:p>
      <w:pPr>
        <w:ind w:left="1620" w:right="200" w:hanging="532"/>
        <w:spacing w:after="0" w:line="298"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and associated wells with respect to the Valvino Water Permits and the DIIC Casino Water Permit, and rights-of-way necessary for the transportation to the Le Rêve casino water features of water drawn or to be drawn pursuant to Water Permits, such easements to Wynn Las Vegas as are necessary for Wynn Las Vegas to access such Points of Diversion, own and operate such wells and transport the water drawn therefrom to the Le Rêve casino water features, and</w:t>
      </w:r>
    </w:p>
    <w:p>
      <w:pPr>
        <w:spacing w:after="0" w:line="193" w:lineRule="exact"/>
        <w:rPr>
          <w:rFonts w:ascii="Arial" w:cs="Arial" w:eastAsia="Arial" w:hAnsi="Arial"/>
          <w:sz w:val="16"/>
          <w:szCs w:val="16"/>
          <w:color w:val="auto"/>
        </w:rPr>
      </w:pPr>
    </w:p>
    <w:p>
      <w:pPr>
        <w:ind w:left="1620" w:right="40" w:hanging="532"/>
        <w:spacing w:after="0" w:line="306"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all other DIIC Water Permits and the wells associated therewith, such easements to Wynn Las Vegas and Wynn Resorts Holdings as are necessary for Wynn Las Vegas and Wynn Resorts Holdings to access such Points of Diversion, own and operate such wells and transport the water drawn therefrom to the Golf Course Land,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Wynn Las Vegas and Wynn Resorts Holdings, as the case may be, shall have taken all actions required pursuant to the covenant captioned "— Additional Collateral; Acquisition of Assets or Property" with respect to any assets or property acquired pursuant to clause (f) above,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Wynn Resorts Holdings delivers an officers' certificate to the trustee confirming that the conditions in clauses (a), (b), (c), (d), (e), (f)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(g) above have been satisfied.</w:t>
      </w:r>
    </w:p>
    <w:p>
      <w:pPr>
        <w:spacing w:after="0" w:line="21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Release of the Phase II Land. </w:t>
      </w:r>
      <w:r>
        <w:rPr>
          <w:rFonts w:ascii="Arial" w:cs="Arial" w:eastAsia="Arial" w:hAnsi="Arial"/>
          <w:sz w:val="16"/>
          <w:szCs w:val="16"/>
          <w:color w:val="auto"/>
        </w:rPr>
        <w:t>The security interests granted by Valvino Lamore in the Phase II Land to secure its obligations under its Guarantee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as a result of which the first priority liens in favor of the administrative agent (for the benefit of the lenders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Credit Agreement) are replaced with liens in favor of the lenders or holders of such refinancing Indebtedness. In the event that, following the automatic release of the noteholders' security interest in the Phase II Land, Wynn Las Vegas, the Restricted Entities or any of their respective Restricted Subsidiaries grants a security interest in any or all of the Phase II Land to secure such refinancing Indebtedness or any guarantee thereof, such Person will concurrently grant a security interest in such Phase II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 The foregoing provisions will not permit the release of any portions of the Phase II Land on which an Entertainment Facility is being constructed or has been constructed.</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Credit Agreement currently provides that the lenders will release their security interests in the Phase II Land when Wynn Las Vegas achieves specified minimum levels of Consolidated EBITDA for either two or four consecutive fiscal quarters, so long as the Valvino Water Permit Transfer has occurred and, if any of the Entertainment Facility is built on the Phase II Land, that portion of the Phase II Land has been transferred to Wynn Las Vegas.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and either or both of the Issuers or any of their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ectPr>
          <w:pgSz w:w="11900" w:h="16838" w:orient="portrait"/>
          <w:cols w:equalWidth="0" w:num="1">
            <w:col w:w="11420"/>
          </w:cols>
          <w:pgMar w:left="240" w:top="131" w:right="239" w:bottom="0" w:gutter="0" w:footer="0" w:header="0"/>
        </w:sectPr>
      </w:pPr>
    </w:p>
    <w:bookmarkStart w:id="83" w:name="page84"/>
    <w:bookmarkEnd w:id="83"/>
    <w:p>
      <w:pPr>
        <w:ind w:left="5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Change of Control Offer, the Issuers will offer a payment (the "Change of Control Payment") in cash equal to 101% of the aggregate principal amount of notes repurchased plus 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239"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accept for payment all notes or portions of the notes properly tendered pursuant to the Change of Control Offer;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the notes so tendered; and</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Each such new note will be in a principal amount of $1,000 or an integral multiple of $1,000. The Issuers will publicly announce the results of the Change of Control Offer on or as soon as practicable after the Change of Control Payment Date.</w:t>
      </w:r>
    </w:p>
    <w:p>
      <w:pPr>
        <w:spacing w:after="0" w:line="167"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 provisions that permit the holders to require that the Issuers repurchase or redeem notes in the event of a takeover, recapitalization or similar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the Restricted Entities and their respective Restricted Subsidiaries, taken as a whole, or Wynn Las Vegas and its Restricted Subsidiaries, taken as a whole, to another Person or group may be uncertain.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Wynn Las Vegas and the Restricted Entities will not, and will not permit any of their respective Restricted Subsidiaries to, consummate an Asset Sale unless:</w:t>
      </w:r>
    </w:p>
    <w:p>
      <w:pPr>
        <w:spacing w:after="0" w:line="273"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Asset Sale;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with respect to Non-Project Assets, the Opening Date has occurred;</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75% (or 95%, in the case of any Asset Sale that occurs on or before the Completion Date) of the consideration received in the Asset Sale by the applicable entity is in the form of cash or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84" w:name="page85"/>
    <w:bookmarkEnd w:id="84"/>
    <w:p>
      <w:pPr>
        <w:ind w:right="320" w:firstLine="341"/>
        <w:spacing w:after="0" w:line="268" w:lineRule="auto"/>
        <w:rPr>
          <w:sz w:val="20"/>
          <w:szCs w:val="20"/>
          <w:color w:val="auto"/>
        </w:rPr>
      </w:pPr>
      <w:r>
        <w:rPr>
          <w:rFonts w:ascii="Arial" w:cs="Arial" w:eastAsia="Arial" w:hAnsi="Arial"/>
          <w:sz w:val="18"/>
          <w:szCs w:val="18"/>
          <w:color w:val="auto"/>
        </w:rPr>
        <w:t>After the receipt of any Net Proceeds from an Asset Sale by Wynn Las Vegas, any Restricted Entity or any of their respective Restricted Subsidiaries, the applicable entity:</w:t>
      </w:r>
    </w:p>
    <w:p>
      <w:pPr>
        <w:spacing w:after="0" w:line="199" w:lineRule="exact"/>
        <w:rPr>
          <w:sz w:val="20"/>
          <w:szCs w:val="20"/>
          <w:color w:val="auto"/>
        </w:rPr>
      </w:pPr>
    </w:p>
    <w:p>
      <w:pPr>
        <w:ind w:left="1080" w:right="40" w:hanging="532"/>
        <w:spacing w:after="0" w:line="256"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24"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 business permitted by the covenant described below under the caption "—Certain Covenants—Line of Business."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any such case, the Restricted Entities shall take all necessary action to ensure that the security interest of the trustee, on behalf of the holders, continues as a perfected security interest (subject only to the security interest 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 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sale proceeds from an Asset Sale to repay the loans under the Credit Agreement. In such circumstances, until the debt under the Credit Agreement has been repaid in full, there will not be any Net Proceeds. As a result, in that case, the operative provisions of this covenant will not apply, and no Asset Sale Offers will be made to the note holders.</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Once the Credit Agreement has been repaid in full, 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as described below under "— Selection and Notice." Upon completion of each Asset Sale Offer, the amount of Excess Proceeds will be reset at zero.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Events of Loss</w:t>
      </w:r>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After any Event of Loss of Collateral comprising the Project occurring after the Final Completion Date in an amount of up to $500.0 million (measured as the greater of the fair market value or the replacement cost of the Collateral subject to such Event of Loss), Wynn Las Vegas, the applicable Restricted Entity or the applicable Restricted Subsidiary, as the case may be, may apply the Net Loss Proceeds from the Event of Loss to the rebuilding, repair, replacement or construction of improvements to the Project, with no obligation to make any purchase of any notes; so long as, in the case of any such Collateral with a fair market value (or replacement cost, if higher) in excess of $15.0 million but less than or equal to $500.0 million:</w:t>
      </w:r>
    </w:p>
    <w:p>
      <w:pPr>
        <w:spacing w:after="0" w:line="183" w:lineRule="exact"/>
        <w:rPr>
          <w:sz w:val="20"/>
          <w:szCs w:val="20"/>
          <w:color w:val="auto"/>
        </w:rPr>
      </w:pPr>
    </w:p>
    <w:p>
      <w:pPr>
        <w:ind w:left="540" w:right="100" w:hanging="532"/>
        <w:spacing w:after="0" w:line="268"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199" w:lineRule="exact"/>
        <w:rPr>
          <w:rFonts w:ascii="Arial" w:cs="Arial" w:eastAsia="Arial" w:hAnsi="Arial"/>
          <w:sz w:val="18"/>
          <w:szCs w:val="18"/>
          <w:color w:val="auto"/>
        </w:rPr>
      </w:pPr>
    </w:p>
    <w:p>
      <w:pPr>
        <w:ind w:left="540" w:right="200" w:hanging="532"/>
        <w:spacing w:after="0" w:line="294"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96"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However, if the damaged Collateral is not necessary for and is not used in the operation of the Permitted Business of the Project, the applicable entity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ability of Wynn Las Vegas, any Restricted Entities or any of their Restricted Subsidiaries to repair or restore any of the Collateral following an Event of Loss that occurs on or prior to the Final Completion Date will be governed by the Disbursement Agreement.</w:t>
      </w:r>
    </w:p>
    <w:p>
      <w:pPr>
        <w:spacing w:after="0" w:line="18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loss proceeds from an Event of Loss to repay the loans under the Credit Agreement. In such circumstances, until the debt under the Credit Agreement has been repaid in full, there will not be any Net Loss Proceeds. As a result, in that case, the operative provisions of this covenant will not apply, and no Event of Loss Offers will be made to the note holders.</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Once the Credit Agreement has been repaid in full, 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 Vegas will make an offer (an "Event of Loss Offer") to all holders to purchase the maximum principal amount of notes</w:t>
      </w:r>
    </w:p>
    <w:p>
      <w:pPr>
        <w:sectPr>
          <w:pgSz w:w="11900" w:h="16838" w:orient="portrait"/>
          <w:cols w:equalWidth="0" w:num="1">
            <w:col w:w="11420"/>
          </w:cols>
          <w:pgMar w:left="240" w:top="131" w:right="239" w:bottom="0" w:gutter="0" w:footer="0" w:header="0"/>
        </w:sectPr>
      </w:pPr>
    </w:p>
    <w:bookmarkStart w:id="85" w:name="page86"/>
    <w:bookmarkEnd w:id="85"/>
    <w:p>
      <w:pPr>
        <w:ind w:right="560"/>
        <w:spacing w:after="0" w:line="268" w:lineRule="auto"/>
        <w:rPr>
          <w:sz w:val="20"/>
          <w:szCs w:val="20"/>
          <w:color w:val="auto"/>
        </w:rPr>
      </w:pPr>
      <w:r>
        <w:rPr>
          <w:rFonts w:ascii="Arial" w:cs="Arial" w:eastAsia="Arial" w:hAnsi="Arial"/>
          <w:sz w:val="18"/>
          <w:szCs w:val="18"/>
          <w:color w:val="auto"/>
        </w:rPr>
        <w:t>that may be purchased out of the Excess Loss Proceeds. The offer price in any Event of Loss Offer will be 100% of the principal amount of the notes to be purchased, plus accrued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"—Selection and Notice." Upon completion of each Event of Loss Offer, the amount of Excess Loss Proceeds will be reset at zero.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the Credit Agreement, or</w:t>
      </w:r>
    </w:p>
    <w:p>
      <w:pPr>
        <w:spacing w:after="0" w:line="38" w:lineRule="exact"/>
        <w:rPr>
          <w:sz w:val="20"/>
          <w:szCs w:val="20"/>
          <w:color w:val="auto"/>
        </w:rPr>
      </w:pPr>
    </w:p>
    <w:p>
      <w:pPr>
        <w:ind w:right="40" w:firstLine="8"/>
        <w:spacing w:after="0" w:line="290" w:lineRule="auto"/>
        <w:tabs>
          <w:tab w:leader="none" w:pos="24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 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99" w:lineRule="exact"/>
        <w:rPr>
          <w:sz w:val="20"/>
          <w:szCs w:val="20"/>
          <w:color w:val="auto"/>
        </w:rPr>
      </w:pPr>
    </w:p>
    <w:p>
      <w:pPr>
        <w:ind w:left="540" w:right="80" w:hanging="532"/>
        <w:spacing w:after="0" w:line="268"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the applicable entity's board of directors set forth in an officers' certificate delivered to the trustee) of the property or assets subject to the Event of Loss;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90% of which is in the form of cash or Cash Equivalents.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Repurchase of Notes</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the Restricted Entities and their respective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Second Mortgage Notes—We may not be able to fulfill our repurchase obligations with respect to the second mortgage notes upon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will select notes for redemption or purchase as follows:</w:t>
      </w:r>
    </w:p>
    <w:p>
      <w:pPr>
        <w:spacing w:after="0" w:line="199" w:lineRule="exact"/>
        <w:rPr>
          <w:sz w:val="20"/>
          <w:szCs w:val="20"/>
          <w:color w:val="auto"/>
        </w:rPr>
      </w:pPr>
    </w:p>
    <w:p>
      <w:pPr>
        <w:ind w:left="540" w:right="12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notes are not listed on any national securities exchange, on a pro rata basis, by lot or by any other method the trustee deems fair and appropriate.</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Notices of redemption or purchase may not be conditional.</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ectPr>
          <w:pgSz w:w="11900" w:h="16838" w:orient="portrait"/>
          <w:cols w:equalWidth="0" w:num="1">
            <w:col w:w="11420"/>
          </w:cols>
          <w:pgMar w:left="240" w:top="131" w:right="239" w:bottom="0" w:gutter="0" w:footer="0" w:header="0"/>
        </w:sectPr>
      </w:pPr>
    </w:p>
    <w:bookmarkStart w:id="86" w:name="page87"/>
    <w:bookmarkEnd w:id="86"/>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62" w:lineRule="exact"/>
        <w:rPr>
          <w:sz w:val="20"/>
          <w:szCs w:val="20"/>
          <w:color w:val="auto"/>
        </w:rPr>
      </w:pPr>
    </w:p>
    <w:p>
      <w:pPr>
        <w:ind w:left="540" w:right="20" w:hanging="532"/>
        <w:spacing w:after="0" w:line="255"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any Restricted Entity or any Restricted Entity's Restricted Subsidiaries (including, without limitation, any payment in connection with any merger or consolidation) or to the direct or indirect holders of any Equity Interests of Wynn Las Vegas, any Restricted Entity or any Restricted Entity's Restricted Subsidiaries in any capacity, other than dividends or distributions payable in Equity Interests (other than Disqualified Stock) of Wynn Las Vegas, any Restricted Entity or any Restricted Entity's Restricted Subsidiaries;</w:t>
      </w:r>
    </w:p>
    <w:p>
      <w:pPr>
        <w:spacing w:after="0" w:line="223"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any Restricted Entity or any Restricted Entity's Restricted Subsidiaries, other than Permitted Investments;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60" w:hanging="532"/>
        <w:spacing w:after="0" w:line="332" w:lineRule="auto"/>
        <w:tabs>
          <w:tab w:leader="none" w:pos="5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"Restricted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52"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Completion Date has occurred;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238"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224" w:lineRule="exact"/>
        <w:rPr>
          <w:rFonts w:ascii="Arial" w:cs="Arial" w:eastAsia="Arial" w:hAnsi="Arial"/>
          <w:sz w:val="18"/>
          <w:szCs w:val="18"/>
          <w:color w:val="auto"/>
        </w:rPr>
      </w:pPr>
    </w:p>
    <w:p>
      <w:pPr>
        <w:ind w:left="540" w:right="120" w:hanging="532"/>
        <w:spacing w:after="0" w:line="298"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Wynn Las Vegas, any Restricted Entity or any of their respective Restricted Subsidiaries after the date of the indenture (excluding Restricted Payments permitted by clauses (2), (3), (5), (7), (8), (9), (10), (11), (12), (13) and (14) below (with respect to clause (5) to the extent such Restricted Payments were already deducted from Consolidated Net Income) of the next succeeding paragraph), is less than the sum, without duplication, of:</w:t>
      </w:r>
    </w:p>
    <w:p>
      <w:pPr>
        <w:spacing w:after="0" w:line="396" w:lineRule="exact"/>
        <w:rPr>
          <w:rFonts w:ascii="Arial" w:cs="Arial" w:eastAsia="Arial" w:hAnsi="Arial"/>
          <w:sz w:val="16"/>
          <w:szCs w:val="16"/>
          <w:color w:val="auto"/>
        </w:rPr>
      </w:pPr>
    </w:p>
    <w:p>
      <w:pPr>
        <w:jc w:val="both"/>
        <w:ind w:left="1080" w:right="160" w:hanging="532"/>
        <w:spacing w:after="0" w:line="256" w:lineRule="auto"/>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100% of the aggregate Net New Equity Proceeds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to the extent those proceeds are utilized as a basis for incurring Indebtedness pursuant to clause (11) or (12) of the second paragraph of the covenant captioned "—Incurrence of Indebtedness and Issuance of Preferred Equity,"</w:t>
      </w:r>
    </w:p>
    <w:p>
      <w:pPr>
        <w:spacing w:after="0" w:line="199"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to the extent consisting of capital contributions made to Wynn Las Vegas for the purpose of satisfying the "in-balance" requirements of the Disbursement Agreement,</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except that, solely for purposes of calculating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360"/>
        <w:spacing w:after="0" w:line="268" w:lineRule="auto"/>
        <w:rPr>
          <w:sz w:val="20"/>
          <w:szCs w:val="20"/>
          <w:color w:val="auto"/>
        </w:rPr>
      </w:pPr>
      <w:r>
        <w:rPr>
          <w:rFonts w:ascii="Arial" w:cs="Arial" w:eastAsia="Arial" w:hAnsi="Arial"/>
          <w:sz w:val="18"/>
          <w:szCs w:val="18"/>
          <w:color w:val="auto"/>
        </w:rPr>
        <w:t>Fixed Charge Coverage Ratio under this subclause (iii), the Fixed Charges of Wynn Resorts shall be included as a Fixed Charge in the calculation of "Fixed Charges,"</w:t>
      </w:r>
    </w:p>
    <w:p>
      <w:pPr>
        <w:spacing w:after="0" w:line="213" w:lineRule="exact"/>
        <w:rPr>
          <w:sz w:val="20"/>
          <w:szCs w:val="20"/>
          <w:color w:val="auto"/>
        </w:rPr>
      </w:pPr>
    </w:p>
    <w:p>
      <w:pPr>
        <w:ind w:left="1620" w:right="560" w:hanging="532"/>
        <w:spacing w:after="0" w:line="268" w:lineRule="auto"/>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the extent those proceeds are used to redeem, repurchase, retire, defease or acquire subordinated Indebtedness or Equity Interests pursuant to clause (2) or (3) of the immediately succeeding paragraph, and</w:t>
      </w:r>
    </w:p>
    <w:p>
      <w:pPr>
        <w:spacing w:after="0" w:line="199" w:lineRule="exact"/>
        <w:rPr>
          <w:rFonts w:ascii="Arial" w:cs="Arial" w:eastAsia="Arial" w:hAnsi="Arial"/>
          <w:sz w:val="18"/>
          <w:szCs w:val="18"/>
          <w:color w:val="auto"/>
        </w:rPr>
      </w:pPr>
    </w:p>
    <w:p>
      <w:pPr>
        <w:ind w:left="1620" w:right="440" w:hanging="532"/>
        <w:spacing w:after="0" w:line="268" w:lineRule="auto"/>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to the extent those proceeds are used to make Permitted Investments of the type permitted by clause (5) of the definition of Permitted Investments, </w:t>
      </w:r>
      <w:r>
        <w:rPr>
          <w:rFonts w:ascii="Arial" w:cs="Arial" w:eastAsia="Arial" w:hAnsi="Arial"/>
          <w:sz w:val="18"/>
          <w:szCs w:val="18"/>
          <w:i w:val="1"/>
          <w:iCs w:val="1"/>
          <w:color w:val="auto"/>
        </w:rPr>
        <w:t>plus</w:t>
      </w:r>
    </w:p>
    <w:p>
      <w:pPr>
        <w:sectPr>
          <w:pgSz w:w="11900" w:h="16857"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w:t>
      </w:r>
    </w:p>
    <w:p>
      <w:pPr>
        <w:sectPr>
          <w:pgSz w:w="11900" w:h="16857" w:orient="portrait"/>
          <w:cols w:equalWidth="0" w:num="1">
            <w:col w:w="11420"/>
          </w:cols>
          <w:pgMar w:left="240" w:top="131" w:right="239" w:bottom="0" w:gutter="0" w:footer="0" w:header="0"/>
          <w:type w:val="continuous"/>
        </w:sectPr>
      </w:pPr>
    </w:p>
    <w:bookmarkStart w:id="87" w:name="page88"/>
    <w:bookmarkEnd w:id="87"/>
    <w:p>
      <w:pPr>
        <w:ind w:left="1080" w:right="220"/>
        <w:spacing w:after="0" w:line="291" w:lineRule="auto"/>
        <w:rPr>
          <w:sz w:val="20"/>
          <w:szCs w:val="20"/>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87" w:lineRule="exact"/>
        <w:rPr>
          <w:sz w:val="20"/>
          <w:szCs w:val="20"/>
          <w:color w:val="auto"/>
        </w:rPr>
      </w:pPr>
    </w:p>
    <w:p>
      <w:pPr>
        <w:ind w:left="1080" w:right="14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any of its Restricted Subsidiaries after the date of the indenture from an Unrestricted Subsidiary of Wynn Las Vegas,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6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With respect to (a) any payments made pursuant to clauses (1), (2), (3), (6), (7), (8), (9), (11), (12), (13), (14), (15) and (16) below, so long as no Default or Event of Default has occurred and is continuing or would be caused by the payments, and (b) any payments made pursuant to clauses (4), (5) and (10) below, regardless of whether any Default or Event of Default has occurred and is continuing or would be caused by the payment, the preceding provisions will not prohibit:</w:t>
      </w:r>
    </w:p>
    <w:p>
      <w:pPr>
        <w:spacing w:after="0" w:line="211" w:lineRule="exact"/>
        <w:rPr>
          <w:sz w:val="20"/>
          <w:szCs w:val="20"/>
          <w:color w:val="auto"/>
        </w:rPr>
      </w:pPr>
    </w:p>
    <w:p>
      <w:pPr>
        <w:ind w:left="540" w:right="220" w:hanging="532"/>
        <w:spacing w:after="0" w:line="259"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207"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redemption, repurchase, retirement, defeasance or other acquisition of any subordinated Indebtedness of (a) Wynn Las Vegas, any Restricted Entity or any of their respective Restricted Subsidiaries in exchange for, or out of Net New Equity Proceeds, or (b) Wynn Las Vegas, any Restricted Entity or any of their Restricted Subsidiaries with the net cash proceeds from an incurrence of Permitted Refinancing Indebtedness;</w:t>
      </w:r>
    </w:p>
    <w:p>
      <w:pPr>
        <w:spacing w:after="0" w:line="18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any Equity Interests of Wynn Las Vegas or Wynn Resorts in exchange for or out of Net New Equity Proceeds;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distribution to Wynn Resorts, directly or through any intermediate Wholly Owned Subsidiaries of Wynn Resorts, of amounts necessary to repurchase Equity Interests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12" w:lineRule="exact"/>
        <w:rPr>
          <w:sz w:val="20"/>
          <w:szCs w:val="20"/>
          <w:color w:val="auto"/>
        </w:rPr>
      </w:pPr>
    </w:p>
    <w:p>
      <w:pPr>
        <w:ind w:left="540" w:right="240" w:hanging="532"/>
        <w:spacing w:after="0" w:line="259"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any Restricted Entity or any of their respective Restricted Subsidiaries with respect to any period during which such entity is a Pass Through Entity or a Consolidated Member, such distributions in an aggregate amount not to exceed such owners' Tax Amounts for such period;</w:t>
      </w:r>
    </w:p>
    <w:p>
      <w:pPr>
        <w:spacing w:after="0" w:line="221" w:lineRule="exact"/>
        <w:rPr>
          <w:rFonts w:ascii="Arial" w:cs="Arial" w:eastAsia="Arial" w:hAnsi="Arial"/>
          <w:sz w:val="18"/>
          <w:szCs w:val="18"/>
          <w:color w:val="auto"/>
        </w:rPr>
      </w:pPr>
    </w:p>
    <w:p>
      <w:pPr>
        <w:ind w:left="540" w:right="80" w:hanging="532"/>
        <w:spacing w:after="0" w:line="290"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85"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of Management Fees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760" w:hanging="532"/>
        <w:spacing w:after="0" w:line="26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distribution to Wynn Resorts of amounts remaining in the Completion Guarantee Deposit Account, following the release of such amounts in accordance with the Disbursement Agreement;</w:t>
      </w:r>
    </w:p>
    <w:p>
      <w:pPr>
        <w:spacing w:after="0" w:line="212" w:lineRule="exact"/>
        <w:rPr>
          <w:rFonts w:ascii="Arial" w:cs="Arial" w:eastAsia="Arial" w:hAnsi="Arial"/>
          <w:sz w:val="18"/>
          <w:szCs w:val="18"/>
          <w:color w:val="auto"/>
        </w:rPr>
      </w:pPr>
    </w:p>
    <w:p>
      <w:pPr>
        <w:ind w:left="540" w:right="160" w:hanging="532"/>
        <w:spacing w:after="0" w:line="298"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following the Completion Date, the payments of amounts then due and payable under the Affiliate Agreements and Qualified Intercompany Agreements in respect of the period following the Completion Date (other than payments described in clauses (7), (10) and (11) of this paragraph), so long as such amounts do not include, in any case, any fee, profit or similar component and represent only the payment or reimbursement of actual costs and expenses incurred or, as the case may be, the fair value of services provided thereunder;</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of amounts then due and payable under the Tax Indemnification Agreement, as in effect on the date of the indenture;</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of Budgeted Amounts pursuant to 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ectPr>
          <w:pgSz w:w="11900" w:h="16838" w:orient="portrait"/>
          <w:cols w:equalWidth="0" w:num="1">
            <w:col w:w="11420"/>
          </w:cols>
          <w:pgMar w:left="240" w:top="131" w:right="239" w:bottom="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 rata dividends, distributions or payments to direct or indirect Equity Interests holders by a Person, (excluding any dividend, distribution or payment by a Person that is a Guarantor to a Person, other than an Issuer, that is not a Guarantor) payable: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Wynn Las Vegas or any of its Restricted Subsidiaries,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dividend or distribution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by (x) any Restricted Entity or any Restricted Subsidiary of a Restricted Entity, that, in each case, is not a Guarantor to (y) any parent Restricted Entity or any parent Restricted Subsidiary of a Restricted Entity that, in each case, is a Guarantor,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until the earlier of (i) 12 months following the acquisition of the Replacement Aircraft, and (ii) the sale by World Travel, LLC or the Aircraft Trustee of the Existing Aircraft, the payment to Wynn Resorts of amounts necessary to pay interest then due and payable on the Replacement Aircraft Indebtedness in an aggregate amount not to exceed $1.0 million;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(15) in an aggregate amount of not more than $10.0 million.</w:t>
      </w:r>
    </w:p>
    <w:p>
      <w:pPr>
        <w:spacing w:after="0" w:line="248"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 Reports," Wynn Las Vegas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Incurrence of Indebtedness and Issuance of Preferred Equity</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(1) create, incur, issue, assume, guarantee or otherwise become directly or indirectly liable, contingently or otherwise, with respect to (collectively, "incur") any Indebtedness (including Acquired Debt), or (2) issue any Disqualified Stock or shares of preferred stock. Notwithstanding the above, Wynn Las Vegas and its Restricted Subsidiaries may incur Indebtedness (including Acquired Debt), if (1) the Opening Date has occurred and (2) the Fixed Charge Coverage Ratio of Wynn Las Vegas for Wynn Las Vegas' most recently ended four full fiscal quarters following the Opening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213" w:lineRule="exact"/>
        <w:rPr>
          <w:sz w:val="20"/>
          <w:szCs w:val="20"/>
          <w:color w:val="auto"/>
        </w:rPr>
      </w:pPr>
    </w:p>
    <w:p>
      <w:pPr>
        <w:ind w:left="540" w:right="20" w:hanging="532"/>
        <w:spacing w:after="0" w:line="256"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amount of all prepayments of principal Indebtedness that result in permanent reductions of the commitments under the Credit Agreement;</w:t>
      </w:r>
    </w:p>
    <w:p>
      <w:pPr>
        <w:spacing w:after="0" w:line="210"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incurrence by the Issuers, the Restricted Entities and their respective Restricted Subsidiaries of their respective obligations arising under the notes, the Credit Agreement, the FF&amp;E Facility and, to the extent those obligations would represent Indebtedness, the Collateral Documents;</w:t>
      </w:r>
    </w:p>
    <w:p>
      <w:pPr>
        <w:spacing w:after="0" w:line="152" w:lineRule="exact"/>
        <w:rPr>
          <w:rFonts w:ascii="Arial" w:cs="Arial" w:eastAsia="Arial" w:hAnsi="Arial"/>
          <w:sz w:val="16"/>
          <w:szCs w:val="16"/>
          <w:color w:val="auto"/>
        </w:rPr>
      </w:pPr>
    </w:p>
    <w:p>
      <w:pPr>
        <w:ind w:left="540" w:right="360" w:hanging="532"/>
        <w:spacing w:after="0" w:line="335" w:lineRule="auto"/>
        <w:tabs>
          <w:tab w:leader="none" w:pos="5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incurrence by Wynn Las Vegas, any Restricted Entity or any of their respective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clauses (2) or (7) of this paragraph or under this clause (3);</w:t>
      </w:r>
    </w:p>
    <w:p>
      <w:pPr>
        <w:spacing w:after="0" w:line="169" w:lineRule="exact"/>
        <w:rPr>
          <w:rFonts w:ascii="Arial" w:cs="Arial" w:eastAsia="Arial" w:hAnsi="Arial"/>
          <w:sz w:val="15"/>
          <w:szCs w:val="15"/>
          <w:color w:val="auto"/>
        </w:rPr>
      </w:pPr>
    </w:p>
    <w:p>
      <w:pPr>
        <w:ind w:left="540" w:right="20" w:hanging="532"/>
        <w:spacing w:after="0" w:line="294"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incurrence of intercompany Indebtedness (i) between or among Wynn Las Vegas and/or its Restricted Subsidiaries, (ii) between or among Valvino Lamore and Wynn Resorts Holdings, (iii) between or among the Wynn Group Entities and (iv) the incurrence by the Restricted Entities or any of their respective Restricted Subsidiaries of intercompany Indebtedness (to the extent that Wynn Las Vegas, any of its Restricted Subsidiaries, or, as the case may be, the applicable Restricted Entity, would be permitted to make loans giving rise to, or otherwise hold, such Indebtedness as a Restricted Payment under the covenant captioned "—Restricted Payments") owing to Wynn Las Vegas or any of its Restricted Subsidiaries, so long as:</w:t>
      </w:r>
    </w:p>
    <w:p>
      <w:pPr>
        <w:spacing w:after="0" w:line="399" w:lineRule="exact"/>
        <w:rPr>
          <w:rFonts w:ascii="Arial" w:cs="Arial" w:eastAsia="Arial" w:hAnsi="Arial"/>
          <w:sz w:val="16"/>
          <w:szCs w:val="16"/>
          <w:color w:val="auto"/>
        </w:rPr>
      </w:pPr>
    </w:p>
    <w:p>
      <w:pPr>
        <w:ind w:left="1080" w:right="40" w:hanging="532"/>
        <w:spacing w:after="0" w:line="255"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the Indebtedness, the Indebtedness is expressly subordinated in right of payment to the prior payment in full in cash of all Obligations with respect to the notes, in the case of the Wynn Las Vegas, or its guarantee under the Guarantee and Collateral Agreement to which it is a party, in the case of a Guarantor, except that no Indebtedness of Wynn Las Vegas or any Guarantor will be deemed to be contractually subordinated in right of payment to any other Indebtedness of Wynn Las Vegas or any such Guarantor solely by virtue of being unsecured;</w:t>
      </w:r>
    </w:p>
    <w:p>
      <w:pPr>
        <w:sectPr>
          <w:pgSz w:w="11900" w:h="16838" w:orient="portrait"/>
          <w:cols w:equalWidth="0" w:num="1">
            <w:col w:w="11400"/>
          </w:cols>
          <w:pgMar w:left="240" w:top="131" w:right="259" w:bottom="0" w:gutter="0" w:footer="0" w:header="0"/>
        </w:sectPr>
      </w:pPr>
    </w:p>
    <w:bookmarkStart w:id="89" w:name="page90"/>
    <w:bookmarkEnd w:id="89"/>
    <w:p>
      <w:pPr>
        <w:ind w:left="1080" w:hanging="532"/>
        <w:spacing w:after="0" w:line="323" w:lineRule="auto"/>
        <w:tabs>
          <w:tab w:leader="none" w:pos="10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such Restricted Entity or such Restricted Subsidiary, as the case may be, that was not permitted by this clause (4); and</w:t>
      </w:r>
    </w:p>
    <w:p>
      <w:pPr>
        <w:spacing w:after="0" w:line="178"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any Indebtedness incurred pursuant to clause (iv) above, such Indebtedness is permitted to be incurred as a Restricted Payment under the covenant captioned "—Restricted Payments," and, for purposes of such covenant, the obligee or payee on such Indebtedness shall be deemed to have a Restricted Payment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date on which such Indebtedness is incurred in an amount equal to the principal amount of the Indebtedness incurred on such date (or, if less, the principal amount of such Indebtedness from time to time outstanding);</w:t>
      </w:r>
    </w:p>
    <w:p>
      <w:pPr>
        <w:spacing w:after="0" w:line="199" w:lineRule="exact"/>
        <w:rPr>
          <w:sz w:val="20"/>
          <w:szCs w:val="20"/>
          <w:color w:val="auto"/>
        </w:rPr>
      </w:pPr>
    </w:p>
    <w:p>
      <w:pPr>
        <w:ind w:left="540" w:right="180" w:hanging="532"/>
        <w:spacing w:after="0" w:line="259"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Hedging Obligations that are incurred for the purpose of fixing or hedging interest rate risk with respect to any floating rate Indebtedness that is permitted by the terms of the indenture to be outstanding;</w:t>
      </w:r>
    </w:p>
    <w:p>
      <w:pPr>
        <w:spacing w:after="0" w:line="207"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Indebtedness solely in respect of performance, surety, appeal or similar bonds or standby letters of credit, so long as the aggregate amount of all such bonds and standby letters of credit is not greater than $20.0 million at any time outstanding;</w:t>
      </w:r>
    </w:p>
    <w:p>
      <w:pPr>
        <w:spacing w:after="0" w:line="221"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so long as: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100" w:hanging="532"/>
        <w:spacing w:after="0" w:line="259"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20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unless such Indebtedness is unsecured or is incurred under the FF&amp;E Facility, as in effect of the date of the indenture, not less than 70% of the aggregate fair market value of the purchase or lease costs of such FF&amp;E or other assets is paid with the proceeds of Indebtedness incurred under this clause (7), and</w:t>
      </w:r>
    </w:p>
    <w:p>
      <w:pPr>
        <w:spacing w:after="0" w:line="221" w:lineRule="exact"/>
        <w:rPr>
          <w:rFonts w:ascii="Arial" w:cs="Arial" w:eastAsia="Arial" w:hAnsi="Arial"/>
          <w:sz w:val="18"/>
          <w:szCs w:val="18"/>
          <w:color w:val="auto"/>
        </w:rPr>
      </w:pPr>
    </w:p>
    <w:p>
      <w:pPr>
        <w:ind w:left="1080" w:right="280" w:hanging="532"/>
        <w:spacing w:after="0" w:line="332" w:lineRule="auto"/>
        <w:tabs>
          <w:tab w:leader="none" w:pos="10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aggregate principal amount of such Indebtedness, including all Permitted Refinancing Indebtedness incurred to refund, refinance or replace any Indebtedness incurred pursuant to this clause, does not exceed an amount outstanding at any time equal to the greater of:</w:t>
      </w:r>
    </w:p>
    <w:p>
      <w:pPr>
        <w:spacing w:after="0" w:line="368" w:lineRule="exact"/>
        <w:rPr>
          <w:rFonts w:ascii="Arial" w:cs="Arial" w:eastAsia="Arial" w:hAnsi="Arial"/>
          <w:sz w:val="16"/>
          <w:szCs w:val="16"/>
          <w:color w:val="auto"/>
        </w:rPr>
      </w:pPr>
    </w:p>
    <w:p>
      <w:pPr>
        <w:ind w:left="1620" w:right="40" w:hanging="532"/>
        <w:spacing w:after="0" w:line="256" w:lineRule="auto"/>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$188.5 million (or $198.5 million from and after the Aircraft Refinancing Date, so long as such additional $10.0 million of Indebtedness is used solely to repay Replacement Aircraft Indebtedness) </w:t>
      </w:r>
      <w:r>
        <w:rPr>
          <w:rFonts w:ascii="Arial" w:cs="Arial" w:eastAsia="Arial" w:hAnsi="Arial"/>
          <w:sz w:val="18"/>
          <w:szCs w:val="18"/>
          <w:i w:val="1"/>
          <w:iCs w:val="1"/>
          <w:color w:val="auto"/>
        </w:rPr>
        <w:t>less</w:t>
      </w:r>
      <w:r>
        <w:rPr>
          <w:rFonts w:ascii="Arial" w:cs="Arial" w:eastAsia="Arial" w:hAnsi="Arial"/>
          <w:sz w:val="18"/>
          <w:szCs w:val="18"/>
          <w:color w:val="auto"/>
        </w:rPr>
        <w:t xml:space="preserve"> (i) the aggregate amount of all prepayments of principal made under the FF&amp;E Facility,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permanent commitment reductions under the FF&amp;E Facility resulting from the application of Asset Sale or Event of Loss proceeds, and</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$100.0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 the Guarantee by Wynn Las Vegas, any Restricted Entity or any of their Restricted Subsidiaries of Indebtedness of any other of Wynn Las Vegas and any of its Restricted Subsidiaries, (ii) the Guarantee by Valvino Lamore or Wynn Resorts Holdings of Indebtedness of Wynn Resorts Holdings or Valvino Lamore, or Wynn Las Vegas or any of its Restricted Subsidiaries, as the case may be, or (iii) the Guarantee by any Wynn Group Entity of Indebtedness of Wynn Las Vegas, any Restricted Entity, and any of their respective Restricted Subsidiaries, in each case, to the extent the Indebtedness to be Guaranteed is permitted to be incurred by such other entity by another provision of this covenant;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0" w:hanging="532"/>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Entity permitted pursuant to the provisions of clause (6) of the covenant captioned "—Restricted Payments";</w:t>
      </w:r>
    </w:p>
    <w:p>
      <w:pPr>
        <w:spacing w:after="0" w:line="207"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incurrence or issuance by Wynn Las Vegas' Unrestricted Subsidiaries of Non-Recourse Debt, except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87" w:lineRule="exact"/>
        <w:rPr>
          <w:rFonts w:ascii="Arial" w:cs="Arial" w:eastAsia="Arial" w:hAnsi="Arial"/>
          <w:sz w:val="16"/>
          <w:szCs w:val="16"/>
          <w:color w:val="auto"/>
        </w:rPr>
      </w:pPr>
    </w:p>
    <w:p>
      <w:pPr>
        <w:ind w:left="540" w:right="100" w:hanging="532"/>
        <w:spacing w:after="0" w:line="291" w:lineRule="auto"/>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or through the issuance of additional notes under the indenture, or is unsecured Indebtedness) to be used to develop and construct an Entertainment Facility on land included in the Project (other than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such Entertainment Facility,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w:t>
      </w:r>
    </w:p>
    <w:p>
      <w:pPr>
        <w:sectPr>
          <w:pgSz w:w="11900" w:h="16838" w:orient="portrait"/>
          <w:cols w:equalWidth="0" w:num="1">
            <w:col w:w="11420"/>
          </w:cols>
          <w:pgMar w:left="240" w:top="145" w:right="239" w:bottom="0" w:gutter="0" w:footer="0" w:header="0"/>
        </w:sectPr>
      </w:pPr>
    </w:p>
    <w:bookmarkStart w:id="90" w:name="page91"/>
    <w:bookmarkEnd w:id="90"/>
    <w:p>
      <w:pPr>
        <w:ind w:left="1080" w:hanging="532"/>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(12) below,</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right="60" w:hanging="532"/>
        <w:spacing w:after="0" w:line="254"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additional Indebtedness (so long as such Indebtedness is incurred under the Credit Agreement or the FF&amp;E Facility or through the issuance of additional notes under the indenture, or is unsecured Indebtedness) in an aggregate principal amount (or initial accreted value, as applicable) at any time outstanding incurred pursuant to this clause (12), not to exceed $50.0 million, so long as Indebtedness incurred pursuant to this clause (12) prior to the Completion Date is matched dollar for dollar, by additional Net New Equity Proceeds received by Wynn Las Vegas or any of its Restricted Subsidiaries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 to the extent those proceeds are: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hanging="532"/>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(11) above,</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accretion or amortization of original issue discount and the write-up of Indebtedness in accordance with GAAP purchase accounting; and</w:t>
      </w:r>
    </w:p>
    <w:p>
      <w:pPr>
        <w:spacing w:after="0" w:line="261"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on or prior to the Final Completion Date of Indebtedness represented by performance bonds, guaranties, trade letters of credit, bankers'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acceptances or similar instruments issued by Person other than Wynn Resorts, any Restricted Entity or any of their respective Restricted Subsidiaries for the benefit of a trade creditor of any such Person, in an aggregate amount not to exceed $10.0 million at any time outstanding so long as:</w:t>
      </w:r>
    </w:p>
    <w:p>
      <w:pPr>
        <w:spacing w:after="0" w:line="153"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252" w:lineRule="exact"/>
        <w:rPr>
          <w:rFonts w:ascii="Arial" w:cs="Arial" w:eastAsia="Arial" w:hAnsi="Arial"/>
          <w:sz w:val="18"/>
          <w:szCs w:val="18"/>
          <w:color w:val="auto"/>
        </w:rPr>
      </w:pPr>
    </w:p>
    <w:p>
      <w:pPr>
        <w:ind w:left="1080" w:right="20" w:hanging="532"/>
        <w:spacing w:after="0" w:line="323" w:lineRule="auto"/>
        <w:tabs>
          <w:tab w:leader="none" w:pos="108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obligations of Wynn Las Vegas, any Restricted Entity or the applicable Restricted Subsidiary, as the case may be, supported by such performance bonds, guaranties, trade letters of credit, bankers' acceptances or similar instruments (1) consist solely of payment obligations with respect to costs incurred in accordance with the Project Budget which would otherwise be permitted to be paid by the applicable entity pursuant to the Disbursement Agreement, (2) are secured, and (3) are secured solely by Liens permitted by clause (22) of the definition of "Permitted Liens."</w:t>
      </w:r>
    </w:p>
    <w:p>
      <w:pPr>
        <w:spacing w:after="0" w:line="15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No Indebtedness of Wynn Las Vegas or any Guarantor will be deemed to be contractually subordinated in right of payment to any other Indebtedness of Wynn Las Vegas or any such Guarantor solely by virtue of being unsecured.</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 of Wynn Las Vegas</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create or permit to exist or become effective any consensual encumbrance or restriction on the ability of any of Wynn Las Vegas' Restricted Subsidiaries to:</w:t>
      </w:r>
    </w:p>
    <w:p>
      <w:pPr>
        <w:spacing w:after="0" w:line="153" w:lineRule="exact"/>
        <w:rPr>
          <w:sz w:val="20"/>
          <w:szCs w:val="20"/>
          <w:color w:val="auto"/>
        </w:rPr>
      </w:pPr>
    </w:p>
    <w:p>
      <w:pPr>
        <w:ind w:left="540" w:right="40" w:hanging="532"/>
        <w:spacing w:after="0" w:line="268"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Wynn Las Vegas, or with respect to any other interest or participation in, or measured by, its profits, or pay any indebtedness owed to Wynn Las Vegas;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ectPr>
          <w:pgSz w:w="11900" w:h="16838" w:orient="portrait"/>
          <w:cols w:equalWidth="0" w:num="1">
            <w:col w:w="11400"/>
          </w:cols>
          <w:pgMar w:left="240" w:top="145" w:right="259" w:bottom="10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01" w:gutter="0" w:footer="0" w:header="0"/>
          <w:type w:val="continuous"/>
        </w:sectPr>
      </w:pPr>
    </w:p>
    <w:bookmarkStart w:id="91" w:name="page92"/>
    <w:bookmarkEnd w:id="91"/>
    <w:p>
      <w:pPr>
        <w:spacing w:after="0" w:line="15"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 any of its properties or assets to Wynn Las Vegas or any of its Restricted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52"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notes, the indenture or the Collateral Documents;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212"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and the FF&amp;E Facility, in each case as in effect on the date of the indenture;</w:t>
      </w:r>
    </w:p>
    <w:p>
      <w:pPr>
        <w:spacing w:after="0" w:line="183" w:lineRule="exact"/>
        <w:rPr>
          <w:rFonts w:ascii="Arial" w:cs="Arial" w:eastAsia="Arial" w:hAnsi="Arial"/>
          <w:sz w:val="16"/>
          <w:szCs w:val="16"/>
          <w:color w:val="auto"/>
        </w:rPr>
      </w:pPr>
    </w:p>
    <w:p>
      <w:pPr>
        <w:ind w:left="540" w:right="80" w:hanging="532"/>
        <w:spacing w:after="0" w:line="335" w:lineRule="auto"/>
        <w:tabs>
          <w:tab w:leader="none" w:pos="5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55" w:lineRule="exact"/>
        <w:rPr>
          <w:rFonts w:ascii="Arial" w:cs="Arial" w:eastAsia="Arial" w:hAnsi="Arial"/>
          <w:sz w:val="15"/>
          <w:szCs w:val="15"/>
          <w:color w:val="auto"/>
        </w:rPr>
      </w:pPr>
    </w:p>
    <w:p>
      <w:pPr>
        <w:jc w:val="both"/>
        <w:ind w:left="540" w:right="120" w:hanging="532"/>
        <w:spacing w:after="0" w:line="259"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221"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assets of (a) Wynn Las Vegas, the Restricted Entities and their respective Restricted Subsidiaries, taken as a whole, (b) Wynn Las Vegas and its Restricted Subsidiaries, taken as a whole, or (c) in the case of a Guarantor, that Guarantor, in one or more related transactions, to another Person, unless:</w:t>
      </w:r>
    </w:p>
    <w:p>
      <w:pPr>
        <w:spacing w:after="0" w:line="143" w:lineRule="exact"/>
        <w:rPr>
          <w:sz w:val="20"/>
          <w:szCs w:val="20"/>
          <w:color w:val="auto"/>
        </w:rPr>
      </w:pPr>
    </w:p>
    <w:p>
      <w:pPr>
        <w:ind w:left="540" w:right="280" w:hanging="532"/>
        <w:spacing w:after="0" w:line="306"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174" w:lineRule="exact"/>
        <w:rPr>
          <w:rFonts w:ascii="Arial" w:cs="Arial" w:eastAsia="Arial" w:hAnsi="Arial"/>
          <w:sz w:val="16"/>
          <w:szCs w:val="16"/>
          <w:color w:val="auto"/>
        </w:rPr>
      </w:pPr>
    </w:p>
    <w:p>
      <w:pPr>
        <w:ind w:left="540" w:right="40" w:hanging="532"/>
        <w:spacing w:after="0" w:line="294"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the Guarantees and the Collateral Documents pursuant to agreements reasonably satisfactory to the trustee; however, this clause (2) shall not apply to any merger, consolidation, sale, assignment, transfer, conveyance or other disposition of assets of a Guarantor with, into or to Wynn Las Vegas, so long as, in the case of any consolidation or merger, Wynn Las Vegas is the survivor of such consolidation or merger;</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52" w:lineRule="exact"/>
        <w:rPr>
          <w:rFonts w:ascii="Arial" w:cs="Arial" w:eastAsia="Arial" w:hAnsi="Arial"/>
          <w:sz w:val="18"/>
          <w:szCs w:val="18"/>
          <w:color w:val="auto"/>
        </w:rPr>
      </w:pPr>
    </w:p>
    <w:p>
      <w:pPr>
        <w:ind w:left="540" w:right="440" w:hanging="532"/>
        <w:spacing w:after="0" w:line="332"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152" w:lineRule="exact"/>
        <w:rPr>
          <w:rFonts w:ascii="Arial" w:cs="Arial" w:eastAsia="Arial" w:hAnsi="Arial"/>
          <w:sz w:val="16"/>
          <w:szCs w:val="16"/>
          <w:color w:val="auto"/>
        </w:rPr>
      </w:pPr>
    </w:p>
    <w:p>
      <w:pPr>
        <w:ind w:left="540" w:right="160" w:hanging="532"/>
        <w:spacing w:after="0" w:line="298"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Issuer or Guarantor or the Person formed by or surviving any such consolidation or merger (if other than such Issuer) or to which such sale, assignment, transfer, conveyance or other disposition shall have been made will have Consolidated Net Worth immediately after the transaction equal to or greater than the Consolidated Net Worth of such Issuer or Guarantor immediately preceding the transaction (excluding the effect of the related professional fees, commissions, sales and other taxes, and other transactional costs that would otherwise reduce Consolidated Net Worth);</w:t>
      </w:r>
    </w:p>
    <w:p>
      <w:pPr>
        <w:spacing w:after="0" w:line="193"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in the case of a consolidation or merger of such Issuer, such Issuer or the Person formed by or surviving any such consolidation or merger (if other than such Issuer) or to which such sale, assignment, transfer, conveyance or other disposition shall have been made will, or (ii) in the case of a consolidation or merger of a Guarantor that is a Restricted Subsidiary of Wynn Las Vegas or the sale, assignment, transfer, conveyance or other disposition of the property or assets of such Guarantor, the Issuers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Equity," 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53" w:orient="portrait"/>
          <w:cols w:equalWidth="0" w:num="1">
            <w:col w:w="11400"/>
          </w:cols>
          <w:pgMar w:left="240" w:top="145" w:right="259" w:bottom="0" w:gutter="0" w:footer="0" w:header="0"/>
        </w:sectPr>
      </w:pPr>
    </w:p>
    <w:bookmarkStart w:id="92" w:name="page93"/>
    <w:bookmarkEnd w:id="92"/>
    <w:p>
      <w:pPr>
        <w:ind w:left="540"/>
        <w:spacing w:after="0" w:line="259" w:lineRule="auto"/>
        <w:rPr>
          <w:sz w:val="20"/>
          <w:szCs w:val="20"/>
          <w:color w:val="auto"/>
        </w:rPr>
      </w:pPr>
      <w:r>
        <w:rPr>
          <w:rFonts w:ascii="Arial" w:cs="Arial" w:eastAsia="Arial" w:hAnsi="Arial"/>
          <w:sz w:val="18"/>
          <w:szCs w:val="18"/>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or beneficial owner would not have been required to obtain a Gaming License or be qualified or found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suitable under the laws of any applicable gaming jurisdiction in the absence of such transaction.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the foregoing, a Guarantor may consolidate or merge with or into another Guarantor, or sell, assign, transfer, convey or otherwise dispose of all or substantially all of its properties or assets to another Guarantor, so long as (1) the conditions in clauses (3), (4) and (7) of the preceding paragraph are satisfied, and (2) such Guarantor or the Person formed by or surviving any such consolidation or merger, or the Guarantor to which such sale, assignment, transfer, conveyance or other disposition shall have been made, as the case may be, is Solvent.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(excluding any sale, assignment, transfer, conveyance or disposition of assets that would otherwise be subject to this covenant from a Person that is a Guarantor to a Person, other than Wynn Las Vegas, that is not a Guarantor):</w:t>
      </w:r>
    </w:p>
    <w:p>
      <w:pPr>
        <w:spacing w:after="0" w:line="211"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25"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For purposes of this covenant, a sale of properties or assets by a Guarantor shall not constitute a sale of "substantially all of the properties or assets" of that Guarantor if, following that sale, the Guarantor owns or holds (1) any of the Water Rights for the Project (excluding Water Rights that are then Released Assets) or (2) any of the Phase II Land or the Golf Course Land, (excluding any such land that is then a Released Asset).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Notwithstanding the foregoing, Wynn Las Vegas and each Guarantor is permitted to reorganize as a corporation pursuant to a Permitted C-Corp. Conversion.</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board of directors of Wynn Las Vegas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Las Vegas may redesignate any Unrestricted Subsidiary of Wynn Las Vegas to be a Restricted Subsidiary of Wynn Las Vegas if the redesignation would not cause a Default or an Event of Default.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None of the Restricted Entities and their Subsidiaries (other than Wynn Las Vegas and its Subsidiaries and Desert Inn Water Company) is permitted to have Unrestricted Subsidiaries. As a result, all future Subsidiaries of the Restricted Entities (other than Wynn Las Vegas and its Subsidiaries and Desert Inn Improvement Co.) will be Restricted Subsidiaries and subject to the restrictive covenants contained in the indenture.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88" w:lineRule="exact"/>
        <w:rPr>
          <w:sz w:val="20"/>
          <w:szCs w:val="20"/>
          <w:color w:val="auto"/>
        </w:rPr>
      </w:pPr>
    </w:p>
    <w:p>
      <w:pPr>
        <w:ind w:left="540" w:right="120" w:hanging="532"/>
        <w:spacing w:after="0" w:line="26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relevant entity than those that would have been obtained in a comparable transaction by such entity with an unrelated Person;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Wynn Las Vegas or the applicable Restricted Entity or Restricted Subsidiary, as the case may be delivers to the trustee: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80" w:hanging="532"/>
        <w:spacing w:after="0" w:line="306" w:lineRule="auto"/>
        <w:tabs>
          <w:tab w:leader="none" w:pos="10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 complies with this covenant and that such Affiliate Transaction has been approved by a majority of the Independent Directors of the applicable entity; and</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(or $25.0 million, with respect to Qualified Intercompany Agreements), an opinion as to the fairness to the applicable entity of such Affiliate Transaction from a financial point of view issued by an accounting, appraisal or investment banking firm of national standing prior to the consummation of such Affiliate Transaction; and</w:t>
      </w:r>
    </w:p>
    <w:p>
      <w:pPr>
        <w:sectPr>
          <w:pgSz w:w="11900" w:h="16838" w:orient="portrait"/>
          <w:cols w:equalWidth="0" w:num="1">
            <w:col w:w="11420"/>
          </w:cols>
          <w:pgMar w:left="240" w:top="131" w:right="239" w:bottom="147" w:gutter="0" w:footer="0" w:header="0"/>
        </w:sectPr>
      </w:pPr>
    </w:p>
    <w:bookmarkStart w:id="93" w:name="page94"/>
    <w:bookmarkEnd w:id="93"/>
    <w:p>
      <w:pPr>
        <w:ind w:left="540" w:right="80" w:hanging="532"/>
        <w:spacing w:after="0" w:line="255"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Existing Aircraft or the Replacement Aircraft (in each case, if such aircraft is owned by Wynn Las Vegas, any Restricted Entity or any Restricted Subsidiary) for any purpose not reasonably related to the Project or the Permitted Businesses of Wynn Las Vegas or the applicable Restricted Entity or Restricted Subsidiary relating to or in connection with the Project, Wynn Las Vegas or the applicable Restricted Entity or Restricted Subsidiary, as the case may be, is reimbursed promptly for actual costs and expenses incurred by such Person in connection with such use.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275" w:lineRule="exact"/>
        <w:rPr>
          <w:sz w:val="20"/>
          <w:szCs w:val="20"/>
          <w:color w:val="auto"/>
        </w:rPr>
      </w:pPr>
    </w:p>
    <w:p>
      <w:pPr>
        <w:ind w:left="540" w:right="14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Wynn Employment Agreement or any other employment agreement entered into by Wynn Las Vegas, any Restricted Entity or any of their Restricted Subsidiaries with any Person (other than the Principal) in the ordinary course of business on terms customary in the applicable Permitted Business in which it operates;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6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payment of reasonable directors' fees to directors of Wynn Resorts, Wynn Capital or any Guarantor, and customary indemnification and insurance arrangements in favor of such directors, in each case in the ordinary course of business;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transactions: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between or among Wynn Las Vegas and/or its Restricted Subsidiaries,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between Valvino Lamore and Wynn Resorts Holdings, other than any transaction involving a transfer of any or all of the Golf Course Land to Valvino Lamore, unless such Golf Course Land is then a Released Asset,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between or among any of the Wynn Group Entities, or by any Wynn Group Entity as a contribution to Wynn Las Vegas, any Restricted Entity or any of their Restricted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indenture described above under the caption "—Restricted Payments";</w:t>
      </w:r>
    </w:p>
    <w:p>
      <w:pPr>
        <w:spacing w:after="0" w:line="23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subleases by Wynn Las Vegas to one or more of its Affiliates of space at the building located on the Phase II Land at below market rent, to the extent permitted under the Collateral Documents;</w:t>
      </w:r>
    </w:p>
    <w:p>
      <w:pPr>
        <w:spacing w:after="0" w:line="212"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leases by Wynn Las Vegas to one or more of its Affiliates of space at the Project, at below market rent, for the development and operation of a Ferrari and Maserati automobile dealership pursuant to the Dealership Lease Agreement, to the extent permitted under the Collateral Documents; and</w:t>
      </w:r>
    </w:p>
    <w:p>
      <w:pPr>
        <w:spacing w:after="0" w:line="152"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Construction</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Wynn Las Vegas and the Restricted Entities will, and will cause each of their respective Restricted Subsidiaries to, construct the Project, including the furnishing, fixturing and equipping of the Project, with diligence and continuity in a good and workmanlike manner substantially in accordance with the Plans and Specifications.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Use of Proceeds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Leaseback Transactions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enter into any sale and leaseback transaction (except with respect to the FF&amp;E Collateral or the Aircraft Assets so long as, and to the extent that, such FF&amp;E Collateral or Aircraft Assets, as the case may be, are not Collateral), unless:</w:t>
      </w:r>
    </w:p>
    <w:p>
      <w:pPr>
        <w:spacing w:after="0" w:line="208" w:lineRule="exact"/>
        <w:rPr>
          <w:sz w:val="20"/>
          <w:szCs w:val="20"/>
          <w:color w:val="auto"/>
        </w:rPr>
      </w:pPr>
    </w:p>
    <w:p>
      <w:pPr>
        <w:ind w:left="540" w:right="20" w:hanging="532"/>
        <w:spacing w:after="0" w:line="256"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ectPr>
          <w:pgSz w:w="11900" w:h="16838" w:orient="portrait"/>
          <w:cols w:equalWidth="0" w:num="1">
            <w:col w:w="11420"/>
          </w:cols>
          <w:pgMar w:left="240" w:top="145" w:right="239" w:bottom="0" w:gutter="0" w:footer="0" w:header="0"/>
        </w:sectPr>
      </w:pPr>
    </w:p>
    <w:bookmarkStart w:id="94" w:name="page95"/>
    <w:bookmarkEnd w:id="94"/>
    <w:p>
      <w:pPr>
        <w:spacing w:after="0" w:line="81" w:lineRule="exact"/>
        <w:rPr>
          <w:sz w:val="20"/>
          <w:szCs w:val="20"/>
          <w:color w:val="auto"/>
        </w:rPr>
      </w:pPr>
    </w:p>
    <w:p>
      <w:pPr>
        <w:ind w:left="540" w:right="24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Las Vegas, that Restricted Entity or that Restricted Subsidiary, as the case may be, and set forth in an officers' certificate delivered to the trustee, of the property that is the subject of that sale and leaseback transaction; and</w:t>
      </w:r>
    </w:p>
    <w:p>
      <w:pPr>
        <w:spacing w:after="0" w:line="221" w:lineRule="exact"/>
        <w:rPr>
          <w:rFonts w:ascii="Arial" w:cs="Arial" w:eastAsia="Arial" w:hAnsi="Arial"/>
          <w:sz w:val="18"/>
          <w:szCs w:val="18"/>
          <w:color w:val="auto"/>
        </w:rPr>
      </w:pPr>
    </w:p>
    <w:p>
      <w:pPr>
        <w:ind w:left="540" w:right="22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Wynn Las Vegas, such Restricted Entity or such Restricted Subsidiary applies the proceeds of such transaction in compliance with, the covenant described above under the caption "—Repurchase at the Option of Holders— Asset Sales."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engage in any business or investment activities other than the Permitted Business. Wynn Las Vegas and the Restricted Entities will not, and will not permit any of their respective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Phase II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the Phase II Land are released in accordance with the covenant captioned "—Release of Security Interests":</w:t>
      </w:r>
    </w:p>
    <w:p>
      <w:pPr>
        <w:spacing w:after="0" w:line="153" w:lineRule="exact"/>
        <w:rPr>
          <w:sz w:val="20"/>
          <w:szCs w:val="20"/>
          <w:color w:val="auto"/>
        </w:rPr>
      </w:pPr>
    </w:p>
    <w:p>
      <w:pPr>
        <w:ind w:left="540" w:right="10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199"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380" w:hanging="532"/>
        <w:spacing w:after="0" w:line="268"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Phase II Land or any building on the Phase II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subsidiaries may:</w:t>
      </w:r>
    </w:p>
    <w:p>
      <w:pPr>
        <w:spacing w:after="0" w:line="239" w:lineRule="exact"/>
        <w:rPr>
          <w:sz w:val="20"/>
          <w:szCs w:val="20"/>
          <w:color w:val="auto"/>
        </w:rPr>
      </w:pPr>
    </w:p>
    <w:p>
      <w:pPr>
        <w:ind w:left="540" w:hanging="532"/>
        <w:spacing w:after="0"/>
        <w:tabs>
          <w:tab w:leader="none" w:pos="5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excavate, refurbish, improve or otherwise develop the Phase II Land as contemplated in the Plans and Specifications and the Project Budget,</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maintain and repair the Phase II Land and the improvements thereon,</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remodel or reconfigure the improvements on the Phase II Land to provide for an employment center, office space and associated amenities, gallery space or design support for the Project,</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use or operate the Phase II Land, including the improvements thereon, for the temporary operation of a full-service Ferrari and Maserati automobile dealership,</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design, develop, construct, own and operate the Entertainment Facility and associated amenities on the Phase II Land,</w:t>
      </w:r>
    </w:p>
    <w:p>
      <w:pPr>
        <w:spacing w:after="0" w:line="252"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undertake Government Transfers and have Permitted Liens of the type described in clause (12) of the definition of "Permitted Liens."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Golf Course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all of the Golf Course Land are released in accordance with the covenant entitled "—Release of Security Interests":</w:t>
      </w:r>
    </w:p>
    <w:p>
      <w:pPr>
        <w:spacing w:after="0" w:line="153" w:lineRule="exact"/>
        <w:rPr>
          <w:sz w:val="20"/>
          <w:szCs w:val="20"/>
          <w:color w:val="auto"/>
        </w:rPr>
      </w:pPr>
    </w:p>
    <w:p>
      <w:pPr>
        <w:ind w:left="540" w:right="500" w:hanging="532"/>
        <w:spacing w:after="0" w:line="268"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Golf Course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Restricted Subsidiaries may:</w:t>
      </w:r>
    </w:p>
    <w:p>
      <w:pPr>
        <w:spacing w:after="0" w:line="252" w:lineRule="exact"/>
        <w:rPr>
          <w:sz w:val="20"/>
          <w:szCs w:val="20"/>
          <w:color w:val="auto"/>
        </w:rPr>
      </w:pPr>
    </w:p>
    <w:p>
      <w:pPr>
        <w:ind w:left="540" w:right="8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Final Completion Date,</w:t>
      </w:r>
    </w:p>
    <w:p>
      <w:pPr>
        <w:sectPr>
          <w:pgSz w:w="11900" w:h="16919" w:orient="portrait"/>
          <w:cols w:equalWidth="0" w:num="1">
            <w:col w:w="11420"/>
          </w:cols>
          <w:pgMar w:left="240" w:top="145" w:right="239" w:bottom="0" w:gutter="0" w:footer="0" w:header="0"/>
        </w:sectPr>
      </w:pPr>
    </w:p>
    <w:bookmarkStart w:id="95" w:name="page96"/>
    <w:bookmarkEnd w:id="95"/>
    <w:p>
      <w:pPr>
        <w:spacing w:after="0" w:line="40" w:lineRule="exact"/>
        <w:rPr>
          <w:sz w:val="20"/>
          <w:szCs w:val="20"/>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252" w:lineRule="exact"/>
        <w:rPr>
          <w:rFonts w:ascii="Arial" w:cs="Arial" w:eastAsia="Arial" w:hAnsi="Arial"/>
          <w:sz w:val="18"/>
          <w:szCs w:val="18"/>
          <w:color w:val="auto"/>
        </w:rPr>
      </w:pPr>
    </w:p>
    <w:p>
      <w:pPr>
        <w:ind w:left="5580" w:right="3440" w:hanging="5572"/>
        <w:spacing w:after="0" w:line="519" w:lineRule="auto"/>
        <w:tabs>
          <w:tab w:leader="none" w:pos="5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 169</w:t>
      </w:r>
    </w:p>
    <w:p>
      <w:pPr>
        <w:spacing w:after="0" w:line="225"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portions of the Golf Course Land in accordance with the provisions set forth under "Security Interests—Release of Golf Course Land and Phase II Land —Release of Portions of Golf Course Land" and "—Release of Homesite Acreage,"</w:t>
      </w:r>
    </w:p>
    <w:p>
      <w:pPr>
        <w:spacing w:after="0" w:line="207"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spacing w:after="0" w:line="166"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 as contemplated by the Plans and Specifications or the Disbursement Agreement,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undertake Government Transfers,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-1979930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75"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20" w:hanging="532"/>
        <w:spacing w:after="0" w:line="298" w:lineRule="auto"/>
        <w:tabs>
          <w:tab w:leader="none" w:pos="10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their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80" w:lineRule="exact"/>
        <w:rPr>
          <w:rFonts w:ascii="Arial" w:cs="Arial" w:eastAsia="Arial" w:hAnsi="Arial"/>
          <w:sz w:val="16"/>
          <w:szCs w:val="16"/>
          <w:color w:val="auto"/>
        </w:rPr>
      </w:pPr>
    </w:p>
    <w:p>
      <w:pPr>
        <w:ind w:left="1080" w:right="500" w:hanging="532"/>
        <w:spacing w:after="0" w:line="268" w:lineRule="auto"/>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Advances to Guarantors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advances to Guarantors made by Wynn Las Vegas, any Restricted Entity or any of their respective Restricted Subsidiaries after the date of the indenture will be unsecured,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evidenced by intercompany notes and will be pledged pursuant to the Collateral Documents. Each intercompany note will be payable upon demand and will bear interest at then current fair market interests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Subsidiaries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86"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transfer, convey, sell, lease or otherwise dispose of any Equity Interests in any of their respective Wholly Owned Restricted Subsidiaries or any Restricted Entity to any Person (other than Wynn Las Vegas, a Restricted Entity, or any of Wynn Las Vegas' or any Restricted Entity's Wholly Owned Subsidiaries that is a Guarantor), unless:</w:t>
      </w:r>
    </w:p>
    <w:p>
      <w:pPr>
        <w:spacing w:after="0" w:line="174" w:lineRule="exact"/>
        <w:rPr>
          <w:sz w:val="20"/>
          <w:szCs w:val="20"/>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entity; and</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cash Net Proceeds from such transfer, conveyance, sale, lease or other disposition are applied in accordance with the covenant described above under the caption "—Repurchase at the Option of Holders—Asset Sales."</w:t>
      </w:r>
    </w:p>
    <w:p>
      <w:pPr>
        <w:sectPr>
          <w:pgSz w:w="11900" w:h="16879" w:orient="portrait"/>
          <w:cols w:equalWidth="0" w:num="1">
            <w:col w:w="11420"/>
          </w:cols>
          <w:pgMar w:left="240" w:top="361" w:right="239" w:bottom="0" w:gutter="0" w:footer="0" w:header="0"/>
        </w:sectPr>
      </w:pPr>
    </w:p>
    <w:bookmarkStart w:id="96" w:name="page97"/>
    <w:bookmarkEnd w:id="96"/>
    <w:p>
      <w:pPr>
        <w:jc w:val="center"/>
        <w:ind w:right="340"/>
        <w:spacing w:after="0" w:line="335" w:lineRule="auto"/>
        <w:rPr>
          <w:sz w:val="20"/>
          <w:szCs w:val="20"/>
          <w:color w:val="auto"/>
        </w:rPr>
      </w:pPr>
      <w:r>
        <w:rPr>
          <w:rFonts w:ascii="Arial" w:cs="Arial" w:eastAsia="Arial" w:hAnsi="Arial"/>
          <w:sz w:val="15"/>
          <w:szCs w:val="15"/>
          <w:color w:val="auto"/>
        </w:rPr>
        <w:t>In addition, Wynn Las Vegas and the Restricted Entities (other than Valvino Lamore) will not, and will not permit any of their respective Restricted Subsidiaries to, issue any of their respective Equity Interests (other than, if necessary, shares of their respective capital stock constituting directors' qualifying shares) to any Person other than to Wynn Las Vegas, a Restricted Entity or any of their respective Wholly Owned Restricted Subsidiaries that is a Guarantor.</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Issuances of Guarantees of, or Security Interests to Secure, Indebtedness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directly or indirectly, Guarantee or pledge any assets to secure the payment and/or performance of any Indebtedness of Wynn Resorts unless (1) such Guarantee or pledge is otherwise permitted under the covenants captioned "—Incurrence of Indebtedness and Issuance of Preferred Equity" and "—Liens" and (2) each applicable entity simultaneously executes and delivers:</w:t>
      </w:r>
    </w:p>
    <w:p>
      <w:pPr>
        <w:spacing w:after="0" w:line="211" w:lineRule="exact"/>
        <w:rPr>
          <w:sz w:val="20"/>
          <w:szCs w:val="20"/>
          <w:color w:val="auto"/>
        </w:rPr>
      </w:pPr>
    </w:p>
    <w:p>
      <w:pPr>
        <w:ind w:left="540" w:right="200" w:hanging="532"/>
        <w:spacing w:after="0" w:line="268"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to the extent not previously provided, a Guarantee of the payment of the notes by such entity, which Guarantee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entity's Guarantee of such other Indebtedness;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security interest granted by such entity to secure such other Indebtedness.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or prior to the Final Completion Date, except as contemplated by the Disbursement Agreement,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any Restricted Entity or any of their respective Restricted Subsidiaries to develop, construct or operate the Project or (2) cause the Completion Date to occur or result in that date occurring after the Outside Completion Deadline.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Following the Final Completion Date,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10" w:lineRule="exact"/>
        <w:rPr>
          <w:sz w:val="20"/>
          <w:szCs w:val="20"/>
          <w:color w:val="auto"/>
        </w:rPr>
      </w:pPr>
    </w:p>
    <w:p>
      <w:pPr>
        <w:ind w:left="540" w:right="80" w:hanging="532"/>
        <w:spacing w:after="0" w:line="26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275"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any Restricted Entity or any of their respective Restricted Subsidiaries unless accompanied by a corresponding decrease in the amounts payable by Wynn Las Vegas, any Restricted Entity or any of their respective Restricted Subsidiaries thereunder,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thereunder or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Amendments to Limited Liability Company Agreements and Charter Documents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w:t>
      </w:r>
    </w:p>
    <w:p>
      <w:pPr>
        <w:spacing w:after="0" w:line="252" w:lineRule="exact"/>
        <w:rPr>
          <w:sz w:val="20"/>
          <w:szCs w:val="20"/>
          <w:color w:val="auto"/>
        </w:rPr>
      </w:pPr>
    </w:p>
    <w:p>
      <w:pPr>
        <w:ind w:left="540" w:hanging="532"/>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dissolve,</w:t>
      </w:r>
    </w:p>
    <w:p>
      <w:pPr>
        <w:spacing w:after="0" w:line="238" w:lineRule="exact"/>
        <w:rPr>
          <w:rFonts w:ascii="Arial" w:cs="Arial" w:eastAsia="Arial" w:hAnsi="Arial"/>
          <w:sz w:val="18"/>
          <w:szCs w:val="18"/>
          <w:color w:val="auto"/>
        </w:rPr>
      </w:pPr>
    </w:p>
    <w:p>
      <w:pPr>
        <w:jc w:val="both"/>
        <w:ind w:left="540" w:right="100" w:hanging="532"/>
        <w:spacing w:after="0" w:line="306"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either terminates the status of that Person as a member of the limited liability company or causes the limited liability company to be dissolved or its affairs wound up, or</w:t>
      </w:r>
    </w:p>
    <w:p>
      <w:pPr>
        <w:spacing w:after="0" w:line="199" w:lineRule="exact"/>
        <w:rPr>
          <w:sz w:val="20"/>
          <w:szCs w:val="20"/>
          <w:color w:val="auto"/>
        </w:rPr>
      </w:pPr>
    </w:p>
    <w:p>
      <w:pPr>
        <w:ind w:left="540" w:right="280" w:hanging="532"/>
        <w:spacing w:after="0" w:line="332"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amend, modify or otherwise change the provisions of Article VII of its limited liability company agreement relating to conduct, or any comparable provisions contained in its other charter documents, or fail to include provisions corresponding to those contained in Article VII of the limited liability</w:t>
      </w:r>
    </w:p>
    <w:p>
      <w:pPr>
        <w:sectPr>
          <w:pgSz w:w="11900" w:h="16838" w:orient="portrait"/>
          <w:cols w:equalWidth="0" w:num="1">
            <w:col w:w="11400"/>
          </w:cols>
          <w:pgMar w:left="240" w:top="131" w:right="259" w:bottom="0" w:gutter="0" w:footer="0" w:header="0"/>
        </w:sectPr>
      </w:pPr>
    </w:p>
    <w:bookmarkStart w:id="97" w:name="page98"/>
    <w:bookmarkEnd w:id="97"/>
    <w:p>
      <w:pPr>
        <w:ind w:left="540" w:right="280"/>
        <w:spacing w:after="0" w:line="268" w:lineRule="auto"/>
        <w:rPr>
          <w:sz w:val="20"/>
          <w:szCs w:val="20"/>
          <w:color w:val="auto"/>
        </w:rPr>
      </w:pPr>
      <w:r>
        <w:rPr>
          <w:rFonts w:ascii="Arial" w:cs="Arial" w:eastAsia="Arial" w:hAnsi="Arial"/>
          <w:sz w:val="18"/>
          <w:szCs w:val="18"/>
          <w:color w:val="auto"/>
        </w:rPr>
        <w:t>company agreement of Valvino Lamore, as in effect on the date of the indenture, in the limited liability company agreement or other applicable charter documents of any future Restricted Subsidiary.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Wynn Las Vegas and the Restricted Entities will, and will cause their respective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97"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Concurrently with (1) the formation or acquisition of any Restricted Subsidiary of Wynn Las Vegas or any Restricted Entity that, in either case, becomes or is required under the Credit Agreement to become a Guarantor of any of the obligations under the Credit Agreement, (2) the designation of an Unrestricted Subsidiary of Wynn Las Vegas as a Restricted Subsidiary, or (3) the reorganization by Wynn Las Vegas, any Restricted Entity or any of their respective Restricted Subsidiaries as a subchapter "C" corporation in a Permitted C-Corp. Conversion, Wynn Las Vegas and the Restricted Entities shall, to the extent not prohibited by Gaming Authorities or applicable Gaming Laws and subject to the Intercreditor Agreements:</w:t>
      </w:r>
    </w:p>
    <w:p>
      <w:pPr>
        <w:spacing w:after="0" w:line="183" w:lineRule="exact"/>
        <w:rPr>
          <w:sz w:val="20"/>
          <w:szCs w:val="20"/>
          <w:color w:val="auto"/>
        </w:rPr>
      </w:pPr>
    </w:p>
    <w:p>
      <w:pPr>
        <w:jc w:val="both"/>
        <w:ind w:left="540" w:right="100" w:hanging="532"/>
        <w:spacing w:after="0" w:line="259"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40" w:hanging="532"/>
        <w:spacing w:after="0" w:line="294" w:lineRule="auto"/>
        <w:tabs>
          <w:tab w:leader="none" w:pos="10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in the form of Annex 1 to the applicable Guarantee and Collateral Agreement (under which such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20" w:hanging="532"/>
        <w:spacing w:after="0" w:line="259"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Subsidiary or subchapter "C" corporation to execute and deliver to the trustee: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60" w:hanging="532"/>
        <w:spacing w:after="0" w:line="298"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promptly pledge, or cause to be pledged, to the trustee (i) all of the outstanding capital stock of such entity or subchapter "C" corporation owned by Wynn Las Vegas, any Restricted Entity or any of their respective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180" w:lineRule="exact"/>
        <w:rPr>
          <w:rFonts w:ascii="Arial" w:cs="Arial" w:eastAsia="Arial" w:hAnsi="Arial"/>
          <w:sz w:val="16"/>
          <w:szCs w:val="16"/>
          <w:color w:val="auto"/>
        </w:rPr>
      </w:pPr>
    </w:p>
    <w:p>
      <w:pPr>
        <w:jc w:val="both"/>
        <w:ind w:left="540" w:right="60" w:hanging="532"/>
        <w:spacing w:after="0" w:line="259"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207"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Additional Collateral; Acquisition of Assets or Property</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Concurrently with the acquisition by Wynn Las Vegas, any Restricted Entity or any of their respective Restricted Subsidiaries of any assets or property (other than a Subsidiary of either Wynn Las Vegas or any Restricted Entity), to the extent not prohibited by Gaming Authorities or applicable Gaming Laws and subject</w:t>
      </w:r>
    </w:p>
    <w:p>
      <w:pPr>
        <w:sectPr>
          <w:pgSz w:w="11900" w:h="16838" w:orient="portrait"/>
          <w:cols w:equalWidth="0" w:num="1">
            <w:col w:w="11420"/>
          </w:cols>
          <w:pgMar w:left="240" w:top="131" w:right="239" w:bottom="0" w:gutter="0" w:footer="0" w:header="0"/>
        </w:sectPr>
      </w:pPr>
    </w:p>
    <w:bookmarkStart w:id="98" w:name="page99"/>
    <w:bookmarkEnd w:id="98"/>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the Intercreditor Agreements, Wynn Las Vegas and the Restricted Entities will, and will cause their respective Restricted Subsidiaries to, cause the applicable entity to:</w:t>
      </w:r>
    </w:p>
    <w:p>
      <w:pPr>
        <w:spacing w:after="0" w:line="199" w:lineRule="exact"/>
        <w:rPr>
          <w:sz w:val="20"/>
          <w:szCs w:val="20"/>
          <w:color w:val="auto"/>
        </w:rPr>
      </w:pPr>
    </w:p>
    <w:p>
      <w:pPr>
        <w:jc w:val="both"/>
        <w:ind w:left="540" w:right="400" w:hanging="532"/>
        <w:spacing w:after="0" w:line="306"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FF&amp;E Collateral and Aircraft Assets) for all such acquired personal property, execute and deliver to the trustee such Uniform Commercial Code financing statements, if any, as are necessary or, in the opinion of the trustee, desirable to perfect and protect the trustee's security interest in such assets or property;</w:t>
      </w:r>
    </w:p>
    <w:p>
      <w:pPr>
        <w:spacing w:after="0" w:line="187" w:lineRule="exact"/>
        <w:rPr>
          <w:rFonts w:ascii="Arial" w:cs="Arial" w:eastAsia="Arial" w:hAnsi="Arial"/>
          <w:sz w:val="16"/>
          <w:szCs w:val="16"/>
          <w:color w:val="auto"/>
        </w:rPr>
      </w:pPr>
    </w:p>
    <w:p>
      <w:pPr>
        <w:ind w:left="540" w:right="400" w:hanging="532"/>
        <w:spacing w:after="0" w:line="268"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(other than a Golf Course Home) or (ii) has a fair market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excess of $5.0 million in the aggregate or $2.5 million individually, execute and deliver to the trustee:</w:t>
      </w:r>
    </w:p>
    <w:p>
      <w:pPr>
        <w:spacing w:after="0" w:line="239" w:lineRule="exact"/>
        <w:rPr>
          <w:sz w:val="20"/>
          <w:szCs w:val="20"/>
          <w:color w:val="auto"/>
        </w:rPr>
      </w:pPr>
    </w:p>
    <w:p>
      <w:pPr>
        <w:ind w:left="1080" w:right="18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such Restricted Entity or such Restricted Subsidiary will grant a security interest to the trustee in such real property and any related fixtures),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60"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Wynn Las Vegas and the Restricted Entities will, and will cause their respective Restricted Subsidiaries to, execute and deliver such additional instruments, certificates or documents, and take all such actions as may be reasonably required from time to time in order to:</w:t>
      </w:r>
    </w:p>
    <w:p>
      <w:pPr>
        <w:spacing w:after="0" w:line="199" w:lineRule="exact"/>
        <w:rPr>
          <w:sz w:val="20"/>
          <w:szCs w:val="20"/>
          <w:color w:val="auto"/>
        </w:rPr>
      </w:pPr>
    </w:p>
    <w:p>
      <w:pPr>
        <w:ind w:left="540" w:hanging="53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212"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ensure that any of the rights granted or intended to be granted to the trustee or any holder under the Collateral Documents or under any other instrument executed in connection therewith or granted to Wynn Las Vegas, any Restricted Entity or any of their respective Restricted Subsidiaries under the Collateral Documents or under any other instrument executed in connection therewith are protected and enforced.</w:t>
      </w:r>
    </w:p>
    <w:p>
      <w:pPr>
        <w:spacing w:after="0" w:line="16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the Nevada PUC or any Gaming Authority), Wynn Las Vegas and the Restricted Entities will, and will cause their respective Restricted Subsidiaries to, execute and deliver all applications, certifications, instruments and other documents and papers that may be required from Wynn Resorts, Wynn Las Vegas, any Restricted Entity or any of Wynn Las Vegas' or any Restricted Entity's Restricted Subsidiaries for such governmental consent, approval, recording, qualification or authorization.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Nevada PUC Approvals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and will cause each of their respective Restricted Subsidiaries and Desert Inn Improvement Co. to:</w:t>
      </w:r>
    </w:p>
    <w:p>
      <w:pPr>
        <w:spacing w:after="0" w:line="262" w:lineRule="exact"/>
        <w:rPr>
          <w:sz w:val="20"/>
          <w:szCs w:val="20"/>
          <w:color w:val="auto"/>
        </w:rPr>
      </w:pPr>
    </w:p>
    <w:p>
      <w:pPr>
        <w:ind w:left="540" w:right="180" w:hanging="532"/>
        <w:spacing w:after="0" w:line="259"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use their commercially reasonable efforts to amend the DIIC Casino Water Permit in accordance with all applicable requirements of law so that the designated place of use for water available for draw under such permit includes the Le Rêve casino's water features to the extent such water is necessary to operate the Le Rêve casino water features as contemplated on the date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0" w:hanging="532"/>
        <w:spacing w:after="0" w:line="332"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use their commercially reasonable efforts to amend the DIIC Water Permits (other than the DIIC Casino Water Permit, if necessary) in accordance with all applicable requirements of law so that the designated place of use for water available for draw under such permits includes the golf course land;</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use their commercially reasonable efforts to effect the DIIC Water Transfer;</w:t>
      </w:r>
    </w:p>
    <w:p>
      <w:pPr>
        <w:spacing w:after="0" w:line="238" w:lineRule="exact"/>
        <w:rPr>
          <w:rFonts w:ascii="Arial" w:cs="Arial" w:eastAsia="Arial" w:hAnsi="Arial"/>
          <w:sz w:val="18"/>
          <w:szCs w:val="18"/>
          <w:color w:val="auto"/>
        </w:rPr>
      </w:pPr>
    </w:p>
    <w:p>
      <w:pPr>
        <w:ind w:left="540" w:right="260" w:hanging="532"/>
        <w:spacing w:after="0" w:line="298"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unless the DIIC Water Transfer is effected prior thereto, use their commercially reasonable efforts to obtain the approval of the Nevada PUC to the execution and delivery to the trustee of a mortgage securing the notes and covering the Water Utility Land and the DIIC Water Permits, substantially in the form of the Deeds of Trust executed and delivered on the date of the indenture, to be entered into by Desert Inn Improvement Co. in favor of the trustee for the benefit of the Holders, subject to any limitations imposed by the Nevada PUC;</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upon obtaining such approval, execute and deliver such mortgage; and</w:t>
      </w:r>
    </w:p>
    <w:p>
      <w:pPr>
        <w:spacing w:after="0" w:line="252"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upon effectuating the DIIC Water Transfer or executing the mortgage referred to in clause (4) of this covenant, take such other actions as may be reasonably required from time to time to create, grant, perfect and maintain the validity, effectiveness, perfection and priority of the trustee's security interest in the assets and property transferred pursuant to the DIIC Water Transfer or clause (4) of this covenant, subject to any limitations imposed by the Nevada PUC,</w:t>
      </w:r>
    </w:p>
    <w:p>
      <w:pPr>
        <w:sectPr>
          <w:pgSz w:w="11900" w:h="16921" w:orient="portrait"/>
          <w:cols w:equalWidth="0" w:num="1">
            <w:col w:w="11420"/>
          </w:cols>
          <w:pgMar w:left="240" w:top="131" w:right="239" w:bottom="0" w:gutter="0" w:footer="0" w:header="0"/>
        </w:sectPr>
      </w:pPr>
    </w:p>
    <w:bookmarkStart w:id="99" w:name="page100"/>
    <w:bookmarkEnd w:id="99"/>
    <w:p>
      <w:pPr>
        <w:ind w:left="5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Specified Activities of Wynn Resorts</w:t>
      </w:r>
    </w:p>
    <w:p>
      <w:pPr>
        <w:spacing w:after="0" w:line="225"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Under the terms of the Wynn Resorts Agreement, Wynn Resorts will agree that it will not grant any security interests in any of its assets or properties (other than a security interest in favor of the trustee for the benefit of the noteholders and security interests granted in Excluded Project Assets or assets or properties that individually and in the aggregate have a fair market value of less than $10.0 million) in favor of any Person to secure (i) any Indebtedness of any of its Affiliates,</w:t>
      </w:r>
    </w:p>
    <w:p>
      <w:pPr>
        <w:spacing w:after="0" w:line="1" w:lineRule="exact"/>
        <w:rPr>
          <w:sz w:val="20"/>
          <w:szCs w:val="20"/>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Guarantee by Wynn Resorts of Indebtedness of any of its Affiliates, or (iii) any Indebtedness incurred by Wynn Resorts, unless:</w:t>
      </w: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Wynn Resorts concurrently grants a security interest in those assets or properties in favor of the trustee to secure the Parent Guarantee, and</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subject to the priorities set forth in the Intercreditor Agreements, the security interest described in clause (a) above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security interest granted by Wynn Resorts in respect of its Indebtedness, the Affiliate's Indebtedness or its guarantee of the Affiliate's Indebtedness, as the case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terms of the Parent Guarantee, Wynn Resorts will agree that it will not amend, modify, waive or otherwise change, or consent or agree to any amendment, modification, waiver or other change to, or otherwise fail to enforce, or terminate or abandon, any of the provisions of the Wynn Put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0" w:lineRule="exact"/>
        <w:rPr>
          <w:sz w:val="20"/>
          <w:szCs w:val="20"/>
          <w:color w:val="auto"/>
        </w:rPr>
      </w:pPr>
    </w:p>
    <w:p>
      <w:pPr>
        <w:ind w:left="540" w:right="54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have a material adverse affect on the ability of Wynn Las Vegas, any Restricted Entity or any of their respective Restricted Subsidiaries to develop, construct or operate the Project,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cause the Completion Date to occur or result in that date occurring after the Outside Completion Deadline,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Notwithstanding the provisions of this covenant, in no event shall Wynn Resorts be required, by reason of granting any security interest pursuant to this covenant or otherwise, to become a Restricted Entity.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Wynn Capital will not hold any material assets, hold any Equity Securities, incur any Indebtedness, become liable for any obligations, engage in any business activities or have any Subsidiaries. However,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99" w:lineRule="exact"/>
        <w:rPr>
          <w:sz w:val="20"/>
          <w:szCs w:val="20"/>
          <w:color w:val="auto"/>
        </w:rPr>
      </w:pPr>
    </w:p>
    <w:p>
      <w:pPr>
        <w:ind w:left="540" w:hanging="532"/>
        <w:spacing w:after="0"/>
        <w:tabs>
          <w:tab w:leader="none" w:pos="5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Commission on Forms 10-Q and 10-K if each of</w:t>
      </w:r>
    </w:p>
    <w:p>
      <w:pPr>
        <w:spacing w:after="0" w:line="38" w:lineRule="exact"/>
        <w:rPr>
          <w:rFonts w:ascii="Arial" w:cs="Arial" w:eastAsia="Arial" w:hAnsi="Arial"/>
          <w:sz w:val="16"/>
          <w:szCs w:val="16"/>
          <w:color w:val="auto"/>
        </w:rPr>
      </w:pPr>
    </w:p>
    <w:p>
      <w:pPr>
        <w:jc w:val="both"/>
        <w:ind w:left="540" w:right="300"/>
        <w:spacing w:after="0" w:line="255" w:lineRule="auto"/>
        <w:rPr>
          <w:rFonts w:ascii="Arial" w:cs="Arial" w:eastAsia="Arial" w:hAnsi="Arial"/>
          <w:sz w:val="16"/>
          <w:szCs w:val="16"/>
          <w:color w:val="auto"/>
        </w:rPr>
      </w:pPr>
      <w:r>
        <w:rPr>
          <w:rFonts w:ascii="Arial" w:cs="Arial" w:eastAsia="Arial" w:hAnsi="Arial"/>
          <w:sz w:val="18"/>
          <w:szCs w:val="18"/>
          <w:color w:val="auto"/>
        </w:rPr>
        <w:t>(a) Wynn Las Vegas and (b) the Restricted Entities were required to file such Forms, including a "Management's Discussion and Analysis of Financial Condition and Results of Operations" and, with respect to the annual information only, a report on the annual financial statements by Wynn Las Vegas' and the Restricted Entities' certified independent accountants; and</w:t>
      </w:r>
    </w:p>
    <w:p>
      <w:pPr>
        <w:spacing w:after="0" w:line="225"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each of (a) Wynn Las Vegas and (b) the Restricted Entities was required to file such reports.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ectPr>
          <w:pgSz w:w="11900" w:h="16838" w:orient="portrait"/>
          <w:cols w:equalWidth="0" w:num="1">
            <w:col w:w="11420"/>
          </w:cols>
          <w:pgMar w:left="240" w:top="131" w:right="239" w:bottom="0" w:gutter="0" w:footer="0" w:header="0"/>
        </w:sectPr>
      </w:pPr>
    </w:p>
    <w:bookmarkStart w:id="100" w:name="page101"/>
    <w:bookmarkEnd w:id="100"/>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occurrence of any "event of default" under the Disbursement Agreement;</w:t>
      </w:r>
    </w:p>
    <w:p>
      <w:pPr>
        <w:spacing w:after="0" w:line="238" w:lineRule="exact"/>
        <w:rPr>
          <w:rFonts w:ascii="Arial" w:cs="Arial" w:eastAsia="Arial" w:hAnsi="Arial"/>
          <w:sz w:val="18"/>
          <w:szCs w:val="18"/>
          <w:color w:val="auto"/>
        </w:rPr>
      </w:pPr>
    </w:p>
    <w:p>
      <w:pPr>
        <w:ind w:left="540" w:right="220" w:hanging="532"/>
        <w:spacing w:after="0" w:line="306"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the Completion Guarantor or any other party thereto (other than the trustee or any representative of the lenders under the Credit Agreement or other lenders party thereto) for 60 days after receipt of written notice from the trustee to comply with any of its agreements, as applicable, in any Collateral Document;</w:t>
      </w:r>
    </w:p>
    <w:p>
      <w:pPr>
        <w:spacing w:after="0" w:line="187" w:lineRule="exact"/>
        <w:rPr>
          <w:rFonts w:ascii="Arial" w:cs="Arial" w:eastAsia="Arial" w:hAnsi="Arial"/>
          <w:sz w:val="16"/>
          <w:szCs w:val="16"/>
          <w:color w:val="auto"/>
        </w:rPr>
      </w:pPr>
    </w:p>
    <w:p>
      <w:pPr>
        <w:ind w:left="540" w:right="160" w:hanging="532"/>
        <w:spacing w:after="0" w:line="335" w:lineRule="auto"/>
        <w:tabs>
          <w:tab w:leader="none" w:pos="5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Indebtedness for money borrowed by Wynn Las Vegas, any Restricted Entity or any of their respective Restricted Subsidiaries (or the payment of which is guaranteed by any such Person) whether such Indebtedness or guarantee now exists, or is created after the date of the indenture, if that default:</w:t>
      </w:r>
    </w:p>
    <w:p>
      <w:pPr>
        <w:spacing w:after="0" w:line="371" w:lineRule="exact"/>
        <w:rPr>
          <w:rFonts w:ascii="Arial" w:cs="Arial" w:eastAsia="Arial" w:hAnsi="Arial"/>
          <w:sz w:val="15"/>
          <w:szCs w:val="15"/>
          <w:color w:val="auto"/>
        </w:rPr>
      </w:pPr>
    </w:p>
    <w:p>
      <w:pPr>
        <w:ind w:left="1080" w:right="160" w:hanging="532"/>
        <w:spacing w:after="0" w:line="268"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13" w:lineRule="exact"/>
        <w:rPr>
          <w:sz w:val="20"/>
          <w:szCs w:val="20"/>
          <w:color w:val="auto"/>
        </w:rPr>
      </w:pPr>
    </w:p>
    <w:p>
      <w:pPr>
        <w:ind w:left="540" w:right="40" w:hanging="532"/>
        <w:spacing w:after="0" w:line="259"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00" w:hanging="532"/>
        <w:spacing w:after="0" w:line="298"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of the Collateral Documents shall cease, for any reason (other than pursuant to their terms), to be in full force and effect, or Wynn Capital, Wynn Las Vegas, any Restricted Entity or any of their respective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80" w:lineRule="exact"/>
        <w:rPr>
          <w:rFonts w:ascii="Arial" w:cs="Arial" w:eastAsia="Arial" w:hAnsi="Arial"/>
          <w:sz w:val="16"/>
          <w:szCs w:val="16"/>
          <w:color w:val="auto"/>
        </w:rPr>
      </w:pPr>
    </w:p>
    <w:p>
      <w:pPr>
        <w:ind w:left="540" w:right="140" w:hanging="532"/>
        <w:spacing w:after="0" w:line="294"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Wynn Capital, Wynn Las Vegas, any Restricted Entity or any of their respective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 Disbursement Agreement Event of Default;</w:t>
      </w:r>
    </w:p>
    <w:p>
      <w:pPr>
        <w:spacing w:after="0" w:line="196" w:lineRule="exact"/>
        <w:rPr>
          <w:rFonts w:ascii="Arial" w:cs="Arial" w:eastAsia="Arial" w:hAnsi="Arial"/>
          <w:sz w:val="16"/>
          <w:szCs w:val="16"/>
          <w:color w:val="auto"/>
        </w:rPr>
      </w:pPr>
    </w:p>
    <w:p>
      <w:pPr>
        <w:ind w:left="540" w:right="80" w:hanging="532"/>
        <w:spacing w:after="0" w:line="255"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except as expressly provided therein, the Completion Guarantee, the Construction Contract Guarantee, any Guarantee issued by a Restricted Entity, a Restricted Subsidiary of Wynn Las Vegas or any Restricted Entity, or the Parent Guarantee shall be held in any judicial proceeding to be unenforceable or invalid or shall cease for any reason to be in full force and effect or the Completion Guarantor, any Restricted Entity, any Restricted Subsidiary, or the Parent Guarantor or any Person acting on behalf of any such Person, shall deny or disaffirm its obligations under its Guarantee or, as the case may be, its Parent Guarantee;</w:t>
      </w:r>
    </w:p>
    <w:p>
      <w:pPr>
        <w:spacing w:after="0" w:line="210" w:lineRule="exact"/>
        <w:rPr>
          <w:rFonts w:ascii="Arial" w:cs="Arial" w:eastAsia="Arial" w:hAnsi="Arial"/>
          <w:sz w:val="18"/>
          <w:szCs w:val="18"/>
          <w:color w:val="auto"/>
        </w:rPr>
      </w:pPr>
    </w:p>
    <w:p>
      <w:pPr>
        <w:ind w:left="540" w:right="40" w:hanging="532"/>
        <w:spacing w:after="0" w:line="286"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(a) either Issuer, (b) any Significant Restricted Entity, (c) any group of Restricted Entities that, taken together, would constitute a Significant Restricted Entity, (d) any Significant Restricted Subsidiary of Wynn Las Vegas or</w:t>
      </w:r>
    </w:p>
    <w:p>
      <w:pPr>
        <w:ind w:left="540"/>
        <w:spacing w:after="0"/>
        <w:rPr>
          <w:rFonts w:ascii="Arial" w:cs="Arial" w:eastAsia="Arial" w:hAnsi="Arial"/>
          <w:sz w:val="16"/>
          <w:szCs w:val="16"/>
          <w:color w:val="auto"/>
        </w:rPr>
      </w:pPr>
      <w:r>
        <w:rPr>
          <w:rFonts w:ascii="Arial" w:cs="Arial" w:eastAsia="Arial" w:hAnsi="Arial"/>
          <w:sz w:val="16"/>
          <w:szCs w:val="16"/>
          <w:color w:val="auto"/>
        </w:rPr>
        <w:t>(e) any group of Restricted Subsidiaries of Wynn Las Vegas that, taken together, would constitute a Significant Restricted Subsidiary of Wynn Las Vegas;</w:t>
      </w:r>
    </w:p>
    <w:p>
      <w:pPr>
        <w:spacing w:after="0" w:line="268" w:lineRule="exact"/>
        <w:rPr>
          <w:rFonts w:ascii="Arial" w:cs="Arial" w:eastAsia="Arial" w:hAnsi="Arial"/>
          <w:sz w:val="16"/>
          <w:szCs w:val="16"/>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Project has not achieved Completion on or before the Outside Completion Deadline;</w:t>
      </w:r>
    </w:p>
    <w:p>
      <w:pPr>
        <w:spacing w:after="0" w:line="238"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after the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of Wynn Las Vegas, or any</w:t>
      </w:r>
    </w:p>
    <w:p>
      <w:pPr>
        <w:sectPr>
          <w:pgSz w:w="11900" w:h="16838" w:orient="portrait"/>
          <w:cols w:equalWidth="0" w:num="1">
            <w:col w:w="11420"/>
          </w:cols>
          <w:pgMar w:left="240" w:top="145" w:right="239" w:bottom="0" w:gutter="0" w:footer="0" w:header="0"/>
        </w:sectPr>
      </w:pPr>
    </w:p>
    <w:bookmarkStart w:id="101" w:name="page102"/>
    <w:bookmarkEnd w:id="101"/>
    <w:p>
      <w:pPr>
        <w:spacing w:after="0" w:line="4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group of Restricted Subsidiaries that, taken together, would constitute a Significant Restricted Subsidiary of Wynn Las Vegas,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Agreements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94" w:lineRule="exact"/>
        <w:rPr>
          <w:sz w:val="20"/>
          <w:szCs w:val="20"/>
          <w:color w:val="auto"/>
        </w:rPr>
      </w:pPr>
    </w:p>
    <w:p>
      <w:pPr>
        <w:ind w:right="200" w:firstLine="351"/>
        <w:spacing w:after="0" w:line="283" w:lineRule="auto"/>
        <w:rPr>
          <w:sz w:val="20"/>
          <w:szCs w:val="20"/>
          <w:color w:val="auto"/>
        </w:rPr>
      </w:pPr>
      <w:r>
        <w:rPr>
          <w:rFonts w:ascii="Arial" w:cs="Arial" w:eastAsia="Arial" w:hAnsi="Arial"/>
          <w:sz w:val="16"/>
          <w:szCs w:val="16"/>
          <w:color w:val="auto"/>
        </w:rPr>
        <w:t>In the case of any Event of Default occurring on or after , 2006 by reason of any willful action or inaction taken or not taken by or on behalf of either Issuer, any Restricted Entity, any Restricted Subsidiary of Wynn Las Vegas or any Restricted Entity, any Guarantor or any of their respective Subsidiaries with the intention of avoiding payment of the premium that the Issuers would have had to pay if the Issuers then had elected to redeem the notes pursuant to the optional redemption provisions of the indenture, an equivalent premium will also become and be immediately due and payable to the extent</w:t>
      </w:r>
    </w:p>
    <w:p>
      <w:pPr>
        <w:spacing w:after="0" w:line="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permitted by law upon the acceleration of the notes. If an Event of Default occurs prior to , 2006, by reason of any willful action (or inaction) taken (or not taken) by or on behalf of either Issuer, any Restricted Entity, any Restricted Subsidiary of Wynn Las Vegas or any Restricted Entity, any Guarantor</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or any of their respective Subsidiaries with the intention of avoiding the prohibition on redemption of the notes prior to , 2006, then the premium specified in the indenture will also become immediately due and payable to the extent permitted by law upon the acceleration of the notes.</w:t>
      </w:r>
    </w:p>
    <w:p>
      <w:pPr>
        <w:spacing w:after="0" w:line="147"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Remedies upon Default Under the Notes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Generally, 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of Wynn Las Vegas or any Restricted Entity, and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and remedies. See "—Gaming Law Limitations on Foreclosure," "—Bankruptcy Limitations on Foreclosure" and "—Nevada Public Utility Commission Limitations on Foreclosure."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225"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183" w:lineRule="exact"/>
        <w:rPr>
          <w:sz w:val="20"/>
          <w:szCs w:val="20"/>
          <w:color w:val="auto"/>
        </w:rPr>
      </w:pPr>
    </w:p>
    <w:p>
      <w:pPr>
        <w:ind w:left="540" w:right="400" w:hanging="532"/>
        <w:spacing w:after="0" w:line="332"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66"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39"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Nothing contained in this paragraph shall be deemed to apply to the Parent Guarantor or to restrict the ability of Wynn Las Vegas to make the Restricted Payments permitted to be made during the occurrence of an Event of Default under the covenant captioned "Certain Covenants—Restricted Payments."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Intercreditor Agreements may prevent timely payment on the notes if a default has occurred.</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Under the intercreditor agreement between the trustee and the agent under the Credit Agreement, until the debt under the Credit Agreement has been repaid in full, the lenders under the Credit Agreement will have the exclusive right to exercise remedies against the Collateral and to determine the circumstances and</w:t>
      </w:r>
    </w:p>
    <w:p>
      <w:pPr>
        <w:sectPr>
          <w:pgSz w:w="11900" w:h="16881" w:orient="portrait"/>
          <w:cols w:equalWidth="0" w:num="1">
            <w:col w:w="11420"/>
          </w:cols>
          <w:pgMar w:left="240" w:top="131" w:right="239" w:bottom="0" w:gutter="0" w:footer="0" w:header="0"/>
        </w:sectPr>
      </w:pPr>
    </w:p>
    <w:bookmarkStart w:id="102" w:name="page103"/>
    <w:bookmarkEnd w:id="102"/>
    <w:p>
      <w:pPr>
        <w:jc w:val="both"/>
        <w:ind w:right="60"/>
        <w:spacing w:after="0" w:line="259" w:lineRule="auto"/>
        <w:rPr>
          <w:sz w:val="20"/>
          <w:szCs w:val="20"/>
          <w:color w:val="auto"/>
        </w:rPr>
      </w:pPr>
      <w:r>
        <w:rPr>
          <w:rFonts w:ascii="Arial" w:cs="Arial" w:eastAsia="Arial" w:hAnsi="Arial"/>
          <w:sz w:val="18"/>
          <w:szCs w:val="18"/>
          <w:color w:val="auto"/>
        </w:rPr>
        <w:t>manner in which the Collateral may be disposed, subject to the rights of the lenders under the FF&amp;E Facility with respect to the FF&amp;E Collateral. Similarly, until the debt under the FF&amp;E Facility has been repaid in full, the lenders under the FF&amp;E Facility will have the exclusive right to sell the FF&amp;E Collateral or exercise other remedies against the FF&amp;E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 (2) unless consented to in advance by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Nevada Gaming Authorities, the ownership interests of any person that holds any such license.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225"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Public Utilities Commission of Nevada Limitations on Foreclosure</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Nevada Revised Statutes 704.668 prohibits small water utilities such as Desert Inn Improvement Co. from selling or otherwise disposing of water rights without the prior approval of the Nevada PUC. In a separate subsection of the statute, prior Nevada PUC approval is also required in order for a small water utility to encumber its water rights by way of mortgage, deed of trust, security agreement or otherwise. Desert Inn Improvement Co. will seek Nevada PUC approval to encumber the water rights held by it. See "Certain Covenants—Nevada PUC Approvals." The Nevada PUC may also require a prior application if a sale or transfer were to occur by way of a foreclosure, since such an event would result in the water rights being taken out of the total control of the utility.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ectPr>
          <w:pgSz w:w="11900" w:h="16838" w:orient="portrait"/>
          <w:cols w:equalWidth="0" w:num="1">
            <w:col w:w="11400"/>
          </w:cols>
          <w:pgMar w:left="240" w:top="131" w:right="259" w:bottom="0" w:gutter="0" w:footer="0" w:header="0"/>
        </w:sectPr>
      </w:pPr>
    </w:p>
    <w:bookmarkStart w:id="103" w:name="page104"/>
    <w:bookmarkEnd w:id="103"/>
    <w:p>
      <w:pPr>
        <w:ind w:firstLine="351"/>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lenders. However, the courts have not yet issued any definitive interpretations of the extent of these safe harbors. There is currently no controlling authority on this matter.</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Equity Holders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No director, officer, employee, incorporator, organizer, equity holder or member of either Issuer, any Restricted Entity, any of the Restricted Subsidiaries of Wynn Las Vegas or any Restricted Entity, or any Guarantor, as such, shall have any liability for any obligations of either Issuer, any Restricted Entity, any such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208" w:lineRule="exact"/>
        <w:rPr>
          <w:sz w:val="20"/>
          <w:szCs w:val="20"/>
          <w:color w:val="auto"/>
        </w:rPr>
      </w:pPr>
    </w:p>
    <w:p>
      <w:pPr>
        <w:ind w:left="540" w:right="540" w:hanging="532"/>
        <w:spacing w:after="0" w:line="268"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and the Guarantors' obligations in connection therewith;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the Restricted Entities, the Restricted Subsidiaries of Wynn Las Vegas and the Restricted Entities,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540" w:right="240" w:hanging="532"/>
        <w:spacing w:after="0" w:line="306"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government securities, or a combination of cash in U.S. dollars and government securities, in amounts as will be sufficient, in the opinion of a nationally recognized firm of independent public accountants, to pay the principal of, or interest and premium, if any, on the outstanding notes on the stated maturity or 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applicable redemption date, as the case may be, and the Issuers must specify whether the notes are being defeased to maturity or to a particular redemption date;</w:t>
      </w:r>
    </w:p>
    <w:p>
      <w:pPr>
        <w:spacing w:after="0" w:line="199" w:lineRule="exact"/>
        <w:rPr>
          <w:sz w:val="20"/>
          <w:szCs w:val="20"/>
          <w:color w:val="auto"/>
        </w:rPr>
      </w:pPr>
    </w:p>
    <w:p>
      <w:pPr>
        <w:ind w:left="540" w:hanging="532"/>
        <w:spacing w:after="0" w:line="254"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11"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ectPr>
          <w:pgSz w:w="11900" w:h="16838" w:orient="portrait"/>
          <w:cols w:equalWidth="0" w:num="1">
            <w:col w:w="11420"/>
          </w:cols>
          <w:pgMar w:left="240" w:top="131" w:right="239" w:bottom="0" w:gutter="0" w:footer="0" w:header="0"/>
        </w:sectPr>
      </w:pPr>
    </w:p>
    <w:bookmarkStart w:id="104" w:name="page105"/>
    <w:bookmarkEnd w:id="104"/>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either: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on the date of such deposit (other than a Default or Event of Default resulting from the borrowing of funds to be applied to such deposit), or</w:t>
      </w:r>
    </w:p>
    <w:p>
      <w:pPr>
        <w:spacing w:after="0" w:line="261" w:lineRule="exact"/>
        <w:rPr>
          <w:rFonts w:ascii="Arial" w:cs="Arial" w:eastAsia="Arial" w:hAnsi="Arial"/>
          <w:sz w:val="16"/>
          <w:szCs w:val="16"/>
          <w:color w:val="auto"/>
        </w:rPr>
      </w:pPr>
    </w:p>
    <w:p>
      <w:pPr>
        <w:ind w:left="1080" w:right="80" w:hanging="532"/>
        <w:spacing w:after="0" w:line="300" w:lineRule="auto"/>
        <w:tabs>
          <w:tab w:leader="none" w:pos="108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in the case of Legal Defeasance, insofar as Events of Default of the type specified in clause (12) of the section above under the caption "Events of Default and Remedies" are concerned, at any time in the period ending on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date of deposit;</w:t>
      </w:r>
    </w:p>
    <w:p>
      <w:pPr>
        <w:spacing w:after="0" w:line="200" w:lineRule="exact"/>
        <w:rPr>
          <w:rFonts w:ascii="Arial" w:cs="Arial" w:eastAsia="Arial" w:hAnsi="Arial"/>
          <w:sz w:val="17"/>
          <w:szCs w:val="17"/>
          <w:color w:val="auto"/>
        </w:rPr>
      </w:pPr>
    </w:p>
    <w:p>
      <w:pPr>
        <w:spacing w:after="0" w:line="314" w:lineRule="exact"/>
        <w:rPr>
          <w:rFonts w:ascii="Arial" w:cs="Arial" w:eastAsia="Arial" w:hAnsi="Arial"/>
          <w:sz w:val="17"/>
          <w:szCs w:val="17"/>
          <w:color w:val="auto"/>
        </w:rPr>
      </w:pPr>
    </w:p>
    <w:p>
      <w:pPr>
        <w:ind w:left="540" w:right="120" w:hanging="532"/>
        <w:spacing w:after="0" w:line="259"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of Wynn Las Vegas or any Restricted Entity, or any Guarantor is a party or by which any such Person is bound;</w:t>
      </w:r>
    </w:p>
    <w:p>
      <w:pPr>
        <w:spacing w:after="0" w:line="221" w:lineRule="exact"/>
        <w:rPr>
          <w:rFonts w:ascii="Arial" w:cs="Arial" w:eastAsia="Arial" w:hAnsi="Arial"/>
          <w:sz w:val="18"/>
          <w:szCs w:val="18"/>
          <w:color w:val="auto"/>
        </w:rPr>
      </w:pPr>
    </w:p>
    <w:p>
      <w:pPr>
        <w:ind w:left="540" w:right="100" w:hanging="532"/>
        <w:spacing w:after="0" w:line="220" w:lineRule="auto"/>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 the case of Legal Defeasance, the Issuers must deliver to the trustee an opinion of counsel to the effect that, assuming no intervening bankruptcy of the Issuers or any Guarantor between the date of deposit and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and assuming that no holder of notes is an "insider" of either Issuer under applicable bankruptcy law, after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the trust funds will not be subject to the effect of any applicable bankruptcy, insolvency, reorganization or similar laws affecting creditors' rights generally;</w:t>
      </w:r>
    </w:p>
    <w:p>
      <w:pPr>
        <w:spacing w:after="0" w:line="226" w:lineRule="exact"/>
        <w:rPr>
          <w:rFonts w:ascii="Arial" w:cs="Arial" w:eastAsia="Arial" w:hAnsi="Arial"/>
          <w:sz w:val="17"/>
          <w:szCs w:val="17"/>
          <w:color w:val="auto"/>
        </w:rPr>
      </w:pPr>
    </w:p>
    <w:p>
      <w:pPr>
        <w:ind w:left="540" w:right="40" w:hanging="532"/>
        <w:spacing w:after="0" w:line="332"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52"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Subject to the provisions of the Intercreditor Agreements,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246" w:lineRule="exact"/>
        <w:rPr>
          <w:sz w:val="20"/>
          <w:szCs w:val="20"/>
          <w:color w:val="auto"/>
        </w:rPr>
      </w:pPr>
    </w:p>
    <w:p>
      <w:pPr>
        <w:ind w:left="540" w:right="360" w:hanging="532"/>
        <w:spacing w:after="0" w:line="306"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74"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"—Repurchase at the Option of Holders—Events of Loss";</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212"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Collateral Documents or the Wynn Resorts Agreement, Collateral of a Guarantor or of Wynn Resorts, as applicable, whose Guarantee or Parent Security Agreement is released or terminated pursuant to the terms of the indenture or the Parent Security Agreement, as the case may be;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Released Assets;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and the notes,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ectPr>
          <w:pgSz w:w="11900" w:h="16838" w:orient="portrait"/>
          <w:cols w:equalWidth="0" w:num="1">
            <w:col w:w="11420"/>
          </w:cols>
          <w:pgMar w:left="240" w:top="145" w:right="239" w:bottom="412"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412" w:gutter="0" w:footer="0" w:header="0"/>
          <w:type w:val="continuous"/>
        </w:sectPr>
      </w:pPr>
    </w:p>
    <w:bookmarkStart w:id="105" w:name="page106"/>
    <w:bookmarkEnd w:id="105"/>
    <w:p>
      <w:pPr>
        <w:ind w:left="3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262" w:lineRule="exact"/>
        <w:rPr>
          <w:sz w:val="20"/>
          <w:szCs w:val="20"/>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if the assets or properties of that Guarantor (a) constitute all or substantially all of the Collateral or (b) include Material Project Assets;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preceding, without the consent of any holder, the Issuers, any Restricted Entity, any Restricted Subsidiary of Wynn Las Vegas or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Restricted Entity, or any Guarantor, the Issuers, the Guarantors and the trustee may amend or supplement the indenture, the notes or the Collateral Documents to:</w:t>
      </w:r>
    </w:p>
    <w:p>
      <w:pPr>
        <w:spacing w:after="0" w:line="280"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238"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provide for the assumption of the Issuers' obligations to holders of notes in the case of a merger or consolidation or sale of all or substantially all of the Issuers' assets;</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notes or that does not adversely affect the legal rights under the indenture of any such holder;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comply with requirements of the Commission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Guarantee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provide for Additional Notes in accordance with the limitations set forth in the indenture on the date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under the indenture, when:</w:t>
      </w:r>
    </w:p>
    <w:p>
      <w:pPr>
        <w:spacing w:after="0" w:line="275" w:lineRule="exact"/>
        <w:rPr>
          <w:sz w:val="20"/>
          <w:szCs w:val="20"/>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332" w:lineRule="auto"/>
        <w:tabs>
          <w:tab w:leader="none" w:pos="10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52" w:lineRule="exact"/>
        <w:rPr>
          <w:rFonts w:ascii="Arial" w:cs="Arial" w:eastAsia="Arial" w:hAnsi="Arial"/>
          <w:sz w:val="16"/>
          <w:szCs w:val="16"/>
          <w:color w:val="auto"/>
        </w:rPr>
      </w:pPr>
    </w:p>
    <w:p>
      <w:pPr>
        <w:ind w:left="1080" w:right="100" w:hanging="532"/>
        <w:spacing w:after="0" w:line="254" w:lineRule="auto"/>
        <w:tabs>
          <w:tab w:leader="none" w:pos="10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government securities, or a combination of cash in U.S. dollars and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0" w:right="180" w:hanging="532"/>
        <w:spacing w:after="0" w:line="332"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w:t>
      </w:r>
    </w:p>
    <w:p>
      <w:pPr>
        <w:sectPr>
          <w:pgSz w:w="11900" w:h="16838" w:orient="portrait"/>
          <w:cols w:equalWidth="0" w:num="1">
            <w:col w:w="11380"/>
          </w:cols>
          <w:pgMar w:left="240" w:top="131" w:right="279" w:bottom="0" w:gutter="0" w:footer="0" w:header="0"/>
        </w:sectPr>
      </w:pPr>
    </w:p>
    <w:bookmarkStart w:id="106" w:name="page107"/>
    <w:bookmarkEnd w:id="106"/>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Issuer or any Guarantor is bound;</w:t>
      </w:r>
    </w:p>
    <w:p>
      <w:pPr>
        <w:spacing w:after="0" w:line="239" w:lineRule="exact"/>
        <w:rPr>
          <w:sz w:val="20"/>
          <w:szCs w:val="20"/>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the indenture; and</w:t>
      </w:r>
    </w:p>
    <w:p>
      <w:pPr>
        <w:spacing w:after="0" w:line="252"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will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Except as described in the next paragraph, the notes will be issued in the form of one or more global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68"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Issuers with portions of the principal amount of the Global Notes;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0" w:hanging="532"/>
        <w:spacing w:after="0" w:line="259"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 Issuers and the trustee will treat the Persons in whose names the notes, including the Global Notes, are registered</w:t>
      </w:r>
    </w:p>
    <w:p>
      <w:pPr>
        <w:sectPr>
          <w:pgSz w:w="11900" w:h="16950" w:orient="portrait"/>
          <w:cols w:equalWidth="0" w:num="1">
            <w:col w:w="11420"/>
          </w:cols>
          <w:pgMar w:left="240" w:top="131" w:right="239" w:bottom="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as the owners of the notes for the purpose of receiving payments and for all other purposes. Consequently, neither the Issuers, the trustee nor any agent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Issuers or the trustee has or will have any responsibility or liability for:</w:t>
      </w:r>
    </w:p>
    <w:p>
      <w:pPr>
        <w:spacing w:after="0" w:line="232" w:lineRule="exact"/>
        <w:rPr>
          <w:sz w:val="20"/>
          <w:szCs w:val="20"/>
          <w:color w:val="auto"/>
        </w:rPr>
      </w:pPr>
    </w:p>
    <w:p>
      <w:pPr>
        <w:ind w:left="540" w:hanging="532"/>
        <w:spacing w:after="0" w:line="259"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39" w:lineRule="exact"/>
        <w:rPr>
          <w:sz w:val="20"/>
          <w:szCs w:val="20"/>
          <w:color w:val="auto"/>
        </w:rPr>
      </w:pPr>
    </w:p>
    <w:p>
      <w:pPr>
        <w:ind w:left="540" w:right="480" w:hanging="532"/>
        <w:spacing w:after="0" w:line="268"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Wynn Las Vegas notifies the trustee in writing that DTC is no longer willing or able to act as a depository and Wynn Las Vegas is unable to locate a qualified successor within 90 days; or</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upon request to the trustee by any Person having a beneficial interest in a Global Note, following the occurrence and during the continuation of a Default or Event of Default,</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540" w:hanging="532"/>
        <w:spacing w:after="0" w:line="259"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Beneficial ownership of 10% or more of the voting stock of a Person will be deemed to be control. For purposes of this definition, the terms "controlling," "controlled by" and "under common control with" will have correlative meanings.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Water Supply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Wynn Employment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Wynn Design Agreement, and</w:t>
      </w:r>
    </w:p>
    <w:p>
      <w:pPr>
        <w:sectPr>
          <w:pgSz w:w="11900" w:h="16838" w:orient="portrait"/>
          <w:cols w:equalWidth="0" w:num="1">
            <w:col w:w="11400"/>
          </w:cols>
          <w:pgMar w:left="240" w:top="131" w:right="259" w:bottom="155"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55" w:gutter="0" w:footer="0" w:header="0"/>
          <w:type w:val="continuous"/>
        </w:sectPr>
      </w:pPr>
    </w:p>
    <w:bookmarkStart w:id="108" w:name="page109"/>
    <w:bookmarkEnd w:id="108"/>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Tax Indemnification Agreement,</w:t>
      </w:r>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Existing Aircraft and the Replacement Aircraft, in each case, together with the products and proceeds thereof, and (2) the Aircraft Note.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Refinancing Date</w:t>
      </w:r>
      <w:r>
        <w:rPr>
          <w:rFonts w:ascii="Arial" w:cs="Arial" w:eastAsia="Arial" w:hAnsi="Arial"/>
          <w:sz w:val="18"/>
          <w:szCs w:val="18"/>
          <w:color w:val="auto"/>
        </w:rPr>
        <w:t>" means the date on which the net proceeds of the sale of the Existing Aircraft and up to $10.0 million of borrowings under the FF&amp;E Facility are applied to repay Replacement Aircraft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w:t>
      </w:r>
    </w:p>
    <w:p>
      <w:pPr>
        <w:spacing w:after="0" w:line="252" w:lineRule="exact"/>
        <w:rPr>
          <w:sz w:val="20"/>
          <w:szCs w:val="20"/>
          <w:color w:val="auto"/>
        </w:rPr>
      </w:pPr>
    </w:p>
    <w:p>
      <w:pPr>
        <w:ind w:left="540" w:right="400" w:hanging="532"/>
        <w:spacing w:after="0" w:line="268"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promissory note dated as of the date of the indenture issued by World Travel, LLC in favor of Wynn Las Vegas in an original principal amount of approximately $38.0 million, or</w:t>
      </w:r>
    </w:p>
    <w:p>
      <w:pPr>
        <w:spacing w:after="0" w:line="199"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following the sale by World Travel, LLC or the Aircraft Trustee of the Existing Aircraft, a replacement promissory note in substantially the form of the promissory note described in clause (1) of this definition issued by World Travel, LLC in favor of Wynn Las Vegas in an aggregate principal amount not to exceed the sum of:</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principal amount of the promissory note described in clause (1) of this definition outstanding on the date on which the Existing Aircraft is sold by World Travel, LLC or the Aircraft Trustee,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lesser of (i) $10.0 million and (ii) the amount of additional Indebtedness incurred on the Aircraft Refinancing Date pursuant to clause (7) of the second paragraph of the covenant captioned "—Incurrence of Indebtedness and Issuance of Preferred Equity," the proceeds of which are used solely to repay Replacement Aircraft Indebtedness.</w:t>
      </w:r>
    </w:p>
    <w:p>
      <w:pPr>
        <w:spacing w:after="0" w:line="19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 Trustee</w:t>
      </w:r>
      <w:r>
        <w:rPr>
          <w:rFonts w:ascii="Arial" w:cs="Arial" w:eastAsia="Arial" w:hAnsi="Arial"/>
          <w:sz w:val="16"/>
          <w:szCs w:val="16"/>
          <w:color w:val="auto"/>
        </w:rPr>
        <w:t>" means Well Fargo Bank Northwest, National Association, not in its individual capacity, but solely as trustee under a trust agreement in favor of World Travel, LLC, and any successor or replacement trustee, including any trust holding ownership of the Replacement Aircraft.</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gaming and/or hotel projects of Wynn Resorts and its Subsidiaries which are operating or for which the financing for the development, construction and opening thereof has been obtained. However, amounts allocated to any Project shall be prorated based on the period within such period that such Project was in operation or financing therefor was obtained. For purposes of this definition, the Project and the Macau Project shall each count as separate projects. In addition, any such amounts that are applied in connection with the Phase II Land or the Golf Course Land shall be applied in accordance with the covenants captioned "—Limitation on Development of Phase II Land" and "—Limitation on Development of Golf Course Land," respectively.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in the aggregate, the greater of:</w:t>
      </w:r>
    </w:p>
    <w:p>
      <w:pPr>
        <w:spacing w:after="0" w:line="195" w:lineRule="exact"/>
        <w:rPr>
          <w:sz w:val="20"/>
          <w:szCs w:val="20"/>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$21.5 million,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0" w:hanging="532"/>
        <w:spacing w:after="0" w:line="306" w:lineRule="auto"/>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the Consolidated Leverage Ratio of the Issuers and their Restricted Subsidiaries for the period of four full consecutive fiscal quarters of Wynn Las Vegas ending immediately prior to the commencement of such 12-month period is 3.5 to 1.0 or less, 1.29% of Net Revenues of Wynn Las Vegas and its Restricted Subsidiaries for such period of four full consecutive fiscal quarters.</w:t>
      </w:r>
    </w:p>
    <w:p>
      <w:pPr>
        <w:spacing w:after="0" w:line="16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Second Amended and Restated Art Rental and Licensing Agreement, dated September 18, 2002, by and between Stephen A. Wynn and Wynn Resorts Holdings, as amended, modified or otherwise supplemented from time to time in accordance with the covenant captioned "—Certain Covenants—Amendments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238"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issuance of Equity Interests by either Issuer, any Restricted Entity or any of their respective Restricted Subsidiaries or the sale of Equity Interests in either Issuer, any Restricted Entity or any of their respective Subsidiaries.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Notwithstanding the above, the sale, conveyance or other disposition of all or substantially all of the assets of Wynn Las Vegas, the Restricted Entities and their respective Restricted Subsidiaries,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none of the following items will be deemed to be an Asset Sale (except for purposes of the definition of "Consolidated Cash Flow"):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5" w:right="239" w:bottom="0" w:gutter="0" w:footer="0" w:header="0"/>
        </w:sectPr>
      </w:pPr>
    </w:p>
    <w:bookmarkStart w:id="109" w:name="page110"/>
    <w:bookmarkEnd w:id="109"/>
    <w:p>
      <w:pPr>
        <w:ind w:left="540"/>
        <w:spacing w:after="0"/>
        <w:rPr>
          <w:sz w:val="20"/>
          <w:szCs w:val="20"/>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239" w:lineRule="exact"/>
        <w:rPr>
          <w:sz w:val="20"/>
          <w:szCs w:val="20"/>
          <w:color w:val="auto"/>
        </w:rPr>
      </w:pPr>
    </w:p>
    <w:p>
      <w:pPr>
        <w:ind w:left="540" w:right="30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(excluding any transfer of assets from a Person that is a Guarantor to a Person, other than Wynn Las Vegas, that is not a Guarantor):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or any related Water Rights, unless such Golf Course Land is then a Released Asset,</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Restricted Entity or any of their respective Restricted Subsidiaries to a Guarantor;</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6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5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199"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any Restricted Entity or any of their respective Restricted Subsidiaries in such exchanges does not exceed $10.0 million in the aggregate in any calendar year;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dedication of space within the Project as necessary for the development of the Project and as permitted by the Collateral Documents;</w:t>
      </w:r>
    </w:p>
    <w:p>
      <w:pPr>
        <w:spacing w:after="0" w:line="252" w:lineRule="exact"/>
        <w:rPr>
          <w:rFonts w:ascii="Arial" w:cs="Arial" w:eastAsia="Arial" w:hAnsi="Arial"/>
          <w:sz w:val="18"/>
          <w:szCs w:val="18"/>
          <w:color w:val="auto"/>
        </w:rPr>
      </w:pPr>
    </w:p>
    <w:p>
      <w:pPr>
        <w:ind w:left="540" w:right="340" w:hanging="532"/>
        <w:spacing w:after="0" w:line="259"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transfer or sale or disposition of any Released Assets or Aircraft Assets;</w:t>
      </w:r>
    </w:p>
    <w:p>
      <w:pPr>
        <w:spacing w:after="0" w:line="252"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the Restricted Entities and their respective Restricted Subsidiaries pursuant to any Affiliate Agreement, as in effect on the date of the indenture;</w:t>
      </w:r>
    </w:p>
    <w:p>
      <w:pPr>
        <w:spacing w:after="0" w:line="199" w:lineRule="exact"/>
        <w:rPr>
          <w:rFonts w:ascii="Arial" w:cs="Arial" w:eastAsia="Arial" w:hAnsi="Arial"/>
          <w:sz w:val="18"/>
          <w:szCs w:val="18"/>
          <w:color w:val="auto"/>
        </w:rPr>
      </w:pPr>
    </w:p>
    <w:p>
      <w:pPr>
        <w:ind w:left="540" w:right="80" w:hanging="532"/>
        <w:spacing w:after="0" w:line="298" w:lineRule="auto"/>
        <w:tabs>
          <w:tab w:leader="none" w:pos="5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any Restricted Entity or any of their respective Restricted Subsidiaries shall be treated as if they were Net Proceeds of an Asset Sale and applied in accordance with the covenant captioned "—Asset Sales"; and</w:t>
      </w:r>
    </w:p>
    <w:p>
      <w:pPr>
        <w:spacing w:after="0" w:line="180" w:lineRule="exact"/>
        <w:rPr>
          <w:rFonts w:ascii="Arial" w:cs="Arial" w:eastAsia="Arial" w:hAnsi="Arial"/>
          <w:sz w:val="16"/>
          <w:szCs w:val="16"/>
          <w:color w:val="auto"/>
        </w:rPr>
      </w:pPr>
    </w:p>
    <w:p>
      <w:pPr>
        <w:ind w:left="540" w:right="200" w:hanging="532"/>
        <w:spacing w:after="0" w:line="306" w:lineRule="auto"/>
        <w:tabs>
          <w:tab w:leader="none" w:pos="5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Government Transfers or Permitted Liens of the type described in clause (12) of the definition of Permitted Liens, so long as the net proceeds, if any, of any such disposition received by Wynn Las Vegas, any Restricted Entity or any of their respective Restricted Subsidiaries in respect thereof shall be treated as if they were Net Proceeds of an Asset Sale and applied in accordance with the covenant captioned "—Asset Sales."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ectPr>
          <w:pgSz w:w="11900" w:h="16838" w:orient="portrait"/>
          <w:cols w:equalWidth="0" w:num="1">
            <w:col w:w="11400"/>
          </w:cols>
          <w:pgMar w:left="240" w:top="131" w:right="259" w:bottom="655"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55" w:gutter="0" w:footer="0" w:header="0"/>
          <w:type w:val="continuous"/>
        </w:sectPr>
      </w:pPr>
    </w:p>
    <w:bookmarkStart w:id="110" w:name="page111"/>
    <w:bookmarkEnd w:id="110"/>
    <w:p>
      <w:pPr>
        <w:spacing w:after="0" w:line="4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Budgeted Overhead Final Payment Date</w:t>
      </w:r>
      <w:r>
        <w:rPr>
          <w:rFonts w:ascii="Arial" w:cs="Arial" w:eastAsia="Arial" w:hAnsi="Arial"/>
          <w:sz w:val="16"/>
          <w:szCs w:val="16"/>
          <w:color w:val="auto"/>
        </w:rPr>
        <w:t>" means the date on which the final payments in respect of corporate or other organizational overhead expenses of Wynn Resorts and its Subsidiaries included in the Project Budget are disbursed pursuant to the Disbursement Agreement. Wynn Las Vegas shall deliver an officers' certificate to the trustee, within 30 days following a written request therefor from the trustee or any note holder, confirming and setting forth such date.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Buy-Sell Agreement"</w:t>
      </w:r>
      <w:r>
        <w:rPr>
          <w:rFonts w:ascii="Arial" w:cs="Arial" w:eastAsia="Arial" w:hAnsi="Arial"/>
          <w:sz w:val="16"/>
          <w:szCs w:val="16"/>
          <w:color w:val="auto"/>
        </w:rPr>
        <w:t xml:space="preserve"> means the Buy-Sell Agreement, dated as of June 13, 2002, among Stephen A. Wynn, Kazuo Okada, Aruze USA and Aruze Corp.</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52" w:lineRule="exact"/>
        <w:rPr>
          <w:rFonts w:ascii="Arial" w:cs="Arial" w:eastAsia="Arial" w:hAnsi="Arial"/>
          <w:sz w:val="18"/>
          <w:szCs w:val="18"/>
          <w:color w:val="auto"/>
        </w:rPr>
      </w:pPr>
    </w:p>
    <w:p>
      <w:pPr>
        <w:ind w:left="540" w:right="500" w:hanging="532"/>
        <w:spacing w:after="0" w:line="259"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207"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74"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commercial paper having the highest rating obtainable from Moody's or S&amp;P and in each case maturing within six months after the date of acquisition;</w:t>
      </w:r>
    </w:p>
    <w:p>
      <w:pPr>
        <w:spacing w:after="0" w:line="261"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Cash Equivalents of the kinds described in clauses (1) through (5) of this definition;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left="540" w:right="140" w:hanging="532"/>
        <w:spacing w:after="0" w:line="256"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Wynn Las Vegas, the Restricted Entities and their respective Restricted Subsidiaries, taken as a whole, or of Wynn Las Vegas and its Restricted Subsidiaries, taken as a whole, to any "person" (as that term is used in Section 13(d)(3) of the Exchange Act), other than to the Principal or a Related Party of the Principal;</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200" w:lineRule="exact"/>
        <w:rPr>
          <w:sz w:val="20"/>
          <w:szCs w:val="20"/>
          <w:color w:val="auto"/>
        </w:rPr>
      </w:pPr>
    </w:p>
    <w:p>
      <w:pPr>
        <w:spacing w:after="0" w:line="268" w:lineRule="exact"/>
        <w:rPr>
          <w:sz w:val="20"/>
          <w:szCs w:val="20"/>
          <w:color w:val="auto"/>
        </w:rPr>
      </w:pPr>
    </w:p>
    <w:p>
      <w:pPr>
        <w:ind w:left="1080" w:right="260" w:hanging="532"/>
        <w:spacing w:after="0" w:line="268"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the outstanding voting stock of Wynn Resorts, measured by voting power rather than number of equity interests;</w:t>
      </w:r>
    </w:p>
    <w:p>
      <w:pPr>
        <w:spacing w:after="0" w:line="239" w:lineRule="exact"/>
        <w:rPr>
          <w:sz w:val="20"/>
          <w:szCs w:val="20"/>
          <w:color w:val="auto"/>
        </w:rPr>
      </w:pPr>
    </w:p>
    <w:p>
      <w:pPr>
        <w:ind w:left="1080" w:right="20" w:hanging="532"/>
        <w:spacing w:after="0" w:line="284" w:lineRule="auto"/>
        <w:tabs>
          <w:tab w:leader="none" w:pos="10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6"/>
          <w:szCs w:val="16"/>
          <w:color w:val="auto"/>
        </w:rPr>
      </w:pPr>
    </w:p>
    <w:p>
      <w:pPr>
        <w:ind w:left="1080"/>
        <w:spacing w:after="0" w:line="295" w:lineRule="auto"/>
        <w:rPr>
          <w:rFonts w:ascii="Arial" w:cs="Arial" w:eastAsia="Arial" w:hAnsi="Arial"/>
          <w:sz w:val="16"/>
          <w:szCs w:val="16"/>
          <w:color w:val="auto"/>
        </w:rPr>
      </w:pPr>
      <w:r>
        <w:rPr>
          <w:rFonts w:ascii="Arial" w:cs="Arial" w:eastAsia="Arial" w:hAnsi="Arial"/>
          <w:sz w:val="16"/>
          <w:szCs w:val="16"/>
          <w:color w:val="auto"/>
        </w:rPr>
        <w:t>(iii)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82" w:lineRule="exact"/>
        <w:rPr>
          <w:rFonts w:ascii="Arial" w:cs="Arial" w:eastAsia="Arial" w:hAnsi="Arial"/>
          <w:sz w:val="16"/>
          <w:szCs w:val="16"/>
          <w:color w:val="auto"/>
        </w:rPr>
      </w:pPr>
    </w:p>
    <w:p>
      <w:pPr>
        <w:ind w:left="1080" w:right="180" w:hanging="532"/>
        <w:spacing w:after="0" w:line="256"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20% of the outstanding Voting Stock of Wynn Resorts, measured by voting power rather than number of equity interests (excluding, for purposes of calculating the outstanding voting stock of Wynn Resorts pursuant to this clause 3(c), shares of voting stock issued in a primary issuance by Wynn Resorts in one or more bona fide public offerings of additional voting stock of Wynn Resorts (other than the IPO)); or</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10% of the outstanding voting stock of Wynn Resorts, measured by voting power rather than number of equity interests;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first day on which the Principal does not act as either the chairman of the board of directors or the chief executive officer of Wynn Resorts, other than</w:t>
      </w:r>
    </w:p>
    <w:p>
      <w:pPr>
        <w:spacing w:after="0" w:line="38" w:lineRule="exact"/>
        <w:rPr>
          <w:rFonts w:ascii="Arial" w:cs="Arial" w:eastAsia="Arial" w:hAnsi="Arial"/>
          <w:sz w:val="16"/>
          <w:szCs w:val="16"/>
          <w:color w:val="auto"/>
        </w:rPr>
      </w:pPr>
    </w:p>
    <w:p>
      <w:pPr>
        <w:ind w:left="540" w:right="120"/>
        <w:spacing w:after="0" w:line="261" w:lineRule="auto"/>
        <w:rPr>
          <w:rFonts w:ascii="Arial" w:cs="Arial" w:eastAsia="Arial" w:hAnsi="Arial"/>
          <w:sz w:val="16"/>
          <w:szCs w:val="16"/>
          <w:color w:val="auto"/>
        </w:rPr>
      </w:pPr>
      <w:r>
        <w:rPr>
          <w:rFonts w:ascii="Arial" w:cs="Arial" w:eastAsia="Arial" w:hAnsi="Arial"/>
          <w:sz w:val="18"/>
          <w:szCs w:val="18"/>
          <w:color w:val="auto"/>
        </w:rPr>
        <w:t>(1) as a result of death or disability or (2) if the board of directors of Wynn Resorts, exercising their fiduciary duties in good faith, removes or fails to re-appoint the Principal as chairman of the board of directors or chief executive officer of Wynn Resorts;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80" w:orient="portrait"/>
          <w:cols w:equalWidth="0" w:num="1">
            <w:col w:w="11380"/>
          </w:cols>
          <w:pgMar w:left="240" w:top="131" w:right="279" w:bottom="0" w:gutter="0" w:footer="0" w:header="0"/>
        </w:sectPr>
      </w:pPr>
    </w:p>
    <w:bookmarkStart w:id="111" w:name="page112"/>
    <w:bookmarkEnd w:id="111"/>
    <w:p>
      <w:pPr>
        <w:spacing w:after="0" w:line="1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262" w:lineRule="exact"/>
        <w:rPr>
          <w:sz w:val="20"/>
          <w:szCs w:val="20"/>
          <w:color w:val="auto"/>
        </w:rPr>
      </w:pPr>
    </w:p>
    <w:p>
      <w:pPr>
        <w:ind w:left="540" w:hanging="532"/>
        <w:spacing w:after="0"/>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275" w:lineRule="exact"/>
        <w:rPr>
          <w:rFonts w:ascii="Arial" w:cs="Arial" w:eastAsia="Arial" w:hAnsi="Arial"/>
          <w:sz w:val="16"/>
          <w:szCs w:val="16"/>
          <w:color w:val="auto"/>
        </w:rPr>
      </w:pPr>
    </w:p>
    <w:p>
      <w:pPr>
        <w:ind w:left="540" w:hanging="532"/>
        <w:spacing w:after="0" w:line="291" w:lineRule="auto"/>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Entity, any Restricted Subsidiary of Wynn Las Vegas or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Guarantee and Collateral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Intercreditor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Parent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Parent Security Agreement, if 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w:t>
      </w:r>
      <w:r>
        <w:rPr>
          <w:rFonts w:ascii="Arial" w:cs="Arial" w:eastAsia="Arial" w:hAnsi="Arial"/>
          <w:sz w:val="18"/>
          <w:szCs w:val="18"/>
          <w:color w:val="auto"/>
        </w:rPr>
        <w:t>" has the meaning given that term in the Disbursement Agreement. That definition includes the requirement that each of the following has occurred:</w:t>
      </w:r>
    </w:p>
    <w:p>
      <w:pPr>
        <w:spacing w:after="0" w:line="213" w:lineRule="exact"/>
        <w:rPr>
          <w:sz w:val="20"/>
          <w:szCs w:val="20"/>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Opening Date has occurred under the Disbursement Agreement;</w:t>
      </w:r>
    </w:p>
    <w:p>
      <w:pPr>
        <w:spacing w:after="0" w:line="238" w:lineRule="exact"/>
        <w:rPr>
          <w:rFonts w:ascii="Arial" w:cs="Arial" w:eastAsia="Arial" w:hAnsi="Arial"/>
          <w:sz w:val="18"/>
          <w:szCs w:val="18"/>
          <w:color w:val="auto"/>
        </w:rPr>
      </w:pPr>
    </w:p>
    <w:p>
      <w:pPr>
        <w:ind w:left="540" w:right="20" w:hanging="532"/>
        <w:spacing w:after="0" w:line="302" w:lineRule="auto"/>
        <w:tabs>
          <w:tab w:leader="none" w:pos="54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Completion Date, are being withheld from the contractors and subcontractors in accordance with the provisions of the Project documents, (B) amounts being contested in accordance with the Disbursement Agreement, the Credit Agreement and the FF&amp;E Facility and other related financing agreements so long as adequate reserves have been established through an allocation in the Project anticipated cost report in accordance with any requirements of such financing agreements and</w:t>
      </w:r>
    </w:p>
    <w:p>
      <w:pPr>
        <w:spacing w:after="0" w:line="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(C) amounts payable in respect of Project punchlist items to the extent not covered by clause (A) above);</w:t>
      </w:r>
    </w:p>
    <w:p>
      <w:pPr>
        <w:spacing w:after="0" w:line="245" w:lineRule="exact"/>
        <w:rPr>
          <w:rFonts w:ascii="Arial" w:cs="Arial" w:eastAsia="Arial" w:hAnsi="Arial"/>
          <w:sz w:val="15"/>
          <w:szCs w:val="15"/>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Project punchlist items:</w:t>
      </w:r>
    </w:p>
    <w:p>
      <w:pPr>
        <w:spacing w:after="0" w:line="200" w:lineRule="exact"/>
        <w:rPr>
          <w:sz w:val="20"/>
          <w:szCs w:val="20"/>
          <w:color w:val="auto"/>
        </w:rPr>
      </w:pPr>
    </w:p>
    <w:p>
      <w:pPr>
        <w:spacing w:after="0" w:line="255" w:lineRule="exact"/>
        <w:rPr>
          <w:sz w:val="20"/>
          <w:szCs w:val="20"/>
          <w:color w:val="auto"/>
        </w:rPr>
      </w:pPr>
    </w:p>
    <w:p>
      <w:pPr>
        <w:ind w:left="1080" w:hanging="532"/>
        <w:spacing w:after="0" w:line="370" w:lineRule="auto"/>
        <w:tabs>
          <w:tab w:leader="none" w:pos="108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 list of any remaining Project punchlist items shall have been delivered to the Construction Consultant and the Disbursement Agent by the Issuers and Wynn Design and approved by the Construction Consultant as a reasonable final punchlist (such approval not to be unreasonably withheld);</w:t>
      </w:r>
    </w:p>
    <w:p>
      <w:pPr>
        <w:sectPr>
          <w:pgSz w:w="11900" w:h="16975" w:orient="portrait"/>
          <w:cols w:equalWidth="0" w:num="1">
            <w:col w:w="11400"/>
          </w:cols>
          <w:pgMar w:left="240" w:top="131" w:right="259" w:bottom="0" w:gutter="0" w:footer="0" w:header="0"/>
        </w:sectPr>
      </w:pPr>
    </w:p>
    <w:bookmarkStart w:id="112" w:name="page113"/>
    <w:bookmarkEnd w:id="112"/>
    <w:p>
      <w:pPr>
        <w:ind w:left="1080"/>
        <w:spacing w:after="0"/>
        <w:rPr>
          <w:sz w:val="20"/>
          <w:szCs w:val="20"/>
          <w:color w:val="auto"/>
        </w:rPr>
      </w:pPr>
      <w:r>
        <w:rPr>
          <w:rFonts w:ascii="Arial" w:cs="Arial" w:eastAsia="Arial" w:hAnsi="Arial"/>
          <w:sz w:val="18"/>
          <w:szCs w:val="18"/>
          <w:color w:val="auto"/>
        </w:rPr>
        <w:t>and</w:t>
      </w:r>
    </w:p>
    <w:p>
      <w:pPr>
        <w:spacing w:after="0" w:line="239" w:lineRule="exact"/>
        <w:rPr>
          <w:sz w:val="20"/>
          <w:szCs w:val="20"/>
          <w:color w:val="auto"/>
        </w:rPr>
      </w:pPr>
    </w:p>
    <w:p>
      <w:pPr>
        <w:ind w:left="1080" w:right="260" w:hanging="532"/>
        <w:spacing w:after="0" w:line="259"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written agreement with all contractors performing work with respect to Project punchlist items shall have been entered into by the Issuers and Wynn Design and such contractors detailing the cost of remaining Project punchlist items and shall have been delivered to the Construction Consultant and the Disbursement Agent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Issuers and Wynn Design and approved by the Construction Consultant and the Disbursement Agent;</w:t>
      </w:r>
    </w:p>
    <w:p>
      <w:pPr>
        <w:spacing w:after="0" w:line="252" w:lineRule="exact"/>
        <w:rPr>
          <w:sz w:val="20"/>
          <w:szCs w:val="20"/>
          <w:color w:val="auto"/>
        </w:rPr>
      </w:pPr>
    </w:p>
    <w:p>
      <w:pPr>
        <w:ind w:left="540" w:hanging="532"/>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the FF&amp;E Financing: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302" w:lineRule="auto"/>
        <w:tabs>
          <w:tab w:leader="none" w:pos="1080"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the Issuers and Wynn Design shall have, at their own cost and expense, caused to be completed and delivered to the agent under the FF&amp;E Facility an appraisal demonstrating the fair market value of the FF&amp;E acquired under the FF&amp;E Facility (excluding the aircraft). If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exceeds</w:t>
      </w:r>
    </w:p>
    <w:p>
      <w:pPr>
        <w:spacing w:after="0" w:line="2" w:lineRule="exact"/>
        <w:rPr>
          <w:rFonts w:ascii="Arial" w:cs="Arial" w:eastAsia="Arial" w:hAnsi="Arial"/>
          <w:sz w:val="15"/>
          <w:szCs w:val="15"/>
          <w:color w:val="auto"/>
        </w:rPr>
      </w:pPr>
    </w:p>
    <w:p>
      <w:pPr>
        <w:ind w:left="1080" w:right="20"/>
        <w:spacing w:after="0" w:line="285" w:lineRule="auto"/>
        <w:rPr>
          <w:rFonts w:ascii="Arial" w:cs="Arial" w:eastAsia="Arial" w:hAnsi="Arial"/>
          <w:sz w:val="15"/>
          <w:szCs w:val="15"/>
          <w:color w:val="auto"/>
        </w:rPr>
      </w:pPr>
      <w:r>
        <w:rPr>
          <w:rFonts w:ascii="Arial" w:cs="Arial" w:eastAsia="Arial" w:hAnsi="Arial"/>
          <w:sz w:val="16"/>
          <w:szCs w:val="16"/>
          <w:color w:val="auto"/>
        </w:rPr>
        <w:t>75% of the aggregate fair market value of such FF&amp;E as reflected in such appraisal (excluding the aircraft), the Issuers and Wynn Design shall promptly cause, with the consent of the agent under the FF&amp;E Facility, first (A) additional items of eligible FF&amp;E equipment of a particular type or class selected by the Issuers and Wynn Design (and otherwise acceptable to the agent under the FF&amp;E Facility) to become part of the FF&amp;E acquired under the FF&amp;E Facility and subject to the first priority security interest of the FF&amp;E Facility security documents while the agent under the FF&amp;E Facility simultaneously releases another particular type or class of items of eligible FF&amp;E equipment currently part of the FF&amp;E acquired under the FF&amp;E Facility and subject to the FF&amp;E Facility security documents and selected by the agent under the FF&amp;E Facility, in order that, in either case,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does not exceed 75% of the fair market value of the FF&amp;E acquired under the FF&amp;E Facility (excluding the aircraft), and second (B) additional items of eligible FF&amp;E equipment of any type or class selected by the Issuers and Wynn Design (and otherwise acceptable to the agent under the FF&amp;E Facility) to become part of the FF&amp;E acquired under the FF&amp;E Facility and subject to the first priority security interest of the FF&amp;E Facility security documents; and</w:t>
      </w:r>
    </w:p>
    <w:p>
      <w:pPr>
        <w:spacing w:after="0" w:line="194" w:lineRule="exact"/>
        <w:rPr>
          <w:rFonts w:ascii="Arial" w:cs="Arial" w:eastAsia="Arial" w:hAnsi="Arial"/>
          <w:sz w:val="15"/>
          <w:szCs w:val="15"/>
          <w:color w:val="auto"/>
        </w:rPr>
      </w:pPr>
    </w:p>
    <w:p>
      <w:pPr>
        <w:ind w:left="1080" w:right="120" w:hanging="532"/>
        <w:spacing w:after="0" w:line="268"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final exhibit listing the fixtures, furniture and equipment that constitutes the FF&amp;E component shall have been delivered by the Company to the Construction Consultant and the Disbursement Agent;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40" w:right="720" w:hanging="532"/>
        <w:spacing w:after="0" w:line="268"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Completion Date;</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and a written analysis of the business and prospects of Wynn Las Vegas, the Restricted Entities and their respective Restricted Subsidiaries, in each case for the period from the Completion Date through the end of the calendar year in which the Completion Date occurs, all in form and substance satisfactory to the lenders under the Credit Agreement and the FF&amp;E Facility;</w:t>
      </w:r>
    </w:p>
    <w:p>
      <w:pPr>
        <w:spacing w:after="0" w:line="210" w:lineRule="exact"/>
        <w:rPr>
          <w:rFonts w:ascii="Arial" w:cs="Arial" w:eastAsia="Arial" w:hAnsi="Arial"/>
          <w:sz w:val="18"/>
          <w:szCs w:val="18"/>
          <w:color w:val="auto"/>
        </w:rPr>
      </w:pPr>
    </w:p>
    <w:p>
      <w:pPr>
        <w:ind w:left="540" w:right="320" w:hanging="532"/>
        <w:spacing w:after="0" w:line="306" w:lineRule="auto"/>
        <w:tabs>
          <w:tab w:leader="none" w:pos="5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General Contractor, the contractor under the Golf Course Construction Contract and the parking structure contractor each shall have delivered its completion certificate certifying, among other things, as to "substantial completion" of the work under its construction contract and such certifications shall have been accepted by the Issuers and Wynn Design in accordance with the Disbursement Agreement; and</w:t>
      </w:r>
    </w:p>
    <w:p>
      <w:pPr>
        <w:spacing w:after="0" w:line="187"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each contract and subcontract for which a Payment and Performance Bond is required under the Disbursement Agreement and for which the Issuers and Wynn Design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applicable contractor) will release retainage as a result of Completion being achieved, the Issuers and Wynn Design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xml:space="preserve"> means the date on which Completion occurs.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w:t>
      </w:r>
      <w:r>
        <w:rPr>
          <w:rFonts w:ascii="Arial" w:cs="Arial" w:eastAsia="Arial" w:hAnsi="Arial"/>
          <w:sz w:val="16"/>
          <w:szCs w:val="16"/>
          <w:color w:val="auto"/>
        </w:rPr>
        <w:t>" means the Completion Guarantee, dated as of the date of indenture, by the Completion Guarantor in favor of the trustee.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"Completion Guarantee Release Date" </w:t>
      </w:r>
      <w:r>
        <w:rPr>
          <w:rFonts w:ascii="Arial" w:cs="Arial" w:eastAsia="Arial" w:hAnsi="Arial"/>
          <w:sz w:val="18"/>
          <w:szCs w:val="18"/>
          <w:color w:val="auto"/>
        </w:rPr>
        <w:t>means the date on which the Completion Guarantee Release Conditions are satisfied.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"Completion Guarantee Release Conditions" </w:t>
      </w:r>
      <w:r>
        <w:rPr>
          <w:rFonts w:ascii="Arial" w:cs="Arial" w:eastAsia="Arial" w:hAnsi="Arial"/>
          <w:sz w:val="16"/>
          <w:szCs w:val="16"/>
          <w:color w:val="auto"/>
        </w:rPr>
        <w:t>has the meaning given the term "Completion Guaranty Release Conditions" in the Disbursement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 definition includes the requirements that:</w:t>
      </w:r>
    </w:p>
    <w:p>
      <w:pPr>
        <w:spacing w:after="0" w:line="232" w:lineRule="exact"/>
        <w:rPr>
          <w:sz w:val="20"/>
          <w:szCs w:val="20"/>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38"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 w:right="239" w:bottom="0" w:gutter="0" w:footer="0" w:header="0"/>
        </w:sectPr>
      </w:pPr>
    </w:p>
    <w:bookmarkStart w:id="113" w:name="page114"/>
    <w:bookmarkEnd w:id="113"/>
    <w:p>
      <w:pPr>
        <w:ind w:left="540" w:right="100"/>
        <w:spacing w:after="0" w:line="268" w:lineRule="auto"/>
        <w:rPr>
          <w:sz w:val="20"/>
          <w:szCs w:val="20"/>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pacing w:after="0" w:line="199" w:lineRule="exact"/>
        <w:rPr>
          <w:sz w:val="20"/>
          <w:szCs w:val="20"/>
          <w:color w:val="auto"/>
        </w:rPr>
      </w:pPr>
    </w:p>
    <w:p>
      <w:pPr>
        <w:ind w:left="540" w:right="220" w:hanging="532"/>
        <w:spacing w:after="0" w:line="268"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Disbursement Agent, the trustee and the agents for the lenders under the Credit Agreement and the FF&amp;E Facility their completion guarantee release date certificate certifying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Project punchlist items have been completed other than punchlist items with an aggregate value (as reasonably determined by the Construction Consultant) of not more than $17.5 million so long as 150% of the Project punchlist completion amount for such uncompleted punchlist items shall have been reserved in a segregated account which is subject to a perfected first priority security interest in favor of the Disbursement Agent on behalf of the Project secured parties, and</w:t>
      </w:r>
    </w:p>
    <w:p>
      <w:pPr>
        <w:spacing w:after="0" w:line="210" w:lineRule="exact"/>
        <w:rPr>
          <w:rFonts w:ascii="Arial" w:cs="Arial" w:eastAsia="Arial" w:hAnsi="Arial"/>
          <w:sz w:val="18"/>
          <w:szCs w:val="18"/>
          <w:color w:val="auto"/>
        </w:rPr>
      </w:pPr>
    </w:p>
    <w:p>
      <w:pPr>
        <w:ind w:left="1080" w:right="200" w:hanging="532"/>
        <w:spacing w:after="0" w:line="294" w:lineRule="auto"/>
        <w:tabs>
          <w:tab w:leader="none" w:pos="10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 other than with respect to disputed claims (including claims subject to audit before payment) not exceeding $15.0 million in the aggregate so long as an amount equal to such disputed amounts shall have been reserved in a segregated account which is subject to a perfected first priority security interest in favor of the Disbursement Agent on behalf of the Project secured parties,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Construction Consultant shall have delivered its completion guarantee release date certificate, and</w:t>
      </w:r>
    </w:p>
    <w:p>
      <w:pPr>
        <w:spacing w:after="0" w:line="252" w:lineRule="exact"/>
        <w:rPr>
          <w:rFonts w:ascii="Arial" w:cs="Arial" w:eastAsia="Arial" w:hAnsi="Arial"/>
          <w:sz w:val="18"/>
          <w:szCs w:val="18"/>
          <w:color w:val="auto"/>
        </w:rPr>
      </w:pPr>
    </w:p>
    <w:p>
      <w:pPr>
        <w:ind w:left="540" w:right="780" w:hanging="532"/>
        <w:spacing w:after="0" w:line="332" w:lineRule="auto"/>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Issuers and Wynn Design shall have delivered from the surety under each Payment and Performance Bond required under the Disbursement Agreement a "Consent of Surety to Final Payment" (AIA form G707) other than with respect to contracts and subcontracts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which the Issuers and Wynn Design are disputing amounts in accordance with clause (4)(b) of this definition.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Cash Flow</w:t>
      </w:r>
      <w:r>
        <w:rPr>
          <w:rFonts w:ascii="Arial" w:cs="Arial" w:eastAsia="Arial" w:hAnsi="Arial"/>
          <w:sz w:val="16"/>
          <w:szCs w:val="16"/>
          <w:color w:val="auto"/>
        </w:rPr>
        <w:t xml:space="preserve">" means, with respect to any specified Person for any period, the Consolidated Net Income of such Person for such period </w:t>
      </w:r>
      <w:r>
        <w:rPr>
          <w:rFonts w:ascii="Arial" w:cs="Arial" w:eastAsia="Arial" w:hAnsi="Arial"/>
          <w:sz w:val="16"/>
          <w:szCs w:val="16"/>
          <w:i w:val="1"/>
          <w:iCs w:val="1"/>
          <w:color w:val="auto"/>
        </w:rPr>
        <w:t>plus</w:t>
      </w:r>
      <w:r>
        <w:rPr>
          <w:rFonts w:ascii="Arial" w:cs="Arial" w:eastAsia="Arial" w:hAnsi="Arial"/>
          <w:sz w:val="16"/>
          <w:szCs w:val="16"/>
          <w:color w:val="auto"/>
        </w:rPr>
        <w:t>:</w:t>
      </w:r>
    </w:p>
    <w:p>
      <w:pPr>
        <w:spacing w:after="0" w:line="262" w:lineRule="exact"/>
        <w:rPr>
          <w:sz w:val="20"/>
          <w:szCs w:val="20"/>
          <w:color w:val="auto"/>
        </w:rPr>
      </w:pPr>
    </w:p>
    <w:p>
      <w:pPr>
        <w:ind w:left="540" w:right="8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540" w:right="160" w:hanging="532"/>
        <w:spacing w:after="0" w:line="254"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any pre-opening expenses, to the extent such pre-opening expenses were deducted in calculating Consolidated Net Income on a consolidated basis; </w:t>
      </w:r>
      <w:r>
        <w:rPr>
          <w:rFonts w:ascii="Arial" w:cs="Arial" w:eastAsia="Arial" w:hAnsi="Arial"/>
          <w:sz w:val="16"/>
          <w:szCs w:val="16"/>
          <w:i w:val="1"/>
          <w:iCs w:val="1"/>
          <w:color w:val="auto"/>
        </w:rPr>
        <w:t>plus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of any Person for any period,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w:t>
      </w:r>
    </w:p>
    <w:p>
      <w:pPr>
        <w:sectPr>
          <w:pgSz w:w="11900" w:h="16838" w:orient="portrait"/>
          <w:cols w:equalWidth="0" w:num="1">
            <w:col w:w="11420"/>
          </w:cols>
          <w:pgMar w:left="240" w:top="131" w:right="239" w:bottom="763"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3" w:gutter="0" w:footer="0" w:header="0"/>
          <w:type w:val="continuous"/>
        </w:sectPr>
      </w:pPr>
    </w:p>
    <w:bookmarkStart w:id="114" w:name="page115"/>
    <w:bookmarkEnd w:id="114"/>
    <w:p>
      <w:pPr>
        <w:ind w:right="80" w:firstLine="8"/>
        <w:spacing w:after="0" w:line="287" w:lineRule="auto"/>
        <w:tabs>
          <w:tab w:leader="none" w:pos="24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the initial opening of the Project (such pre-opening expenses to be no greater than that set forth in the Project Budget) and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7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Member</w:t>
      </w:r>
      <w:r>
        <w:rPr>
          <w:rFonts w:ascii="Arial" w:cs="Arial" w:eastAsia="Arial" w:hAnsi="Arial"/>
          <w:sz w:val="16"/>
          <w:szCs w:val="16"/>
          <w:color w:val="auto"/>
        </w:rPr>
        <w:t>" means a corporation, other than the common parent, that is a member of an affiliated group (as defined in Section 1504 of the Code) of which Wynn Resorts, any Restricted Entity or any Restricted Subsidiary of Wynn Las Vegas or any Restricted Entity is the common parent.</w:t>
      </w:r>
    </w:p>
    <w:p>
      <w:pPr>
        <w:spacing w:after="0" w:line="139"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Income</w:t>
      </w:r>
      <w:r>
        <w:rPr>
          <w:rFonts w:ascii="Arial" w:cs="Arial" w:eastAsia="Arial" w:hAnsi="Arial"/>
          <w:sz w:val="15"/>
          <w:szCs w:val="15"/>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30" w:lineRule="exact"/>
        <w:rPr>
          <w:sz w:val="20"/>
          <w:szCs w:val="20"/>
          <w:color w:val="auto"/>
        </w:rPr>
      </w:pPr>
    </w:p>
    <w:p>
      <w:pPr>
        <w:ind w:left="540" w:right="220" w:hanging="532"/>
        <w:spacing w:after="0" w:line="332" w:lineRule="auto"/>
        <w:tabs>
          <w:tab w:leader="none" w:pos="5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166" w:lineRule="exact"/>
        <w:rPr>
          <w:rFonts w:ascii="Arial" w:cs="Arial" w:eastAsia="Arial" w:hAnsi="Arial"/>
          <w:sz w:val="16"/>
          <w:szCs w:val="16"/>
          <w:color w:val="auto"/>
        </w:rPr>
      </w:pPr>
    </w:p>
    <w:p>
      <w:pPr>
        <w:ind w:left="540" w:right="300" w:hanging="532"/>
        <w:spacing w:after="0" w:line="298" w:lineRule="auto"/>
        <w:tabs>
          <w:tab w:leader="none" w:pos="5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will be excluded;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Net Income of any Unrestricted Subsidiary will be excluded, whether or not distributed to the specified Person or one of its Subsidiaries; and</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239" w:lineRule="exact"/>
        <w:rPr>
          <w:sz w:val="20"/>
          <w:szCs w:val="20"/>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Restricted Subsidiaries as of such date; plus</w:t>
      </w:r>
    </w:p>
    <w:p>
      <w:pPr>
        <w:spacing w:after="0" w:line="238" w:lineRule="exact"/>
        <w:rPr>
          <w:rFonts w:ascii="Arial" w:cs="Arial" w:eastAsia="Arial" w:hAnsi="Arial"/>
          <w:sz w:val="18"/>
          <w:szCs w:val="18"/>
          <w:color w:val="auto"/>
        </w:rPr>
      </w:pPr>
    </w:p>
    <w:p>
      <w:pPr>
        <w:ind w:left="540" w:right="180" w:hanging="532"/>
        <w:spacing w:after="0" w:line="306" w:lineRule="auto"/>
        <w:tabs>
          <w:tab w:leader="none" w:pos="5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275"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the case of a limited liability company, was nominated by the direct or indirect board of directors of its managing member or sole member.</w:t>
      </w:r>
    </w:p>
    <w:p>
      <w:pPr>
        <w:spacing w:after="0" w:line="248"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Agreement</w:t>
      </w:r>
      <w:r>
        <w:rPr>
          <w:rFonts w:ascii="Arial" w:cs="Arial" w:eastAsia="Arial" w:hAnsi="Arial"/>
          <w:sz w:val="15"/>
          <w:szCs w:val="15"/>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Deutsche Bank AG., New York Branch, as arranger and joint documentation agent,</w:t>
      </w:r>
    </w:p>
    <w:p>
      <w:pPr>
        <w:sectPr>
          <w:pgSz w:w="11900" w:h="16838" w:orient="portrait"/>
          <w:cols w:equalWidth="0" w:num="1">
            <w:col w:w="11400"/>
          </w:cols>
          <w:pgMar w:left="240" w:top="131" w:right="259" w:bottom="0" w:gutter="0" w:footer="0" w:header="0"/>
        </w:sectPr>
      </w:pPr>
    </w:p>
    <w:bookmarkStart w:id="115" w:name="page116"/>
    <w:bookmarkEnd w:id="115"/>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J.P. Morgan Securities Inc., as joint documentation agent, including any related notes, guarantees, collateral documents, instruments and agreements executed in connection therewith, and in each case (1) as amended, supplemented, amended and restated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otherwise modified from time to time, or (2) as renewed, refunded, replaced or refinanced from time to time, whether with the same or different lenders or holders.</w:t>
      </w:r>
    </w:p>
    <w:p>
      <w:pPr>
        <w:spacing w:after="0" w:line="186"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Dealership Lease Agreement</w:t>
      </w:r>
      <w:r>
        <w:rPr>
          <w:rFonts w:ascii="Arial" w:cs="Arial" w:eastAsia="Arial" w:hAnsi="Arial"/>
          <w:sz w:val="15"/>
          <w:szCs w:val="15"/>
          <w:color w:val="auto"/>
        </w:rPr>
        <w:t>" means the Dealership Lease Agreement, dated as of the date of the indenture, between Wynn Las Vegas, as lessor, and Kevyn, LLC, as lessee, with respect to the lease of space at the Project for the development and operation of a Ferrari and Maserati automobile dealership, as amended, modified or otherwise supplemented from time to time in accordance with the covenant captioned "—Amendments to Certain Agreements."</w:t>
      </w:r>
    </w:p>
    <w:p>
      <w:pPr>
        <w:spacing w:after="0" w:line="14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in accordance with the provisions of the indenture and the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 Co.</w:t>
      </w:r>
      <w:r>
        <w:rPr>
          <w:rFonts w:ascii="Arial" w:cs="Arial" w:eastAsia="Arial" w:hAnsi="Arial"/>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 Company</w:t>
      </w:r>
      <w:r>
        <w:rPr>
          <w:rFonts w:ascii="Arial" w:cs="Arial" w:eastAsia="Arial" w:hAnsi="Arial"/>
          <w:sz w:val="18"/>
          <w:szCs w:val="18"/>
          <w:color w:val="auto"/>
        </w:rPr>
        <w:t>" means Desert Inn Water Company, LLC, a Nevada limited liability company.</w:t>
      </w:r>
    </w:p>
    <w:p>
      <w:pPr>
        <w:spacing w:after="0" w:line="225"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accordance with the covenant captioned "—Amendments to Certain Agreements."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Casino Water Permit</w:t>
      </w:r>
      <w:r>
        <w:rPr>
          <w:rFonts w:ascii="Arial" w:cs="Arial" w:eastAsia="Arial" w:hAnsi="Arial"/>
          <w:sz w:val="18"/>
          <w:szCs w:val="18"/>
          <w:color w:val="auto"/>
        </w:rPr>
        <w:t>" means the permit identified as of the date of the indenture as Permit No. 13393 (Cert. 4731) as shown in the records of the State of Nevada, Division of Water Resources, in Carson City, Nevada (and any successor or replacement permit thereto).</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Permits</w:t>
      </w:r>
      <w:r>
        <w:rPr>
          <w:rFonts w:ascii="Arial" w:cs="Arial" w:eastAsia="Arial" w:hAnsi="Arial"/>
          <w:sz w:val="18"/>
          <w:szCs w:val="18"/>
          <w:color w:val="auto"/>
        </w:rPr>
        <w:t>" means, collectively, the permits identified as of the date of the indenture as Permit No. 13393 (Cert. 4731), Permit No. 16938 (Cert. 4765), Permit No. 16939 (Cert. 4766), Permit No. 24558 (Cert. 7828), Permit No. 24560 (Cert. 7827), Permit No. 24561 (Cert. 7829), and Permit No. 25223 (Cert. 7830), in each case as shown in the records of the State of Nevada, Division of Water Resources, in Carson City, Nevada (and any successor or replacement thereto).</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Transfer</w:t>
      </w:r>
      <w:r>
        <w:rPr>
          <w:rFonts w:ascii="Arial" w:cs="Arial" w:eastAsia="Arial" w:hAnsi="Arial"/>
          <w:sz w:val="18"/>
          <w:szCs w:val="18"/>
          <w:color w:val="auto"/>
        </w:rPr>
        <w:t>" means a transfer by Desert Inn Improvement Co. at no cost and in accordance with all requirements of law and pursuant to all necessary consents of Governmental Authorities (including, if applicable, the Nevada PUC and the State of Nevada, Division of Water Resources) of (1) the fee ownership of the Water Utility Land to Wynn Resorts Holdings and (2) the DIIC Water Permits to (a) in the case of the DIIC Casino Water Permit, Wynn Las Vegas and (b) in the case of all other DIIC Water Permits, Wynn Resorts Holdings.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Disbursement Agreement</w:t>
      </w:r>
      <w:r>
        <w:rPr>
          <w:rFonts w:ascii="Arial" w:cs="Arial" w:eastAsia="Arial" w:hAnsi="Arial"/>
          <w:sz w:val="16"/>
          <w:szCs w:val="16"/>
          <w:color w:val="auto"/>
        </w:rPr>
        <w:t>" means the Master Disbursement Agreement, dated as of the date of the indenture, among Wynn Las Vegas, Wynn Capital, Wynn Design, the trustee, a representative of the lenders under the Credit Agreement, a representative of the lenders under the FF&amp;E Facility and the Disbursement Agent in connection with the Project, as amended, modified or otherwise supplemented from time to time in accordance with its terms.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Wynn Las Vegas, any Restricted Entity or any of their respective Restricted Subsidiaries to repurchase such capital stock upon the occurrence of a change of control or an asset sale shall not constitute Disqualified Stock if the terms of such capital stock provide that Wynn Las Vegas, such Restricted Entity or such Restricted Subsidiary may not repurchase or redeem any such capital stock pursuant to such provisions unless such repurchase or redemption complies with the covenant described above under the caption "—Certain Covenants—Restricted Payments."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Driving Range Lease</w:t>
      </w:r>
      <w:r>
        <w:rPr>
          <w:rFonts w:ascii="Arial" w:cs="Arial" w:eastAsia="Arial" w:hAnsi="Arial"/>
          <w:sz w:val="18"/>
          <w:szCs w:val="18"/>
          <w:color w:val="auto"/>
        </w:rPr>
        <w:t>" means the lease, dated as of the date of the indenture between Valvino Lamore, as lessor, and Wynn Las Vegas, as lessee, with respect to the lease of land on which the driving range for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Le Rêve hotel on the Project and connected directly to such hotel.</w:t>
      </w:r>
    </w:p>
    <w:p>
      <w:pPr>
        <w:spacing w:after="0" w:line="24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99" w:lineRule="exact"/>
        <w:rPr>
          <w:sz w:val="20"/>
          <w:szCs w:val="20"/>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225" w:lineRule="exact"/>
        <w:rPr>
          <w:rFonts w:ascii="Arial" w:cs="Arial" w:eastAsia="Arial" w:hAnsi="Arial"/>
          <w:sz w:val="18"/>
          <w:szCs w:val="18"/>
          <w:color w:val="auto"/>
        </w:rPr>
      </w:pPr>
    </w:p>
    <w:p>
      <w:pPr>
        <w:spacing w:after="0"/>
        <w:tabs>
          <w:tab w:leader="none" w:pos="0" w:val="left"/>
        </w:tabs>
        <w:numPr>
          <w:ilvl w:val="0"/>
          <w:numId w:val="228"/>
        </w:numPr>
        <w:rPr>
          <w:rFonts w:ascii="Arial" w:cs="Arial" w:eastAsia="Arial" w:hAnsi="Arial"/>
          <w:sz w:val="18"/>
          <w:szCs w:val="18"/>
          <w:color w:val="auto"/>
        </w:rPr>
      </w:pPr>
    </w:p>
    <w:p>
      <w:pPr>
        <w:sectPr>
          <w:pgSz w:w="11900" w:h="16866" w:orient="portrait"/>
          <w:cols w:equalWidth="0" w:num="1">
            <w:col w:w="11400"/>
          </w:cols>
          <w:pgMar w:left="240" w:top="131" w:right="259" w:bottom="0" w:gutter="0" w:footer="0" w:header="0"/>
        </w:sectPr>
      </w:pPr>
    </w:p>
    <w:bookmarkStart w:id="116" w:name="page117"/>
    <w:bookmarkEnd w:id="116"/>
    <w:p>
      <w:pPr>
        <w:ind w:left="540" w:right="340"/>
        <w:spacing w:after="0" w:line="268" w:lineRule="auto"/>
        <w:rPr>
          <w:sz w:val="20"/>
          <w:szCs w:val="20"/>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99" w:lineRule="exact"/>
        <w:rPr>
          <w:sz w:val="20"/>
          <w:szCs w:val="20"/>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other than Equity Interests in Valvino Lamore or any other Restricted Entity and (2) the Released Assets.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net proceeds of the offering of the notes, which are required, under the Disbursement Agreement, to be deposited into the Secured Account.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Aircraft</w:t>
      </w:r>
      <w:r>
        <w:rPr>
          <w:rFonts w:ascii="Arial" w:cs="Arial" w:eastAsia="Arial" w:hAnsi="Arial"/>
          <w:sz w:val="18"/>
          <w:szCs w:val="18"/>
          <w:color w:val="auto"/>
        </w:rPr>
        <w:t>" means the Bombardier Global Express aircraft (manufacturer's serial number 9065 and United States Registration No. N711SW (formerly N789TP)) owned by a trust of which World Travel, LLC is the beneficial interest holder.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Stockholders</w:t>
      </w:r>
      <w:r>
        <w:rPr>
          <w:rFonts w:ascii="Arial" w:cs="Arial" w:eastAsia="Arial" w:hAnsi="Arial"/>
          <w:sz w:val="16"/>
          <w:szCs w:val="16"/>
          <w:color w:val="auto"/>
        </w:rPr>
        <w:t>" means Stephen A. Wynn, Aruze, USA, Inc., Baron Asset Fund and the Kenneth R. Wynn Family Trust dated February 20, 1985.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w:t>
      </w:r>
      <w:r>
        <w:rPr>
          <w:rFonts w:ascii="Arial" w:cs="Arial" w:eastAsia="Arial" w:hAnsi="Arial"/>
          <w:sz w:val="16"/>
          <w:szCs w:val="16"/>
          <w:color w:val="auto"/>
        </w:rPr>
        <w:t>" means furniture, fixtures or equipment used in the ordinary course of the business of Wynn Las Vegas and its Restricted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Collateral</w:t>
      </w:r>
      <w:r>
        <w:rPr>
          <w:rFonts w:ascii="Arial" w:cs="Arial" w:eastAsia="Arial" w:hAnsi="Arial"/>
          <w:sz w:val="18"/>
          <w:szCs w:val="18"/>
          <w:color w:val="auto"/>
        </w:rPr>
        <w:t xml:space="preserve">" means all assets, now owned or hereafter acquired, of either Issuer, any Guarantor or any other Person, to the extent such assets are pledged or assigned or purport to be pledged or assigned, or are required to be pledged or assigned, on a first lien priority basis, under the FF&amp;E Facility or the related collateral documents to the lenders under the FF&amp;E Facility, or a representative on their behalf, as security for the obligations under the FF&amp;E Facility, together with the proceeds and products thereof,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Aircraft Assets.</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Financing</w:t>
      </w:r>
      <w:r>
        <w:rPr>
          <w:rFonts w:ascii="Arial" w:cs="Arial" w:eastAsia="Arial" w:hAnsi="Arial"/>
          <w:sz w:val="16"/>
          <w:szCs w:val="16"/>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means the Credit Agreement, dated as of the date of the indenture, among Wynn Las Vegas, the collateral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given that term in the Disbursement Agreement. That definition includes the requirement that:</w:t>
      </w:r>
    </w:p>
    <w:p>
      <w:pPr>
        <w:spacing w:after="0" w:line="252" w:lineRule="exact"/>
        <w:rPr>
          <w:sz w:val="20"/>
          <w:szCs w:val="20"/>
          <w:color w:val="auto"/>
        </w:rPr>
      </w:pPr>
    </w:p>
    <w:p>
      <w:pPr>
        <w:ind w:left="540" w:hanging="532"/>
        <w:spacing w:after="0"/>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38"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Project shall have received a permanent certificate of occupancy from the Clark County building department (and copies of such certificates shall have been delivered to the Disbursement Agent, the agent for the lenders under the Credit Agreement, the trustee and the Construction Consultant),</w:t>
      </w:r>
    </w:p>
    <w:p>
      <w:pPr>
        <w:spacing w:after="0" w:line="152" w:lineRule="exact"/>
        <w:rPr>
          <w:rFonts w:ascii="Arial" w:cs="Arial" w:eastAsia="Arial" w:hAnsi="Arial"/>
          <w:sz w:val="16"/>
          <w:szCs w:val="16"/>
          <w:color w:val="auto"/>
        </w:rPr>
      </w:pPr>
    </w:p>
    <w:p>
      <w:pPr>
        <w:ind w:left="540" w:right="340" w:hanging="532"/>
        <w:spacing w:after="0" w:line="332" w:lineRule="auto"/>
        <w:tabs>
          <w:tab w:leader="none" w:pos="5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66"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pacing w:after="0" w:line="199"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Issuers and Wynn Design shall have delivered to the Disbursement Agent, the trustee and the agents for the lenders under the Credit Agreement and the FF&amp;E Facility its Final Completion certificate certifying that (a) all Project punchlist items have been completed, and (b) 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w:t>
      </w:r>
    </w:p>
    <w:p>
      <w:pPr>
        <w:spacing w:after="0" w:line="180"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Construction Consultant, the Project architect and the General Contractor each shall have delivered its Final Completion certificate and the Issuers, Wynn Design and the Construction Consultant shall have accepted the General Contractor's Final Completion certificate in accordance with the Disbursement Agreement,</w:t>
      </w:r>
    </w:p>
    <w:p>
      <w:pPr>
        <w:spacing w:after="0" w:line="221"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trustee, the agents for the lenders under the Credit Agreement and the FF&amp;E Facility and the Construction Consultant an "as built survey" of the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540" w:hanging="532"/>
        <w:spacing w:after="0" w:line="268"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Issuers and Wynn Design shall have delivered from the surety under each Payment and Performance Bond, as required under the Disbursement Agreement, a "Consent of Surety to Final Payment" (AIA form G707).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w:t>
      </w:r>
    </w:p>
    <w:p>
      <w:pPr>
        <w:sectPr>
          <w:pgSz w:w="11900" w:h="16838" w:orient="portrait"/>
          <w:cols w:equalWidth="0" w:num="1">
            <w:col w:w="11420"/>
          </w:cols>
          <w:pgMar w:left="240" w:top="131" w:right="239" w:bottom="0" w:gutter="0" w:footer="0" w:header="0"/>
        </w:sectPr>
      </w:pPr>
    </w:p>
    <w:bookmarkStart w:id="117" w:name="page118"/>
    <w:bookmarkEnd w:id="117"/>
    <w:p>
      <w:pPr>
        <w:ind w:right="100"/>
        <w:spacing w:after="0" w:line="268" w:lineRule="auto"/>
        <w:rPr>
          <w:sz w:val="20"/>
          <w:szCs w:val="20"/>
          <w:color w:val="auto"/>
        </w:rPr>
      </w:pPr>
      <w:r>
        <w:rPr>
          <w:rFonts w:ascii="Arial" w:cs="Arial" w:eastAsia="Arial" w:hAnsi="Arial"/>
          <w:sz w:val="18"/>
          <w:szCs w:val="18"/>
          <w:color w:val="auto"/>
        </w:rPr>
        <w:t>such issuance, repurchase or redemption of preferred equity, and the use of the proceeds therefrom as if the same had occurred at the beginning of the applicable four-quarter reference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39" w:lineRule="exact"/>
        <w:rPr>
          <w:sz w:val="20"/>
          <w:szCs w:val="20"/>
          <w:color w:val="auto"/>
        </w:rPr>
      </w:pPr>
    </w:p>
    <w:p>
      <w:pPr>
        <w:ind w:left="540" w:right="80" w:hanging="532"/>
        <w:spacing w:after="0" w:line="294" w:lineRule="auto"/>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196"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199"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39" w:lineRule="exact"/>
        <w:rPr>
          <w:sz w:val="20"/>
          <w:szCs w:val="20"/>
          <w:color w:val="auto"/>
        </w:rPr>
      </w:pPr>
    </w:p>
    <w:p>
      <w:pPr>
        <w:ind w:left="540" w:right="160" w:hanging="532"/>
        <w:spacing w:after="0" w:line="294" w:lineRule="auto"/>
        <w:tabs>
          <w:tab w:leader="none" w:pos="5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196" w:lineRule="exact"/>
        <w:rPr>
          <w:rFonts w:ascii="Arial" w:cs="Arial" w:eastAsia="Arial" w:hAnsi="Arial"/>
          <w:sz w:val="16"/>
          <w:szCs w:val="16"/>
          <w:color w:val="auto"/>
        </w:rPr>
      </w:pPr>
    </w:p>
    <w:p>
      <w:pPr>
        <w:ind w:left="540" w:hanging="532"/>
        <w:spacing w:after="0"/>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80" w:hanging="532"/>
        <w:spacing w:after="0" w:line="332" w:lineRule="auto"/>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on a consolidated basis and in accordance with GAAP.</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Floor Plan Financing</w:t>
      </w:r>
      <w:r>
        <w:rPr>
          <w:rFonts w:ascii="Arial" w:cs="Arial" w:eastAsia="Arial" w:hAnsi="Arial"/>
          <w:sz w:val="18"/>
          <w:szCs w:val="18"/>
          <w:color w:val="auto"/>
        </w:rPr>
        <w:t xml:space="preserve">" means the floor plan financing to be obtained by Kevyn, LLC in respect of the Ferrari and Maserati automobile dealership forming part of the Project and located on the Project Site in an aggregate principal amount at any time outstanding not to exceed $5.0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Issuer, no Restricted Entity nor any Restricted Subsidiary of Wynn Las Vegas or any Restricted Entity:</w:t>
      </w:r>
    </w:p>
    <w:p>
      <w:pPr>
        <w:spacing w:after="0" w:line="221" w:lineRule="exact"/>
        <w:rPr>
          <w:sz w:val="20"/>
          <w:szCs w:val="20"/>
          <w:color w:val="auto"/>
        </w:rPr>
      </w:pPr>
    </w:p>
    <w:p>
      <w:pPr>
        <w:ind w:left="540" w:hanging="532"/>
        <w:spacing w:after="0"/>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Restricted Entity or any of their respective Restricted Subsidiaries.</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any Restricted Entity or any of their respective Restricted Subsidiaries is, or may be at any time after the date of the indenture, subject.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ectPr>
          <w:pgSz w:w="11900" w:h="16838" w:orient="portrait"/>
          <w:cols w:equalWidth="0" w:num="1">
            <w:col w:w="11380"/>
          </w:cols>
          <w:pgMar w:left="240" w:top="131" w:right="279" w:bottom="0" w:gutter="0" w:footer="0" w:header="0"/>
        </w:sectPr>
      </w:pPr>
    </w:p>
    <w:bookmarkStart w:id="118" w:name="page119"/>
    <w:bookmarkEnd w:id="118"/>
    <w:p>
      <w:pPr>
        <w:ind w:right="16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Redemption Indebtedness</w:t>
      </w:r>
      <w:r>
        <w:rPr>
          <w:rFonts w:ascii="Arial" w:cs="Arial" w:eastAsia="Arial" w:hAnsi="Arial"/>
          <w:sz w:val="18"/>
          <w:szCs w:val="18"/>
          <w:color w:val="auto"/>
        </w:rPr>
        <w:t xml:space="preserve">" means Indebtedness of Wynn Resorts incurred solely to finance the repurchase by Wynn Resorts of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Contractor</w:t>
      </w:r>
      <w:r>
        <w:rPr>
          <w:rFonts w:ascii="Arial" w:cs="Arial" w:eastAsia="Arial" w:hAnsi="Arial"/>
          <w:sz w:val="18"/>
          <w:szCs w:val="18"/>
          <w:color w:val="auto"/>
        </w:rPr>
        <w:t>" means Marnell Corrao Associates, Inc., a Nevada corporation.</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agreement to be entered into following the date of the indenture between Wynn Resorts Holdings and/or Wynn Las Vegas and a golf course contractor for the construction of the new golf course on the Project Site, as amended, modified or otherwise supplemented from time to time in accordance with the Disbursement Agreement.</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Design Services Agreement</w:t>
      </w:r>
      <w:r>
        <w:rPr>
          <w:rFonts w:ascii="Arial" w:cs="Arial" w:eastAsia="Arial" w:hAnsi="Arial"/>
          <w:sz w:val="16"/>
          <w:szCs w:val="16"/>
          <w:color w:val="auto"/>
        </w:rPr>
        <w:t>" means that certain Golf Course Design Services Agreement, that Wynn Las Vegas is a party to, as amended, modified or otherwise supplemented from time to time in accordance with covenant captioned "—Amendments to Certain Agreements."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Homes</w:t>
      </w:r>
      <w:r>
        <w:rPr>
          <w:rFonts w:ascii="Arial" w:cs="Arial" w:eastAsia="Arial" w:hAnsi="Arial"/>
          <w:sz w:val="18"/>
          <w:szCs w:val="18"/>
          <w:color w:val="auto"/>
        </w:rPr>
        <w:t>" means the golf course homes located on the periphery of the Golf Course Land not acquired by Wynn Las Vegas, any Restricted Entity or any of their respective Subsidiaries as of the date of the indenture.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Resorts Holdings, as lessor, and Wynn Las Vegas, as lessee, with respect to the lease of land on which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seizures, condemnations, confiscations or takings by the power of eminent domain or other similar mandatory actions, in each case by a governmental authority against real property held by Wynn Las Vegas, any Restricted Entity or any of their respective Restricted Subsidiaries, or</w:t>
      </w:r>
    </w:p>
    <w:p>
      <w:pPr>
        <w:spacing w:after="0" w:line="166" w:lineRule="exact"/>
        <w:rPr>
          <w:rFonts w:ascii="Arial" w:cs="Arial" w:eastAsia="Arial" w:hAnsi="Arial"/>
          <w:sz w:val="16"/>
          <w:szCs w:val="16"/>
          <w:color w:val="auto"/>
        </w:rPr>
      </w:pPr>
    </w:p>
    <w:p>
      <w:pPr>
        <w:jc w:val="both"/>
        <w:ind w:left="540" w:right="140" w:hanging="532"/>
        <w:spacing w:after="0" w:line="306"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transfers of interests in real property held by Wynn Las Vegas, any Restricted Entity or any of their respective Restricted Subsidiaries to any State of Nevada, Clark County or local governmental authority consisting of easements, rights-of-way, dedications, exchanges or swaps or other similar transfers undertaken in the ordinary course of business in furtherance of the development, construction or operation of the Project, so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long as; (a) in each case, the transferring entity receives reasonably equivalent value for the real property transferred, and (b) such transfers, individually and in the aggregate, do not materially interfere with the ordinary course of business or the assets or operations of Wynn Las Vegas, any Restricted Entity or any of their respective Restricted Subsidiaries, or materially detract from the value of the real property subject thereto.</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Guarantee and Collateral Agreement, dated as of the date of the indenture, among the Issuers, the Restricted Entities and the trustee,</w:t>
      </w:r>
    </w:p>
    <w:p>
      <w:pPr>
        <w:spacing w:after="0" w:line="261"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any Restricted Entity or any Restricted Subsidiary of Wynn Las Vegas or any Restricted Entity from time to time in accordance with the provisions of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252" w:lineRule="exact"/>
        <w:rPr>
          <w:sz w:val="20"/>
          <w:szCs w:val="20"/>
          <w:color w:val="auto"/>
        </w:rPr>
      </w:pPr>
    </w:p>
    <w:p>
      <w:pPr>
        <w:ind w:left="540" w:hanging="532"/>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Restricted Entities,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Restricted Subsidiaries, if any, of Wynn Las Vegas or any Restricted Entity, and</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other Person (other than the Parent Guarantor) that executes a Guarantee (including pursuant to a Guarantee and Collateral Agreement) in accordance with the provisions of the indenture,</w:t>
      </w:r>
    </w:p>
    <w:p>
      <w:pPr>
        <w:spacing w:after="0" w:line="1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except to the extent the applicable Guarantee is released in accordance with the caption "—Release of Security Interests," their respective successors and assigns (other than the Issuers). A Person shall cease to be a Guarantor following the release of its Guarantee as described above under that caption.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52" w:lineRule="exact"/>
        <w:rPr>
          <w:sz w:val="20"/>
          <w:szCs w:val="20"/>
          <w:color w:val="auto"/>
        </w:rPr>
      </w:pPr>
    </w:p>
    <w:p>
      <w:pPr>
        <w:ind w:left="540" w:hanging="532"/>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ectPr>
          <w:pgSz w:w="11900" w:h="16838" w:orient="portrait"/>
          <w:cols w:equalWidth="0" w:num="1">
            <w:col w:w="11420"/>
          </w:cols>
          <w:pgMar w:left="240" w:top="131" w:right="239" w:bottom="0" w:gutter="0" w:footer="0" w:header="0"/>
        </w:sectPr>
      </w:pPr>
    </w:p>
    <w:bookmarkStart w:id="119" w:name="page120"/>
    <w:bookmarkEnd w:id="119"/>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whether or not contingent, but without duplication:</w:t>
      </w:r>
    </w:p>
    <w:p>
      <w:pPr>
        <w:spacing w:after="0" w:line="262" w:lineRule="exact"/>
        <w:rPr>
          <w:sz w:val="20"/>
          <w:szCs w:val="20"/>
          <w:color w:val="auto"/>
        </w:rPr>
      </w:pPr>
    </w:p>
    <w:p>
      <w:pPr>
        <w:ind w:left="540" w:hanging="532"/>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5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39" w:lineRule="exact"/>
        <w:rPr>
          <w:sz w:val="20"/>
          <w:szCs w:val="20"/>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252"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in the case of any Person, a member of the board of directors of such Person who:</w:t>
      </w:r>
    </w:p>
    <w:p>
      <w:pPr>
        <w:spacing w:after="0" w:line="239" w:lineRule="exact"/>
        <w:rPr>
          <w:sz w:val="20"/>
          <w:szCs w:val="20"/>
          <w:color w:val="auto"/>
        </w:rPr>
      </w:pPr>
    </w:p>
    <w:p>
      <w:pPr>
        <w:ind w:left="540" w:right="80" w:hanging="532"/>
        <w:spacing w:after="0" w:line="306" w:lineRule="auto"/>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is not the Principal or a Related Party,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definition, no member of the board of directors of any Person who is, or who has a Related Party who:</w:t>
      </w:r>
    </w:p>
    <w:p>
      <w:pPr>
        <w:spacing w:after="0" w:line="239" w:lineRule="exact"/>
        <w:rPr>
          <w:sz w:val="20"/>
          <w:szCs w:val="20"/>
          <w:color w:val="auto"/>
        </w:rPr>
      </w:pPr>
    </w:p>
    <w:p>
      <w:pPr>
        <w:ind w:left="540" w:right="220" w:hanging="532"/>
        <w:spacing w:after="0" w:line="268"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is a former employee of such Person will be eligible for consideration as an "Independent Director" until the fifth anniversary of the date on which that employment ended,</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00" w:hanging="532"/>
        <w:spacing w:after="0" w:line="332" w:lineRule="auto"/>
        <w:tabs>
          <w:tab w:leader="none" w:pos="5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3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Notwithstanding the preceding, no Person shall be deemed not to be an Independent Director of Wynn Resorts, any Restricted Entity or any of their respective Restricted Subsidiaries solely because such Person is a member of the Board of Directors of any direct or indirect parent of Wynn Las Vegas, any Restricted Entity or any of their respective Restricted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31" w:right="279" w:bottom="0" w:gutter="0" w:footer="0" w:header="0"/>
        </w:sectPr>
      </w:pPr>
    </w:p>
    <w:bookmarkStart w:id="120" w:name="page121"/>
    <w:bookmarkEnd w:id="120"/>
    <w:p>
      <w:pPr>
        <w:ind w:left="540"/>
        <w:spacing w:after="0"/>
        <w:rPr>
          <w:sz w:val="20"/>
          <w:szCs w:val="20"/>
          <w:color w:val="auto"/>
        </w:rPr>
      </w:pPr>
      <w:r>
        <w:rPr>
          <w:rFonts w:ascii="Arial" w:cs="Arial" w:eastAsia="Arial" w:hAnsi="Arial"/>
          <w:sz w:val="16"/>
          <w:szCs w:val="16"/>
          <w:color w:val="auto"/>
        </w:rPr>
        <w:t>the Intellectual Property Security Agreement, dated as of the date of the indenture, among the Issuers, the Restricted Entities and the trustee, and</w:t>
      </w:r>
    </w:p>
    <w:p>
      <w:pPr>
        <w:spacing w:after="0" w:line="262" w:lineRule="exact"/>
        <w:rPr>
          <w:sz w:val="20"/>
          <w:szCs w:val="20"/>
          <w:color w:val="auto"/>
        </w:rPr>
      </w:pPr>
    </w:p>
    <w:p>
      <w:pPr>
        <w:ind w:left="540" w:right="400" w:hanging="532"/>
        <w:spacing w:after="0" w:line="332"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other intellectual property security agreement entered into by Wynn Resorts, either Issuers, any Restricted Entity or any Restricted Subsidiary of Wynn Las Vegas, or any Restricted Entity from time to time in accordance with the provisions of the indenture,</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w:t>
      </w:r>
    </w:p>
    <w:p>
      <w:pPr>
        <w:spacing w:after="0" w:line="252" w:lineRule="exact"/>
        <w:rPr>
          <w:sz w:val="20"/>
          <w:szCs w:val="20"/>
          <w:color w:val="auto"/>
        </w:rPr>
      </w:pPr>
    </w:p>
    <w:p>
      <w:pPr>
        <w:ind w:left="540" w:right="20" w:hanging="532"/>
        <w:spacing w:after="0" w:line="268"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Project Lenders Intercreditor Agreement, dated as of the date of the indenture, between the trustee, and a representative of the lenders under the Credit Agreement, and</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FF&amp;E Intercreditor Agreement, dated as of the date of the indenture, among the trustee, a representative of the lenders under the Credit Agreement and a representative of the lenders under the FF&amp;E Facility.</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their respective Restricted Subsidiaries sells or otherwise disposes of any Equity Interests of any Restricted Entity or any direct or indirect Restricted Subsidiary of such selling Person such that, after giving effect to any such sale or disposition, such Person is no longer a Subsidiary of Wynn Las Vegas, such Restricted Entity or any of their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 Certain Covenants—Restricted Payments." The acquisition by Wynn Las Vegas, a Restricted Entity or any of their respective Restricted Subsidiaries of a Person that holds an Investment in a third Person will be deemed to be an Investment by Wynn Las Vegas, that Restricted Entity or that Restricted Subsidiary, as the case may be, in such third Person in an amount equal to the fair market value of the Investments held by the acquired Person in such third Person in an amount determined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provided in the final paragraph of the covenant described above under the caption "—Certain Covenants—Restricted Payments."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Project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Affiliate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upon execution and delivery thereof, the Golf Course Construction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Payment and Performance Bond, and</w:t>
      </w:r>
    </w:p>
    <w:p>
      <w:pPr>
        <w:spacing w:after="0" w:line="238" w:lineRule="exact"/>
        <w:rPr>
          <w:rFonts w:ascii="Arial" w:cs="Arial" w:eastAsia="Arial" w:hAnsi="Arial"/>
          <w:sz w:val="18"/>
          <w:szCs w:val="18"/>
          <w:color w:val="auto"/>
        </w:rPr>
      </w:pPr>
    </w:p>
    <w:p>
      <w:pPr>
        <w:ind w:left="540" w:right="220" w:hanging="532"/>
        <w:spacing w:after="0" w:line="332" w:lineRule="auto"/>
        <w:tabs>
          <w:tab w:leader="none" w:pos="5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all other material agreements, instruments or documents entered into by Wynn Resorts, any Restricted Entity or any Restricted Subsidiary of Wynn Las Vegas or any Restricted Entity that are necessary for the construction, ownership and operation of the Project,</w:t>
      </w:r>
    </w:p>
    <w:p>
      <w:pPr>
        <w:spacing w:after="0" w:line="13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9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between Wynn Resorts as manager, the Issuers, the Restricted Entities and their respective Restricted Subsidiaries, as in effect on the date of the indenture or as amended, modified or supplemented from time to time in accordance with the covenant captioned "—Amendments to Certain Agreements."</w:t>
      </w:r>
    </w:p>
    <w:p>
      <w:pPr>
        <w:sectPr>
          <w:pgSz w:w="11900" w:h="16838" w:orient="portrait"/>
          <w:cols w:equalWidth="0" w:num="1">
            <w:col w:w="11400"/>
          </w:cols>
          <w:pgMar w:left="240" w:top="131" w:right="259" w:bottom="9" w:gutter="0" w:footer="0" w:header="0"/>
        </w:sectPr>
      </w:pPr>
    </w:p>
    <w:bookmarkStart w:id="121" w:name="page122"/>
    <w:bookmarkEnd w:id="121"/>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Resorts, Wynn Las Vegas, the administrative agent under the Credit Agreement, the collateral agent under the FF&amp;E Facility and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assets that are necessary to the development, construction or operation of the Project in accordance with the Plans and Specifications, or</w:t>
      </w:r>
    </w:p>
    <w:p>
      <w:pPr>
        <w:spacing w:after="0" w:line="275"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assets, the absence of which, would result in the Completion Date occurring after the Outside Completion Deadline. In no event shall Released Assets be considered Material Project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Facilities</w:t>
      </w:r>
      <w:r>
        <w:rPr>
          <w:rFonts w:ascii="Arial" w:cs="Arial" w:eastAsia="Arial" w:hAnsi="Arial"/>
          <w:sz w:val="18"/>
          <w:szCs w:val="18"/>
          <w:color w:val="auto"/>
        </w:rPr>
        <w:t>" means, with respect to the Project:</w:t>
      </w:r>
    </w:p>
    <w:p>
      <w:pPr>
        <w:spacing w:after="0" w:line="239" w:lineRule="exact"/>
        <w:rPr>
          <w:sz w:val="20"/>
          <w:szCs w:val="20"/>
          <w:color w:val="auto"/>
        </w:rPr>
      </w:pPr>
    </w:p>
    <w:p>
      <w:pPr>
        <w:ind w:left="540" w:hanging="532"/>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238" w:lineRule="exact"/>
        <w:rPr>
          <w:rFonts w:ascii="Arial" w:cs="Arial" w:eastAsia="Arial" w:hAnsi="Arial"/>
          <w:sz w:val="18"/>
          <w:szCs w:val="18"/>
          <w:color w:val="auto"/>
        </w:rPr>
      </w:pPr>
    </w:p>
    <w:p>
      <w:pPr>
        <w:ind w:left="540" w:right="200" w:hanging="532"/>
        <w:spacing w:after="0" w:line="323" w:lineRule="auto"/>
        <w:tabs>
          <w:tab w:leader="none" w:pos="5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78" w:lineRule="exact"/>
        <w:rPr>
          <w:rFonts w:ascii="Arial" w:cs="Arial" w:eastAsia="Arial" w:hAnsi="Arial"/>
          <w:sz w:val="15"/>
          <w:szCs w:val="15"/>
          <w:color w:val="auto"/>
        </w:rPr>
      </w:pPr>
    </w:p>
    <w:p>
      <w:pPr>
        <w:ind w:left="540" w:hanging="532"/>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and excluding however:</w:t>
      </w:r>
    </w:p>
    <w:p>
      <w:pPr>
        <w:spacing w:after="0" w:line="211" w:lineRule="exact"/>
        <w:rPr>
          <w:sz w:val="20"/>
          <w:szCs w:val="20"/>
          <w:color w:val="auto"/>
        </w:rPr>
      </w:pPr>
    </w:p>
    <w:p>
      <w:pPr>
        <w:ind w:left="540" w:right="100" w:hanging="532"/>
        <w:spacing w:after="0" w:line="259"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Loss Proceeds</w:t>
      </w:r>
      <w:r>
        <w:rPr>
          <w:rFonts w:ascii="Arial" w:cs="Arial" w:eastAsia="Arial" w:hAnsi="Arial"/>
          <w:sz w:val="15"/>
          <w:szCs w:val="15"/>
          <w:color w:val="auto"/>
        </w:rPr>
        <w:t>" means the aggregate cash proceeds received by Wynn Las Vegas, any Restricted Entity or any of their respective Restricted Subsidiaries in respect of any Event of Loss, including, without limitation, insurance proceeds from condemnation awards or damages awarded by any judgment, net of:</w:t>
      </w:r>
    </w:p>
    <w:p>
      <w:pPr>
        <w:spacing w:after="0" w:line="130" w:lineRule="exact"/>
        <w:rPr>
          <w:sz w:val="20"/>
          <w:szCs w:val="20"/>
          <w:color w:val="auto"/>
        </w:rPr>
      </w:pPr>
    </w:p>
    <w:p>
      <w:pPr>
        <w:ind w:left="540" w:right="420" w:hanging="532"/>
        <w:spacing w:after="0" w:line="268"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56"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Agreements as to the relative ranking of security interests, and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taxes or Tax Distributions paid or payable as a result of the receipt of such cash proceeds.</w:t>
      </w:r>
    </w:p>
    <w:p>
      <w:pPr>
        <w:spacing w:after="0" w:line="225" w:lineRule="exact"/>
        <w:rPr>
          <w:sz w:val="20"/>
          <w:szCs w:val="20"/>
          <w:color w:val="auto"/>
        </w:rPr>
      </w:pPr>
    </w:p>
    <w:p>
      <w:pPr>
        <w:jc w:val="both"/>
        <w:ind w:right="2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New Equity Proceeds</w:t>
      </w:r>
      <w:r>
        <w:rPr>
          <w:rFonts w:ascii="Arial" w:cs="Arial" w:eastAsia="Arial" w:hAnsi="Arial"/>
          <w:sz w:val="15"/>
          <w:szCs w:val="15"/>
          <w:color w:val="auto"/>
        </w:rPr>
        <w:t>" means the aggregate net cash proceeds received by Wynn Las Vegas from any Person other than Wynn Capital, any Restricted Entity or any Restricted Subsidiary of Wynn Las Vegas or any Restricted Entity, directly or indirectly, as a contribution to its common equity capital excluding:</w:t>
      </w:r>
    </w:p>
    <w:p>
      <w:pPr>
        <w:spacing w:after="0" w:line="130" w:lineRule="exact"/>
        <w:rPr>
          <w:sz w:val="20"/>
          <w:szCs w:val="20"/>
          <w:color w:val="auto"/>
        </w:rPr>
      </w:pPr>
    </w:p>
    <w:p>
      <w:pPr>
        <w:ind w:left="540" w:right="480" w:hanging="532"/>
        <w:spacing w:after="0" w:line="268" w:lineRule="auto"/>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capital contribution made on the Closing Date to Wynn Las Vegas in respect of the Completion Guarantee Capital Contribution or the Liquidity Reserve Capital Contribution;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Steve Wynn Capital Contribution; and</w:t>
      </w:r>
    </w:p>
    <w:p>
      <w:pPr>
        <w:spacing w:after="0" w:line="25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capital contribution from a Qualified Equity Offering to the extent those proceeds are used to redeem the notes in compliance with the provisions described under the caption "—Optional Redemption."</w:t>
      </w:r>
    </w:p>
    <w:p>
      <w:pPr>
        <w:sectPr>
          <w:pgSz w:w="11900" w:h="16838" w:orient="portrait"/>
          <w:cols w:equalWidth="0" w:num="1">
            <w:col w:w="11420"/>
          </w:cols>
          <w:pgMar w:left="240" w:top="131" w:right="239" w:bottom="0" w:gutter="0" w:footer="0" w:header="0"/>
        </w:sectPr>
      </w:pPr>
    </w:p>
    <w:bookmarkStart w:id="122" w:name="page123"/>
    <w:bookmarkEnd w:id="122"/>
    <w:p>
      <w:pPr>
        <w:jc w:val="both"/>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Wynn Las Vegas, any Restricted Entity, or any of their respective Restricted Subsidiaries in respect of any Asset Sale (including, without limitation, any cash received upon the sale or other disposition of any non-cash consideration received in any Asset Sale), net of:</w:t>
      </w:r>
    </w:p>
    <w:p>
      <w:pPr>
        <w:spacing w:after="0" w:line="208" w:lineRule="exact"/>
        <w:rPr>
          <w:sz w:val="20"/>
          <w:szCs w:val="20"/>
          <w:color w:val="auto"/>
        </w:rPr>
      </w:pPr>
    </w:p>
    <w:p>
      <w:pPr>
        <w:ind w:left="540" w:right="100" w:hanging="532"/>
        <w:spacing w:after="0" w:line="306" w:lineRule="auto"/>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 taking into account any available tax credits or deductions and any tax sharing arrangements,</w:t>
      </w:r>
    </w:p>
    <w:p>
      <w:pPr>
        <w:spacing w:after="0" w:line="187" w:lineRule="exact"/>
        <w:rPr>
          <w:rFonts w:ascii="Arial" w:cs="Arial" w:eastAsia="Arial" w:hAnsi="Arial"/>
          <w:sz w:val="16"/>
          <w:szCs w:val="16"/>
          <w:color w:val="auto"/>
        </w:rPr>
      </w:pPr>
    </w:p>
    <w:p>
      <w:pPr>
        <w:ind w:left="540" w:right="100" w:hanging="532"/>
        <w:spacing w:after="0" w:line="298" w:lineRule="auto"/>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PUC</w:t>
      </w:r>
      <w:r>
        <w:rPr>
          <w:rFonts w:ascii="Arial" w:cs="Arial" w:eastAsia="Arial" w:hAnsi="Arial"/>
          <w:sz w:val="18"/>
          <w:szCs w:val="18"/>
          <w:color w:val="auto"/>
        </w:rPr>
        <w:t>" means the Public Utilities Commission of Nevada.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239" w:lineRule="exact"/>
        <w:rPr>
          <w:sz w:val="20"/>
          <w:szCs w:val="20"/>
          <w:color w:val="auto"/>
        </w:rPr>
      </w:pPr>
    </w:p>
    <w:p>
      <w:pPr>
        <w:ind w:left="540" w:hanging="532"/>
        <w:spacing w:after="0"/>
        <w:tabs>
          <w:tab w:leader="none" w:pos="5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assets that are not necessary to the development, construction and operation of the Project in accordance with the Plans and Specifications, and</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assets, the absence of which would not result in the Completion Date occurring after the Outside Completion Deadline.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39" w:lineRule="exact"/>
        <w:rPr>
          <w:sz w:val="20"/>
          <w:szCs w:val="20"/>
          <w:color w:val="auto"/>
        </w:rPr>
      </w:pPr>
    </w:p>
    <w:p>
      <w:pPr>
        <w:ind w:left="540" w:hanging="532"/>
        <w:spacing w:after="0" w:line="259"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to which neither Issuer, no Restricted Entity or any Restricted Subsidiary of Wynn Las Vegas or any Restricted Entity (a) provides credit support of any kind (including any undertaking, agreement or instrument that would constitute Indebtedness), (b) is directly or indirectly liable as a guarantor or otherwise, or (c) constitutes the lender;</w:t>
      </w:r>
    </w:p>
    <w:p>
      <w:pPr>
        <w:spacing w:after="0" w:line="207" w:lineRule="exact"/>
        <w:rPr>
          <w:rFonts w:ascii="Arial" w:cs="Arial" w:eastAsia="Arial" w:hAnsi="Arial"/>
          <w:sz w:val="18"/>
          <w:szCs w:val="18"/>
          <w:color w:val="auto"/>
        </w:rPr>
      </w:pPr>
    </w:p>
    <w:p>
      <w:pPr>
        <w:ind w:left="540" w:right="120" w:hanging="532"/>
        <w:spacing w:after="0" w:line="256"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of Wynn Las Vegas) would permit upon notice, lapse of time or both any holder of any other Indebtedness of either Issuer, any Restricted Entity or any Restricted Subsidiary of Wynn Las Vegas or any Restricted Entity to declare a default on such other Indebtedness or cause the payment thereof to be accelerated or payable prior to its stated maturity; and</w:t>
      </w:r>
    </w:p>
    <w:p>
      <w:pPr>
        <w:spacing w:after="0" w:line="224"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either Issuer, any Restricted Entity or any Restricted Subsidiary of Wynn Las Vegas or any Restricted Entity.</w:t>
      </w:r>
    </w:p>
    <w:p>
      <w:pPr>
        <w:spacing w:after="0" w:line="18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 Building Lease</w:t>
      </w:r>
      <w:r>
        <w:rPr>
          <w:rFonts w:ascii="Arial" w:cs="Arial" w:eastAsia="Arial" w:hAnsi="Arial"/>
          <w:sz w:val="16"/>
          <w:szCs w:val="16"/>
          <w:color w:val="auto"/>
        </w:rPr>
        <w:t>" means the Lease, dated as of the date of the indenture, between Valvino Lamore, as lessor, and Wynn Las Vegas, as lessee, with respect to the lease of space in the building existing, on the date of the indenture, on the Phase II Land, as amended, modified or otherwise supplemented from time to time in accordance with the covenant captioned "—Amendments to Certain Agreements."</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Opening Date</w:t>
      </w:r>
      <w:r>
        <w:rPr>
          <w:rFonts w:ascii="Arial" w:cs="Arial" w:eastAsia="Arial" w:hAnsi="Arial"/>
          <w:sz w:val="18"/>
          <w:szCs w:val="18"/>
          <w:color w:val="auto"/>
        </w:rPr>
        <w:t>" means the date on which all or any portion of the Project is open for business, and the opening conditions set forth in the Disbursement Agreement have been satisfied.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Outside Completion Deadline</w:t>
      </w:r>
      <w:r>
        <w:rPr>
          <w:rFonts w:ascii="Arial" w:cs="Arial" w:eastAsia="Arial" w:hAnsi="Arial"/>
          <w:sz w:val="16"/>
          <w:szCs w:val="16"/>
          <w:color w:val="auto"/>
        </w:rPr>
        <w:t>" means September 30, 2005, as that date may be extended from time to time pursuant to the Disbursement Agreement.</w:t>
      </w:r>
    </w:p>
    <w:p>
      <w:pPr>
        <w:spacing w:after="0" w:line="24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Wynn Resorts of the notes. The Parent Guarantee will not be considered a "Guarantee" unless the context otherwise requires.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Wynn Resorts in its capacity as a guarantor of the notes. The Parent Guarantor will not be considered a "Guarantor" unless the context otherwise requires.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Security Agreement</w:t>
      </w:r>
      <w:r>
        <w:rPr>
          <w:rFonts w:ascii="Arial" w:cs="Arial" w:eastAsia="Arial" w:hAnsi="Arial"/>
          <w:sz w:val="18"/>
          <w:szCs w:val="18"/>
          <w:color w:val="auto"/>
        </w:rPr>
        <w:t>" means a security agreement entered into by Wynn Resorts, in the event that it is required to provide a security interest by the provisions of the covenant under the caption "—Restrictions on Specified Activities of Wynn Resorts."</w:t>
      </w:r>
    </w:p>
    <w:p>
      <w:pPr>
        <w:sectPr>
          <w:pgSz w:w="11900" w:h="16838" w:orient="portrait"/>
          <w:cols w:equalWidth="0" w:num="1">
            <w:col w:w="11380"/>
          </w:cols>
          <w:pgMar w:left="240" w:top="131" w:right="279" w:bottom="749"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749" w:gutter="0" w:footer="0" w:header="0"/>
          <w:type w:val="continuous"/>
        </w:sectPr>
      </w:pPr>
    </w:p>
    <w:bookmarkStart w:id="123" w:name="page124"/>
    <w:bookmarkEnd w:id="123"/>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Parking Facility Lease</w:t>
      </w:r>
      <w:r>
        <w:rPr>
          <w:rFonts w:ascii="Arial" w:cs="Arial" w:eastAsia="Arial" w:hAnsi="Arial"/>
          <w:sz w:val="16"/>
          <w:szCs w:val="16"/>
          <w:color w:val="auto"/>
        </w:rPr>
        <w:t>" means the Parking Facility Lease, dated as of the date of the indenture, between Valvino Lamore, as lessor, and Wynn Las Vegas, as lessee, with respect to the lease of land on which the parking lot structure for use by Wynn Las Vegas' employees will be located, as amended, modified or otherwise supplemented from time to time in accordance with the covenant captioned "—Amendments to Certain Agreements."</w:t>
      </w:r>
    </w:p>
    <w:p>
      <w:pPr>
        <w:spacing w:after="0" w:line="16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federal or state income tax purposes or (2) an entity treated as a partnership or a disregarded entity for federal or state income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99"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207"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any Restricted Entity or any of their respective Restricted Subsidiaries becoming a subchapter "C" corporation under the Code, so long as, in connection with such transaction:</w:t>
      </w:r>
    </w:p>
    <w:p>
      <w:pPr>
        <w:spacing w:after="0" w:line="199" w:lineRule="exact"/>
        <w:rPr>
          <w:sz w:val="20"/>
          <w:szCs w:val="20"/>
          <w:color w:val="auto"/>
        </w:rPr>
      </w:pPr>
    </w:p>
    <w:p>
      <w:pPr>
        <w:jc w:val="both"/>
        <w:ind w:left="540" w:right="160" w:hanging="532"/>
        <w:spacing w:after="0" w:line="306" w:lineRule="auto"/>
        <w:tabs>
          <w:tab w:leader="none" w:pos="5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74"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24"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complies with the covenant entitled "—Additional Collateral; Formation or Acquisition of Restricted Subsidiaries, Designation of Unrestricted Subsidiaries as Restricted Subsidiaries or Permitted C-Corp. Conversion";</w:t>
      </w:r>
    </w:p>
    <w:p>
      <w:pPr>
        <w:spacing w:after="0" w:line="15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99" w:lineRule="exact"/>
        <w:rPr>
          <w:rFonts w:ascii="Arial" w:cs="Arial" w:eastAsia="Arial" w:hAnsi="Arial"/>
          <w:sz w:val="18"/>
          <w:szCs w:val="18"/>
          <w:color w:val="auto"/>
        </w:rPr>
      </w:pPr>
    </w:p>
    <w:p>
      <w:pPr>
        <w:ind w:left="540" w:right="60" w:hanging="532"/>
        <w:spacing w:after="0" w:line="335" w:lineRule="auto"/>
        <w:tabs>
          <w:tab w:leader="none" w:pos="5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Wynn Las Vegas shall have delivered to the trustee an opinion of counsel of national repute in the United States reasonably acceptable to the trustee confirming that neither Issuer, nor any Restricted Entity nor any Restricted Subsidiary of Wynn Las Vegas or any Restricted Entity, nor any Guarantor nor any of the holders will recognize income, gain or loss for U.S. federal or state income tax purposes as a result of such Permitted C-Corp. Conversion; and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Investment (excluding any Investment by a Person that is a Guarantor in a Person, other than Wynn Las Vegas, that is not a Guarantor):</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by any entity in Wynn Las Vegas or in a Wholly Owned Subsidiary of Wynn Las Vegas;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an Investment that includes any or all of the Golf Course Land, unless such Golf Course Land is then a Released Asset,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ectPr>
          <w:pgSz w:w="11900" w:h="16838" w:orient="portrait"/>
          <w:cols w:equalWidth="0" w:num="1">
            <w:col w:w="11420"/>
          </w:cols>
          <w:pgMar w:left="240" w:top="131" w:right="239" w:bottom="0" w:gutter="0" w:footer="0" w:header="0"/>
        </w:sectPr>
      </w:pPr>
    </w:p>
    <w:bookmarkStart w:id="124" w:name="page125"/>
    <w:bookmarkEnd w:id="124"/>
    <w:p>
      <w:pPr>
        <w:ind w:left="1072" w:right="60"/>
        <w:spacing w:after="0" w:line="268" w:lineRule="auto"/>
        <w:rPr>
          <w:sz w:val="20"/>
          <w:szCs w:val="20"/>
          <w:color w:val="auto"/>
        </w:rPr>
      </w:pPr>
      <w:r>
        <w:rPr>
          <w:rFonts w:ascii="Arial" w:cs="Arial" w:eastAsia="Arial" w:hAnsi="Arial"/>
          <w:sz w:val="18"/>
          <w:szCs w:val="18"/>
          <w:color w:val="auto"/>
        </w:rPr>
        <w:t>by (i) any Restricted Entity or any Restricted Subsidiary of a Restricted Entity, that, in each case, is not a Guarantor in (ii) any Restricted Entity or any Restricted Subsidiary of a Restricted Entity that, in each case, is a Guarantor, or</w:t>
      </w:r>
    </w:p>
    <w:p>
      <w:pPr>
        <w:spacing w:after="0" w:line="199" w:lineRule="exact"/>
        <w:rPr>
          <w:sz w:val="20"/>
          <w:szCs w:val="20"/>
          <w:color w:val="auto"/>
        </w:rPr>
      </w:pPr>
    </w:p>
    <w:p>
      <w:pPr>
        <w:ind w:left="1072" w:hanging="532"/>
        <w:spacing w:after="0"/>
        <w:tabs>
          <w:tab w:leader="none" w:pos="107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by any Wynn Group Entity in any Restricted Entity,</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so long as (i) the entity in which any such Investment is made is engaged in a Permitted Business, and (ii) such Investment is evidenced by capital stock or intercompany notes that are pledged to the trustee as Primary Note Collateral;</w:t>
      </w:r>
    </w:p>
    <w:p>
      <w:pPr>
        <w:spacing w:after="0" w:line="213" w:lineRule="exact"/>
        <w:rPr>
          <w:sz w:val="20"/>
          <w:szCs w:val="20"/>
          <w:color w:val="auto"/>
        </w:rPr>
      </w:pPr>
    </w:p>
    <w:p>
      <w:pPr>
        <w:ind w:left="532" w:hanging="532"/>
        <w:spacing w:after="0"/>
        <w:tabs>
          <w:tab w:leader="none" w:pos="53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38" w:lineRule="exact"/>
        <w:rPr>
          <w:rFonts w:ascii="Arial" w:cs="Arial" w:eastAsia="Arial" w:hAnsi="Arial"/>
          <w:sz w:val="18"/>
          <w:szCs w:val="18"/>
          <w:color w:val="auto"/>
        </w:rPr>
      </w:pPr>
    </w:p>
    <w:p>
      <w:pPr>
        <w:ind w:left="532" w:right="520" w:hanging="532"/>
        <w:spacing w:after="0" w:line="370" w:lineRule="auto"/>
        <w:tabs>
          <w:tab w:leader="none" w:pos="532" w:val="left"/>
        </w:tabs>
        <w:numPr>
          <w:ilvl w:val="0"/>
          <w:numId w:val="263"/>
        </w:numPr>
        <w:rPr>
          <w:rFonts w:ascii="Arial" w:cs="Arial" w:eastAsia="Arial" w:hAnsi="Arial"/>
          <w:sz w:val="15"/>
          <w:szCs w:val="15"/>
          <w:color w:val="auto"/>
        </w:rPr>
      </w:pPr>
      <w:r>
        <w:rPr>
          <w:rFonts w:ascii="Arial" w:cs="Arial" w:eastAsia="Arial" w:hAnsi="Arial"/>
          <w:sz w:val="15"/>
          <w:szCs w:val="15"/>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pacing w:after="0" w:line="346" w:lineRule="exact"/>
        <w:rPr>
          <w:rFonts w:ascii="Arial" w:cs="Arial" w:eastAsia="Arial" w:hAnsi="Arial"/>
          <w:sz w:val="15"/>
          <w:szCs w:val="15"/>
          <w:color w:val="auto"/>
        </w:rPr>
      </w:pPr>
    </w:p>
    <w:p>
      <w:pPr>
        <w:ind w:left="1072" w:hanging="532"/>
        <w:spacing w:after="0"/>
        <w:tabs>
          <w:tab w:leader="none" w:pos="107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252" w:lineRule="exact"/>
        <w:rPr>
          <w:rFonts w:ascii="Arial" w:cs="Arial" w:eastAsia="Arial" w:hAnsi="Arial"/>
          <w:sz w:val="18"/>
          <w:szCs w:val="18"/>
          <w:color w:val="auto"/>
        </w:rPr>
      </w:pPr>
    </w:p>
    <w:p>
      <w:pPr>
        <w:jc w:val="both"/>
        <w:ind w:left="1072" w:right="320" w:hanging="532"/>
        <w:spacing w:after="0" w:line="259" w:lineRule="auto"/>
        <w:tabs>
          <w:tab w:leader="none" w:pos="107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captioned "—Merger,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jc w:val="both"/>
        <w:ind w:left="532" w:right="80" w:hanging="532"/>
        <w:spacing w:after="0" w:line="259" w:lineRule="auto"/>
        <w:tabs>
          <w:tab w:leader="none" w:pos="53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an Event of Loss of the type contemplated by clause (3) of the definition of "Event of Loss" that was made pursuant to and in compliance with the covenant described above under the caption "—Repurchase at the Option of Holders—Asset Sales" or "—Events of Loss";</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hanging="532"/>
        <w:spacing w:after="0"/>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acquisition of assets acquired solely with Net New Equity Proceeds;</w:t>
      </w:r>
    </w:p>
    <w:p>
      <w:pPr>
        <w:spacing w:after="0" w:line="252" w:lineRule="exact"/>
        <w:rPr>
          <w:rFonts w:ascii="Arial" w:cs="Arial" w:eastAsia="Arial" w:hAnsi="Arial"/>
          <w:sz w:val="18"/>
          <w:szCs w:val="18"/>
          <w:color w:val="auto"/>
        </w:rPr>
      </w:pPr>
    </w:p>
    <w:p>
      <w:pPr>
        <w:ind w:left="532" w:right="80" w:hanging="532"/>
        <w:spacing w:after="0" w:line="259" w:lineRule="auto"/>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38" w:lineRule="exact"/>
        <w:rPr>
          <w:rFonts w:ascii="Arial" w:cs="Arial" w:eastAsia="Arial" w:hAnsi="Arial"/>
          <w:sz w:val="18"/>
          <w:szCs w:val="18"/>
          <w:color w:val="auto"/>
        </w:rPr>
      </w:pPr>
    </w:p>
    <w:p>
      <w:pPr>
        <w:ind w:left="532" w:right="140" w:hanging="532"/>
        <w:spacing w:after="0" w:line="259" w:lineRule="auto"/>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21" w:lineRule="exact"/>
        <w:rPr>
          <w:rFonts w:ascii="Arial" w:cs="Arial" w:eastAsia="Arial" w:hAnsi="Arial"/>
          <w:sz w:val="18"/>
          <w:szCs w:val="18"/>
          <w:color w:val="auto"/>
        </w:rPr>
      </w:pPr>
    </w:p>
    <w:p>
      <w:pPr>
        <w:ind w:left="532" w:hanging="532"/>
        <w:spacing w:after="0"/>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Water Rights Transfer; and</w:t>
      </w:r>
    </w:p>
    <w:p>
      <w:pPr>
        <w:spacing w:after="0" w:line="238" w:lineRule="exact"/>
        <w:rPr>
          <w:rFonts w:ascii="Arial" w:cs="Arial" w:eastAsia="Arial" w:hAnsi="Arial"/>
          <w:sz w:val="18"/>
          <w:szCs w:val="18"/>
          <w:color w:val="auto"/>
        </w:rPr>
      </w:pPr>
    </w:p>
    <w:p>
      <w:pPr>
        <w:ind w:left="532" w:right="160" w:hanging="532"/>
        <w:spacing w:after="0" w:line="268" w:lineRule="auto"/>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of Wynn Las Vegas, any Restricted Entity or Restricted Subsidiary, outstanding on the date of the indenture, and any Permitted Refinancing Indebtedness thereof.</w:t>
      </w:r>
    </w:p>
    <w:p>
      <w:pPr>
        <w:spacing w:after="0" w:line="186"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39" w:lineRule="exact"/>
        <w:rPr>
          <w:sz w:val="20"/>
          <w:szCs w:val="20"/>
          <w:color w:val="auto"/>
        </w:rPr>
      </w:pPr>
    </w:p>
    <w:p>
      <w:pPr>
        <w:ind w:left="532" w:right="20" w:hanging="532"/>
        <w:spacing w:after="0" w:line="256" w:lineRule="auto"/>
        <w:tabs>
          <w:tab w:leader="none" w:pos="53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into or consolidated with Wynn Las Vegas, any Restricted Entity or any of their respective Restricted Subsidiaries, so long as such Liens were in existence prior to the contemplation of such merger or consolidation and do not extend to any assets other than those of the Person merged into or consolidated with Wynn Las Vegas, any Restricted Entity or any of their respective Restricted Subsidiaries;</w:t>
      </w:r>
    </w:p>
    <w:p>
      <w:pPr>
        <w:spacing w:after="0" w:line="224" w:lineRule="exact"/>
        <w:rPr>
          <w:rFonts w:ascii="Arial" w:cs="Arial" w:eastAsia="Arial" w:hAnsi="Arial"/>
          <w:sz w:val="18"/>
          <w:szCs w:val="18"/>
          <w:color w:val="auto"/>
        </w:rPr>
      </w:pPr>
    </w:p>
    <w:p>
      <w:pPr>
        <w:ind w:left="532" w:right="140" w:hanging="532"/>
        <w:spacing w:after="0" w:line="259" w:lineRule="auto"/>
        <w:tabs>
          <w:tab w:leader="none" w:pos="53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Liens in favor of Wynn Las Vegas, any Restricted Entity or any of their respective Restricted Subsidiaries (other than Liens granted by Wynn Las Vegas, any Restricted Entity or any of their respective Restricted Subsidiaries), so long as if any such Liens are on any or all of the Collateral, such Liens are either: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hanging="532"/>
        <w:spacing w:after="0"/>
        <w:tabs>
          <w:tab w:leader="none" w:pos="107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collaterally assigned to the trustee, or</w:t>
      </w:r>
    </w:p>
    <w:p>
      <w:pPr>
        <w:spacing w:after="0" w:line="252" w:lineRule="exact"/>
        <w:rPr>
          <w:rFonts w:ascii="Arial" w:cs="Arial" w:eastAsia="Arial" w:hAnsi="Arial"/>
          <w:sz w:val="18"/>
          <w:szCs w:val="18"/>
          <w:color w:val="auto"/>
        </w:rPr>
      </w:pPr>
    </w:p>
    <w:p>
      <w:pPr>
        <w:ind w:left="1072" w:right="40" w:hanging="532"/>
        <w:spacing w:after="0" w:line="259" w:lineRule="auto"/>
        <w:tabs>
          <w:tab w:leader="none" w:pos="107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 representative of the lenders under the Credit Agreement pursuant to the Project Lenders Intercreditor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532" w:right="220" w:hanging="532"/>
        <w:spacing w:after="0" w:line="259" w:lineRule="auto"/>
        <w:tabs>
          <w:tab w:leader="none" w:pos="53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any Restricted Entity or any of their respective Restricted Subsidiaries (other than materials, supplies or FF&amp;E acquired in connection with developing, constructing, expanding or equipping of the Project), so long as such Liens were in existence prior to the contemplation of such acquisition;</w:t>
      </w:r>
    </w:p>
    <w:p>
      <w:pPr>
        <w:sectPr>
          <w:pgSz w:w="11900" w:h="16838" w:orient="portrait"/>
          <w:cols w:equalWidth="0" w:num="1">
            <w:col w:w="11412"/>
          </w:cols>
          <w:pgMar w:left="248" w:top="131" w:right="239" w:bottom="0" w:gutter="0" w:footer="0" w:header="0"/>
        </w:sectPr>
      </w:pPr>
    </w:p>
    <w:p>
      <w:pPr>
        <w:spacing w:after="0" w:line="19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type w:val="continuous"/>
        </w:sectPr>
      </w:pPr>
    </w:p>
    <w:bookmarkStart w:id="125" w:name="page126"/>
    <w:bookmarkEnd w:id="125"/>
    <w:p>
      <w:pPr>
        <w:ind w:left="532" w:right="680"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212" w:lineRule="exact"/>
        <w:rPr>
          <w:rFonts w:ascii="Arial" w:cs="Arial" w:eastAsia="Arial" w:hAnsi="Arial"/>
          <w:sz w:val="18"/>
          <w:szCs w:val="18"/>
          <w:color w:val="auto"/>
        </w:rPr>
      </w:pPr>
    </w:p>
    <w:p>
      <w:pPr>
        <w:jc w:val="both"/>
        <w:ind w:left="532" w:right="60" w:hanging="532"/>
        <w:spacing w:after="0" w:line="256"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prior to Final Completion, any Liens permitted under the Disbursement Agreement;</w:t>
      </w:r>
    </w:p>
    <w:p>
      <w:pPr>
        <w:spacing w:after="0" w:line="238" w:lineRule="exact"/>
        <w:rPr>
          <w:rFonts w:ascii="Arial" w:cs="Arial" w:eastAsia="Arial" w:hAnsi="Arial"/>
          <w:sz w:val="18"/>
          <w:szCs w:val="18"/>
          <w:color w:val="auto"/>
        </w:rPr>
      </w:pPr>
    </w:p>
    <w:p>
      <w:pPr>
        <w:ind w:left="532" w:right="300" w:hanging="532"/>
        <w:spacing w:after="0" w:line="259"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221"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w:t>
      </w:r>
    </w:p>
    <w:p>
      <w:pPr>
        <w:spacing w:after="0" w:line="199" w:lineRule="exact"/>
        <w:rPr>
          <w:rFonts w:ascii="Arial" w:cs="Arial" w:eastAsia="Arial" w:hAnsi="Arial"/>
          <w:sz w:val="18"/>
          <w:szCs w:val="18"/>
          <w:color w:val="auto"/>
        </w:rPr>
      </w:pPr>
    </w:p>
    <w:p>
      <w:pPr>
        <w:ind w:left="532" w:right="420"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Indebtedness and other Obligations under the Credit Agreement that were permitted by the terms of the indenture to be incurred;</w:t>
      </w:r>
    </w:p>
    <w:p>
      <w:pPr>
        <w:spacing w:after="0" w:line="199" w:lineRule="exact"/>
        <w:rPr>
          <w:rFonts w:ascii="Arial" w:cs="Arial" w:eastAsia="Arial" w:hAnsi="Arial"/>
          <w:sz w:val="18"/>
          <w:szCs w:val="18"/>
          <w:color w:val="auto"/>
        </w:rPr>
      </w:pPr>
    </w:p>
    <w:p>
      <w:pPr>
        <w:ind w:left="532" w:right="340" w:hanging="532"/>
        <w:spacing w:after="0" w:line="256"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on FF&amp;E or other property or assets to secure Indebtedness permitted by clause (7) of the second paragraph of the covenant described under the caption "—Certain Covenants—Incurrence of Indebtedness and Issuance of Preferred Equity," so long as 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24" w:lineRule="exact"/>
        <w:rPr>
          <w:rFonts w:ascii="Arial" w:cs="Arial" w:eastAsia="Arial" w:hAnsi="Arial"/>
          <w:sz w:val="18"/>
          <w:szCs w:val="18"/>
          <w:color w:val="auto"/>
        </w:rPr>
      </w:pPr>
    </w:p>
    <w:p>
      <w:pPr>
        <w:ind w:left="532" w:right="100" w:hanging="532"/>
        <w:spacing w:after="0" w:line="259"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207" w:lineRule="exact"/>
        <w:rPr>
          <w:rFonts w:ascii="Arial" w:cs="Arial" w:eastAsia="Arial" w:hAnsi="Arial"/>
          <w:sz w:val="18"/>
          <w:szCs w:val="18"/>
          <w:color w:val="auto"/>
        </w:rPr>
      </w:pPr>
    </w:p>
    <w:p>
      <w:pPr>
        <w:ind w:left="532" w:right="320" w:hanging="532"/>
        <w:spacing w:after="0" w:line="259"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any Restricted Entity or any of their respective Restricted Subsidiaries incurred in the ordinary course of business;</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Liens on Equity Interests in, and assets of, Unrestricted Subsidiaries of Wynn Las Vegas that secure Non-Recourse Debt of Unrestricted Subsidiaries;</w:t>
      </w:r>
    </w:p>
    <w:p>
      <w:pPr>
        <w:spacing w:after="0" w:line="275" w:lineRule="exact"/>
        <w:rPr>
          <w:rFonts w:ascii="Arial" w:cs="Arial" w:eastAsia="Arial" w:hAnsi="Arial"/>
          <w:sz w:val="16"/>
          <w:szCs w:val="16"/>
          <w:color w:val="auto"/>
        </w:rPr>
      </w:pPr>
    </w:p>
    <w:p>
      <w:pPr>
        <w:ind w:left="532" w:right="800"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on assets or property of Wynn Las Vegas, any Restricted Entity or any of their respective Restricted Subsidiaries arising by reason of any attachment or judgment not constituting an Event of Default under the indenture, so long as: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72" w:hanging="532"/>
        <w:spacing w:after="0"/>
        <w:tabs>
          <w:tab w:leader="none" w:pos="107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238" w:lineRule="exact"/>
        <w:rPr>
          <w:rFonts w:ascii="Arial" w:cs="Arial" w:eastAsia="Arial" w:hAnsi="Arial"/>
          <w:sz w:val="18"/>
          <w:szCs w:val="18"/>
          <w:color w:val="auto"/>
        </w:rPr>
      </w:pPr>
    </w:p>
    <w:p>
      <w:pPr>
        <w:ind w:left="5572" w:right="280" w:hanging="5032"/>
        <w:spacing w:after="0" w:line="519" w:lineRule="auto"/>
        <w:tabs>
          <w:tab w:leader="none" w:pos="107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such Liens are adequately bonded or adequate reserves have been established on the books of the applicable Person in accordance with GAAP; 219</w:t>
      </w:r>
    </w:p>
    <w:p>
      <w:pPr>
        <w:spacing w:after="0" w:line="239" w:lineRule="exact"/>
        <w:rPr>
          <w:rFonts w:ascii="Arial" w:cs="Arial" w:eastAsia="Arial" w:hAnsi="Arial"/>
          <w:sz w:val="18"/>
          <w:szCs w:val="18"/>
          <w:color w:val="auto"/>
        </w:rPr>
      </w:pPr>
    </w:p>
    <w:p>
      <w:pPr>
        <w:ind w:left="532" w:right="140" w:hanging="532"/>
        <w:spacing w:after="0" w:line="256"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any Restricted Entity or any of their respective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72" w:right="100" w:hanging="532"/>
        <w:spacing w:after="0" w:line="268" w:lineRule="auto"/>
        <w:tabs>
          <w:tab w:leader="none" w:pos="107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neither Issuer nor any Restricted Entity nor any of their respective Restricted Subsidiaries is liable for the payment of any principal of, or interest, premiums or fees on, such financing, and</w:t>
      </w:r>
    </w:p>
    <w:p>
      <w:pPr>
        <w:spacing w:after="0" w:line="212" w:lineRule="exact"/>
        <w:rPr>
          <w:rFonts w:ascii="Arial" w:cs="Arial" w:eastAsia="Arial" w:hAnsi="Arial"/>
          <w:sz w:val="18"/>
          <w:szCs w:val="18"/>
          <w:color w:val="auto"/>
        </w:rPr>
      </w:pPr>
    </w:p>
    <w:p>
      <w:pPr>
        <w:ind w:left="1072" w:right="40" w:hanging="532"/>
        <w:spacing w:after="0" w:line="268" w:lineRule="auto"/>
        <w:tabs>
          <w:tab w:leader="none" w:pos="107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jc w:val="both"/>
        <w:ind w:left="532" w:hanging="532"/>
        <w:spacing w:after="0" w:line="335" w:lineRule="auto"/>
        <w:tabs>
          <w:tab w:leader="none" w:pos="532" w:val="left"/>
        </w:tabs>
        <w:numPr>
          <w:ilvl w:val="0"/>
          <w:numId w:val="266"/>
        </w:numPr>
        <w:rPr>
          <w:rFonts w:ascii="Arial" w:cs="Arial" w:eastAsia="Arial" w:hAnsi="Arial"/>
          <w:sz w:val="15"/>
          <w:szCs w:val="15"/>
          <w:color w:val="auto"/>
        </w:rPr>
      </w:pPr>
      <w:r>
        <w:rPr>
          <w:rFonts w:ascii="Arial" w:cs="Arial" w:eastAsia="Arial" w:hAnsi="Arial"/>
          <w:sz w:val="15"/>
          <w:szCs w:val="15"/>
          <w:color w:val="auto"/>
        </w:rPr>
        <w:t>Uniform Commercial Code financing statements filed for precautionary purposes in connection with any true lease of property leased by Wynn Las Vegas, any Restricted Entity or any of their respective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55" w:lineRule="exact"/>
        <w:rPr>
          <w:rFonts w:ascii="Arial" w:cs="Arial" w:eastAsia="Arial" w:hAnsi="Arial"/>
          <w:sz w:val="15"/>
          <w:szCs w:val="15"/>
          <w:color w:val="auto"/>
        </w:rPr>
      </w:pPr>
    </w:p>
    <w:p>
      <w:pPr>
        <w:ind w:left="532" w:right="580"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under the caption "—Certain Covenants— Incurrence of Indebtedness and Issuance of Preferred Equity," so long as: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72" w:hanging="532"/>
        <w:spacing w:after="0"/>
        <w:tabs>
          <w:tab w:leader="none" w:pos="107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Indebtedness being refinanced by such Permitted Refinancing Indebtedness was secured, and</w:t>
      </w:r>
    </w:p>
    <w:p>
      <w:pPr>
        <w:spacing w:after="0" w:line="238" w:lineRule="exact"/>
        <w:rPr>
          <w:rFonts w:ascii="Arial" w:cs="Arial" w:eastAsia="Arial" w:hAnsi="Arial"/>
          <w:sz w:val="18"/>
          <w:szCs w:val="18"/>
          <w:color w:val="auto"/>
        </w:rPr>
      </w:pPr>
    </w:p>
    <w:p>
      <w:pPr>
        <w:jc w:val="both"/>
        <w:ind w:left="1072" w:right="180" w:hanging="532"/>
        <w:spacing w:after="0" w:line="259" w:lineRule="auto"/>
        <w:tabs>
          <w:tab w:leader="none" w:pos="107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-3971925</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5" w:right="239" w:bottom="0" w:gutter="0" w:footer="0" w:header="0"/>
        </w:sectPr>
      </w:pPr>
    </w:p>
    <w:bookmarkStart w:id="126" w:name="page127"/>
    <w:bookmarkEnd w:id="126"/>
    <w:p>
      <w:pPr>
        <w:ind w:left="540" w:right="12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in each case as in effect on the date of the indenture, so long as such Liens do not secure Indebtedness;</w:t>
      </w:r>
    </w:p>
    <w:p>
      <w:pPr>
        <w:spacing w:after="0" w:line="199"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199" w:lineRule="exact"/>
        <w:rPr>
          <w:rFonts w:ascii="Arial" w:cs="Arial" w:eastAsia="Arial" w:hAnsi="Arial"/>
          <w:sz w:val="18"/>
          <w:szCs w:val="18"/>
          <w:color w:val="auto"/>
        </w:rPr>
      </w:pPr>
    </w:p>
    <w:p>
      <w:pPr>
        <w:ind w:left="540" w:right="320" w:hanging="532"/>
        <w:spacing w:after="0" w:line="259"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21"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any Restricted Entity or any of their respective Restricted Subsidiaries securing reimbursement obligations under performance bonds, guaranties, trade letters of credit, bankers' acceptances or similar instruments permitted under clause (14) of the second paragraph of the covenant captioned "—Incurrence of Indebtedness and Issuance of Preferred Equity," granted by Wynn Las Vegas,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Restricted Entity or any of their respective Restricted Subsidiaries in favor of the issuers of such performance bonds, guaranties, trade letters of credit or bankers' acceptances, so long as:</w:t>
      </w:r>
    </w:p>
    <w:p>
      <w:pPr>
        <w:spacing w:after="0" w:line="199" w:lineRule="exact"/>
        <w:rPr>
          <w:sz w:val="20"/>
          <w:szCs w:val="20"/>
          <w:color w:val="auto"/>
        </w:rPr>
      </w:pPr>
    </w:p>
    <w:p>
      <w:pPr>
        <w:ind w:left="1080" w:hanging="532"/>
        <w:spacing w:after="0"/>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3"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Liens not specified in clauses (1) through (23) above and not otherwise permitted by the covenant described under the caption "—Certain Covenants— Liens," so long as the aggregate outstanding principal amount of the obligations secured by all such Liens in the aggregate does not exceed $1.0 million at any one time (collectively for all assets and property subject to such Liens).</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any Restricted Entity or any of their respective Restricted Subsidiaries issued in exchange for, or the net proceeds of which are used to extend, refinance, renew, replace, amend and restate, restate, defease or refund other Indebtedness of any Person (other than intercompany Indebtedness), so long as:</w:t>
      </w:r>
    </w:p>
    <w:p>
      <w:pPr>
        <w:spacing w:after="0" w:line="208" w:lineRule="exact"/>
        <w:rPr>
          <w:sz w:val="20"/>
          <w:szCs w:val="20"/>
          <w:color w:val="auto"/>
        </w:rPr>
      </w:pPr>
    </w:p>
    <w:p>
      <w:pPr>
        <w:ind w:left="540" w:right="100" w:hanging="532"/>
        <w:spacing w:after="0" w:line="255" w:lineRule="auto"/>
        <w:tabs>
          <w:tab w:leader="none" w:pos="5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223" w:lineRule="exact"/>
        <w:rPr>
          <w:rFonts w:ascii="Arial" w:cs="Arial" w:eastAsia="Arial" w:hAnsi="Arial"/>
          <w:sz w:val="18"/>
          <w:szCs w:val="18"/>
          <w:color w:val="auto"/>
        </w:rPr>
      </w:pPr>
    </w:p>
    <w:p>
      <w:pPr>
        <w:ind w:left="540" w:right="20" w:hanging="532"/>
        <w:spacing w:after="0" w:line="370" w:lineRule="auto"/>
        <w:tabs>
          <w:tab w:leader="none" w:pos="5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9" w:lineRule="exact"/>
        <w:rPr>
          <w:rFonts w:ascii="Arial" w:cs="Arial" w:eastAsia="Arial" w:hAnsi="Arial"/>
          <w:sz w:val="15"/>
          <w:szCs w:val="15"/>
          <w:color w:val="auto"/>
        </w:rPr>
      </w:pPr>
    </w:p>
    <w:p>
      <w:pPr>
        <w:ind w:left="540" w:hanging="532"/>
        <w:spacing w:after="0" w:line="256" w:lineRule="auto"/>
        <w:tabs>
          <w:tab w:leader="none" w:pos="5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10" w:lineRule="exact"/>
        <w:rPr>
          <w:rFonts w:ascii="Arial" w:cs="Arial" w:eastAsia="Arial" w:hAnsi="Arial"/>
          <w:sz w:val="18"/>
          <w:szCs w:val="18"/>
          <w:color w:val="auto"/>
        </w:rPr>
      </w:pPr>
    </w:p>
    <w:p>
      <w:pPr>
        <w:jc w:val="center"/>
        <w:ind w:left="5580" w:right="140" w:hanging="5572"/>
        <w:spacing w:after="0" w:line="519" w:lineRule="auto"/>
        <w:tabs>
          <w:tab w:leader="none" w:pos="54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such Indebtedness is incurred by the Person that is the obligor on the Indebtedness being extended, refinanced, renewed, replaced, defeased or refunded.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xml:space="preserve"> means:</w:t>
      </w:r>
    </w:p>
    <w:p>
      <w:pPr>
        <w:spacing w:after="0" w:line="252" w:lineRule="exact"/>
        <w:rPr>
          <w:sz w:val="20"/>
          <w:szCs w:val="20"/>
          <w:color w:val="auto"/>
        </w:rPr>
      </w:pPr>
    </w:p>
    <w:p>
      <w:pPr>
        <w:ind w:left="540" w:right="200" w:hanging="532"/>
        <w:spacing w:after="0" w:line="332" w:lineRule="auto"/>
        <w:tabs>
          <w:tab w:leader="none" w:pos="5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quaranteed by, the United States government or issued by any agency thereof and backed by the full faith and credit of the United States, in each case maturing within 18 months from the date of acquisition;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ectPr>
          <w:pgSz w:w="11900" w:h="16838" w:orient="portrait"/>
          <w:cols w:equalWidth="0" w:num="1">
            <w:col w:w="11380"/>
          </w:cols>
          <w:pgMar w:left="240" w:top="604" w:right="279" w:bottom="0" w:gutter="0" w:footer="0" w:header="0"/>
        </w:sectPr>
      </w:pPr>
    </w:p>
    <w:bookmarkStart w:id="127" w:name="page128"/>
    <w:bookmarkEnd w:id="127"/>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means the approximately 20-acre portion of the Project Site designated as the Phase II Land in the Collateral Documents, together with all improvements thereon and all rights appurtenant thereto.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Liability</w:t>
      </w:r>
      <w:r>
        <w:rPr>
          <w:rFonts w:ascii="Arial" w:cs="Arial" w:eastAsia="Arial" w:hAnsi="Arial"/>
          <w:sz w:val="16"/>
          <w:szCs w:val="16"/>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any Restricted Entity or any of their respective Restricted Subsidiaries that (i) are, or were previously, deductible by such Person and (ii) have not previously reduced Taxable Income), and (b) the Presumed Tax Rate.</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Rate</w:t>
      </w:r>
      <w:r>
        <w:rPr>
          <w:rFonts w:ascii="Arial" w:cs="Arial" w:eastAsia="Arial" w:hAnsi="Arial"/>
          <w:sz w:val="18"/>
          <w:szCs w:val="18"/>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any Restricted Entity or any of their respective Restricted Subsidiaries that is a Pass Through Entity). In determining the Presumed Tax Rate, the character of the items of income and gain comprising Taxable Income (</w:t>
      </w:r>
      <w:r>
        <w:rPr>
          <w:rFonts w:ascii="Arial" w:cs="Arial" w:eastAsia="Arial" w:hAnsi="Arial"/>
          <w:sz w:val="18"/>
          <w:szCs w:val="18"/>
          <w:i w:val="1"/>
          <w:iCs w:val="1"/>
          <w:color w:val="auto"/>
        </w:rPr>
        <w:t>e.g.</w:t>
      </w:r>
      <w:r>
        <w:rPr>
          <w:rFonts w:ascii="Arial" w:cs="Arial" w:eastAsia="Arial" w:hAnsi="Arial"/>
          <w:sz w:val="18"/>
          <w:szCs w:val="18"/>
          <w:color w:val="auto"/>
        </w:rPr>
        <w:t xml:space="preserve"> ordinary income or long term capital gain) shall be taken into account.</w:t>
      </w:r>
    </w:p>
    <w:p>
      <w:pPr>
        <w:spacing w:after="0" w:line="19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other than the FF&amp;E Collateral, together with the proceeds and products thereof (including, without limitation, the proceeds of Asset Sales).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amount</w:t>
      </w:r>
      <w:r>
        <w:rPr>
          <w:rFonts w:ascii="Arial" w:cs="Arial" w:eastAsia="Arial" w:hAnsi="Arial"/>
          <w:sz w:val="16"/>
          <w:szCs w:val="16"/>
          <w:color w:val="auto"/>
        </w:rPr>
        <w:t>" means, with respect to the notes on any date of determination, the then-outstanding principal amount (or accreted value) of the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the notes have fully accreted to face value, the principal amount shall equal the principal amount at maturity.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w:t>
      </w:r>
      <w:r>
        <w:rPr>
          <w:rFonts w:ascii="Arial" w:cs="Arial" w:eastAsia="Arial" w:hAnsi="Arial"/>
          <w:sz w:val="16"/>
          <w:szCs w:val="16"/>
          <w:color w:val="auto"/>
        </w:rPr>
        <w:t>" means the Le Rêve Casino Resort, a large scale luxury hotel and destination casino resort, with related parking structure and golf course facilities to be developed on the Project Site, all as more particularly described in the applicable exhibit to the Disbursement Agreement.</w:t>
      </w:r>
    </w:p>
    <w:p>
      <w:pPr>
        <w:spacing w:after="0" w:line="13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w:t>
      </w:r>
      <w:r>
        <w:rPr>
          <w:rFonts w:ascii="Arial" w:cs="Arial" w:eastAsia="Arial" w:hAnsi="Arial"/>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Parking Facility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Driving Range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Office Building Lease,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Shuttle Easement Agreement,</w:t>
      </w:r>
    </w:p>
    <w:p>
      <w:pPr>
        <w:spacing w:after="0" w:line="22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Related Indebtedness</w:t>
      </w:r>
      <w:r>
        <w:rPr>
          <w:rFonts w:ascii="Arial" w:cs="Arial" w:eastAsia="Arial" w:hAnsi="Arial"/>
          <w:sz w:val="18"/>
          <w:szCs w:val="18"/>
          <w:color w:val="auto"/>
        </w:rPr>
        <w:t>" means Indebtedness for borrowed money incurred by Wynn Resorts, the proceeds of which are contributed, directly or indirectly, as common equity capital to Wynn Las Vegas and its Restricted Subsidiaries, so long as neither Issuer, no Restricted Entity nor any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212-acre site upon which the Project will be located, together with all easements, licenses and other rights running for the benefit of Wynn Las Vegas, any Restricted Entity or any of their respective Restricted Subsidiaries and/or appurtenant thereto, and all as more particularly described in the exhibit captioned "Project Site" in the indenture.</w:t>
      </w:r>
    </w:p>
    <w:p>
      <w:pPr>
        <w:sectPr>
          <w:pgSz w:w="11900" w:h="16838" w:orient="portrait"/>
          <w:cols w:equalWidth="0" w:num="1">
            <w:col w:w="11400"/>
          </w:cols>
          <w:pgMar w:left="240" w:top="131" w:right="259" w:bottom="0" w:gutter="0" w:footer="0" w:header="0"/>
        </w:sectPr>
      </w:pPr>
    </w:p>
    <w:bookmarkStart w:id="128" w:name="page129"/>
    <w:bookmarkEnd w:id="128"/>
    <w:p>
      <w:pPr>
        <w:ind w:right="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(other than Disqualified Stock) of Wynn Resorts which results in gross proceeds to Wynn Resorts of at least $50.0 million, to the extent that such gross receipts are contributed as a cash common equity contribution to Wynn Las Vegas.</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Intercompany Agreement</w:t>
      </w:r>
      <w:r>
        <w:rPr>
          <w:rFonts w:ascii="Arial" w:cs="Arial" w:eastAsia="Arial" w:hAnsi="Arial"/>
          <w:sz w:val="16"/>
          <w:szCs w:val="16"/>
          <w:color w:val="auto"/>
        </w:rPr>
        <w:t>" means any agreement entered into by or among one or more of the Restricted Entities, on the one hand, and one or more of Wynn Resorts or any of its Subsidiaries, on the other hand, for the provision of goods, rights and/or services to be used in Permitted Businesses related to or in connection with and, in any event, for the benefit of, the Project, so long as the Affiliate Transactions effected under such Qualified Intercompany Agreement satisfy the requirements of the covenant captioned "—Transactions with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the Principal; or</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 Any such item of Collateral shall cease to be a Released Asset in the event, and to the extent, that Wynn Las Vegas, any Restricted Entity or any of their respective Restricted Subsidiaries is required to grant a security interest therein in favor of the trustee to secure the notes or a guarantee of the notes pursuant to the covenants captioned "—Release of Golf Course Land and Phase II Land—Release of Portions of the Golf Course Land" and "—Release of Golf Course Land and Phase II Land— Release of the Phase II Land."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w:t>
      </w:r>
      <w:r>
        <w:rPr>
          <w:rFonts w:ascii="Arial" w:cs="Arial" w:eastAsia="Arial" w:hAnsi="Arial"/>
          <w:sz w:val="18"/>
          <w:szCs w:val="18"/>
          <w:color w:val="auto"/>
        </w:rPr>
        <w:t>" means the corporate aircraft to be acquired with Replacement Aircraft Indebtedness.</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 Indebtedness</w:t>
      </w:r>
      <w:r>
        <w:rPr>
          <w:rFonts w:ascii="Arial" w:cs="Arial" w:eastAsia="Arial" w:hAnsi="Arial"/>
          <w:sz w:val="18"/>
          <w:szCs w:val="18"/>
          <w:color w:val="auto"/>
        </w:rPr>
        <w:t>" means Indebtedness represented by Capital Lease Obligations, mortgage financings or purchase money obligations incurred by Wynn Resorts or a direct Wholly Owned Subsidiary (which may be a trust) of Wynn Resorts (other than Wynn Capital, Wynn Las Vegas, any Restricted Entity or any of their respective Restricted Subsidiaries) for the purpose of financing all or part of the purchase price of a Replacement Aircraft, so long as:</w:t>
      </w:r>
    </w:p>
    <w:p>
      <w:pPr>
        <w:spacing w:after="0" w:line="211" w:lineRule="exact"/>
        <w:rPr>
          <w:sz w:val="20"/>
          <w:szCs w:val="20"/>
          <w:color w:val="auto"/>
        </w:rPr>
      </w:pPr>
    </w:p>
    <w:p>
      <w:pPr>
        <w:ind w:left="540" w:right="220" w:hanging="532"/>
        <w:spacing w:after="0" w:line="370" w:lineRule="auto"/>
        <w:tabs>
          <w:tab w:leader="none" w:pos="54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principal amount of such Indebtedness does not exceed the cost (including sales and excise taxes, installation and delivery charges and other direct costs of, and other direct expenses paid or charged in connection with, such purchase) of the Replacement Aircraft purchased with the proceeds thereof,</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aggregate principal amount of such Indebtedness does not exceed $55.0 million at any time outstanding,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neither Issuer, no Restricted Entity nor any of their respective Restricted Subsidiaries: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840" w:hanging="532"/>
        <w:spacing w:after="0" w:line="268" w:lineRule="auto"/>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Entity</w:t>
      </w:r>
      <w:r>
        <w:rPr>
          <w:rFonts w:ascii="Arial" w:cs="Arial" w:eastAsia="Arial" w:hAnsi="Arial"/>
          <w:sz w:val="18"/>
          <w:szCs w:val="18"/>
          <w:color w:val="auto"/>
        </w:rPr>
        <w:t>" means any of Desert Inn Water Company, LLC, Valvino Lamore, Wynn Design, Wynn Resorts Holdings, Las Vegas Jet, LLC, World Travel, LLC and Palo, LLC.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(1) as to Wynn Las Vegas, any Subsidiary of Wynn Las Vegas that is not an Unrestricted Subsidiary, or (2) as to any Restricted Entity, any Subsidiary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a Restricted Entity, other than (a) any other Restricted Entity, (b) the Issuers or (c) any Subsidiary of either Issuer.</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among Wynn Resorts Holdings, Valvino Lamore and Wynn Las Vegas,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129" w:name="page130"/>
    <w:bookmarkEnd w:id="129"/>
    <w:p>
      <w:pPr>
        <w:ind w:left="540"/>
        <w:spacing w:after="0"/>
        <w:rPr>
          <w:sz w:val="20"/>
          <w:szCs w:val="20"/>
          <w:color w:val="auto"/>
        </w:rPr>
      </w:pPr>
      <w:r>
        <w:rPr>
          <w:rFonts w:ascii="Arial" w:cs="Arial" w:eastAsia="Arial" w:hAnsi="Arial"/>
          <w:sz w:val="18"/>
          <w:szCs w:val="18"/>
          <w:color w:val="auto"/>
        </w:rPr>
        <w:t>Valvino Lamore,</w:t>
      </w:r>
    </w:p>
    <w:p>
      <w:pPr>
        <w:spacing w:after="0" w:line="239" w:lineRule="exact"/>
        <w:rPr>
          <w:sz w:val="20"/>
          <w:szCs w:val="20"/>
          <w:color w:val="auto"/>
        </w:rPr>
      </w:pPr>
    </w:p>
    <w:p>
      <w:pPr>
        <w:ind w:left="540" w:hanging="532"/>
        <w:spacing w:after="0"/>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Wynn Resorts Holdings,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Desert Inn Water Company, or</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Restricted Entity if it (a) contributes at least 10% of the Restricted Entities' total consolidated income from continuing operations before income taxes, extraordinary items, or (b) owns at least 10% of the Restricted Entities' total assets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259"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 respect to any Restricted Subsidiary of Wynn Las Vegas, such Subsidiary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 and</w:t>
      </w:r>
    </w:p>
    <w:p>
      <w:pPr>
        <w:spacing w:after="0" w:line="221"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 respect to any Restricted Subsidiary of a Restricted Entity, such Subsidiary if it (a) contributes at least 10% of the Restricted Entities' and their Restricted Subsidiaries' total consolidated income from continuing operations before income taxes, extraordinary items, or (b) owns at least 10% of the Restricted Entities' and their Restricted Subsidiaries' total assets on a consolidated basis.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means, when used with respect to any Person, as of any date of determination:</w:t>
      </w:r>
    </w:p>
    <w:p>
      <w:pPr>
        <w:spacing w:after="0" w:line="239" w:lineRule="exact"/>
        <w:rPr>
          <w:sz w:val="20"/>
          <w:szCs w:val="20"/>
          <w:color w:val="auto"/>
        </w:rPr>
      </w:pPr>
    </w:p>
    <w:p>
      <w:pPr>
        <w:ind w:left="540" w:right="420" w:hanging="532"/>
        <w:spacing w:after="0" w:line="259" w:lineRule="auto"/>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amount of the "present fair saleable value" of the assets of such Person will,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Person does not reasonably expect that such person may be unable to pay the liability of such Person on its debts as such debts become absolute and matured,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Person will not have, as of such date, an unreasonably small amount of capital with which to conduct its business,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Person will be able to pay its undisputed debts generally as they mature,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Person is not insolvent within the meaning of any applicable requirements of law.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for purposes of this definition, (a) "debt" means liability on a "claim," and (b) "claim" means any (i) right to payment, whether or not such a right is reduced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540" w:right="100" w:hanging="532"/>
        <w:spacing w:after="0" w:line="335" w:lineRule="auto"/>
        <w:tabs>
          <w:tab w:leader="none" w:pos="54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5" w:lineRule="exact"/>
        <w:rPr>
          <w:rFonts w:ascii="Arial" w:cs="Arial" w:eastAsia="Arial" w:hAnsi="Arial"/>
          <w:sz w:val="15"/>
          <w:szCs w:val="15"/>
          <w:color w:val="auto"/>
        </w:rPr>
      </w:pPr>
    </w:p>
    <w:p>
      <w:pPr>
        <w:ind w:left="540" w:right="180" w:hanging="532"/>
        <w:spacing w:after="0" w:line="268"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pacing w:after="0" w:line="186"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 Amount</w:t>
      </w:r>
      <w:r>
        <w:rPr>
          <w:rFonts w:ascii="Arial" w:cs="Arial" w:eastAsia="Arial" w:hAnsi="Arial"/>
          <w:sz w:val="15"/>
          <w:szCs w:val="15"/>
          <w:color w:val="auto"/>
        </w:rPr>
        <w:t>" means, with respect to any period, (1) in the case of any direct or indirect member of any of Wynn Las Vegas, the Completion Guarantor, any Restricted Entity or any of their respective Restricted Subsidiaries that is a Pass Through Entity, the Presumed Tax Liability of such direct or indirect member, and (2) with respect to any of Wynn Las Vegas, the Completion Guarantor, the Restricted Entities or any of their respective Restricted Subsidiaries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5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Distribution</w:t>
      </w:r>
      <w:r>
        <w:rPr>
          <w:rFonts w:ascii="Arial" w:cs="Arial" w:eastAsia="Arial" w:hAnsi="Arial"/>
          <w:sz w:val="18"/>
          <w:szCs w:val="18"/>
          <w:color w:val="auto"/>
        </w:rPr>
        <w:t>" means a distribution in respect of taxes pursuant to clause (5) of the second paragraph of the covenant described above under the caption "Certain Covenants—Restricted Payments."</w:t>
      </w:r>
    </w:p>
    <w:p>
      <w:pPr>
        <w:spacing w:after="0" w:line="186"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 Indemnification Agreement</w:t>
      </w:r>
      <w:r>
        <w:rPr>
          <w:rFonts w:ascii="Arial" w:cs="Arial" w:eastAsia="Arial" w:hAnsi="Arial"/>
          <w:sz w:val="15"/>
          <w:szCs w:val="15"/>
          <w:color w:val="auto"/>
        </w:rPr>
        <w:t>" means the Tax Indemnification Agreement, dated as of the date of the indenture, among Wynn Resorts, Valvino Lamore, Stephen A. Wynn, Aruze USA, Baron Asset Fund, a Massachusetts business trust, on behalf of the Baron Asset Fund Series, Baron Asset Fund, a Massachusetts</w:t>
      </w:r>
    </w:p>
    <w:p>
      <w:pPr>
        <w:sectPr>
          <w:pgSz w:w="11900" w:h="16838" w:orient="portrait"/>
          <w:cols w:equalWidth="0" w:num="1">
            <w:col w:w="11420"/>
          </w:cols>
          <w:pgMar w:left="240" w:top="131" w:right="239" w:bottom="0" w:gutter="0" w:footer="0" w:header="0"/>
        </w:sectPr>
      </w:pPr>
    </w:p>
    <w:bookmarkStart w:id="130" w:name="page131"/>
    <w:bookmarkEnd w:id="130"/>
    <w:p>
      <w:pPr>
        <w:ind w:right="400"/>
        <w:spacing w:after="0" w:line="332" w:lineRule="auto"/>
        <w:rPr>
          <w:sz w:val="20"/>
          <w:szCs w:val="20"/>
          <w:color w:val="auto"/>
        </w:rPr>
      </w:pPr>
      <w:r>
        <w:rPr>
          <w:rFonts w:ascii="Arial" w:cs="Arial" w:eastAsia="Arial" w:hAnsi="Arial"/>
          <w:sz w:val="16"/>
          <w:szCs w:val="16"/>
          <w:color w:val="auto"/>
        </w:rPr>
        <w:t>business trust, on behalf of the Baron Growth Fund Series, and Kenneth R. Wynn Family Trust dated February 20, 1985, as amended, modified or otherwise supplemented from time to time in accordance with the covenant captioned "—Amendments to Certain Agreements."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or loss of such Person for such period for federal income tax purposes as a result of such Persons equity ownership of Wynn Las Vegas, the Completion Guarantor, any Restricted Entity or any of their respective Restrictive Subsidiaries that are Pass Through Entities for such period, so long as all items of income, gain, loss or deduction required to be stated separately pursuant to Section 703(a)(1) of the Code are included in taxable income or loss.</w:t>
      </w:r>
    </w:p>
    <w:p>
      <w:pPr>
        <w:spacing w:after="0" w:line="19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(1) Desert Inn Improvement Co., (2) Wynn Completion Guarantor, LLC and (3) any Subsidiary of Wynn Las Vegas, other than Wynn Capital that is designated by the board of directors of Wynn Las Vegas as an Unrestricted Subsidiary pursuant to a resolution of the board of directors (and any Subsidiary of each such Unrestricted Subsidiary), but only to the extent that such Subsidiary of Wynn Las Vegas:</w:t>
      </w:r>
    </w:p>
    <w:p>
      <w:pPr>
        <w:spacing w:after="0" w:line="174" w:lineRule="exact"/>
        <w:rPr>
          <w:sz w:val="20"/>
          <w:szCs w:val="20"/>
          <w:color w:val="auto"/>
        </w:rPr>
      </w:pPr>
    </w:p>
    <w:p>
      <w:pPr>
        <w:ind w:left="540" w:hanging="532"/>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540" w:right="40" w:hanging="532"/>
        <w:spacing w:after="0" w:line="254"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either Issuer, any Restricted Entity, any Restricted Subsidiary of Wynn Las Vegas or any Restricted Entity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211"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Entity, nor any Restricted Subsidiary of Wynn Las Vegas or any Restricted Entity,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207"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Entity, any Restricted Subsidiary of Wynn Las Vegas or any Restricted Entity, or any Guarantor; and</w:t>
      </w:r>
    </w:p>
    <w:p>
      <w:pPr>
        <w:spacing w:after="0" w:line="21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Entity, any Restricted Subsidiary of Wynn Las Vegas or any Restricted Entity, or any Guarantor and has at least one executive officer that is not a director or executive officer of either Issuer, any Restricted Entity, any Restricted Subsidiary of Wynn Las Vegas or any Restricted Entity, or any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Desert Inn Improvement Co. or any Unrestricted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Subsidiary of Wynn Las Vegas to be a Restricted Entity or a Restricted Subsidiary, as the case may be. Such designation shall be deemed to be an incurrence of Indebtedness by a Restricted Entity or a Restricted Subsidiary of Wynn Las Vegas, as the case may be, of any outstanding Indebtedness of such Unrestricted Subsidiary and such designation shall only be permitted if (1) such Indebtedness is permitted under the covenant described under the caption "Certain Covenants —Incurrence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 Transfer</w:t>
      </w:r>
      <w:r>
        <w:rPr>
          <w:rFonts w:ascii="Arial" w:cs="Arial" w:eastAsia="Arial" w:hAnsi="Arial"/>
          <w:sz w:val="18"/>
          <w:szCs w:val="18"/>
          <w:color w:val="auto"/>
        </w:rPr>
        <w:t>" means the transfer of the Valvino Water Permits by Valvino Lamore to Wynn Las Vegas at no cost, in accordance with all requirements of law and pursuant to all necessary consents of Governmental Authorities (including, if applicable, the Nevada PUC and the State of Nevada, Division of Water Resources), so long as:</w:t>
      </w:r>
    </w:p>
    <w:p>
      <w:pPr>
        <w:spacing w:after="0" w:line="208" w:lineRule="exact"/>
        <w:rPr>
          <w:sz w:val="20"/>
          <w:szCs w:val="20"/>
          <w:color w:val="auto"/>
        </w:rPr>
      </w:pPr>
    </w:p>
    <w:p>
      <w:pPr>
        <w:ind w:left="540" w:right="140" w:hanging="532"/>
        <w:spacing w:after="0" w:line="268" w:lineRule="auto"/>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designated place of use for water available for draw under the Valvino Water Permits shall include the real property upon which the water features of the Le Reve casino are located,</w:t>
      </w:r>
    </w:p>
    <w:p>
      <w:pPr>
        <w:spacing w:after="0" w:line="199"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either (i) no Points of Diversion with respect to the Water Permits and the wells associated with the Water Permits are located on the Phase II Land or (ii) Valvino Lamore shall have transferred at no cost:</w:t>
      </w:r>
    </w:p>
    <w:p>
      <w:pPr>
        <w:spacing w:after="0" w:line="200" w:lineRule="exact"/>
        <w:rPr>
          <w:sz w:val="20"/>
          <w:szCs w:val="20"/>
          <w:color w:val="auto"/>
        </w:rPr>
      </w:pPr>
    </w:p>
    <w:p>
      <w:pPr>
        <w:spacing w:after="0" w:line="229" w:lineRule="exact"/>
        <w:rPr>
          <w:sz w:val="20"/>
          <w:szCs w:val="20"/>
          <w:color w:val="auto"/>
        </w:rPr>
      </w:pPr>
    </w:p>
    <w:p>
      <w:pPr>
        <w:ind w:left="1080" w:right="240" w:hanging="532"/>
        <w:spacing w:after="0" w:line="306" w:lineRule="auto"/>
        <w:tabs>
          <w:tab w:leader="none" w:pos="10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the Valvino Water Permits and DIIC Casino Water Permit and the wells associated therewith located on the Phase II Land, such easements to Wynn Las Vegas as are necessary for Wynn Las Vegas to access such Points of Diversion, own and operate such wells and transport the water drawn therefrom to the water features of the Le Reve casino, and</w:t>
      </w:r>
    </w:p>
    <w:p>
      <w:pPr>
        <w:spacing w:after="0" w:line="174" w:lineRule="exact"/>
        <w:rPr>
          <w:rFonts w:ascii="Arial" w:cs="Arial" w:eastAsia="Arial" w:hAnsi="Arial"/>
          <w:sz w:val="16"/>
          <w:szCs w:val="16"/>
          <w:color w:val="auto"/>
        </w:rPr>
      </w:pPr>
    </w:p>
    <w:p>
      <w:pPr>
        <w:ind w:left="1080" w:right="100" w:hanging="532"/>
        <w:spacing w:after="0" w:line="370" w:lineRule="auto"/>
        <w:tabs>
          <w:tab w:leader="none" w:pos="10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in the case of Points of Diversion with respect to all other DIIC Water Permits and the wells associated therewith located on the Phase II Land, such easements to Wynn Las Vegas and Wynn Resorts Holdings as are necessary for Wynn Las Vegas and Wynn Resorts Holdings to access such</w:t>
      </w:r>
    </w:p>
    <w:p>
      <w:pPr>
        <w:sectPr>
          <w:pgSz w:w="11900" w:h="16838" w:orient="portrait"/>
          <w:cols w:equalWidth="0" w:num="1">
            <w:col w:w="11400"/>
          </w:cols>
          <w:pgMar w:left="240" w:top="131" w:right="259" w:bottom="0" w:gutter="0" w:footer="0" w:header="0"/>
        </w:sectPr>
      </w:pPr>
    </w:p>
    <w:bookmarkStart w:id="131" w:name="page132"/>
    <w:bookmarkEnd w:id="131"/>
    <w:p>
      <w:pPr>
        <w:ind w:left="1080" w:right="20"/>
        <w:spacing w:after="0" w:line="268" w:lineRule="auto"/>
        <w:rPr>
          <w:sz w:val="20"/>
          <w:szCs w:val="20"/>
          <w:color w:val="auto"/>
        </w:rPr>
      </w:pPr>
      <w:r>
        <w:rPr>
          <w:rFonts w:ascii="Arial" w:cs="Arial" w:eastAsia="Arial" w:hAnsi="Arial"/>
          <w:sz w:val="18"/>
          <w:szCs w:val="18"/>
          <w:color w:val="auto"/>
        </w:rPr>
        <w:t>Points of Diversion, own and operate such wells and transport the water drawn at such Points of Diversion and from such wells to the Golf Course Land,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right="120" w:hanging="532"/>
        <w:spacing w:after="0" w:line="332" w:lineRule="auto"/>
        <w:tabs>
          <w:tab w:leader="none" w:pos="5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Wynn Las Vegas and Wynn Resorts Holdings, as the case may be, shall have taken all actions required pursuant to the covenant captioned "—Additional Collateral; Acquisition of Assets or Property" with respect to any assets or property acquired pursuant to clause (2)(ii) of this definition.</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Permits</w:t>
      </w:r>
      <w:r>
        <w:rPr>
          <w:rFonts w:ascii="Arial" w:cs="Arial" w:eastAsia="Arial" w:hAnsi="Arial"/>
          <w:sz w:val="18"/>
          <w:szCs w:val="18"/>
          <w:color w:val="auto"/>
        </w:rPr>
        <w:t>" means, collectively, the permits identified as of the date of the indenture Permit No. 60164 (Cert. 15447) and Permit No. 60165 (Cert. 15448), in each case as shown in the records of the State of Nevada, Division of Water Resources, in Carson City, Nevada (and any successor or replacement permits thereto).</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Companies</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Desert Inn Water Company, LLC, a Nevada limited liability company,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Permits</w:t>
      </w:r>
      <w:r>
        <w:rPr>
          <w:rFonts w:ascii="Arial" w:cs="Arial" w:eastAsia="Arial" w:hAnsi="Arial"/>
          <w:sz w:val="18"/>
          <w:szCs w:val="18"/>
          <w:color w:val="auto"/>
        </w:rPr>
        <w:t>" means, collectively, the DIIC Water Permits and the Valvino Water Permits.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or appurtenant to property owned or leased by such Person, and (2) with respect to any property, any water stock, permits or entitlements and any other water rights related to or appurtenant to such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 Transfer</w:t>
      </w:r>
      <w:r>
        <w:rPr>
          <w:rFonts w:ascii="Arial" w:cs="Arial" w:eastAsia="Arial" w:hAnsi="Arial"/>
          <w:sz w:val="18"/>
          <w:szCs w:val="18"/>
          <w:color w:val="auto"/>
        </w:rPr>
        <w:t>" means collectively, (1) the Valvino Water Permit Transfer and (2) the DIIC Water Transfer.</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Production Agreement</w:t>
      </w:r>
      <w:r>
        <w:rPr>
          <w:rFonts w:ascii="Arial" w:cs="Arial" w:eastAsia="Arial" w:hAnsi="Arial"/>
          <w:sz w:val="18"/>
          <w:szCs w:val="18"/>
          <w:color w:val="auto"/>
        </w:rPr>
        <w:t>" means the Agreement, dated January 25, 2001, between Wynn Resorts Holdings and Calitri Services and Licensing Limited Liability Company, as amended, modified or otherwise supplemented from time to time in accordance with the covenant captioned "— Amendments to Certain Agreements."</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Supply Agreement</w:t>
      </w:r>
      <w:r>
        <w:rPr>
          <w:rFonts w:ascii="Arial" w:cs="Arial" w:eastAsia="Arial" w:hAnsi="Arial"/>
          <w:sz w:val="16"/>
          <w:szCs w:val="16"/>
          <w:color w:val="auto"/>
        </w:rPr>
        <w:t>" means the Water Supply Agreement, dated as of the date of indenture, between Desert Inn Improvement Co. and Wynn Las</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Vegas, as amended, modified or otherwise supplemented from time to time in accordance with the covenant captioned "—Amendments to Certain Agreements."</w:t>
      </w:r>
    </w:p>
    <w:p>
      <w:pPr>
        <w:spacing w:after="0" w:line="253"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Utility Land</w:t>
      </w:r>
      <w:r>
        <w:rPr>
          <w:rFonts w:ascii="Arial" w:cs="Arial" w:eastAsia="Arial" w:hAnsi="Arial"/>
          <w:sz w:val="18"/>
          <w:szCs w:val="18"/>
          <w:color w:val="auto"/>
        </w:rPr>
        <w:t>" means the approximately 0.17 acre tract of land located on the Golf Course Land owned by Desert Inn Improvement Co., as more particularly described in an exhibit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39" w:lineRule="exact"/>
        <w:rPr>
          <w:sz w:val="20"/>
          <w:szCs w:val="20"/>
          <w:color w:val="auto"/>
        </w:rPr>
      </w:pPr>
    </w:p>
    <w:p>
      <w:pPr>
        <w:ind w:left="540" w:right="160" w:hanging="532"/>
        <w:spacing w:after="0" w:line="259"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Wynn Design Agreement, dated as of October 4, 2002, between Wynn Las Vegas and Wynn Design, as amended, modified or otherwise supplemented from time to time in accordance with the covenant captioned "—Amendments to Certain Agreements."</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Employment Agreement</w:t>
      </w:r>
      <w:r>
        <w:rPr>
          <w:rFonts w:ascii="Arial" w:cs="Arial" w:eastAsia="Arial" w:hAnsi="Arial"/>
          <w:sz w:val="16"/>
          <w:szCs w:val="16"/>
          <w:color w:val="auto"/>
        </w:rPr>
        <w:t>" means the Employment Agreement, dated as of October 4, 2002, between Wynn Resorts and Stephen A. Wynn, as amended, modified or otherwise supplemented from time to time in accordance with the covenant caption "—Amendments to Certain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Group Entities</w:t>
      </w:r>
      <w:r>
        <w:rPr>
          <w:rFonts w:ascii="Arial" w:cs="Arial" w:eastAsia="Arial" w:hAnsi="Arial"/>
          <w:sz w:val="18"/>
          <w:szCs w:val="18"/>
          <w:color w:val="auto"/>
        </w:rPr>
        <w:t>" means (1) Palo, LLC, (2) Wynn Design, and (3) each of their respective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ectPr>
          <w:pgSz w:w="11900" w:h="16838" w:orient="portrait"/>
          <w:cols w:equalWidth="0" w:num="1">
            <w:col w:w="11400"/>
          </w:cols>
          <w:pgMar w:left="240" w:top="131" w:right="259" w:bottom="0" w:gutter="0" w:footer="0" w:header="0"/>
        </w:sectPr>
      </w:pPr>
    </w:p>
    <w:bookmarkStart w:id="132" w:name="page133"/>
    <w:bookmarkEnd w:id="132"/>
    <w:p>
      <w:pPr>
        <w:spacing w:after="0" w:line="9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Put Agreement"</w:t>
      </w:r>
      <w:r>
        <w:rPr>
          <w:rFonts w:ascii="Arial" w:cs="Arial" w:eastAsia="Arial" w:hAnsi="Arial"/>
          <w:sz w:val="18"/>
          <w:szCs w:val="18"/>
          <w:color w:val="auto"/>
        </w:rPr>
        <w:t xml:space="preserve"> means the Agreement, dated as of June 13, 2002, among Stephen A. Wynn and Wynn Resorts, relating to the Buy-Sell Agreement, as amended, modified or otherwise supplemented from time to time in accordance with the Wynn Resort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Resorts Holdings</w:t>
      </w:r>
      <w:r>
        <w:rPr>
          <w:rFonts w:ascii="Arial" w:cs="Arial" w:eastAsia="Arial" w:hAnsi="Arial"/>
          <w:sz w:val="16"/>
          <w:szCs w:val="16"/>
          <w:color w:val="auto"/>
        </w:rPr>
        <w:t>" means Wynn Resorts Holdings, LLC, a Nevada limited liability company (formerly known as Wynn Resorts, LLC).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OTHER INDEBTEDNESS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165" w:lineRule="exact"/>
        <w:rPr>
          <w:sz w:val="20"/>
          <w:szCs w:val="20"/>
          <w:color w:val="auto"/>
        </w:rPr>
      </w:pPr>
    </w:p>
    <w:p>
      <w:pPr>
        <w:jc w:val="both"/>
        <w:ind w:left="1080" w:right="340" w:hanging="532"/>
        <w:spacing w:after="0" w:line="306"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87"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When borrowings outstanding under our revolving credit facility equal or exceed $200 million, lead arrangers holding a majority of the commitments of the lead arrangers will have the right to convert $100 to $400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to use a total of $715.8 million of the proceeds of the credit facilities to finance development and construction of Le Rêve and to meet our pre-opening expenses and debt service obligations with an additional anticipated $31.2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40" w:hanging="532"/>
        <w:spacing w:after="0" w:line="259"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before Le Rêve opens, borrowings will bear interest, at Wynn Las Vegas' election, at either (i) the base rate plus a margin still to be determined for both revolving loans and term loans or (ii) the reserve adjusted Eurodollar Rate plus 4.00% per annum for revolving loans or the reserve adjusted Eurodollar Rate plus 5.50% per annum for term loans;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our leverage ratio.</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our revolving credit facility.</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w:t>
      </w:r>
    </w:p>
    <w:p>
      <w:pPr>
        <w:sectPr>
          <w:pgSz w:w="11900" w:h="16933" w:orient="portrait"/>
          <w:cols w:equalWidth="0" w:num="1">
            <w:col w:w="11400"/>
          </w:cols>
          <w:pgMar w:left="240" w:top="131" w:right="259" w:bottom="0" w:gutter="0" w:footer="0" w:header="0"/>
        </w:sectPr>
      </w:pPr>
    </w:p>
    <w:bookmarkStart w:id="133" w:name="page134"/>
    <w:bookmarkEnd w:id="133"/>
    <w:p>
      <w:pPr>
        <w:ind w:right="120"/>
        <w:spacing w:after="0" w:line="323" w:lineRule="auto"/>
        <w:rPr>
          <w:sz w:val="20"/>
          <w:szCs w:val="20"/>
          <w:color w:val="auto"/>
        </w:rPr>
      </w:pPr>
      <w:r>
        <w:rPr>
          <w:rFonts w:ascii="Arial" w:cs="Arial" w:eastAsia="Arial" w:hAnsi="Arial"/>
          <w:sz w:val="15"/>
          <w:szCs w:val="15"/>
          <w:color w:val="auto"/>
        </w:rPr>
        <w:t>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After completion and opening of Le Rêve, any amounts remaining in this account will be released to Wynn Resorts.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the credit facilities, subsidiaries and certain affiliates of Valvino will be considered restricted entities and will guarantee the obligations of Wynn Las Vegas under the credit facilities, and Wynn Resorts will guarantee the obligations of Wynn Las Vegas under the credit facilities, but will not be subject to the restrictive covenants. In the event that Wynn Resorts grants specified liens to secure other indebtedness or guarantees, then Wynn Resorts will also be required to secure its guarantee of the credit facilities and the second mortgage notes. The obligations of each guarantor under its guarantee will be limited as necessary to reduce the risk that the guarantee would be treated as a fraudulent conveyance under applicable law. Each guarantee (except the unsecured Wynn Resorts guarantee) of the obligations under the credit facilities will be a senior secured obligation of each guarantor, secured by a security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interest in certain of the guarantors' existing and future assets,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issuers and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the issuers and the restricted entities (but not Wynn Resorts as a guarantor)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19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Wynn Resorts grants specified liens to secure other guarantees or indebtedness, then Wynn Resorts will be required to grant liens of equal priority on the same assets to secure the credit facilities.</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34" w:name="page135"/>
    <w:bookmarkEnd w:id="134"/>
    <w:p>
      <w:pPr>
        <w:ind w:left="1080"/>
        <w:spacing w:after="0"/>
        <w:rPr>
          <w:sz w:val="20"/>
          <w:szCs w:val="20"/>
          <w:color w:val="auto"/>
        </w:rPr>
      </w:pPr>
      <w:r>
        <w:rPr>
          <w:rFonts w:ascii="Arial" w:cs="Arial" w:eastAsia="Arial" w:hAnsi="Arial"/>
          <w:sz w:val="18"/>
          <w:szCs w:val="18"/>
          <w:color w:val="auto"/>
        </w:rPr>
        <w:t>indebtedness;</w:t>
      </w:r>
    </w:p>
    <w:p>
      <w:pPr>
        <w:spacing w:after="0" w:line="239" w:lineRule="exact"/>
        <w:rPr>
          <w:sz w:val="20"/>
          <w:szCs w:val="20"/>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issuers and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The FF&amp;E facility will be guaranteed by the same guarantors as the credit facilities, on a senior unsecured basis.</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ectPr>
          <w:pgSz w:w="11900" w:h="16838" w:orient="portrait"/>
          <w:cols w:equalWidth="0" w:num="1">
            <w:col w:w="11400"/>
          </w:cols>
          <w:pgMar w:left="240" w:top="131" w:right="259" w:bottom="547"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547" w:gutter="0" w:footer="0" w:header="0"/>
          <w:type w:val="continuous"/>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project lenders intercreditor agreement will be entered into between the agent under our credit facilities and the trustee on behalf of the second mortgage note holders. The project lenders intercreditor agreement confirms that the liens granted to second mortgage note holders with respect to our assets and the assets pledged by the guarantors of the credit facilities and the second mortgage notes, other than the proceeds of this offering, are junior to liens on such assets granted to the lenders under the credit facilities. The project lenders intercreditor agreement also provides the lenders under our credit facilities with certain rights to make decisions regarding us, the guarantors and the pledged assets without the consent of the second mortgage note holders, and the agreement further materially limits the rights of the second mortgage note holders to object to these decisions or to pursue remedies against us, the guarantors or the pledged assets. You should review the project lenders intercreditor agreement for a complete statement of its terms and conditions.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"Permanent" Standstill With Respect to Second Mortgage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provides that:</w:t>
      </w:r>
    </w:p>
    <w:p>
      <w:pPr>
        <w:spacing w:after="0" w:line="239" w:lineRule="exact"/>
        <w:rPr>
          <w:sz w:val="20"/>
          <w:szCs w:val="20"/>
          <w:color w:val="auto"/>
        </w:rPr>
      </w:pPr>
    </w:p>
    <w:p>
      <w:pPr>
        <w:ind w:left="1080" w:right="100" w:hanging="532"/>
        <w:spacing w:after="0" w:line="256"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there is a payment default or an acceleration with respect to the credit facilities then the agent under the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24"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at any time that there is any outstanding indebtedness under our credit facilities, 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shall have the right upon a default:</w:t>
      </w:r>
    </w:p>
    <w:p>
      <w:pPr>
        <w:spacing w:after="0" w:line="239" w:lineRule="exact"/>
        <w:rPr>
          <w:sz w:val="20"/>
          <w:szCs w:val="20"/>
          <w:color w:val="auto"/>
        </w:rPr>
      </w:pPr>
    </w:p>
    <w:p>
      <w:pPr>
        <w:ind w:left="108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apply funds, if any, then on deposit in the secured account holding the proceeds of the second mortgage notes to pay up to two interest payments on the second mortgage notes when due;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the second mortgage notes (so long as the actions are not adverse to the lenders under the credit facilities);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credit facilities (provided that the second mortgage note holders shall not be required in such circumstances to pay any prepayment charges payable under the terms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accelerate the indebtedness under the second mortgage notes;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Enforcement of Security Documents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 evidencing the liens in favor of the lenders under the credit facilities. Such enforcement actions may include:</w:t>
      </w:r>
    </w:p>
    <w:p>
      <w:pPr>
        <w:spacing w:after="0" w:line="221" w:lineRule="exact"/>
        <w:rPr>
          <w:sz w:val="20"/>
          <w:szCs w:val="20"/>
          <w:color w:val="auto"/>
        </w:rPr>
      </w:pPr>
    </w:p>
    <w:p>
      <w:pPr>
        <w:ind w:left="1080" w:hanging="532"/>
        <w:spacing w:after="0"/>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enforcement of the FF&amp;E intercreditor agreement on behalf of the lenders under the credit facilities and the second mortgage note 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exercise of rights of setoff;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delivery of notices, claims and demands relating to the collateral, including instructions to depositary institutions holding pledged accounts to suspend further disbursements from such accounts.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213" w:lineRule="exact"/>
        <w:rPr>
          <w:sz w:val="20"/>
          <w:szCs w:val="20"/>
          <w:color w:val="auto"/>
        </w:rPr>
      </w:pPr>
    </w:p>
    <w:p>
      <w:pPr>
        <w:ind w:left="1080" w:right="240" w:hanging="532"/>
        <w:spacing w:after="0" w:line="256"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until such time as there is a payment default or an acceleration with respect to the indebtedness under the credit facilities, the agent shall not instruct any depositary institutions holding pledged accounts to suspend disbursements for expenses reasonably necessary or appropriate for the conduct of the business of Wynn Las Vegas or Wynn Capital, or for payment of debt service on permitted secured debt (including the second mortgage notes and the FF&amp;E facility), and</w:t>
      </w:r>
    </w:p>
    <w:p>
      <w:pPr>
        <w:spacing w:after="0" w:line="210"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at any time when the outstanding indebtedness under the credit facilities is less than $100,000,000 and unless otherwise agreed by the trustee, the agent under our credit facilities shall not complete a foreclosure sale with respect to the pledged collateral on account of a particular default until at least 180 days after the trustee has received written notice of the default; provided that this limitation shall not limit foreclosure of liens granted by any of the guarantors with respect to the credit facilities to the extent that such liens encumber equity interests in Wynn Las Vegas, Wynn Capital or any of their affiliates, or the foreclosure of other assets that are not related in a material respect to the operation of the business at the project.</w:t>
      </w:r>
    </w:p>
    <w:p>
      <w:pPr>
        <w:sectPr>
          <w:pgSz w:w="11900" w:h="16838" w:orient="portrait"/>
          <w:cols w:equalWidth="0" w:num="1">
            <w:col w:w="11420"/>
          </w:cols>
          <w:pgMar w:left="240" w:top="341" w:right="239" w:bottom="0" w:gutter="0" w:footer="0" w:header="0"/>
        </w:sectPr>
      </w:pPr>
    </w:p>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Further Authority of the Agent under our Credit Facilities to Effect Waivers and Amendments</w:t>
      </w:r>
    </w:p>
    <w:p>
      <w:pPr>
        <w:sectPr>
          <w:pgSz w:w="11900" w:h="16838" w:orient="portrait"/>
          <w:cols w:equalWidth="0" w:num="1">
            <w:col w:w="11420"/>
          </w:cols>
          <w:pgMar w:left="240" w:top="341" w:right="239" w:bottom="0" w:gutter="0" w:footer="0" w:header="0"/>
          <w:type w:val="continuous"/>
        </w:sectPr>
      </w:pPr>
    </w:p>
    <w:bookmarkStart w:id="136" w:name="page137"/>
    <w:bookmarkEnd w:id="136"/>
    <w:p>
      <w:pPr>
        <w:spacing w:after="0" w:line="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project lenders intercreditor agreement provides that from and after the first funding under the credit facilities, the agent under our credit facilities shall have the right to waive defaults and effect amendments under the disbursement agreement and the security documents without being required to obtain the consent of the trustee or the holders of the second mortgage notes. Any such waivers or amendments shall be effective with respect to the second mortgage notes. Notwithstanding the foregoing, except with respect to the Phase II land and the golf course parcel and related collateral, any such waiver or amendment approved by the lenders under the credit facilities shall not release liens on the collateral or modify any provisions of the second mortgage notes indenture without the consent of the trustee. The agent under our credit facilities is further authorized to effect certain amendments regarding the scope of the project without the consent of the trustee, the holders of the second mortgage notes or the FF&amp;E lenders. See "Disbursement Agreement."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in any bankruptcy of Wynn Las Vegas, Wynn Capital or any of the guarantors, the trustee and the second mortgage note holders shall not:</w:t>
      </w:r>
    </w:p>
    <w:p>
      <w:pPr>
        <w:spacing w:after="0" w:line="199" w:lineRule="exact"/>
        <w:rPr>
          <w:sz w:val="20"/>
          <w:szCs w:val="20"/>
          <w:color w:val="auto"/>
        </w:rPr>
      </w:pPr>
    </w:p>
    <w:p>
      <w:pPr>
        <w:ind w:left="108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(and the lenders correspondingly shall agree not to take any action challenging the liens in favor of the second mortgage note holders);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oppose or contest any motion of the agent under our credit facilities for relief from the automatic stay or any injunction against foreclosure or enforcement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at any foreclosure sale;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our credit facilities, so long as such use of cash collateral calls for:</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or Wynn Capital, or for the preservation of the collateral;</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the second mortgage notes;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payment of bankruptcy administrative expenses;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holding two-thirds of the outstanding amount of loans under the credit facilities have voted to accept such plan.</w:t>
      </w:r>
    </w:p>
    <w:p>
      <w:pPr>
        <w:spacing w:after="0" w:line="18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foregoing provisions shall not restrict the trustee and the second mortgage note holders from voting unsecured claims based upon the indebtedness owed on the second mortgage notes, or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as a basis for opposing relief sought in the bankruptcy that has been approved by the agent under our credit facilities.)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Waivers by Second Mortgage Note Holders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project lenders intercreditor agreement, the second mortgage note holders waive certain rights generally afforded junior creditors relative to senior creditors under applicable law, including each of the following:</w:t>
      </w:r>
    </w:p>
    <w:p>
      <w:pPr>
        <w:spacing w:after="0" w:line="199" w:lineRule="exact"/>
        <w:rPr>
          <w:sz w:val="20"/>
          <w:szCs w:val="20"/>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right to challenge the liens of the lenders under the credit facilities based upon any of the following:</w:t>
      </w:r>
    </w:p>
    <w:p>
      <w:pPr>
        <w:spacing w:after="0" w:line="225" w:lineRule="exact"/>
        <w:rPr>
          <w:rFonts w:ascii="Arial" w:cs="Arial" w:eastAsia="Arial" w:hAnsi="Arial"/>
          <w:sz w:val="18"/>
          <w:szCs w:val="18"/>
          <w:color w:val="auto"/>
        </w:rPr>
      </w:pPr>
    </w:p>
    <w:p>
      <w:pPr>
        <w:ind w:left="1080" w:right="20" w:firstLine="360"/>
        <w:spacing w:after="0" w:line="259" w:lineRule="auto"/>
        <w:tabs>
          <w:tab w:leader="none" w:pos="172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(even if conditions to such advances have not been satisfied, so long as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our credit facilities;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firstLine="360"/>
        <w:spacing w:after="0" w:line="259" w:lineRule="auto"/>
        <w:tabs>
          <w:tab w:leader="none" w:pos="172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 increase or reduction in the available credit under the credit facilities or the amounts payable on debt outstanding thereunder (provided that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credit facilities.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our credit facilities other than gross negligence or willful misconduct, to the maximum extent permitted by law.</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second mortgage note holders further waive any claim that the agent under our credit facilities has any duty, to keep the trustee or the second mortgage note holders informed as to circumstances bearing upon the risk of non payment of the credit facilities or the second mortgage notes.</w:t>
      </w:r>
    </w:p>
    <w:p>
      <w:pPr>
        <w:sectPr>
          <w:pgSz w:w="11900" w:h="16844" w:orient="portrait"/>
          <w:cols w:equalWidth="0" w:num="1">
            <w:col w:w="11400"/>
          </w:cols>
          <w:pgMar w:left="240" w:top="131" w:right="259" w:bottom="0" w:gutter="0" w:footer="0" w:header="0"/>
        </w:sectPr>
      </w:pPr>
    </w:p>
    <w:bookmarkStart w:id="137" w:name="page138"/>
    <w:bookmarkEnd w:id="137"/>
    <w:p>
      <w:pPr>
        <w:ind w:left="5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the intercreditor arrangements described above also shall apply to any replacement debt arising as a consequence of refinancing of the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 following summary of the material provisions of the FF&amp;E intercreditor agreement is not meant to be complete and you should review the FF&amp;E intercreditor agreement for a complete statement of its terms and conditions, including the definitions of terms used below. The FF&amp;E intercreditor agreement focuses in particular on the exercise of remedies in respect of the furniture, fixtures and equipment financed under the FF&amp;E facility, referred to as the FF&amp;E collateral, and includes the following material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Lien Priorities.</w:t>
      </w:r>
    </w:p>
    <w:p>
      <w:pPr>
        <w:spacing w:after="0" w:line="22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30" w:lineRule="exact"/>
        <w:rPr>
          <w:sz w:val="20"/>
          <w:szCs w:val="20"/>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FF&amp;E lenders will have a senior, first priority security interest in the FF&amp;E collateral, including the aircraft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a second priority security interest in the FF&amp;E collateral excluding the aircraft collateral;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second mortgage note holders will have a third priority security interest in the FF&amp;E collateral excluding the aircraft collateral;</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lenders under the credit facilities and the second mortgage note holders shall have first and second priority liens, respectively, upon all other assets pledged by us and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restricted entities except that the second mortgage note holders shall have a first priority security interest in the proceeds of this offering.</w:t>
      </w:r>
    </w:p>
    <w:p>
      <w:pPr>
        <w:spacing w:after="0" w:line="275" w:lineRule="exact"/>
        <w:rPr>
          <w:sz w:val="20"/>
          <w:szCs w:val="20"/>
          <w:color w:val="auto"/>
        </w:rPr>
      </w:pPr>
    </w:p>
    <w:p>
      <w:pPr>
        <w:ind w:left="360" w:right="1160" w:firstLine="188"/>
        <w:spacing w:after="0" w:line="501" w:lineRule="auto"/>
        <w:tabs>
          <w:tab w:leader="none" w:pos="108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FF&amp;E lenders shall not have a lien upon any of our assets or the assets of the restricted entities other than the FF&amp;E collateral. In addition, each party has agreed not to challenge the other's liens.</w:t>
      </w:r>
    </w:p>
    <w:p>
      <w:pPr>
        <w:spacing w:after="0"/>
        <w:rPr>
          <w:sz w:val="20"/>
          <w:szCs w:val="20"/>
          <w:color w:val="auto"/>
        </w:rPr>
      </w:pPr>
      <w:r>
        <w:rPr>
          <w:rFonts w:ascii="Arial" w:cs="Arial" w:eastAsia="Arial" w:hAnsi="Arial"/>
          <w:sz w:val="18"/>
          <w:szCs w:val="18"/>
          <w:i w:val="1"/>
          <w:iCs w:val="1"/>
          <w:color w:val="auto"/>
        </w:rPr>
        <w:t>Standstill Period.</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after completion of Le Rêve, in each case, so long as all interest, fees, indemnities and expenses of the FF&amp;E lenders have been paid current.</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 Vegas, Wynn Capital and the FF&amp;E collateral if a bankruptcy proceeding has been initiated by or against against Wynn Las Vegas, Wynn Capital or the guarantors or if the lenders under our credit facilities or the second mortgage note holders have commenced exercising remedies against us or the guarantors.</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Subject to certain exceptions,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Debt Allocable to FF&amp;E Collateral and Release of FF&amp;E Lenders Lien on FF&amp;E Collateral.</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Relating to Junior Liens on FF&amp;E Collateral.</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FF&amp;E intercreditor agreement includes the following provisions which apply to the liens of the lenders under the credit facilities and the second mortgage note holders on the FF&amp;E collateral:</w:t>
      </w:r>
    </w:p>
    <w:p>
      <w:pPr>
        <w:sectPr>
          <w:pgSz w:w="11900" w:h="16838" w:orient="portrait"/>
          <w:cols w:equalWidth="0" w:num="1">
            <w:col w:w="11400"/>
          </w:cols>
          <w:pgMar w:left="240" w:top="131" w:right="259" w:bottom="55" w:gutter="0" w:footer="0" w:header="0"/>
        </w:sectPr>
      </w:pPr>
    </w:p>
    <w:bookmarkStart w:id="138" w:name="page139"/>
    <w:bookmarkEnd w:id="138"/>
    <w:p>
      <w:pPr>
        <w:spacing w:after="0" w:line="15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Until and unless the indebtedness under the FF&amp;E facility (other than the portion thereof allocable to the aircraft collateral) is paid in full as described under the subheading "Payoff of Debt Allocable to FF&amp;E Collateral and Release of FF&amp;E Lenders Lien on FF&amp;E Collateral"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8"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pacing w:after="0" w:line="208" w:lineRule="exact"/>
        <w:rPr>
          <w:sz w:val="20"/>
          <w:szCs w:val="20"/>
          <w:color w:val="auto"/>
        </w:rPr>
      </w:pPr>
    </w:p>
    <w:p>
      <w:pPr>
        <w:ind w:left="1080" w:hanging="532"/>
        <w:spacing w:after="0"/>
        <w:tabs>
          <w:tab w:leader="none" w:pos="10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to enforce remedies with respect to the FF&amp;E collateral if the default occurs when there is no outstanding indebtedness under the FF&amp;E facility;</w:t>
      </w:r>
    </w:p>
    <w:p>
      <w:pPr>
        <w:spacing w:after="0" w:line="27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207"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pay off the outstanding FF&amp;E indebtedness as provided under the subheading Payoff of Debt Allocable to FF&amp;E Collateral and Release of FF&amp;E Lenders Lien on FF&amp;E Collateral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accelerate the indebtedness under the credit facilities or second mortgage notes, as the case may be; and</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credit facilities or second mortgage notes, as the case may be.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99" w:lineRule="exact"/>
        <w:rPr>
          <w:sz w:val="20"/>
          <w:szCs w:val="20"/>
          <w:color w:val="auto"/>
        </w:rPr>
      </w:pPr>
    </w:p>
    <w:p>
      <w:pPr>
        <w:ind w:left="1080" w:right="10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opposing or otherwise contesting any motion of the FF&amp;E lenders for relief from the automatic stay or any injunction against foreclosure or enforcement of any liens of the FF&amp;E lenders;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opposing or otherwise contesting any exercise by the FF&amp;E lenders of the right to credit bid any portion of the FF&amp;E facility debt at any sale in foreclosure of any of the liens of the FF&amp;E lenders.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the FF&amp;E intercreditor agreement, each of the bank agent and the trustee waive each of the following with respect to their junior liens on the FF&amp;E collateral:</w:t>
      </w:r>
    </w:p>
    <w:p>
      <w:pPr>
        <w:spacing w:after="0" w:line="199" w:lineRule="exact"/>
        <w:rPr>
          <w:sz w:val="20"/>
          <w:szCs w:val="20"/>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 change in the manner, place or terms of any payment under the FF&amp;E facility, or an extension of the date on which any such payment is due, to the extent such changes are permitted;</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 increase in the available credit under the FF&amp;E facility or the reduction of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exercise of rights or remedies by the FF&amp;E lenders under any FF&amp;E security documents.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39"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w:t>
      </w:r>
    </w:p>
    <w:p>
      <w:pPr>
        <w:sectPr>
          <w:pgSz w:w="11900" w:h="16989" w:orient="portrait"/>
          <w:cols w:equalWidth="0" w:num="1">
            <w:col w:w="11420"/>
          </w:cols>
          <w:pgMar w:left="240" w:top="131" w:right="239" w:bottom="0" w:gutter="0" w:footer="0" w:header="0"/>
        </w:sectPr>
      </w:pPr>
    </w:p>
    <w:bookmarkStart w:id="139" w:name="page140"/>
    <w:bookmarkEnd w:id="139"/>
    <w:p>
      <w:pPr>
        <w:ind w:right="140"/>
        <w:spacing w:after="0" w:line="306" w:lineRule="auto"/>
        <w:rPr>
          <w:sz w:val="20"/>
          <w:szCs w:val="20"/>
          <w:color w:val="auto"/>
        </w:rPr>
      </w:pPr>
      <w:r>
        <w:rPr>
          <w:rFonts w:ascii="Arial" w:cs="Arial" w:eastAsia="Arial" w:hAnsi="Arial"/>
          <w:sz w:val="16"/>
          <w:szCs w:val="16"/>
          <w:color w:val="auto"/>
        </w:rPr>
        <w:t>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with Foreclosure Purchaser.</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proceeding and the expiration of certain specified time periods, pending such removal by 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 FF&amp;E intercreditor agreement provides that such actions are not intended to prevent the lenders under our credit facilities or the second mortgage note holders from foreclosing on their collateral, other than the FF&amp;E collateral.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Bank Facility and FF&amp;E Facility.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Except for refinancings of our credit facilities or the FF&amp;E facility, each of the credit facilities and the FF&amp;E facility shall require all prepayments by us under either such facility, other than prepayments from proceeds of the collateral, to be accompanied by a pro rata prepayment of the other facility and, in the case of the FF&amp;E facility, between the debt allocable to the airplane collateral and the debt allocable to the other FF&amp;E collateral (in each case, based on the outstanding principal amount of each such facility). Notwithstanding the foregoing, any prepayments of the revolving credit facility which are not accompanied by a corresponding reduction in the commitment under such facility shall be permitted without a corresponding prepayment of the FF&amp;E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we are not permitted to use the proceeds for rebuilding (whether before or after completion), then the FF&amp;E intercreditor agreement will require that the proceeds be allocated between the FF&amp;E collateral and the other collateral securing the credit facilities and the second mortgage notes as follows:</w:t>
      </w:r>
    </w:p>
    <w:p>
      <w:pPr>
        <w:spacing w:after="0" w:line="153" w:lineRule="exact"/>
        <w:rPr>
          <w:sz w:val="20"/>
          <w:szCs w:val="20"/>
          <w:color w:val="auto"/>
        </w:rPr>
      </w:pPr>
    </w:p>
    <w:p>
      <w:pPr>
        <w:ind w:left="1080" w:right="540" w:hanging="532"/>
        <w:spacing w:after="0" w:line="259"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221"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amounts so allocated shall be applied to reduce the indebtedness secured by such collateral, in order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Remove FF&amp;E Collateral.</w:t>
      </w:r>
    </w:p>
    <w:p>
      <w:pPr>
        <w:spacing w:after="0" w:line="22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53" w:lineRule="exact"/>
        <w:rPr>
          <w:sz w:val="20"/>
          <w:szCs w:val="20"/>
          <w:color w:val="auto"/>
        </w:rPr>
      </w:pPr>
    </w:p>
    <w:p>
      <w:pPr>
        <w:ind w:left="5580" w:right="2660" w:hanging="5032"/>
        <w:spacing w:after="0" w:line="519" w:lineRule="auto"/>
        <w:tabs>
          <w:tab w:leader="none" w:pos="108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enter the project's real property, inspect and/or remove the FF&amp;E collateral and all records relating thereto; 243</w:t>
      </w:r>
    </w:p>
    <w:p>
      <w:pPr>
        <w:spacing w:after="0" w:line="22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limited right to store the FF&amp;E collateral on site under certain circumstances and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-719455</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 agent or the trustee shall have any responsibility to advise any of the others (or the members of the others' lending groups) of such information or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ectPr>
          <w:pgSz w:w="11900" w:h="16838" w:orient="portrait"/>
          <w:cols w:equalWidth="0" w:num="1">
            <w:col w:w="11420"/>
          </w:cols>
          <w:pgMar w:left="240" w:top="131" w:right="239" w:bottom="128"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28" w:gutter="0" w:footer="0" w:header="0"/>
          <w:type w:val="continuous"/>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agent, and Deutsche Bank Trust Company Americas, as the disbursement agent. This summary is qualified in its entirety by reference to the contract itself.</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 offering of common stock, and our other available funds, to commence construction of Le Rêve. Pursuant to the disbursement agreement, as a condition to borrowing under the credit facilities or the FF&amp;E facility or receiving disbursements from the secured accounts, we will be required to submit evidence acceptable to the construction consultant that the construction of Le Rêve has been completed to that point in accordance with our plans and specifications, on budget and on schedule.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Order</w:t>
      </w:r>
    </w:p>
    <w:p>
      <w:pPr>
        <w:spacing w:after="0" w:line="225" w:lineRule="exact"/>
        <w:rPr>
          <w:sz w:val="20"/>
          <w:szCs w:val="20"/>
          <w:color w:val="auto"/>
        </w:rPr>
      </w:pPr>
    </w:p>
    <w:p>
      <w:pPr>
        <w:ind w:right="940" w:firstLine="348"/>
        <w:spacing w:after="0" w:line="332" w:lineRule="auto"/>
        <w:rPr>
          <w:sz w:val="20"/>
          <w:szCs w:val="20"/>
          <w:color w:val="auto"/>
        </w:rPr>
      </w:pPr>
      <w:r>
        <w:rPr>
          <w:rFonts w:ascii="Arial" w:cs="Arial" w:eastAsia="Arial" w:hAnsi="Arial"/>
          <w:sz w:val="16"/>
          <w:szCs w:val="16"/>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53" w:lineRule="exact"/>
        <w:rPr>
          <w:sz w:val="20"/>
          <w:szCs w:val="20"/>
          <w:color w:val="auto"/>
        </w:rPr>
      </w:pPr>
    </w:p>
    <w:p>
      <w:pPr>
        <w:ind w:left="1080" w:hanging="532"/>
        <w:spacing w:after="0"/>
        <w:tabs>
          <w:tab w:leader="none" w:pos="108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first, by using a substantial portion of the cash equity contribution made to Wynn Las Vegas by Wynn Resorts, until exhaustion thereof;</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second, by using the proceeds from the issuance of the second mortgage notes other than amounts sufficient to pay interest on the notes on the two ensuing payment dates, until exhaustion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6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third, by using the proceeds of the credit facilities and the FF&amp;E facility, and with respect to interest due on the notes, by using any remaining proceeds from the issuance of the second mortgage notes.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selected by the lenders under our FF&amp;E facility, 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approved by the FF&amp;E lenders,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pacing w:after="0" w:line="178"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Immediately prior to completion of the project, the agent under our FF&amp;E facility shall obtain an appraisal of the fair market value of the FF&amp;E collateral (excluding the aircraft)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(excluding the aircraft)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 (excluding the aircraft).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Accounts</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accounts will include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Company's Funds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shall be deposited into the company's funds account, among other things:</w:t>
      </w:r>
    </w:p>
    <w:p>
      <w:pPr>
        <w:sectPr>
          <w:pgSz w:w="11900" w:h="16838" w:orient="portrait"/>
          <w:cols w:equalWidth="0" w:num="1">
            <w:col w:w="11420"/>
          </w:cols>
          <w:pgMar w:left="240" w:top="341" w:right="239" w:bottom="0" w:gutter="0" w:footer="0" w:header="0"/>
        </w:sectPr>
      </w:pPr>
    </w:p>
    <w:bookmarkStart w:id="141" w:name="page142"/>
    <w:bookmarkEnd w:id="141"/>
    <w:p>
      <w:pPr>
        <w:ind w:left="5580" w:right="2500" w:hanging="5032"/>
        <w:spacing w:after="0" w:line="519" w:lineRule="auto"/>
        <w:tabs>
          <w:tab w:leader="none" w:pos="108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cash equity contributions required to be made to Wynn Las Vegas from the equity offering of Wynn Resorts, 246</w:t>
      </w:r>
    </w:p>
    <w:p>
      <w:pPr>
        <w:spacing w:after="0" w:line="23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funds transferred from the operating account, the completion guarantee deposit account and the liquidity reserve account pursuant to the terms of the disbursement agreement,</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amounts received by Wynn Las Vegas, Wynn Design &amp; Development or Wynn Capital prior to the final completion date in respect of liquidated or other damages under the project documents and the insurance policies, amounts paid to Wynn Las Vegas under the Austi construction guaranty and any payment and performance bond;</w:t>
      </w:r>
    </w:p>
    <w:p>
      <w:pPr>
        <w:spacing w:after="0" w:line="207"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loss proceeds received by Wynn Las Vegas, Wynn Capital, Wynn Design &amp; Development,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24"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other funds or amounts received by Wynn Las Vegas, Wynn Capital or Wynn Design &amp; Development and not otherwise provided for in the disbursement agreement, in each case, prior to termination of the disbursement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-2141855</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38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applied to prepayment of the obligations as set forth in the disbursement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 Proceeds Account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Disbursement Account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 account. Subject to certain exceptions, amounts on deposit in the disbursement account shall be applied to pay project costs and/or transferred by the disbursement agent to the cash management account or the interest payment account.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Management Account</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the closing date, an agreed upon amount shall be deposited into the cash management account. Subject to certain exceptions, Wynn Las Vegas, Wynn Capital and Wynn Design &amp; Development shall be permitted from time to time to draw checks on and otherwise withdraw amounts on deposit in the cash management account to pay costs set forth in the budget that are then due and payable. Wynn Las Vegas, Wynn Capital and Wynn Design &amp; Development shall be permitted from time to time to 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Wynn Design &amp; Development and the disbursement agent (in consultation with the construction consultant).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Payment Account</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Account</w:t>
      </w:r>
    </w:p>
    <w:p>
      <w:pPr>
        <w:spacing w:after="0" w:line="225"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There shall be deposited in the operating account all revenues received by Wynn Las Vegas, Wynn Capital or Wynn Design &amp; Development as a consequence of sales of goods or rendering of services in the ordinary course of business prior to the completion date. In addition, there shall be deposited in the operating account funds transferred from the company's funds account to pay operating costs prior to the completion date (excluding certain cash held on site in connection with ordinary casino operations). Subject to the disbursement agent's rights upon the occurrence of an event of default, Wynn Las Vegas, Wynn Capital and Wynn Design &amp; Development shall be permitted from time to time to draw checks on and otherwise withdraw amounts on deposit in the operating</w:t>
      </w:r>
    </w:p>
    <w:p>
      <w:pPr>
        <w:sectPr>
          <w:pgSz w:w="11900" w:h="16838" w:orient="portrait"/>
          <w:cols w:equalWidth="0" w:num="1">
            <w:col w:w="11420"/>
          </w:cols>
          <w:pgMar w:left="240" w:top="145" w:right="239" w:bottom="0" w:gutter="0" w:footer="0" w:header="0"/>
        </w:sectPr>
      </w:pPr>
    </w:p>
    <w:bookmarkStart w:id="142" w:name="page143"/>
    <w:bookmarkEnd w:id="142"/>
    <w:p>
      <w:pPr>
        <w:ind w:right="40"/>
        <w:spacing w:after="0" w:line="298" w:lineRule="auto"/>
        <w:rPr>
          <w:sz w:val="20"/>
          <w:szCs w:val="20"/>
          <w:color w:val="auto"/>
        </w:rPr>
      </w:pPr>
      <w:r>
        <w:rPr>
          <w:rFonts w:ascii="Arial" w:cs="Arial" w:eastAsia="Arial" w:hAnsi="Arial"/>
          <w:sz w:val="16"/>
          <w:szCs w:val="16"/>
          <w:color w:val="auto"/>
        </w:rPr>
        <w:t>account to pay due and payable operating costs. Until the opening date, if the amounts on deposit in the operating account exceed a specified amount, such excess shall be withdrawn and deposited in the company's funds account (provided that pre-opening deposits made by customers shall not be counted for purposes of determining whether this threshold has been exceeded). The foregoing limit on amounts on deposit in the operating account shall be increased upon opening to an amount mutually agreed upon by Wynn Capital, Wynn Las Vegas, Wynn Design &amp; Development and the disbursement agent.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After completion and opening of Le Rêve, any amounts remaining in this account will be released to Wynn Resorts.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 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Once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Conditions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From the initial funding of the second mortgage notes and until final completion has been achieved, we will be required to satisfy conditions precedent before we are permitted to receive funds from the disbursement accounts. These conditions will include, among others:</w:t>
      </w:r>
    </w:p>
    <w:p>
      <w:pPr>
        <w:spacing w:after="0" w:line="153" w:lineRule="exact"/>
        <w:rPr>
          <w:sz w:val="20"/>
          <w:szCs w:val="20"/>
          <w:color w:val="auto"/>
        </w:rPr>
      </w:pPr>
    </w:p>
    <w:p>
      <w:pPr>
        <w:ind w:left="1080" w:hanging="532"/>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800" w:hanging="532"/>
        <w:spacing w:after="0" w:line="268" w:lineRule="auto"/>
        <w:tabs>
          <w:tab w:leader="none" w:pos="16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the use of funds in accordance with the budgeted amounts, as adjusted from time to time in accordance with the disbursement agreement,</w:t>
      </w:r>
    </w:p>
    <w:p>
      <w:pPr>
        <w:spacing w:after="0" w:line="261"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199"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ectPr>
          <w:pgSz w:w="11900" w:h="16838" w:orient="portrait"/>
          <w:cols w:equalWidth="0" w:num="1">
            <w:col w:w="11420"/>
          </w:cols>
          <w:pgMar w:left="240" w:top="131" w:right="239" w:bottom="0" w:gutter="0" w:footer="0" w:header="0"/>
        </w:sectPr>
      </w:pPr>
    </w:p>
    <w:bookmarkStart w:id="143" w:name="page144"/>
    <w:bookmarkEnd w:id="143"/>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our receipt of the governmental approvals then required;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26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Reve project in the event that one of our major stockholders is unable to qualify for such license; and</w:t>
      </w:r>
    </w:p>
    <w:p>
      <w:pPr>
        <w:spacing w:after="0" w:line="152"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From the initial funding of the second mortgage notes through exhaustion of the amounts on deposit in the second mortgage notes proceeds account, other than the portion thereof reserved to pay interest on the notes on the two ensuing payment dates,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other than the portion thereof reserved to pay interest on the notes on the two ensuing payment dates, the bank agent (acting under the credit facilities agreement) shall be entitled to waive the conditions precedent to advances under the disbursement agreement with respect to advances under the credit facilities and from the company's funds account without the trustee's or the FF&amp;E agent's consent. The FF&amp;E agent (acting under the FF&amp;E facility agreement) shall at all times be entitled to waive the conditions precedent to advances 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with respect to advances under the FF&amp;E facility without the bank agent's or the trustee's consent.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to Construction Budget and Schedule</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have the ability to extend the completion date for a limited period beyond September 30, 2005 due to force majeure events.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2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repay all indebtedness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maintain our existence and engage only in the business permitted by the disbursement agreement;</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permit the mortgage note trustee to inspect the project and to examine our books and records;</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ectPr>
          <w:pgSz w:w="11900" w:h="16838" w:orient="portrait"/>
          <w:cols w:equalWidth="0" w:num="1">
            <w:col w:w="11420"/>
          </w:cols>
          <w:pgMar w:left="240" w:top="145" w:right="239" w:bottom="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1420"/>
          </w:cols>
          <w:pgMar w:left="240" w:top="145" w:right="239" w:bottom="0" w:gutter="0" w:footer="0" w:header="0"/>
          <w:type w:val="continuous"/>
        </w:sectPr>
      </w:pPr>
    </w:p>
    <w:bookmarkStart w:id="144" w:name="page145"/>
    <w:bookmarkEnd w:id="144"/>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to cause to be deposited into the company's funds account all additional required equity as and when required;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cause certain unincorporated materials to be stored and identified in accordance with specific requirements;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cause Marnell Corrao to cause its subcontractors working under a subcontract with a value more than $25.0 million to provide a payment and performance bond to secure its obligations under its subcontract;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maintain and preserve the liens of the security documents and the priority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disbursement agreement will also require us and the restricted entities to comply with negative covenants. These covenants will limit, among other things, our and the restricted entities' ability to:</w:t>
      </w:r>
    </w:p>
    <w:p>
      <w:pPr>
        <w:spacing w:after="0" w:line="213" w:lineRule="exact"/>
        <w:rPr>
          <w:sz w:val="20"/>
          <w:szCs w:val="20"/>
          <w:color w:val="auto"/>
        </w:rPr>
      </w:pPr>
    </w:p>
    <w:p>
      <w:pPr>
        <w:ind w:left="1080" w:right="200" w:hanging="532"/>
        <w:spacing w:after="0" w:line="268"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waive or terminate any material right under the Marnell Corrao construction contract, the construction contract guarantee, other material project documents or any required governmental approval;</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is not permitted by a project document;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From and after the first funding under the credit facilities, the bank agent, without the consent of the trustee or the lenders under our FF&amp;E facility, shall have the right to agree with Wynn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Las Vegas, Wynn Capital and Wynn Design &amp; Development to reduce the scope of the project, so long as after giving effect to the amendment:</w:t>
      </w:r>
    </w:p>
    <w:p>
      <w:pPr>
        <w:spacing w:after="0" w:line="239" w:lineRule="exact"/>
        <w:rPr>
          <w:sz w:val="20"/>
          <w:szCs w:val="20"/>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scope will continue to satisfy certain minimum project standards set forth in the indenture and the FF&amp;E facility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project will remain capable of being completed at or before the scheduled completion date in effect at such time;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remaining funds (net of the reserved portions of the completion guarantee and liquidity reserve and a required contingency amount) are sufficient to complete the project on or before the outside completion deadline;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other default or event of default exists under the disbursement agreement.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Exercise of Remedies on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provide that each of the following constitutes an "event of default" thereunder:</w:t>
      </w:r>
    </w:p>
    <w:p>
      <w:pPr>
        <w:spacing w:after="0" w:line="239" w:lineRule="exact"/>
        <w:rPr>
          <w:sz w:val="20"/>
          <w:szCs w:val="20"/>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credit facilities, the FF&amp;E facility or the indenture;</w:t>
      </w:r>
    </w:p>
    <w:p>
      <w:pPr>
        <w:sectPr>
          <w:pgSz w:w="11900" w:h="16838" w:orient="portrait"/>
          <w:cols w:equalWidth="0" w:num="1">
            <w:col w:w="11400"/>
          </w:cols>
          <w:pgMar w:left="240" w:top="388" w:right="259" w:bottom="0" w:gutter="0" w:footer="0" w:header="0"/>
        </w:sectPr>
      </w:pPr>
    </w:p>
    <w:bookmarkStart w:id="145" w:name="page146"/>
    <w:bookmarkEnd w:id="145"/>
    <w:p>
      <w:pPr>
        <w:ind w:left="1080" w:right="180" w:hanging="532"/>
        <w:spacing w:after="0" w:line="259"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failure, from time to time from and after the initial funding of the second mortgage notes, of remaining funds (net of the reserved portions of the completion guarantee and liquidity reserve, and a required contingency amount) to be sufficient to complete the project on or before the outside completion deadline, if such failure has not been remedied within 30 days;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Development's failure, for 60 consecutive days, to submit an advance request for disbursement of funds which is approved;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failure of any representation or warranty made by us in any operative agreement to have been correct when made or deemed made in any material respect;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default by Wynn Las Vegas, Wynn Capital or Wynn Design &amp; Development in its compliance with any affirmative or negative covenant contained in the disbursement agreement, subject to certain cure periods not to exceed 30 days;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default by us or any other party thereto of any construction contract with a contract value in excess of $5.0 million, subject to certain cure and substitution rights by Wynn Las Vegas, Wynn Capital or Wynn Design &amp; Development;</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default by us or any other party thereto of any material project document (other than the construction contracts) the effect of which reasonably could be expected to have a material adverse effect, subject to certain cure and substitution rights by Wynn Las Vegas, Wynn Capital and Wynn Design &amp; Development;</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72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Marnell Corrao construction contract, the Austi construction contract guaranty or certain other material project documents shall have terminated or otherwise become invalid or illegal;</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of the other material project documents shall have terminated or otherwise become invalid or illegal, subject to certain cure and substitution rights by Wynn Las Vegas, Wynn Capital and Wynn Design &amp; Development;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Wynn Las Vegas ceasing to own the Le Rêve site, the improvements thereon or certain easements, subject to certain permitted exceptions;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Wynn Resorts ceasing to own the golf course parcel, the improvements thereon or certain easements, subject to certain permitted exceptions;</w:t>
      </w:r>
    </w:p>
    <w:p>
      <w:pPr>
        <w:spacing w:after="0" w:line="261" w:lineRule="exact"/>
        <w:rPr>
          <w:rFonts w:ascii="Arial" w:cs="Arial" w:eastAsia="Arial" w:hAnsi="Arial"/>
          <w:sz w:val="16"/>
          <w:szCs w:val="16"/>
          <w:color w:val="auto"/>
        </w:rPr>
      </w:pPr>
    </w:p>
    <w:p>
      <w:pPr>
        <w:ind w:left="1080" w:right="80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Valvino ceasing to own the 20-acre parcel next to Le Rêve, the improvements thereon or certain easements, subject to certain permitted exceptions;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issuers and the restricted entities ceasing to own the water rights in connection with the Le Rêve site, the improvements thereon or certain easements;</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 abandoning the project or otherwise ceasing to pursue the operations of the project in accordance with standard industry practice or selling or disposing of its interest therein;</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any other governmental approvals necessary for the ownership, construction, maintenance, financing or operation of the project being modified, revoked or cancelled and the effect of such modification, revocation or cancellation is reasonably likely to have a material adverse effect;</w:t>
      </w:r>
    </w:p>
    <w:p>
      <w:pPr>
        <w:spacing w:after="0" w:line="143" w:lineRule="exact"/>
        <w:rPr>
          <w:rFonts w:ascii="Arial" w:cs="Arial" w:eastAsia="Arial" w:hAnsi="Arial"/>
          <w:sz w:val="15"/>
          <w:szCs w:val="15"/>
          <w:color w:val="auto"/>
        </w:rPr>
      </w:pPr>
    </w:p>
    <w:p>
      <w:pPr>
        <w:ind w:left="1080" w:right="52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construction consultant shall reasonably determine that the completion date is likely to occur no earlier than 75 days after the scheduled completion date, as in effect from time to time;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failure to achieve the completion date on or before the scheduled completion date, as in effect from time to time.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occurrence of an event of default under the disbursement agreement, our lenders will be permitted to exercise remedies, including one or more of the following:</w:t>
      </w:r>
    </w:p>
    <w:p>
      <w:pPr>
        <w:spacing w:after="0" w:line="199" w:lineRule="exact"/>
        <w:rPr>
          <w:sz w:val="20"/>
          <w:szCs w:val="20"/>
          <w:color w:val="auto"/>
        </w:rPr>
      </w:pPr>
    </w:p>
    <w:p>
      <w:pPr>
        <w:ind w:left="1080" w:hanging="532"/>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portions of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terminate after final completion occurs, all work has been completed and all contractors have been paid.</w:t>
      </w:r>
    </w:p>
    <w:p>
      <w:pPr>
        <w:sectPr>
          <w:pgSz w:w="11900" w:h="16838" w:orient="portrait"/>
          <w:cols w:equalWidth="0" w:num="1">
            <w:col w:w="11400"/>
          </w:cols>
          <w:pgMar w:left="240" w:top="145" w:right="259" w:bottom="4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466" w:gutter="0" w:footer="0" w:header="0"/>
          <w:type w:val="continuous"/>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Those consequences will differ depending on whether the investor is a U.S. Holder or a Non-U.S. Holder.</w:t>
      </w:r>
    </w:p>
    <w:p>
      <w:pPr>
        <w:spacing w:after="0" w:line="194"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 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"Non-U.S. Holder" is a beneficial owner of a second mortgage note that is not a U.S. Holder.</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a partnership (including for this purpose any entity treated as a partnership for United States federal income tax purposes) is a beneficial owner of the second mortgage notes, the treatment of a partner in the partnership will generally depend upon the status of the partner and upon the activities of the partnership. 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summary assumes that investors hold second mortgage notes as "capital assets" under the Code and does not discuss special situations, such as those of</w:t>
      </w:r>
    </w:p>
    <w:p>
      <w:pPr>
        <w:spacing w:after="0" w:line="50" w:lineRule="exact"/>
        <w:rPr>
          <w:sz w:val="20"/>
          <w:szCs w:val="20"/>
          <w:color w:val="auto"/>
        </w:rPr>
      </w:pPr>
    </w:p>
    <w:p>
      <w:pPr>
        <w:ind w:right="20" w:firstLine="8"/>
        <w:spacing w:after="0" w:line="287" w:lineRule="auto"/>
        <w:tabs>
          <w:tab w:leader="none" w:pos="24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States federal income tax; (2) certain former citizens or former long-term residents of the United States, or (3) persons holding second mortgage notes as part of a hedging or conversion transaction, a straddle, a constructive sale or synthetic securities transaction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6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Payments of Interest on the Second Mortgage Notes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Interest on the second mortgage notes will be taxable to a U.S. Holder as ordinary income from domestic sources at the time it is paid or accrued in accordance with the U.S. Holder's regular method of accounting for tax purposes. In addition, a U.S. Holder will be taxed annually an original issue discount as described below.</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Original Issue Discount</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second mortgage notes were issued with original issue discount because their issue price was substantially less than their stated principal amount at maturity. In addition to stated interest, each U.S. Holder is required to include in income in each year, in advance of receipt of the corresponding cash payments, original issue discount income as described below.</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amount of original issue discount with respect to a second mortgage note is equal to the excess of its "stated redemption price at maturity" over its "issue price." The issue price is the price at which a substantial amount of the second mortgage notes were initially sold to the public for money (excluding any sales to a bond house, broker or similar person or organization acting in the capacity of an underwriter, placement agent or wholesaler). The stated redemption price at maturity of a second mortgage note is the total of all payments to be made on the second mortgage note, other than stated interest payments.</w:t>
      </w:r>
    </w:p>
    <w:p>
      <w:pPr>
        <w:spacing w:after="0" w:line="16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U.S. Holder of a second mortgage note is required to include in gross income for United States federal income tax purposes an amount equal to the sum of the "daily portions," determined on a constant yield basis, of the original issue discount for all days during the taxable year on which the holder holds the second mortgage note, less the daily portion of acquisition premium, if any (see "United States Federal Income Taxation of U.S. Holders—Amortizable Bond Premium; Acquisition Premium"). The "daily portion" is determined by allocating to each day during the taxable year in which the holder holds the second mortgage notes a pro rata portion of the original issue discount attributable to the "accrual period" in which such day is included. Accrual periods with respect to a second mortgage note may vary in length over the term of the second mortgage note provided that no accrual period is longer than one year and each scheduled payment of interest or principal occurs on either the first or final day of an accrual period. The amount of original issue discount attributable to each accrual period is equal to the product of:</w:t>
      </w:r>
    </w:p>
    <w:p>
      <w:pPr>
        <w:spacing w:after="0" w:line="172" w:lineRule="exact"/>
        <w:rPr>
          <w:sz w:val="20"/>
          <w:szCs w:val="20"/>
          <w:color w:val="auto"/>
        </w:rPr>
      </w:pPr>
    </w:p>
    <w:p>
      <w:pPr>
        <w:ind w:left="660" w:hanging="301"/>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"adjusted issue price" at the beginning of such accrual period and</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"yield to maturity" of the instrument stated in a manner appropriately taking into account the length of the accrual period.</w:t>
      </w:r>
    </w:p>
    <w:p>
      <w:pPr>
        <w:spacing w:after="0" w:line="225"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The "yield to maturity" is the discount rate that, when used in computing the present value of all payments to be made on the Notes, produces an amount equal to the issue price of the second mortgage notes. The "adjusted issue price" of a second mortgage note at the beginning of an accrual period is generally</w:t>
      </w:r>
    </w:p>
    <w:p>
      <w:pPr>
        <w:sectPr>
          <w:pgSz w:w="11900" w:h="16838" w:orient="portrait"/>
          <w:cols w:equalWidth="0" w:num="1">
            <w:col w:w="11420"/>
          </w:cols>
          <w:pgMar w:left="240" w:top="341" w:right="239" w:bottom="0" w:gutter="0" w:footer="0" w:header="0"/>
        </w:sectPr>
      </w:pPr>
    </w:p>
    <w:bookmarkStart w:id="147" w:name="page148"/>
    <w:bookmarkEnd w:id="147"/>
    <w:p>
      <w:pPr>
        <w:ind w:right="260"/>
        <w:spacing w:after="0" w:line="255" w:lineRule="auto"/>
        <w:rPr>
          <w:sz w:val="20"/>
          <w:szCs w:val="20"/>
          <w:color w:val="auto"/>
        </w:rPr>
      </w:pPr>
      <w:r>
        <w:rPr>
          <w:rFonts w:ascii="Arial" w:cs="Arial" w:eastAsia="Arial" w:hAnsi="Arial"/>
          <w:sz w:val="18"/>
          <w:szCs w:val="18"/>
          <w:color w:val="auto"/>
        </w:rPr>
        <w:t>defined as the issue price plus the aggregate amount of original issue discount that accrued in all prior accrual periods, less any cash payments made on the second mortgage note on or before the first day of the accrual period (other than payments of stated interest). Accordingly, a U.S. Holder of a second mortgage note is required to include original issue discount in gross income for United States federal tax purposes in advance of the receipt of cash attributable to such income. The amount of original issue discount allocable to an initial short accrual period may be computed using any reasonable method if all other accrual periods, other than a final short accrual period, are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equal length. The amount of original issue discount allocable to the final accrual period at maturity of a second mortgage note is the difference between the amount payable at the maturity of the second mortgage note and its adjusted issue price as of the beginning of the final accrual period.</w:t>
      </w:r>
    </w:p>
    <w:p>
      <w:pPr>
        <w:spacing w:after="0" w:line="13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Payments on the second mortgage notes (other than stated interest payments) are not separately included in a U.S. Holder's income, but rather are treated first as payments of accrued original issue discount to the extent of such accrued original issue discount and the excess as payments of principal.</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Optional Redemption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intend to take the reporting position,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reporting position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reporting position is not, however, binding on the Internal Revenue Service, referred to as the IRS, and if the IRS were to successfully challenge this position, a U.S. Holder might be required to accrue income on its notes in excess of stated interest.</w:t>
      </w:r>
    </w:p>
    <w:p>
      <w:pPr>
        <w:spacing w:after="0" w:line="181" w:lineRule="exact"/>
        <w:rPr>
          <w:sz w:val="20"/>
          <w:szCs w:val="20"/>
          <w:color w:val="auto"/>
        </w:rPr>
      </w:pPr>
    </w:p>
    <w:p>
      <w:pPr>
        <w:ind w:right="340" w:firstLine="348"/>
        <w:spacing w:after="0" w:line="286" w:lineRule="auto"/>
        <w:rPr>
          <w:sz w:val="20"/>
          <w:szCs w:val="20"/>
          <w:color w:val="auto"/>
        </w:rPr>
      </w:pPr>
      <w:r>
        <w:rPr>
          <w:rFonts w:ascii="Arial" w:cs="Arial" w:eastAsia="Arial" w:hAnsi="Arial"/>
          <w:sz w:val="16"/>
          <w:szCs w:val="16"/>
          <w:color w:val="auto"/>
        </w:rPr>
        <w:t>We may redeem up to 35% of the second mortgage notes prior to , 2005 and may redeem the second mortgage notes, in whole or in part, at any time on or after , 2006, at redemption prices specified elsewhere herein plus accrued and unpaid stated interest. The date of any such redemption is</w:t>
      </w:r>
    </w:p>
    <w:p>
      <w:pPr>
        <w:ind w:right="80"/>
        <w:spacing w:after="0" w:line="292" w:lineRule="auto"/>
        <w:rPr>
          <w:sz w:val="20"/>
          <w:szCs w:val="20"/>
          <w:color w:val="auto"/>
        </w:rPr>
      </w:pPr>
      <w:r>
        <w:rPr>
          <w:rFonts w:ascii="Arial" w:cs="Arial" w:eastAsia="Arial" w:hAnsi="Arial"/>
          <w:sz w:val="16"/>
          <w:szCs w:val="16"/>
          <w:color w:val="auto"/>
        </w:rPr>
        <w:t>referred to as the optional call date. The Treasury Regulations contain 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may wish to consult their own tax advisors regarding the treatment of such contingencies.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Second Mortgage Notes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received in exchange therefor and (2) the holder's adjusted tax basis in such second mortgage note. Amounts attributable to accrued but unpaid interest on the second mortgage notes will be treated as ordinary interest income. A holder's adjusted tax basis in a second mortgage note is equal to the purchase price paid by such holder increased by the amount of any original issue discount and market discount previously included in income by such holder with respect to such second mortgage note or decreased by the amount of any amortizable bond premium applied to reduce interest on such second mortgage note and decreased by any payments received thereon (other than payments of stated interest).</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Discount</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 xml:space="preserve">A U.S. Holder receives a "market discount" if he/she purchases a second mortgage note on issuance for an amount below the issue price (i.e. the price at which a substantial amount of notes were sold to persons other than bond houses, brokers or similar persons, or organizations acting in the capacity of underwriter, placement agent, or wholesaler), or, in the case of a subsequent purchase for an amount below the adjusted issue price on the date of purchase (as determined in accordance with the original issue discount rates above). Under the market discount rules, subject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 U.S. Holder is required to treat any 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 Any market discount is considered to accrue ratably during the period from the date of acquisition to the maturity date of the second mortgage note, unless the U.S. holder elects to accrue such discount on a constant interest rate method.</w:t>
      </w:r>
    </w:p>
    <w:p>
      <w:pPr>
        <w:spacing w:after="0" w:line="18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Alternatively, a taxpayer may elect to include the interest income in income currently either ratably or under the constant interest rate method. If this election is made, the holder's basis in the second mortgage note will be increased to reflect the amount of income recognized and the rules described above regarding</w:t>
      </w:r>
    </w:p>
    <w:p>
      <w:pPr>
        <w:sectPr>
          <w:pgSz w:w="11900" w:h="16838" w:orient="portrait"/>
          <w:cols w:equalWidth="0" w:num="1">
            <w:col w:w="11420"/>
          </w:cols>
          <w:pgMar w:left="240" w:top="131" w:right="239" w:bottom="0" w:gutter="0" w:footer="0" w:header="0"/>
        </w:sectPr>
      </w:pPr>
    </w:p>
    <w:bookmarkStart w:id="148" w:name="page149"/>
    <w:bookmarkEnd w:id="148"/>
    <w:p>
      <w:pPr>
        <w:ind w:right="140"/>
        <w:spacing w:after="0" w:line="332" w:lineRule="auto"/>
        <w:rPr>
          <w:sz w:val="20"/>
          <w:szCs w:val="20"/>
          <w:color w:val="auto"/>
        </w:rPr>
      </w:pPr>
      <w:r>
        <w:rPr>
          <w:rFonts w:ascii="Arial" w:cs="Arial" w:eastAsia="Arial" w:hAnsi="Arial"/>
          <w:sz w:val="16"/>
          <w:szCs w:val="16"/>
          <w:color w:val="auto"/>
        </w:rPr>
        <w:t>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Amortizable Bond Premium</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applied to each accrual period of the second mortgage note and allocated ratably to each day within an accrual period. As described under "Effect of Optional Redemption," the notes are subject to various call provisions. As discussed, we intend to take the reporting position that the likelihood of a redemption because of a change of control or gaming license issues is remote and should be disregarded in determining the amount of amortizable bond premium. Accordingly, a U.S. Holder would calculate the amortizable bond premium based on the amount payable on the stated maturity date unless use of an optional call date (and price) results in smaller amortizable bond premium. The amount amortized in any year will be treated as a reduction of the U.S. Holder's interest income, including original issue discount income, from the second mortgage note and a reduction in such U.S. Holder's tax basis in the second mortgage note. The election to amortize premium, once made, applies to all debt obligations held or subsequently acquired by the electing U.S. Holder on or after the first day of the first taxable year to which the election applies and may not be revoked without the consent of the IRS.</w:t>
      </w:r>
    </w:p>
    <w:p>
      <w:pPr>
        <w:spacing w:after="0" w:line="172"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 U.S. Holder that purchased a second mortgage note for an amount that is greater than its adjusted issue price on the date of purchase, as determined in accordance with the original issue discount rules, above, but less than or equal to the sum of all amounts payable on the second mortgage note after the purchase date (the "remaining redemption amount") is considered to have purchased such second mortgage note at an "acquisition premium." A holder of a second mortgage note that is purchased at an acquisition premium may reduce the amount of the original issue discount otherwise includible in income with respect to the second mortgage note by the "acquisition premium fraction." The acquisition premium fraction is that fraction the numerator of which is the excess of the holder's adjusted tax basis in the second mortgage note immediately after its acquisition over the adjusted issue price of the second mortgage note and the denominator of which is the excess of the remaining redemption amount over the adjusted issue price of the second mortgage note. Alternatively, a holder of a second mortgage note that is purchased at an acquisition premium may elect to compute the original issue discount accrual on the second mortgage note by treating the purchase as a purchase of the second mortgage note at original issuance, treating the purchase price as the issue price, and applying the original issue discount rules thereto using a constant yield method.</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 January 1, 2011. Certain U.S. Holders, including all corporations, are not subject to backup withholding and information reporting.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right="80" w:firstLine="348"/>
        <w:spacing w:after="0" w:line="301" w:lineRule="auto"/>
        <w:rPr>
          <w:sz w:val="20"/>
          <w:szCs w:val="20"/>
          <w:color w:val="auto"/>
        </w:rPr>
      </w:pPr>
      <w:r>
        <w:rPr>
          <w:rFonts w:ascii="Arial" w:cs="Arial" w:eastAsia="Arial" w:hAnsi="Arial"/>
          <w:sz w:val="15"/>
          <w:szCs w:val="15"/>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Pursuant to the "portfolio interest exception," the payment to a Non-U.S. Holder of interest on the second mortgage note is not subject to United States federal withholding tax, including the amount of any payment that is attributable to original issue discount that accrued while such non-U.S. Holder held the second mortgage notes, provided that (i) the Non-U.S. Holder (A) does not actually or constructively own 10% or more of our capital or profits interest and (B) is neither a controlled foreign corporation that is related to us within the meaning of the Code, nor a bank that received the second mortgage notes on an extension of credit made pursuant to a loan agreement entered into in the ordinary course of its trade or business; and</w:t>
      </w:r>
    </w:p>
    <w:p>
      <w:pPr>
        <w:spacing w:after="0" w:line="5" w:lineRule="exact"/>
        <w:rPr>
          <w:sz w:val="20"/>
          <w:szCs w:val="20"/>
          <w:color w:val="auto"/>
        </w:rPr>
      </w:pPr>
    </w:p>
    <w:p>
      <w:pPr>
        <w:ind w:right="80" w:firstLine="8"/>
        <w:spacing w:after="0" w:line="292" w:lineRule="auto"/>
        <w:tabs>
          <w:tab w:leader="none" w:pos="25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either (A) the beneficial owner of the second mortgage notes certifies to us or to our paying agent, under penalties of perjury, that it is not a U.S. Holder and provides its name and address on Internal Revenue Service Form W-8BEN (or a suitable substitute form) or (B) 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that has furnished it with a copy thereof).</w:t>
      </w:r>
    </w:p>
    <w:p>
      <w:pPr>
        <w:spacing w:after="0" w:line="171"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If a Non-U.S. Holder cannot satisfy the requirements of the portfolio interest exception described above, payments of interest, including the amount of any payment that is attributable to original issue discount that accrued while such non-U.S. Holder held the second mortgage notes, made to such Non-U.S. Holder will be subject to a 30% withholding tax, unless the beneficial owner of the second mortgage note provides us or our paying agent, as the case may be, with a properly executed (i) Form W-8BEN (or a suitable substitute form) claiming an exemption from or reduction in the rate of withholding pursuant to a tax treaty or</w:t>
      </w:r>
    </w:p>
    <w:p>
      <w:pPr>
        <w:spacing w:after="0" w:line="3" w:lineRule="exact"/>
        <w:rPr>
          <w:sz w:val="20"/>
          <w:szCs w:val="20"/>
          <w:color w:val="auto"/>
        </w:rPr>
      </w:pPr>
    </w:p>
    <w:p>
      <w:pPr>
        <w:ind w:right="360" w:firstLine="8"/>
        <w:spacing w:after="0" w:line="261" w:lineRule="auto"/>
        <w:tabs>
          <w:tab w:leader="none" w:pos="25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 United States permanent establishment, such Non-U.S. Holder, will be subject to United States federal income tax on such interest, including original issue discount.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Notes</w:t>
      </w:r>
    </w:p>
    <w:p>
      <w:pPr>
        <w:sectPr>
          <w:pgSz w:w="11900" w:h="16838" w:orient="portrait"/>
          <w:cols w:equalWidth="0" w:num="1">
            <w:col w:w="11400"/>
          </w:cols>
          <w:pgMar w:left="240" w:top="131" w:right="259" w:bottom="0" w:gutter="0" w:footer="0" w:header="0"/>
        </w:sectPr>
      </w:pPr>
    </w:p>
    <w:bookmarkStart w:id="149" w:name="page150"/>
    <w:bookmarkEnd w:id="149"/>
    <w:p>
      <w:pPr>
        <w:spacing w:after="0" w:line="62"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 Non-U.S. Holder generally will not be subject to United States federal income tax on gain realized on a sale, exchange, redemption, retirement or other taxable disposition of a second mortgage note unless (1) the gain is effectively connected with the conduct of a trade or business in the United States by the Non-U.S. Holder, and, where an income tax treaty applies, attributable to a United States permanent establishment or (2) in the case of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Non-U.S. Holder who is an individual, such holder is present in the United States for 183 days or more in the taxable year of disposition and certain other conditions are met.</w:t>
      </w:r>
    </w:p>
    <w:p>
      <w:pPr>
        <w:spacing w:after="0" w:line="186" w:lineRule="exact"/>
        <w:rPr>
          <w:sz w:val="20"/>
          <w:szCs w:val="20"/>
          <w:color w:val="auto"/>
        </w:rPr>
      </w:pPr>
    </w:p>
    <w:p>
      <w:pPr>
        <w:jc w:val="both"/>
        <w:ind w:right="220" w:firstLine="351"/>
        <w:spacing w:after="0" w:line="323" w:lineRule="auto"/>
        <w:rPr>
          <w:sz w:val="20"/>
          <w:szCs w:val="20"/>
          <w:color w:val="auto"/>
        </w:rPr>
      </w:pPr>
      <w:r>
        <w:rPr>
          <w:rFonts w:ascii="Arial" w:cs="Arial" w:eastAsia="Arial" w:hAnsi="Arial"/>
          <w:sz w:val="15"/>
          <w:szCs w:val="15"/>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in "—United States Federal Income Taxation of Non-U.S. Holders—Payment of Interest," or (b) they are excluded under an applicable treaty. The United States federal estate tax generally has been repealed for decedents dying in 2010. Unless extended by new legislation, however, the repeal expires and the United States federal estate tax is reinstated beginning January 1, 2011.</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Arial" w:cs="Arial" w:eastAsia="Arial" w:hAnsi="Arial"/>
          <w:sz w:val="18"/>
          <w:szCs w:val="18"/>
          <w:b w:val="1"/>
          <w:bCs w:val="1"/>
          <w:color w:val="auto"/>
        </w:rPr>
        <w:t>"</w:t>
      </w:r>
      <w:r>
        <w:rPr>
          <w:rFonts w:ascii="Arial" w:cs="Arial" w:eastAsia="Arial" w:hAnsi="Arial"/>
          <w:sz w:val="18"/>
          <w:szCs w:val="18"/>
          <w:color w:val="auto"/>
        </w:rPr>
        <w:t>United States Federal Income Tax Considerations—United States Federal Income Taxation of Non-U.S. Holders—Payments of Interest."</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payment of proceeds from the disposition of a second mortgage note effected by or through a United States office of a broker is also subject to both backup withholding and information reporting unless a Non-U.S. Holder provides the payor with such Non-U.S. 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 records that the holder is a Non-U.S. Holder and certain other conditions are met, or the exemption is otherwise established.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62"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9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Principal Amount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160" w:type="dxa"/>
            <w:vAlign w:val="bottom"/>
            <w:gridSpan w:val="2"/>
            <w:shd w:val="clear" w:color="auto" w:fill="CCEEFF"/>
          </w:tcPr>
          <w:p>
            <w:pPr>
              <w:jc w:val="right"/>
              <w:ind w:right="1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-880110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-880110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-880110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-880110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-588645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-588645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-296545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-5080</wp:posOffset>
            </wp:positionV>
            <wp:extent cx="1270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-5080</wp:posOffset>
            </wp:positionV>
            <wp:extent cx="1270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50" w:name="page151"/>
    <w:bookmarkEnd w:id="150"/>
    <w:p>
      <w:pPr>
        <w:spacing w:after="0" w:line="10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 Grantchester,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Fleet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Scotia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165735</wp:posOffset>
            </wp:positionV>
            <wp:extent cx="4562475" cy="274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562475" cy="27432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40"/>
        <w:spacing w:after="0"/>
        <w:tabs>
          <w:tab w:leader="none" w:pos="73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3063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94"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 of the principal amount of the second mortgage notes. The underwriters may allow, and these dealers may re-allow, a concession of not more than % of the principal amount of the second mortgage notes to other dealers. After the initial public offering, representatives of the underwriters may change the offering price and other selling terms.</w:t>
      </w:r>
    </w:p>
    <w:p>
      <w:pPr>
        <w:spacing w:after="0" w:line="15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 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does not develop, the market price and liquidity of the second mortgage notes may be adversely affected.</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the second mortgage notes made by the underwriters in the open market prior to the completion of the offering.</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7"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Deutsche Bank Securities Inc., Bear, Stearns &amp; Co. Inc. and Banc of America Securities LLC will act as joint book-running managers, and an affiliate of Dresdner Kleinwort Wasserstein - Grantchester, Inc. will act as co-lead managing underwriter for the initial public offering of Wynn Resorts, which is expected to close concurrently with this offering, and will receive certain fees for their services. Jefferies &amp; Company, Inc. and SG Cowen Securities Corporation will also act as underwriters in connection with the initial public offering of Wynn Resorts and will receive certain fees for their services.</w:t>
      </w:r>
    </w:p>
    <w:p>
      <w:pPr>
        <w:sectPr>
          <w:pgSz w:w="11900" w:h="16939" w:orient="portrait"/>
          <w:cols w:equalWidth="0" w:num="1">
            <w:col w:w="11400"/>
          </w:cols>
          <w:pgMar w:left="240" w:top="347" w:right="259" w:bottom="0" w:gutter="0" w:footer="0" w:header="0"/>
        </w:sectPr>
      </w:pPr>
    </w:p>
    <w:bookmarkStart w:id="151" w:name="page152"/>
    <w:bookmarkEnd w:id="151"/>
    <w:p>
      <w:pPr>
        <w:ind w:right="120" w:firstLine="351"/>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Dresdner Bank AG, New York branch, an affiliate of Dresdner Kleinwort Wasserstein — Grantchester, Inc., will act as arranger and joint documentation agent and as a lender under the credit facilities and will receive certain fees for its services.</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Affiliates of Fleet Securities, Inc. and Scotia Capital (USA) Inc. will act as lenders under the credit facilities and will receive certain fees for their services. See "Description of Other Indebtedness—Credit Facilities."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act as a lender under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Other Indebtedness—FF&amp;E Facility."</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information contained in this prospectus does not constitute an offer or an invitation to make an offer for the acquisition of notes by Austrian investors nor are such notes available to Austrian investors with the following exemption. The notes are exclusively offered to a limited number of institutional investors and are therefore not subject to the public offering requirements of the Austrian Capital Markets Act (Section 3, paragraph 1, subparagraph 11). Institutional investors are persons whose ordinary business activities include the acquisition of the respective notes for the purpose of their business and who are interested in the notes not with the purpose of offering such notes to third parties in Austria. Such notes are not offered and will not be made available to any other persons in Austria.</w:t>
      </w:r>
    </w:p>
    <w:p>
      <w:pPr>
        <w:spacing w:after="0" w:line="198"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 xml:space="preserve">This prospectus has not been prepared in the context of a public offering of securities in France within the meaning of Article L.411-1 of the French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Monétaire et Financier </w:t>
      </w:r>
      <w:r>
        <w:rPr>
          <w:rFonts w:ascii="Arial" w:cs="Arial" w:eastAsia="Arial" w:hAnsi="Arial"/>
          <w:sz w:val="16"/>
          <w:szCs w:val="16"/>
          <w:color w:val="auto"/>
        </w:rPr>
        <w:t>and Regulations No. 98-01 and 98-08 of the</w:t>
      </w:r>
      <w:r>
        <w:rPr>
          <w:rFonts w:ascii="Arial" w:cs="Arial" w:eastAsia="Arial" w:hAnsi="Arial"/>
          <w:sz w:val="16"/>
          <w:szCs w:val="16"/>
          <w:i w:val="1"/>
          <w:iCs w:val="1"/>
          <w:color w:val="auto"/>
        </w:rPr>
        <w:t xml:space="preserve"> Commission des opérations de bourse </w:t>
      </w:r>
      <w:r>
        <w:rPr>
          <w:rFonts w:ascii="Arial" w:cs="Arial" w:eastAsia="Arial" w:hAnsi="Arial"/>
          <w:sz w:val="16"/>
          <w:szCs w:val="16"/>
          <w:color w:val="auto"/>
        </w:rPr>
        <w:t>("COB") and has therefore not been submitted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COB for prior approval. It is made available only to qualified investors and/or to a limited circle of investors (as defined in Article L.411-2 of the French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Monétaire et Financier </w:t>
      </w:r>
      <w:r>
        <w:rPr>
          <w:rFonts w:ascii="Arial" w:cs="Arial" w:eastAsia="Arial" w:hAnsi="Arial"/>
          <w:sz w:val="16"/>
          <w:szCs w:val="16"/>
          <w:color w:val="auto"/>
        </w:rPr>
        <w:t>and in the Decree No. 98-880 dated 1 October 1998), on the condition that it shall not be passed on to any person nor reproduced (in</w:t>
      </w:r>
      <w:r>
        <w:rPr>
          <w:rFonts w:ascii="Arial" w:cs="Arial" w:eastAsia="Arial" w:hAnsi="Arial"/>
          <w:sz w:val="16"/>
          <w:szCs w:val="16"/>
          <w:i w:val="1"/>
          <w:iCs w:val="1"/>
          <w:color w:val="auto"/>
        </w:rPr>
        <w:t xml:space="preserve"> </w:t>
      </w:r>
      <w:r>
        <w:rPr>
          <w:rFonts w:ascii="Arial" w:cs="Arial" w:eastAsia="Arial" w:hAnsi="Arial"/>
          <w:sz w:val="16"/>
          <w:szCs w:val="16"/>
          <w:color w:val="auto"/>
        </w:rPr>
        <w:t>whole or in part) and that applicants act for their own account in accordance with the terms set out by the said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Decree and undertake not to retransfer, directly or indirectly, the notes in France, other than in compliance with applicable laws and regulations (Articles L.411-1, L.411-2, L.412-1 and L.621-8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86"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public offer of securities for sale in Germany is subject to certain restrictions, namely the restrictions provided in the German Securities Selling Prospectus Act (</w:t>
      </w:r>
      <w:r>
        <w:rPr>
          <w:rFonts w:ascii="Arial" w:cs="Arial" w:eastAsia="Arial" w:hAnsi="Arial"/>
          <w:sz w:val="16"/>
          <w:szCs w:val="16"/>
          <w:i w:val="1"/>
          <w:iCs w:val="1"/>
          <w:color w:val="auto"/>
        </w:rPr>
        <w:t>Wertpapier-Verkaufsprospektgesetz</w:t>
      </w:r>
      <w:r>
        <w:rPr>
          <w:rFonts w:ascii="Arial" w:cs="Arial" w:eastAsia="Arial" w:hAnsi="Arial"/>
          <w:sz w:val="16"/>
          <w:szCs w:val="16"/>
          <w:color w:val="auto"/>
        </w:rPr>
        <w:t>). The offer of the notes does not constitute a public offer of securities for sale in Germany. This prospectus has not been approved by the German Federal Supervisory Authority for Financial Services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or any other competent German authority under the relevant laws. This prospectus may not be publicly distributed in Germany and may not be used in connection with any resale of the notes. The notes may not be resold in Germany by way of a public offer. The underwriters, any other purchaser of the notes and the persons into whose possession this prospectus comes acknowledge these restrictions.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No public offering of the notes is permitted in the Hellenic Republic without the issuance and publication of a prospectus approved by the Capital Market Committee and the Athens Stock Exchange and consequently no advertisement of any kind, notifications, statements or other actions are permitted to be taken in the Hellenic Republic with a view to attracting the public in Greece to acquire any of the notes. All provisions of codified law 2190/1920, law 876/1979 and presidential decree 52/1992 must be complied with in respect of anything done in relation to the public offering of the notes in, from or otherwise involving the Hellenic Republic. In accordance with Article 4 of presidential decree 52/1992, the above approval procedure is not required if the notes are to be offered in the Hellenic Republic only to a restricted number of investors and/or persons engaged professionally in the investment business (such as insurance companies, credit institutions, social security funds and other persons who qualify as institutional investors within the meaning of Resolution No. 9/201/10.10.2000 of the Capital Markets Commission). The notes have not been and will not be offered or sold to persons in Greece other than to insurance companies, credit institutions, social security funds and other persons who qualify as "institutional investors" within the meaning of Resolution no. 9/201/10.10.2000 of the Capital Market Commission and any other relevant regulation. No action has been taken or will be taken by the underwriters that would, or is intended to, permit a "public offer" of the notes in the Hellenic Republic as the meaning of "public offer" results from article 4 of Presidential Decree 52/1992, (re: determination of the requirements for the drawing up, scrutiny and distribution of the prospectus to be published when transferable securities are offered to the public in accordance with Directive 89/298/EC) and the above noted Resolution. Each underwriter further represents and agrees that it will comply with all applicable laws and regulations, and make or obtain all necessary filings, consents or approvals in Greece in connection with the sale of the notes in Greece, as provided by Greek legislation.</w:t>
      </w:r>
    </w:p>
    <w:p>
      <w:pPr>
        <w:sectPr>
          <w:pgSz w:w="11900" w:h="16838" w:orient="portrait"/>
          <w:cols w:equalWidth="0" w:num="1">
            <w:col w:w="11380"/>
          </w:cols>
          <w:pgMar w:left="240" w:top="131" w:right="279" w:bottom="0" w:gutter="0" w:footer="0" w:header="0"/>
        </w:sectPr>
      </w:pPr>
    </w:p>
    <w:bookmarkStart w:id="152" w:name="page153"/>
    <w:bookmarkEnd w:id="152"/>
    <w:p>
      <w:pPr>
        <w:ind w:left="360"/>
        <w:spacing w:after="0"/>
        <w:rPr>
          <w:sz w:val="20"/>
          <w:szCs w:val="20"/>
          <w:color w:val="auto"/>
        </w:rPr>
      </w:pPr>
      <w:r>
        <w:rPr>
          <w:rFonts w:ascii="Arial" w:cs="Arial" w:eastAsia="Arial" w:hAnsi="Arial"/>
          <w:sz w:val="16"/>
          <w:szCs w:val="16"/>
          <w:color w:val="auto"/>
        </w:rPr>
        <w:t>This prospectus does not constitute an offer or invitation to you or to the public to purchase or subscribe for any notes in the Republic of Ireland.</w:t>
      </w:r>
    </w:p>
    <w:p>
      <w:pPr>
        <w:spacing w:after="0" w:line="248"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offering of the notes has not been registered pursuant to the Italian securities legislation and, accordingly, the underwriters have represented and agreed that they have not offered or sold, and will not offer or sell, any notes in Italy a solicitation to the public, and that sales of the notes in Italy shall be effected in accordance with all Italian securities, tax, exchange control and other applicable laws and regulations.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underwriters have represented that they will not offer, sell or deliver any notes or distribute copies of the prospectus or any other document relating to the notes in Italy except:</w:t>
      </w:r>
    </w:p>
    <w:p>
      <w:pPr>
        <w:spacing w:after="0" w:line="186" w:lineRule="exact"/>
        <w:rPr>
          <w:sz w:val="20"/>
          <w:szCs w:val="20"/>
          <w:color w:val="auto"/>
        </w:rPr>
      </w:pPr>
    </w:p>
    <w:p>
      <w:pPr>
        <w:ind w:firstLine="359"/>
        <w:spacing w:after="0" w:line="255" w:lineRule="auto"/>
        <w:tabs>
          <w:tab w:leader="none" w:pos="63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"professional investors", as defined in Article 31.2 of CONSOB Regulation No. 11522 of 1 July 1998, as amended ("Regulation No. 11522"), pursuant to Article 30.2 and 100 of Legislative Decree No. 58/1998 of 24 February 1998 ("Decree No. 58/1998"), or in any other circumstances where an express exemption from compliance with the solicitation restrictions provided by Decree No. 58/1998 or CONSOB Regulation No. 11971 of 14 May 1999, as amended, applies, provided however, that any such offer, sale or delivery of notes or distribution of copies of the prospectus or any other document relating to the notes in Italy must be:</w:t>
      </w:r>
    </w:p>
    <w:p>
      <w:pPr>
        <w:spacing w:after="0" w:line="196" w:lineRule="exact"/>
        <w:rPr>
          <w:rFonts w:ascii="Arial" w:cs="Arial" w:eastAsia="Arial" w:hAnsi="Arial"/>
          <w:sz w:val="18"/>
          <w:szCs w:val="18"/>
          <w:color w:val="auto"/>
        </w:rPr>
      </w:pPr>
    </w:p>
    <w:p>
      <w:pPr>
        <w:ind w:left="540" w:right="140" w:firstLine="359"/>
        <w:spacing w:after="0" w:line="332" w:lineRule="auto"/>
        <w:tabs>
          <w:tab w:leader="none" w:pos="1232" w:val="left"/>
        </w:tabs>
        <w:numPr>
          <w:ilvl w:val="1"/>
          <w:numId w:val="326"/>
        </w:numPr>
        <w:rPr>
          <w:rFonts w:ascii="Arial" w:cs="Arial" w:eastAsia="Arial" w:hAnsi="Arial"/>
          <w:sz w:val="16"/>
          <w:szCs w:val="16"/>
          <w:color w:val="auto"/>
        </w:rPr>
      </w:pPr>
      <w:r>
        <w:rPr>
          <w:rFonts w:ascii="Arial" w:cs="Arial" w:eastAsia="Arial" w:hAnsi="Arial"/>
          <w:sz w:val="16"/>
          <w:szCs w:val="16"/>
          <w:color w:val="auto"/>
        </w:rPr>
        <w:t>made by investment firms, banks or financial intermediaries permitted to conduct such activities in Italy in accordance with Legislative Decree No. 385 of 1 September 1993 ("Decree No. 385/1993"), Decree No. 58/1998, Regulation No. 11522 and any other applicable laws and regulations;</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19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 compliance with Article 129 of Decree No. 385/1993 and the implementing instructions of the Bank of Italy, pursuant to which the issue, trading or placement of securities in Italy is subject to prior notification to the Bank of Italy, unless an exemption, depending, inter alia, on the amount of the issue and the characteristics of the securities, applies; and</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in compliance with any other applicable notification requirement or limitation which may be imposed by CONSOB or the Bank of Italy; or</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Italian residents who submit unsolicited offers to the Sole Bookrunner to purchase the notes.</w:t>
      </w:r>
    </w:p>
    <w:p>
      <w:pPr>
        <w:spacing w:after="0" w:line="225" w:lineRule="exact"/>
        <w:rPr>
          <w:sz w:val="20"/>
          <w:szCs w:val="20"/>
          <w:color w:val="auto"/>
        </w:rPr>
      </w:pPr>
    </w:p>
    <w:p>
      <w:pPr>
        <w:jc w:val="both"/>
        <w:ind w:right="40" w:firstLine="348"/>
        <w:spacing w:after="0" w:line="323" w:lineRule="auto"/>
        <w:rPr>
          <w:sz w:val="20"/>
          <w:szCs w:val="20"/>
          <w:color w:val="auto"/>
        </w:rPr>
      </w:pPr>
      <w:r>
        <w:rPr>
          <w:rFonts w:ascii="Arial" w:cs="Arial" w:eastAsia="Arial" w:hAnsi="Arial"/>
          <w:sz w:val="15"/>
          <w:szCs w:val="15"/>
          <w:color w:val="auto"/>
        </w:rPr>
        <w:t>The notes may not and will not be offered or sold to any individual or legal entity in The Netherlands other than to individuals or legal entities who or which trade in securities in the conduct of their profession or trade within the meaning of section 2 of the exemption regulation pursuant to the Dutch Securities Market Supervision Act (</w:t>
      </w:r>
      <w:r>
        <w:rPr>
          <w:rFonts w:ascii="Arial" w:cs="Arial" w:eastAsia="Arial" w:hAnsi="Arial"/>
          <w:sz w:val="15"/>
          <w:szCs w:val="15"/>
          <w:i w:val="1"/>
          <w:iCs w:val="1"/>
          <w:color w:val="auto"/>
        </w:rPr>
        <w:t>Vrijstellingregeling Wet toezicht effectenverker</w:t>
      </w:r>
      <w:r>
        <w:rPr>
          <w:rFonts w:ascii="Arial" w:cs="Arial" w:eastAsia="Arial" w:hAnsi="Arial"/>
          <w:sz w:val="15"/>
          <w:szCs w:val="15"/>
          <w:color w:val="auto"/>
        </w:rPr>
        <w:t xml:space="preserve"> 1995), which includes banks, securities intermediaries (including dealers and brokers), insurance companies, pension funds, other institutional investors and commercial enterprises which, as an ancillary activity, regularly invest or trade in securities.</w:t>
      </w:r>
    </w:p>
    <w:p>
      <w:pPr>
        <w:spacing w:after="0" w:line="152" w:lineRule="exact"/>
        <w:rPr>
          <w:sz w:val="20"/>
          <w:szCs w:val="20"/>
          <w:color w:val="auto"/>
        </w:rPr>
      </w:pPr>
    </w:p>
    <w:p>
      <w:pPr>
        <w:ind w:right="16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the public or any member of the public in Singapore other than (i) to an institutional investor or other person specified in Section 274 of the Securities and Futures Act 2001 of Singapore (the "SFA"),</w:t>
      </w:r>
    </w:p>
    <w:p>
      <w:pPr>
        <w:spacing w:after="0" w:line="3" w:lineRule="exact"/>
        <w:rPr>
          <w:sz w:val="20"/>
          <w:szCs w:val="20"/>
          <w:color w:val="auto"/>
        </w:rPr>
      </w:pPr>
    </w:p>
    <w:p>
      <w:pPr>
        <w:ind w:right="380" w:firstLine="8"/>
        <w:spacing w:after="0" w:line="261" w:lineRule="auto"/>
        <w:tabs>
          <w:tab w:leader="none" w:pos="25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a sophisticated investor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notes may not be offered or sold in Spain except in accordance with the requirements of the Spanish Securities Market Law (Ley 24/1988 de 28 de julio, del mercado de valores as amended by Law 37/1998 of November 16) and Royal Decree 291/1992, on Issues and Public Offerings of Securities (Real Decreto 291/1992, de 27 de marzo, sobre emisiones y ofertas públicas de valores) as amended or restated by Royal Decree 2590/1998 of 7 December (hereinafter the "R.D. 291/92"). This offering memorandum has not been verified nor registered in the administrative registries of the National Stock Exchange Commission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("CNMV") in Spain, and therefore a public offer for subscription of the notes shall not be promoted in Spain. Notwithstanding that and in accordance with the requirement set forth in R.D. 291/92, a private placement of the notes addressed exclusively to institutional investors (as defined in Article 7.1a of R.D. 291/92) will be carried out. The institutional investors will be subject to the restrictions on the subsequent transfer of the notes to other investors in Spain which are not institutional investors.</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notes are sold in Switzerland on the basis of a private placement. This prospectus does not, therefore, constitute a Prospectus within the meaning of Art. 652A of the Swiss Federal Code of Obligations.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Las Vegas, Nevada. Selected legal matters in connection with this offering</w:t>
      </w:r>
    </w:p>
    <w:p>
      <w:pPr>
        <w:sectPr>
          <w:pgSz w:w="11900" w:h="16838" w:orient="portrait"/>
          <w:cols w:equalWidth="0" w:num="1">
            <w:col w:w="11420"/>
          </w:cols>
          <w:pgMar w:left="240" w:top="131" w:right="239" w:bottom="0" w:gutter="0" w:footer="0" w:header="0"/>
        </w:sectPr>
      </w:pPr>
    </w:p>
    <w:bookmarkStart w:id="153" w:name="page154"/>
    <w:bookmarkEnd w:id="153"/>
    <w:p>
      <w:pPr>
        <w:spacing w:after="0" w:line="6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will be passed upon for the underwriters by Latham &amp; Watkins, Los Angeles, California. Latham &amp; Watkins is acting as counsel to the underwriters for the second mortgage notes, the underwriters for the initial public offering of common stock of Wynn Resorts and the arrangers under the credit facilities.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financial statements of Wynn Las Vegas, LLC (a wholly owned subsidiary of Valvino Lamore, LLC and a development stage company) as of December 31, 2001 and for the period from inception (April 17, 2001) to December 31, 2001, included in this prospectus have been audited by Deloitte &amp; Touche LLP, independent auditors, as stated in their report (which report expresses an unqualified opinion and includes an explanatory paragraph referring to the restatement of the financial statements at Note 6) appearing herein, and have been so included in reliance upon the reports of such firm given upon their authority of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Capital and the guarantors listed herein have filed with the Securities and Exchange Commission, referred to as the SEC, a registration statement on Form S-1 with respect to the second mortgage notes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 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Las Vegas, Wynn Capital or the guarantors files may be read and copied at the SEC's public reference room at 450 Fifth Street, N.W., Washington, D.C. 20549. Please call the SEC at 1-800-SEC-0330 for further information about the public reference room. Filings by Wynn Las Vegas, Wynn Capital or the guarantors with the SEC are also available to the public from the SEC's Web site at http://www.sec.gov.</w:t>
      </w:r>
    </w:p>
    <w:p>
      <w:pPr>
        <w:spacing w:after="0" w:line="17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 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1500" cy="274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740" w:type="dxa"/>
            <w:vAlign w:val="bottom"/>
          </w:tcPr>
          <w:p>
            <w:pPr>
              <w:ind w:left="2500"/>
              <w:spacing w:after="0"/>
              <w:rPr>
                <w:sz w:val="20"/>
                <w:szCs w:val="20"/>
                <w:color w:val="auto"/>
              </w:rPr>
            </w:pPr>
            <w:r>
              <w:rPr>
                <w:rFonts w:ascii="Arial" w:cs="Arial" w:eastAsia="Arial" w:hAnsi="Arial"/>
                <w:sz w:val="18"/>
                <w:szCs w:val="18"/>
                <w:color w:val="auto"/>
                <w:w w:val="81"/>
              </w:rPr>
              <w:t>F-2</w:t>
            </w:r>
          </w:p>
        </w:tc>
      </w:tr>
      <w:tr>
        <w:trPr>
          <w:trHeight w:val="43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2740" w:type="dxa"/>
            <w:vAlign w:val="bottom"/>
            <w:shd w:val="clear" w:color="auto" w:fill="CCEEFF"/>
          </w:tcPr>
          <w:p>
            <w:pPr>
              <w:ind w:left="2500"/>
              <w:spacing w:after="0"/>
              <w:rPr>
                <w:sz w:val="20"/>
                <w:szCs w:val="20"/>
                <w:color w:val="auto"/>
              </w:rPr>
            </w:pPr>
            <w:r>
              <w:rPr>
                <w:rFonts w:ascii="Arial" w:cs="Arial" w:eastAsia="Arial" w:hAnsi="Arial"/>
                <w:sz w:val="18"/>
                <w:szCs w:val="18"/>
                <w:color w:val="auto"/>
                <w:w w:val="81"/>
              </w:rPr>
              <w:t>F-3</w:t>
            </w:r>
          </w:p>
        </w:tc>
      </w:tr>
      <w:tr>
        <w:trPr>
          <w:trHeight w:val="431"/>
        </w:trPr>
        <w:tc>
          <w:tcPr>
            <w:tcW w:w="616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2740" w:type="dxa"/>
            <w:vAlign w:val="bottom"/>
          </w:tcPr>
          <w:p>
            <w:pPr>
              <w:ind w:left="2500"/>
              <w:spacing w:after="0"/>
              <w:rPr>
                <w:sz w:val="20"/>
                <w:szCs w:val="20"/>
                <w:color w:val="auto"/>
              </w:rPr>
            </w:pPr>
            <w:r>
              <w:rPr>
                <w:rFonts w:ascii="Arial" w:cs="Arial" w:eastAsia="Arial" w:hAnsi="Arial"/>
                <w:sz w:val="18"/>
                <w:szCs w:val="18"/>
                <w:color w:val="auto"/>
                <w:w w:val="81"/>
              </w:rPr>
              <w:t>F-4</w:t>
            </w:r>
          </w:p>
        </w:tc>
      </w:tr>
      <w:tr>
        <w:trPr>
          <w:trHeight w:val="246"/>
        </w:trPr>
        <w:tc>
          <w:tcPr>
            <w:tcW w:w="616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bl>
    <w:p>
      <w:pPr>
        <w:sectPr>
          <w:pgSz w:w="11900" w:h="16900" w:orient="portrait"/>
          <w:cols w:equalWidth="0" w:num="1">
            <w:col w:w="11400"/>
          </w:cols>
          <w:pgMar w:left="240" w:top="131" w:right="259" w:bottom="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1"/>
              </w:rPr>
              <w:t>F-5</w:t>
            </w:r>
          </w:p>
        </w:tc>
        <w:tc>
          <w:tcPr>
            <w:tcW w:w="2520" w:type="dxa"/>
            <w:vAlign w:val="bottom"/>
          </w:tcPr>
          <w:p>
            <w:pPr>
              <w:spacing w:after="0"/>
              <w:rPr>
                <w:sz w:val="18"/>
                <w:szCs w:val="18"/>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3700" w:type="dxa"/>
            <w:vAlign w:val="bottom"/>
            <w:gridSpan w:val="2"/>
          </w:tcPr>
          <w:p>
            <w:pPr>
              <w:ind w:left="940"/>
              <w:spacing w:after="0"/>
              <w:rPr>
                <w:sz w:val="20"/>
                <w:szCs w:val="20"/>
                <w:color w:val="auto"/>
              </w:rPr>
            </w:pPr>
            <w:r>
              <w:rPr>
                <w:rFonts w:ascii="Arial" w:cs="Arial" w:eastAsia="Arial" w:hAnsi="Arial"/>
                <w:sz w:val="18"/>
                <w:szCs w:val="18"/>
                <w:color w:val="auto"/>
              </w:rPr>
              <w:t>F-6</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1"/>
              </w:rPr>
              <w:t>F-8</w:t>
            </w:r>
          </w:p>
        </w:tc>
        <w:tc>
          <w:tcPr>
            <w:tcW w:w="2520" w:type="dxa"/>
            <w:vAlign w:val="bottom"/>
          </w:tcPr>
          <w:p>
            <w:pPr>
              <w:spacing w:after="0"/>
              <w:rPr>
                <w:sz w:val="24"/>
                <w:szCs w:val="24"/>
                <w:color w:val="auto"/>
              </w:rPr>
            </w:pPr>
          </w:p>
        </w:tc>
      </w:tr>
      <w:tr>
        <w:trPr>
          <w:trHeight w:val="445"/>
        </w:trPr>
        <w:tc>
          <w:tcPr>
            <w:tcW w:w="7720" w:type="dxa"/>
            <w:vAlign w:val="bottom"/>
          </w:tcPr>
          <w:p>
            <w:pPr>
              <w:spacing w:after="0"/>
              <w:rPr>
                <w:sz w:val="20"/>
                <w:szCs w:val="20"/>
                <w:color w:val="auto"/>
              </w:rPr>
            </w:pPr>
            <w:r>
              <w:rPr>
                <w:rFonts w:ascii="Arial" w:cs="Arial" w:eastAsia="Arial" w:hAnsi="Arial"/>
                <w:sz w:val="18"/>
                <w:szCs w:val="18"/>
                <w:b w:val="1"/>
                <w:bCs w:val="1"/>
                <w:color w:val="auto"/>
              </w:rPr>
              <w:t>Wynn Las Vegas, LLC</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(A Wholly Owned Subsidiary of Valvino Lamore, LLC and a Development Stage Company)</w:t>
            </w:r>
          </w:p>
        </w:tc>
        <w:tc>
          <w:tcPr>
            <w:tcW w:w="11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F-36</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Balance Sheets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F-37</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F-38</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Statements of Members' Deficiency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F-39</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F-40</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Notes to Financial Statements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F-41</w:t>
            </w:r>
          </w:p>
        </w:tc>
      </w:tr>
      <w:tr>
        <w:trPr>
          <w:trHeight w:val="46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Unaudited Guarantor Financial Information</w:t>
            </w:r>
          </w:p>
        </w:tc>
        <w:tc>
          <w:tcPr>
            <w:tcW w:w="118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Valvino Lamore, LLC and Subsidiaries</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F-48</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Balance Sheet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F-49</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Pro Forma Unaudited Guarantor Consolidating Statements of Operations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F-50</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Statements of Cash Flow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F-52</w:t>
            </w:r>
          </w:p>
        </w:tc>
        <w:tc>
          <w:tcPr>
            <w:tcW w:w="2520" w:type="dxa"/>
            <w:vAlign w:val="bottom"/>
          </w:tcPr>
          <w:p>
            <w:pPr>
              <w:spacing w:after="0"/>
              <w:rPr>
                <w:sz w:val="24"/>
                <w:szCs w:val="24"/>
                <w:color w:val="auto"/>
              </w:rPr>
            </w:pPr>
          </w:p>
        </w:tc>
      </w:tr>
      <w:tr>
        <w:trPr>
          <w:trHeight w:val="430"/>
        </w:trPr>
        <w:tc>
          <w:tcPr>
            <w:tcW w:w="7720" w:type="dxa"/>
            <w:vAlign w:val="bottom"/>
          </w:tcPr>
          <w:p>
            <w:pPr>
              <w:spacing w:after="0"/>
              <w:rPr>
                <w:sz w:val="20"/>
                <w:szCs w:val="20"/>
                <w:color w:val="auto"/>
              </w:rPr>
            </w:pPr>
            <w:r>
              <w:rPr>
                <w:rFonts w:ascii="Arial" w:cs="Arial" w:eastAsia="Arial" w:hAnsi="Arial"/>
                <w:sz w:val="18"/>
                <w:szCs w:val="18"/>
                <w:color w:val="auto"/>
              </w:rPr>
              <w:t>Notes to Pro Forma Unaudited Guarantor Financial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F-54</w:t>
            </w:r>
          </w:p>
        </w:tc>
      </w:tr>
      <w:tr>
        <w:trPr>
          <w:trHeight w:val="432"/>
        </w:trPr>
        <w:tc>
          <w:tcPr>
            <w:tcW w:w="7720" w:type="dxa"/>
            <w:vAlign w:val="bottom"/>
          </w:tcPr>
          <w:p>
            <w:pPr>
              <w:ind w:left="560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77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(As restated,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66675</wp:posOffset>
            </wp:positionV>
            <wp:extent cx="345186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jc w:val="center"/>
              <w:ind w:left="527"/>
              <w:spacing w:after="0"/>
              <w:rPr>
                <w:sz w:val="20"/>
                <w:szCs w:val="20"/>
                <w:color w:val="auto"/>
              </w:rPr>
            </w:pPr>
            <w:r>
              <w:rPr>
                <w:rFonts w:ascii="Arial" w:cs="Arial" w:eastAsia="Arial" w:hAnsi="Arial"/>
                <w:sz w:val="14"/>
                <w:szCs w:val="14"/>
                <w:b w:val="1"/>
                <w:bCs w:val="1"/>
                <w:color w:val="auto"/>
                <w:w w:val="88"/>
              </w:rPr>
              <w:t>Pro Forma</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jc w:val="center"/>
              <w:ind w:left="527"/>
              <w:spacing w:after="0" w:line="149" w:lineRule="exact"/>
              <w:rPr>
                <w:sz w:val="20"/>
                <w:szCs w:val="20"/>
                <w:color w:val="auto"/>
              </w:rPr>
            </w:pPr>
            <w:r>
              <w:rPr>
                <w:rFonts w:ascii="Arial" w:cs="Arial" w:eastAsia="Arial" w:hAnsi="Arial"/>
                <w:sz w:val="14"/>
                <w:szCs w:val="14"/>
                <w:b w:val="1"/>
                <w:bCs w:val="1"/>
                <w:color w:val="auto"/>
                <w:w w:val="88"/>
              </w:rPr>
              <w:t>Equity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674"/>
              <w:spacing w:after="0" w:line="149" w:lineRule="exact"/>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674"/>
              <w:spacing w:after="0" w:line="149" w:lineRule="exact"/>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300" w:type="dxa"/>
            <w:vAlign w:val="bottom"/>
          </w:tcPr>
          <w:p>
            <w:pPr>
              <w:jc w:val="center"/>
              <w:ind w:left="507"/>
              <w:spacing w:after="0" w:line="131"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jc w:val="center"/>
              <w:ind w:left="527"/>
              <w:spacing w:after="0" w:line="146" w:lineRule="exact"/>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(See Note 10)</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300" w:type="dxa"/>
            <w:vAlign w:val="bottom"/>
          </w:tcPr>
          <w:p>
            <w:pPr>
              <w:jc w:val="center"/>
              <w:ind w:left="52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7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2,077</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Authorized, zero shares outstanding</w:t>
            </w:r>
          </w:p>
        </w:tc>
        <w:tc>
          <w:tcPr>
            <w:tcW w:w="1300" w:type="dxa"/>
            <w:vAlign w:val="bottom"/>
          </w:tcPr>
          <w:p>
            <w:pPr>
              <w:jc w:val="right"/>
              <w:ind w:right="1127"/>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1"/>
              </w:rPr>
              <w:t>400,000,000 shares authorized, 40,000,000 shares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585,666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1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(41,118)</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00" w:type="dxa"/>
            <w:vAlign w:val="bottom"/>
          </w:tcPr>
          <w:p>
            <w:pPr>
              <w:jc w:val="right"/>
              <w:ind w:right="112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544,948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384,230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 Equity</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-6969125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-6969125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-7252335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-7252335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-7252335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-7252335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-7252335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-7252335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-5331460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-5331460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-5331460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-5331460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-5331460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-5331460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-4336415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-4336415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-4336415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-4336415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-4336415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-2878455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-2878455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-2878455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-2878455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-2878455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-2878455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-648970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-648970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-648970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-648970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-648970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(As restated,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66675</wp:posOffset>
            </wp:positionV>
            <wp:extent cx="597281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972810" cy="21590"/>
                    </a:xfrm>
                    <a:prstGeom prst="rect">
                      <a:avLst/>
                    </a:prstGeom>
                    <a:noFill/>
                  </pic:spPr>
                </pic:pic>
              </a:graphicData>
            </a:graphic>
          </wp:anchor>
        </w:drawing>
      </w:r>
    </w:p>
    <w:p>
      <w:pPr>
        <w:spacing w:after="0" w:line="198"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From Inception to</w:t>
            </w:r>
          </w:p>
        </w:tc>
      </w:tr>
      <w:tr>
        <w:trPr>
          <w:trHeight w:val="174"/>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2001</w:t>
            </w:r>
          </w:p>
        </w:tc>
        <w:tc>
          <w:tcPr>
            <w:tcW w:w="1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1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2000</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2002</w:t>
            </w:r>
          </w:p>
        </w:tc>
      </w:tr>
      <w:tr>
        <w:trPr>
          <w:trHeight w:val="105"/>
        </w:trPr>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266"/>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615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6159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-183515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-183515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-183515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-183515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-183515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-183515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-183515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-183515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-183515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-183515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bookmarkStart w:id="156" w:name="page157"/>
    <w:bookmarkEnd w:id="1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Airplane</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Art gallery</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Retail</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Pre-opening costs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Depreciation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amortization</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w w:val="98"/>
              </w:rPr>
              <w:t>Loss on sale of fixed assets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Selling, general &amp;</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administrative expenses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Facility closure</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expenses</w:t>
            </w:r>
          </w:p>
        </w:tc>
        <w:tc>
          <w:tcPr>
            <w:tcW w:w="54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1,206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1,579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Cost of retail sales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Loss from incidental</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operations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10,456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47,685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Loss</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(13,403)</w:t>
            </w: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(9,770)</w:t>
            </w:r>
          </w:p>
        </w:tc>
        <w:tc>
          <w:tcPr>
            <w:tcW w:w="7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(20,060)</w:t>
            </w: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(12,033)</w:t>
            </w:r>
          </w:p>
        </w:tc>
        <w:tc>
          <w:tcPr>
            <w:tcW w:w="6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Interest expense, net of</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amounts capitalized</w:t>
            </w:r>
          </w:p>
        </w:tc>
        <w:tc>
          <w:tcPr>
            <w:tcW w:w="5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(453)</w:t>
            </w: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6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6"/>
              </w:rPr>
              <w:t>Net loss accumulated during</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the development stage</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(12,776)</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(8,234)</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(17,726)</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(10,616)</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9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gridSpan w:val="2"/>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(61.19)</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(40.52)</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(86.27)</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(53.08)</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Pro Forma Share, Information</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Diluted</w:t>
            </w: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-4505325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-4505325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-4505325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-4505325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-4505325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-4505325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-4505325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-4505325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-4505325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-4505325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-2790190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-2790190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-2790190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-2790190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-2790190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-2790190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-2790190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-2790190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-2790190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-2790190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-2541905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-2541905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-2541905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-2541905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-2541905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-2541905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-2541905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-2541905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-2541905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-2541905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-1795780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-1795780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-1795780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-1795780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-1795780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-1795780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-1795780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-1795780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-1795780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-1795780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-1546860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-1546860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-1546860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-1546860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-1546860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-1546860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-1546860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-1546860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-1546860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-1546860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Kenneth 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Stephen A.</w:t>
            </w:r>
          </w:p>
        </w:tc>
        <w:tc>
          <w:tcPr>
            <w:tcW w:w="15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Aruze USA,</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Baron</w:t>
            </w: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Wynn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Wynn Capital</w:t>
            </w: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 Capital</w:t>
            </w: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Asset Fund</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Family Trust</w:t>
            </w: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at Inception (April 21, 2000)</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70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5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2000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2001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207,692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-2938145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-2938145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-2938145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-2938145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-2938145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-2938145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-2938145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-2938145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-2938145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-2938145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-2938145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-2938145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-1771650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-1771650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-1771650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-1771650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-1771650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-1771650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-1771650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-1771650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-1771650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-1771650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-1771650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-1771650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-451485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-451485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-451485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-451485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-451485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-451485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-451485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-451485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-451485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-451485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-451485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-451485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-28575</wp:posOffset>
            </wp:positionV>
            <wp:extent cx="12700"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-28575</wp:posOffset>
            </wp:positionV>
            <wp:extent cx="12700"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-28575</wp:posOffset>
            </wp:positionV>
            <wp:extent cx="12700"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-28575</wp:posOffset>
            </wp:positionV>
            <wp:extent cx="12700"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-28575</wp:posOffset>
            </wp:positionV>
            <wp:extent cx="12700"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-28575</wp:posOffset>
            </wp:positionV>
            <wp:extent cx="12700"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-28575</wp:posOffset>
            </wp:positionV>
            <wp:extent cx="12700"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-28575</wp:posOffset>
            </wp:positionV>
            <wp:extent cx="12700"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-28575</wp:posOffset>
            </wp:positionV>
            <wp:extent cx="12700"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-28575</wp:posOffset>
            </wp:positionV>
            <wp:extent cx="12700"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-28575</wp:posOffset>
            </wp:positionV>
            <wp:extent cx="12700"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-28575</wp:posOffset>
            </wp:positionV>
            <wp:extent cx="12700"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57" w:name="page158"/>
    <w:bookmarkEnd w:id="157"/>
    <w:p>
      <w:pPr>
        <w:spacing w:after="0" w:line="242" w:lineRule="auto"/>
        <w:framePr w:w="3860" w:h="373" w:wrap="auto" w:vAnchor="page" w:hAnchor="page" w:x="4020" w:y="3738"/>
        <w:rPr>
          <w:rFonts w:ascii="Arial" w:cs="Arial" w:eastAsia="Arial" w:hAnsi="Arial"/>
          <w:sz w:val="16"/>
          <w:szCs w:val="16"/>
          <w:b w:val="1"/>
          <w:bCs w:val="1"/>
          <w:color w:val="auto"/>
        </w:rPr>
      </w:pPr>
      <w:r>
        <w:rPr>
          <w:rFonts w:ascii="Arial" w:cs="Arial" w:eastAsia="Arial" w:hAnsi="Arial"/>
          <w:sz w:val="16"/>
          <w:szCs w:val="16"/>
          <w:b w:val="1"/>
          <w:bCs w:val="1"/>
          <w:color w:val="auto"/>
        </w:rPr>
        <w:t>VALVINO LAMORE, LLC AND SUBSIDIARIES (A DEVELOPMENT STAGE COMPANY)</w:t>
      </w:r>
    </w:p>
    <w:p>
      <w:pPr>
        <w:spacing w:after="0" w:line="204" w:lineRule="auto"/>
        <w:framePr w:w="4220" w:h="156" w:wrap="auto" w:vAnchor="page" w:hAnchor="page" w:x="3820" w:y="4386"/>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OF CASH FLOWS</w:t>
      </w: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Member contributions (unaudited)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1"/>
              </w:rPr>
              <w:t>development stage (unaudited) (As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at June 30, 2002 (unaudited)</w:t>
            </w: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2506980</wp:posOffset>
            </wp:positionH>
            <wp:positionV relativeFrom="paragraph">
              <wp:posOffset>-460375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-460375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-460375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-460375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-460375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-460375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-460375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-460375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-460375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-460375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9" w:lineRule="exact"/>
        <w:rPr>
          <w:rFonts w:ascii="Arial" w:cs="Arial" w:eastAsia="Arial" w:hAnsi="Arial"/>
          <w:sz w:val="16"/>
          <w:szCs w:val="16"/>
          <w:b w:val="1"/>
          <w:bCs w:val="1"/>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(As restated, see Note 12)</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 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(12,776)</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(8,234)</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(17,726)</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(10,616)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 during</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the development stage to net cash provided by/(used</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 operating activities:</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4,599</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8,163</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4,045</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loan origination fees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Loss on sale of fixed assets</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Incidental operations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585</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(8,986)</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by/(Used in) Operating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(4,917)</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(5,900)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Desert Inn Resort and Casino, net of</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(19,460)</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(29,082)</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(47,617)</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(4,853)</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(1,707)</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(1,299)</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776</w:t>
            </w: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(26,115)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(30,212)</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(328,419)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-4128135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-4128135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-3596640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-3596640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-3596640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-3596640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-3596640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-3596640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-3596640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-3596640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-3596640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rFonts w:ascii="Arial" w:cs="Arial" w:eastAsia="Arial" w:hAnsi="Arial"/>
          <w:sz w:val="16"/>
          <w:szCs w:val="16"/>
          <w:b w:val="1"/>
          <w:bCs w:val="1"/>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61"/>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3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20,800</w:t>
            </w:r>
          </w:p>
        </w:tc>
        <w:tc>
          <w:tcPr>
            <w:tcW w:w="1840" w:type="dxa"/>
            <w:vAlign w:val="bottom"/>
            <w:gridSpan w:val="2"/>
          </w:tcPr>
          <w:p>
            <w:pPr>
              <w:jc w:val="right"/>
              <w:ind w:right="200"/>
              <w:spacing w:after="0"/>
              <w:rPr>
                <w:sz w:val="20"/>
                <w:szCs w:val="20"/>
                <w:color w:val="auto"/>
              </w:rPr>
            </w:pPr>
            <w:r>
              <w:rPr>
                <w:rFonts w:ascii="Arial" w:cs="Arial" w:eastAsia="Arial" w:hAnsi="Arial"/>
                <w:sz w:val="14"/>
                <w:szCs w:val="14"/>
                <w:color w:val="auto"/>
              </w:rPr>
              <w:t>480,713</w:t>
            </w:r>
          </w:p>
        </w:tc>
        <w:tc>
          <w:tcPr>
            <w:tcW w:w="144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r>
      <w:tr>
        <w:trPr>
          <w:trHeight w:val="243"/>
        </w:trPr>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184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r>
      <w:tr>
        <w:trPr>
          <w:trHeight w:val="243"/>
        </w:trPr>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4"/>
                <w:szCs w:val="14"/>
                <w:color w:val="auto"/>
              </w:rPr>
              <w:t>125,000</w:t>
            </w:r>
          </w:p>
        </w:tc>
        <w:tc>
          <w:tcPr>
            <w:tcW w:w="144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r>
      <w:tr>
        <w:trPr>
          <w:trHeight w:val="243"/>
        </w:trPr>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Loan origination fees</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r>
      <w:tr>
        <w:trPr>
          <w:trHeight w:val="243"/>
        </w:trPr>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Proceeds from issuance of related party loan</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1"/>
                <w:szCs w:val="21"/>
                <w:color w:val="auto"/>
              </w:rPr>
            </w:pPr>
          </w:p>
        </w:tc>
      </w:tr>
      <w:tr>
        <w:trPr>
          <w:trHeight w:val="256"/>
        </w:trPr>
        <w:tc>
          <w:tcPr>
            <w:tcW w:w="3000" w:type="dxa"/>
            <w:vAlign w:val="bottom"/>
          </w:tcPr>
          <w:p>
            <w:pPr>
              <w:ind w:left="220"/>
              <w:spacing w:after="0"/>
              <w:rPr>
                <w:sz w:val="20"/>
                <w:szCs w:val="20"/>
                <w:color w:val="auto"/>
              </w:rPr>
            </w:pPr>
            <w:r>
              <w:rPr>
                <w:rFonts w:ascii="Arial" w:cs="Arial" w:eastAsia="Arial" w:hAnsi="Arial"/>
                <w:sz w:val="14"/>
                <w:szCs w:val="14"/>
                <w:color w:val="auto"/>
              </w:rPr>
              <w:t>Principal payments of related party loan</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r>
      <w:tr>
        <w:trPr>
          <w:trHeight w:val="105"/>
        </w:trPr>
        <w:tc>
          <w:tcPr>
            <w:tcW w:w="30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3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8"/>
        </w:trPr>
        <w:tc>
          <w:tcPr>
            <w:tcW w:w="30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by/(used in) Financing</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30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19,968</w:t>
            </w:r>
          </w:p>
        </w:tc>
        <w:tc>
          <w:tcPr>
            <w:tcW w:w="1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388,748</w:t>
            </w: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r>
      <w:tr>
        <w:trPr>
          <w:trHeight w:val="118"/>
        </w:trPr>
        <w:tc>
          <w:tcPr>
            <w:tcW w:w="30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3000" w:type="dxa"/>
            <w:vAlign w:val="bottom"/>
          </w:tcPr>
          <w:p>
            <w:pPr>
              <w:spacing w:after="0"/>
              <w:rPr>
                <w:sz w:val="20"/>
                <w:szCs w:val="20"/>
                <w:color w:val="auto"/>
              </w:rPr>
            </w:pPr>
            <w:r>
              <w:rPr>
                <w:rFonts w:ascii="Arial" w:cs="Arial" w:eastAsia="Arial" w:hAnsi="Arial"/>
                <w:sz w:val="14"/>
                <w:szCs w:val="14"/>
                <w:color w:val="auto"/>
                <w:w w:val="93"/>
              </w:rPr>
              <w:t>Increase/(Decrease) in Cash and Cash Equivalents</w:t>
            </w:r>
          </w:p>
        </w:tc>
        <w:tc>
          <w:tcPr>
            <w:tcW w:w="1380" w:type="dxa"/>
            <w:vAlign w:val="bottom"/>
          </w:tcPr>
          <w:p>
            <w:pPr>
              <w:jc w:val="right"/>
              <w:spacing w:after="0"/>
              <w:rPr>
                <w:sz w:val="20"/>
                <w:szCs w:val="20"/>
                <w:color w:val="auto"/>
              </w:rPr>
            </w:pPr>
            <w:r>
              <w:rPr>
                <w:rFonts w:ascii="Arial" w:cs="Arial" w:eastAsia="Arial" w:hAnsi="Arial"/>
                <w:sz w:val="14"/>
                <w:szCs w:val="14"/>
                <w:color w:val="auto"/>
              </w:rPr>
              <w:t>148,592</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5,026</w:t>
            </w:r>
          </w:p>
        </w:tc>
        <w:tc>
          <w:tcPr>
            <w:tcW w:w="220" w:type="dxa"/>
            <w:vAlign w:val="bottom"/>
          </w:tcPr>
          <w:p>
            <w:pPr>
              <w:spacing w:after="0"/>
              <w:rPr>
                <w:sz w:val="22"/>
                <w:szCs w:val="22"/>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4"/>
                <w:szCs w:val="14"/>
                <w:color w:val="auto"/>
              </w:rPr>
              <w:t>(15,161)</w:t>
            </w:r>
          </w:p>
        </w:tc>
        <w:tc>
          <w:tcPr>
            <w:tcW w:w="1840" w:type="dxa"/>
            <w:vAlign w:val="bottom"/>
            <w:gridSpan w:val="2"/>
          </w:tcPr>
          <w:p>
            <w:pPr>
              <w:jc w:val="right"/>
              <w:ind w:right="200"/>
              <w:spacing w:after="0"/>
              <w:rPr>
                <w:sz w:val="20"/>
                <w:szCs w:val="20"/>
                <w:color w:val="auto"/>
              </w:rPr>
            </w:pPr>
            <w:r>
              <w:rPr>
                <w:rFonts w:ascii="Arial" w:cs="Arial" w:eastAsia="Arial" w:hAnsi="Arial"/>
                <w:sz w:val="14"/>
                <w:szCs w:val="14"/>
                <w:color w:val="auto"/>
              </w:rPr>
              <w:t>54,429</w:t>
            </w:r>
          </w:p>
        </w:tc>
        <w:tc>
          <w:tcPr>
            <w:tcW w:w="144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2"/>
                <w:szCs w:val="22"/>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54,429</w:t>
            </w:r>
          </w:p>
        </w:tc>
        <w:tc>
          <w:tcPr>
            <w:tcW w:w="1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18"/>
        </w:trPr>
        <w:tc>
          <w:tcPr>
            <w:tcW w:w="30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2764155</wp:posOffset>
            </wp:positionH>
            <wp:positionV relativeFrom="paragraph">
              <wp:posOffset>-700405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-700405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-700405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-700405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-700405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-700405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-700405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-700405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-700405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-700405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-357505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-357505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-357505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-357505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-357505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-357505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-357505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-357505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-357505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-357505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-14605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-14605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2"/>
        </w:trPr>
        <w:tc>
          <w:tcPr>
            <w:tcW w:w="29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8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39,268</w:t>
            </w:r>
          </w:p>
        </w:tc>
        <w:tc>
          <w:tcPr>
            <w:tcW w:w="8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54,429</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w:t>
            </w:r>
          </w:p>
        </w:tc>
        <w:tc>
          <w:tcPr>
            <w:tcW w:w="8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26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328"/>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Valvino Lamore, LLC was formed on April 21, 2000 as a Nevada limited-liability company. At formation, the Company's sole member was Stephen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Wynn. As of December 31, 2001, subsidiaries of Valvino Lamore, LLC include Wynn Design and Development, LLC, Rambas Marketing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collectively, with Valvino Lamore, LLC, herein referred to as the "Company."</w:t>
      </w:r>
    </w:p>
    <w:p>
      <w:pPr>
        <w:spacing w:after="0" w:line="219"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14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consisted of an airplane, for approximately $10 million. The acquisition was treated as a reorganization of entities under common control. Accordingly, in accordance with Statement of Financial Accounting Standards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60" w:firstLine="341"/>
        <w:spacing w:after="0" w:line="298" w:lineRule="auto"/>
        <w:rPr>
          <w:sz w:val="20"/>
          <w:szCs w:val="20"/>
          <w:color w:val="auto"/>
        </w:rPr>
      </w:pPr>
      <w:r>
        <w:rPr>
          <w:rFonts w:ascii="Arial" w:cs="Arial" w:eastAsia="Arial" w:hAnsi="Arial"/>
          <w:sz w:val="16"/>
          <w:szCs w:val="16"/>
          <w:color w:val="auto"/>
        </w:rPr>
        <w:t>Additionally, effective June 28, 2001, the Nevada Public Utility Commission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Development Stage Risk Factors</w:t>
      </w:r>
    </w:p>
    <w:p>
      <w:pPr>
        <w:sectPr>
          <w:pgSz w:w="11900" w:h="16838" w:orient="portrait"/>
          <w:cols w:equalWidth="0" w:num="1">
            <w:col w:w="11420"/>
          </w:cols>
          <w:pgMar w:left="240" w:top="156" w:right="239" w:bottom="0" w:gutter="0" w:footer="0" w:header="0"/>
        </w:sectPr>
      </w:pPr>
    </w:p>
    <w:bookmarkStart w:id="159" w:name="page160"/>
    <w:bookmarkEnd w:id="159"/>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540" w:hanging="532"/>
        <w:spacing w:after="0"/>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540" w:hanging="532"/>
        <w:spacing w:after="0"/>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 to 3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Parking garage</w:t>
            </w:r>
          </w:p>
        </w:tc>
        <w:tc>
          <w:tcPr>
            <w:tcW w:w="3260" w:type="dxa"/>
            <w:vAlign w:val="bottom"/>
          </w:tcPr>
          <w:p>
            <w:pPr>
              <w:ind w:left="1900"/>
              <w:spacing w:after="0"/>
              <w:rPr>
                <w:sz w:val="20"/>
                <w:szCs w:val="20"/>
                <w:color w:val="auto"/>
              </w:rPr>
            </w:pPr>
            <w:r>
              <w:rPr>
                <w:rFonts w:ascii="Arial" w:cs="Arial" w:eastAsia="Arial" w:hAnsi="Arial"/>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7 years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ind w:left="190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880"/>
          </w:cols>
          <w:pgMar w:left="780" w:top="131" w:right="239" w:bottom="0" w:gutter="0" w:footer="0" w:header="0"/>
        </w:sectPr>
      </w:pPr>
    </w:p>
    <w:bookmarkStart w:id="160" w:name="page161"/>
    <w:bookmarkEnd w:id="160"/>
    <w:p>
      <w:pPr>
        <w:ind w:right="8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6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hanging="532"/>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860"/>
          </w:cols>
          <w:pgMar w:left="780" w:top="374" w:right="259" w:bottom="0" w:gutter="0" w:footer="0" w:header="0"/>
        </w:sectPr>
      </w:pPr>
    </w:p>
    <w:bookmarkStart w:id="161" w:name="page162"/>
    <w:bookmarkEnd w:id="16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right="400"/>
        <w:spacing w:after="0" w:line="332" w:lineRule="auto"/>
        <w:rPr>
          <w:sz w:val="20"/>
          <w:szCs w:val="20"/>
          <w:color w:val="auto"/>
        </w:rPr>
      </w:pPr>
      <w:r>
        <w:rPr>
          <w:rFonts w:ascii="Arial" w:cs="Arial" w:eastAsia="Arial" w:hAnsi="Arial"/>
          <w:sz w:val="16"/>
          <w:szCs w:val="16"/>
          <w:color w:val="auto"/>
        </w:rPr>
        <w:t>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39" w:lineRule="exact"/>
        <w:rPr>
          <w:sz w:val="20"/>
          <w:szCs w:val="20"/>
          <w:color w:val="auto"/>
        </w:rPr>
      </w:pPr>
    </w:p>
    <w:p>
      <w:pPr>
        <w:ind w:left="540"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40"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1080" w:hanging="532"/>
        <w:spacing w:after="0"/>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-1163320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-1163320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598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Hotel/Golf Course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97"/>
        </w:trPr>
        <w:tc>
          <w:tcPr>
            <w:tcW w:w="240" w:type="dxa"/>
            <w:vAlign w:val="bottom"/>
          </w:tcPr>
          <w:p>
            <w:pPr>
              <w:spacing w:after="0"/>
              <w:rPr>
                <w:sz w:val="8"/>
                <w:szCs w:val="8"/>
                <w:color w:val="auto"/>
              </w:rPr>
            </w:pPr>
          </w:p>
        </w:tc>
        <w:tc>
          <w:tcPr>
            <w:tcW w:w="1560" w:type="dxa"/>
            <w:vAlign w:val="bottom"/>
            <w:tcBorders>
              <w:right w:val="single" w:sz="8" w:color="CCEEFF"/>
            </w:tcBorders>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-665480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-665480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-417195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-417195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-417195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-417195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833" w:right="259" w:bottom="0" w:gutter="0" w:footer="0" w:header="0"/>
        </w:sectPr>
      </w:pPr>
    </w:p>
    <w:bookmarkStart w:id="162" w:name="page163"/>
    <w:bookmarkEnd w:id="162"/>
    <w:tbl>
      <w:tblPr>
        <w:tblLayout w:type="fixed"/>
        <w:tblInd w:w="1780" w:type="dxa"/>
        <w:tblCellMar>
          <w:top w:w="0" w:type="dxa"/>
          <w:left w:w="0" w:type="dxa"/>
          <w:bottom w:w="0" w:type="dxa"/>
          <w:right w:w="0" w:type="dxa"/>
        </w:tblCellMar>
      </w:tblP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r>
      <w:tr>
        <w:trPr>
          <w:trHeight w:val="218"/>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6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8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ectPr>
          <w:pgSz w:w="11900" w:h="16838" w:orient="portrait"/>
          <w:cols w:equalWidth="0" w:num="1">
            <w:col w:w="11400"/>
          </w:cols>
          <w:pgMar w:left="240" w:top="140" w:right="259" w:bottom="0" w:gutter="0" w:footer="0" w:header="0"/>
        </w:sectPr>
      </w:pPr>
    </w:p>
    <w:bookmarkStart w:id="163" w:name="page164"/>
    <w:bookmarkEnd w:id="163"/>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right="2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90" w:gutter="0" w:footer="0" w:header="0"/>
        </w:sectPr>
      </w:pPr>
    </w:p>
    <w:bookmarkStart w:id="164" w:name="page165"/>
    <w:bookmarkEnd w:id="164"/>
    <w:p>
      <w:pPr>
        <w:ind w:right="38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75" w:lineRule="exact"/>
        <w:rPr>
          <w:sz w:val="20"/>
          <w:szCs w:val="20"/>
          <w:color w:val="auto"/>
        </w:rPr>
      </w:pPr>
    </w:p>
    <w:p>
      <w:pPr>
        <w:ind w:left="540" w:hanging="532"/>
        <w:spacing w:after="0"/>
        <w:tabs>
          <w:tab w:leader="none" w:pos="5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88" w:lineRule="exact"/>
        <w:rPr>
          <w:sz w:val="20"/>
          <w:szCs w:val="20"/>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7"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w:t>
      </w:r>
    </w:p>
    <w:p>
      <w:pPr>
        <w:sectPr>
          <w:pgSz w:w="11900" w:h="16838" w:orient="portrait"/>
          <w:cols w:equalWidth="0" w:num="1">
            <w:col w:w="10880"/>
          </w:cols>
          <w:pgMar w:left="780" w:top="131" w:right="239" w:bottom="0" w:gutter="0" w:footer="0" w:header="0"/>
        </w:sectPr>
      </w:pPr>
    </w:p>
    <w:bookmarkStart w:id="165" w:name="page166"/>
    <w:bookmarkEnd w:id="165"/>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jc w:val="both"/>
        <w:ind w:left="540" w:right="32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208" w:lineRule="exact"/>
        <w:rPr>
          <w:sz w:val="20"/>
          <w:szCs w:val="20"/>
          <w:color w:val="auto"/>
        </w:rPr>
      </w:pPr>
    </w:p>
    <w:p>
      <w:pPr>
        <w:ind w:left="1080" w:hanging="532"/>
        <w:spacing w:after="0"/>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left="540" w:right="34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97" w:lineRule="exact"/>
        <w:rPr>
          <w:sz w:val="20"/>
          <w:szCs w:val="20"/>
          <w:color w:val="auto"/>
        </w:rPr>
      </w:pPr>
    </w:p>
    <w:p>
      <w:pPr>
        <w:ind w:left="540" w:hanging="532"/>
        <w:spacing w:after="0"/>
        <w:tabs>
          <w:tab w:leader="none" w:pos="5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1240" w:type="dxa"/>
            <w:vAlign w:val="bottom"/>
          </w:tcPr>
          <w:p>
            <w:pPr>
              <w:jc w:val="center"/>
              <w:ind w:right="372"/>
              <w:spacing w:after="0"/>
              <w:rPr>
                <w:sz w:val="20"/>
                <w:szCs w:val="20"/>
                <w:color w:val="auto"/>
              </w:rPr>
            </w:pPr>
            <w:r>
              <w:rPr>
                <w:rFonts w:ascii="Arial" w:cs="Arial" w:eastAsia="Arial" w:hAnsi="Arial"/>
                <w:sz w:val="14"/>
                <w:szCs w:val="14"/>
                <w:b w:val="1"/>
                <w:bCs w:val="1"/>
                <w:color w:val="auto"/>
                <w:w w:val="88"/>
              </w:rPr>
              <w:t>Valvino</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130"/>
        </w:trPr>
        <w:tc>
          <w:tcPr>
            <w:tcW w:w="1240" w:type="dxa"/>
            <w:vAlign w:val="bottom"/>
          </w:tcPr>
          <w:p>
            <w:pPr>
              <w:jc w:val="center"/>
              <w:ind w:right="372"/>
              <w:spacing w:after="0" w:line="131" w:lineRule="exact"/>
              <w:rPr>
                <w:sz w:val="20"/>
                <w:szCs w:val="20"/>
                <w:color w:val="auto"/>
              </w:rPr>
            </w:pPr>
            <w:r>
              <w:rPr>
                <w:rFonts w:ascii="Arial" w:cs="Arial" w:eastAsia="Arial" w:hAnsi="Arial"/>
                <w:sz w:val="14"/>
                <w:szCs w:val="14"/>
                <w:b w:val="1"/>
                <w:bCs w:val="1"/>
                <w:color w:val="auto"/>
                <w:w w:val="93"/>
              </w:rPr>
              <w:t>Lamore, LLC</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Vegas, LLC</w:t>
            </w:r>
          </w:p>
        </w:tc>
        <w:tc>
          <w:tcPr>
            <w:tcW w:w="14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Guarantors</w:t>
            </w: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Non-Guarantors</w:t>
            </w:r>
          </w:p>
        </w:tc>
        <w:tc>
          <w:tcPr>
            <w:tcW w:w="13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Entries</w:t>
            </w:r>
          </w:p>
        </w:tc>
        <w:tc>
          <w:tcPr>
            <w:tcW w:w="1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-13970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-13970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131" w:right="299" w:bottom="0" w:gutter="0" w:footer="0" w:header="0"/>
        </w:sectPr>
      </w:pPr>
    </w:p>
    <w:bookmarkStart w:id="166" w:name="page167"/>
    <w:bookmarkEnd w:id="166"/>
    <w:p>
      <w:pPr>
        <w:spacing w:after="0" w:line="62"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and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-93345</wp:posOffset>
            </wp:positionV>
            <wp:extent cx="947420" cy="190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947420" cy="190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-93345</wp:posOffset>
            </wp:positionV>
            <wp:extent cx="2713990" cy="190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713990" cy="19050"/>
                    </a:xfrm>
                    <a:prstGeom prst="rect">
                      <a:avLst/>
                    </a:prstGeom>
                    <a:noFill/>
                  </pic:spPr>
                </pic:pic>
              </a:graphicData>
            </a:graphic>
          </wp:anchor>
        </w:drawing>
      </w:r>
    </w:p>
    <w:p>
      <w:pPr>
        <w:jc w:val="center"/>
        <w:ind w:right="1400"/>
        <w:spacing w:after="0" w:line="223" w:lineRule="auto"/>
        <w:rPr>
          <w:sz w:val="20"/>
          <w:szCs w:val="20"/>
          <w:color w:val="auto"/>
        </w:rPr>
      </w:pPr>
      <w:r>
        <w:rPr>
          <w:rFonts w:ascii="Arial" w:cs="Arial" w:eastAsia="Arial" w:hAnsi="Arial"/>
          <w:sz w:val="14"/>
          <w:szCs w:val="14"/>
          <w:b w:val="1"/>
          <w:bCs w:val="1"/>
          <w:color w:val="auto"/>
        </w:rPr>
        <w:t>Las Vegas</w:t>
      </w:r>
    </w:p>
    <w:p>
      <w:pPr>
        <w:jc w:val="center"/>
        <w:ind w:right="1420"/>
        <w:spacing w:after="0"/>
        <w:rPr>
          <w:sz w:val="20"/>
          <w:szCs w:val="20"/>
          <w:color w:val="auto"/>
        </w:rPr>
      </w:pPr>
      <w:r>
        <w:rPr>
          <w:rFonts w:ascii="Arial" w:cs="Arial" w:eastAsia="Arial" w:hAnsi="Arial"/>
          <w:sz w:val="14"/>
          <w:szCs w:val="14"/>
          <w:b w:val="1"/>
          <w:bCs w:val="1"/>
          <w:color w:val="auto"/>
        </w:rPr>
        <w:t>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58420</wp:posOffset>
            </wp:positionV>
            <wp:extent cx="94742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947420" cy="215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7"/>
              </w:rPr>
              <w:t>Due from Related Parties, Current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Intercompany Balances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6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Members' Equity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Contributed Capital</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Deficit Accumulated from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8"/>
                <w:szCs w:val="18"/>
                <w:color w:val="auto"/>
              </w:rPr>
              <w:t>Inception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Development Stage</w:t>
            </w:r>
          </w:p>
        </w:tc>
        <w:tc>
          <w:tcPr>
            <w:tcW w:w="5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6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66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Members'</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Equity</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243"/>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-4833620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-4833620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-4833620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-4833620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-4833620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-4833620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-4833620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-4833620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-4833620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-4833620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-4833620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-4833620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-3839210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-3839210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-3839210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-3839210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-3839210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-3839210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-3839210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-3839210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-3839210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-3839210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-3839210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-3839210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-2535555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-2535555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-2535555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-2535555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-2535555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-2535555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-2535555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-2535555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-2535555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-2535555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-2535555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Valvino Lamore,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3"/>
              </w:rPr>
              <w:t>Wynn Las Vegas,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40" w:type="dxa"/>
            <w:vAlign w:val="bottom"/>
          </w:tcPr>
          <w:p>
            <w:pPr>
              <w:spacing w:after="0"/>
              <w:rPr>
                <w:sz w:val="15"/>
                <w:szCs w:val="15"/>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All Other Non-Guarantors</w:t>
            </w: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Eliminating Entries</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6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40,559</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272,071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11,207</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Intercompany Balances, Net of Current</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82,818</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(62,038)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-2303780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-2303780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-2303780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-2303780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-2303780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-2303780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-2303780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-2303780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-2303780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-2303780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-2303780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-2303780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-914400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-914400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-914400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-914400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-914400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-914400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-914400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-914400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-914400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-914400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-914400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-914400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62"/>
        </w:trPr>
        <w:tc>
          <w:tcPr>
            <w:tcW w:w="292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430"/>
        </w:trPr>
        <w:tc>
          <w:tcPr>
            <w:tcW w:w="292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2"/>
        </w:trPr>
        <w:tc>
          <w:tcPr>
            <w:tcW w:w="29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431"/>
        </w:trPr>
        <w:tc>
          <w:tcPr>
            <w:tcW w:w="29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3"/>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Contributed Capital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(18,931)</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5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(28,342)</w:t>
            </w:r>
          </w:p>
        </w:tc>
        <w:tc>
          <w:tcPr>
            <w:tcW w:w="360" w:type="dxa"/>
            <w:vAlign w:val="bottom"/>
          </w:tcPr>
          <w:p>
            <w:pPr>
              <w:spacing w:after="0"/>
              <w:rPr>
                <w:sz w:val="19"/>
                <w:szCs w:val="19"/>
                <w:color w:val="auto"/>
              </w:rPr>
            </w:pPr>
          </w:p>
        </w:tc>
      </w:tr>
      <w:tr>
        <w:trPr>
          <w:trHeight w:val="118"/>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319"/>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5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08"/>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35"/>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-3976370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-3976370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-3976370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-3976370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-3976370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-3976370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-3976370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-3976370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-3976370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-3976370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-3976370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-3976370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-2518410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-2518410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-2518410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-2518410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-2518410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-2518410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-2518410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-2518410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-2518410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-2518410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-1249045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-1249045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-1249045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-1249045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-1249045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-1249045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-1249045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-1249045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-1249045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-1249045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-957580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-957580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-957580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-957580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-957580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-957580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-957580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-957580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-957580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Valvino Lamore,</w:t>
            </w: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5"/>
                <w:szCs w:val="15"/>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All Other Non-Guarantors</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Eliminating Entries</w:t>
            </w:r>
          </w:p>
        </w:tc>
        <w:tc>
          <w:tcPr>
            <w:tcW w:w="2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 Current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66,556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7"/>
              </w:rPr>
              <w:t>Intercompany Balances, Net of Current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3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9,987</w:t>
            </w:r>
          </w:p>
        </w:tc>
        <w:tc>
          <w:tcPr>
            <w:tcW w:w="200" w:type="dxa"/>
            <w:vAlign w:val="bottom"/>
          </w:tcPr>
          <w:p>
            <w:pPr>
              <w:spacing w:after="0"/>
              <w:rPr>
                <w:sz w:val="24"/>
                <w:szCs w:val="24"/>
                <w:color w:val="auto"/>
              </w:rPr>
            </w:pP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Members' Equity Contributed Capital</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392,572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10,035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Deficit Accumulated from Inception</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During the Development Stage</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-4576445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-4576445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-4576445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-4576445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-4576445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-4576445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-4576445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-4576445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-4576445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-4576445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-3376295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-3376295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-3376295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-3376295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-3376295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-3376295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-3376295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-3376295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-3376295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-3376295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-2484120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-2484120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-2484120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-2484120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-2484120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-2484120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-2484120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-2484120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-2484120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-2484120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-1146175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-1146175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-1146175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-1146175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-1146175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-1146175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-1146175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-1146175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-1146175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-1146175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-14605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384,010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3"/>
          </w:tcPr>
          <w:p>
            <w:pPr>
              <w:jc w:val="center"/>
              <w:ind w:right="32"/>
              <w:spacing w:after="0"/>
              <w:rPr>
                <w:sz w:val="20"/>
                <w:szCs w:val="20"/>
                <w:color w:val="auto"/>
              </w:rPr>
            </w:pPr>
            <w:r>
              <w:rPr>
                <w:rFonts w:ascii="Arial" w:cs="Arial" w:eastAsia="Arial" w:hAnsi="Arial"/>
                <w:sz w:val="18"/>
                <w:szCs w:val="18"/>
                <w:color w:val="auto"/>
                <w:w w:val="91"/>
              </w:rPr>
              <w:t>(1,999)</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9,980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(10,035)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Total Liabilities and Members'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388,928</w:t>
            </w:r>
          </w:p>
        </w:tc>
        <w:tc>
          <w:tcPr>
            <w:tcW w:w="9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center"/>
              <w:ind w:right="32"/>
              <w:spacing w:after="0"/>
              <w:rPr>
                <w:sz w:val="20"/>
                <w:szCs w:val="20"/>
                <w:color w:val="auto"/>
              </w:rPr>
            </w:pPr>
            <w:r>
              <w:rPr>
                <w:rFonts w:ascii="Arial" w:cs="Arial" w:eastAsia="Arial" w:hAnsi="Arial"/>
                <w:sz w:val="18"/>
                <w:szCs w:val="18"/>
                <w:color w:val="auto"/>
                <w:w w:val="91"/>
              </w:rPr>
              <w:t>(1,796)</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9,987</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tcBorders>
              <w:left w:val="single" w:sz="8" w:color="808080"/>
              <w:right w:val="single" w:sz="8" w:color="808080"/>
            </w:tcBorders>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gridSpan w:val="2"/>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gridSpan w:val="12"/>
          </w:tcPr>
          <w:p>
            <w:pPr>
              <w:jc w:val="center"/>
              <w:ind w:right="3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6"/>
          </w:tcPr>
          <w:p>
            <w:pPr>
              <w:jc w:val="center"/>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Six Months Ended June 30, 2002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Wynn Las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Vegas, LLC</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and Wynn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8"/>
              </w:rPr>
              <w:t>Valvino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0"/>
              </w:rPr>
              <w:t>Las Vegas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220" w:type="dxa"/>
            <w:vAlign w:val="bottom"/>
          </w:tcPr>
          <w:p>
            <w:pPr>
              <w:spacing w:after="0"/>
              <w:rPr>
                <w:sz w:val="15"/>
                <w:szCs w:val="15"/>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1"/>
              </w:rPr>
              <w:t>Capital Corp.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Entries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(846)</w:t>
            </w:r>
          </w:p>
        </w:tc>
        <w:tc>
          <w:tcPr>
            <w:tcW w:w="2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w w:val="94"/>
              </w:rPr>
              <w:t>(3,398)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(1,771)</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(6,944)</w:t>
            </w:r>
          </w:p>
        </w:tc>
        <w:tc>
          <w:tcPr>
            <w:tcW w:w="2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(843)</w:t>
            </w:r>
          </w:p>
        </w:tc>
        <w:tc>
          <w:tcPr>
            <w:tcW w:w="280" w:type="dxa"/>
            <w:vAlign w:val="bottom"/>
            <w:tcBorders>
              <w:left w:val="single" w:sz="8" w:color="CCEEFF"/>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(3,380)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left w:val="single" w:sz="8" w:color="808080"/>
              <w:right w:val="single" w:sz="8" w:color="808080"/>
            </w:tcBorders>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-8941435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-8941435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-8941435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-8941435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-8941435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-8941435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-8941435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-8941435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-8941435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-8941435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-7998460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-7998460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-5794375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-5794375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-5794375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-5794375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-5794375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-5794375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-5794375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-5794375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-5794375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-5794375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-5794375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-4885055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-4885055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-4885055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-4885055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-4885055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-4885055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-4885055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-4885055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-4885055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-4885055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-4885055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-4885055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-2878455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-2878455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-2878455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-2878455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-2878455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-2878455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-2878455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-2878455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-2878455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-2878455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-2878455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-2878455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-2569845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-2569845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-2569845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-2569845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-2569845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-2569845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-2569845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-2569845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-2569845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-2569845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-2569845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1" w:right="239" w:bottom="0" w:gutter="0" w:footer="0" w:header="0"/>
        </w:sectPr>
      </w:pPr>
    </w:p>
    <w:bookmarkStart w:id="169" w:name="page170"/>
    <w:bookmarkEnd w:id="169"/>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(5,684)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23"/>
              <w:spacing w:after="0"/>
              <w:rPr>
                <w:sz w:val="20"/>
                <w:szCs w:val="20"/>
                <w:color w:val="auto"/>
              </w:rPr>
            </w:pPr>
            <w:r>
              <w:rPr>
                <w:rFonts w:ascii="Arial" w:cs="Arial" w:eastAsia="Arial" w:hAnsi="Arial"/>
                <w:sz w:val="18"/>
                <w:szCs w:val="18"/>
                <w:color w:val="auto"/>
              </w:rPr>
              <w:t>F-26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-4627880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-4627880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-4627880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-4627880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-4627880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-4627880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-4627880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-4627880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-4627880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-4627880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-4627880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-4027805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-4027805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-4027805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-4027805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-4027805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-4027805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-4027805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-4027805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-4027805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-4027805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-2415540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-1403350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-1403350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-1094740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0"/>
                <w:szCs w:val="20"/>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-3255645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-3255645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-3255645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-3255645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-3255645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-3255645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-3255645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-3255645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-3255645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-3255645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-3255645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-3255645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-2346960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-2346960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-2346960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-2346960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-2346960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-2346960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-2346960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-2346960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-2346960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-2346960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-2346960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-2346960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-323215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-323215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-323215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86" w:gutter="0" w:footer="0" w:header="0"/>
        </w:sectPr>
      </w:pPr>
    </w:p>
    <w:bookmarkStart w:id="170" w:name="page171"/>
    <w:bookmarkEnd w:id="17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(5,807)</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 (Expense)</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Net Loss Accumulated During</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Development Stage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(5,807)</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440" w:type="dxa"/>
            <w:vAlign w:val="bottom"/>
            <w:tcBorders>
              <w:bottom w:val="single" w:sz="8" w:color="808080"/>
            </w:tcBorders>
            <w:gridSpan w:val="4"/>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14"/>
          </w:tcPr>
          <w:p>
            <w:pPr>
              <w:jc w:val="center"/>
              <w:ind w:right="7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17"/>
          </w:tcPr>
          <w:p>
            <w:pPr>
              <w:jc w:val="center"/>
              <w:ind w:right="18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From Inception to December 31, 2000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Valvino</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Non-Guarantors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(9,979)</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Net Loss Accumulated During the</w:t>
            </w: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140" w:type="dxa"/>
            <w:vAlign w:val="bottom"/>
          </w:tcPr>
          <w:p>
            <w:pPr>
              <w:spacing w:after="0"/>
              <w:rPr>
                <w:sz w:val="19"/>
                <w:szCs w:val="19"/>
                <w:color w:val="auto"/>
              </w:rPr>
            </w:pPr>
          </w:p>
        </w:tc>
        <w:tc>
          <w:tcPr>
            <w:tcW w:w="136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66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-6909435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-6909435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-6909435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-6909435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-6909435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-6909435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-6909435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-6909435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-6909435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-6909435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-6909435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-6909435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-6600825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-6600825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-6600825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-6600825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-6600825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-6600825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-6600825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-6600825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-6600825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-6600825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-6600825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-6600825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-5520055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-3873500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-3873500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-3873500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-3873500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-3873500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-3873500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-3873500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-3873500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-3873500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-3873500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-2552700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-2552700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-2552700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-2552700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-2552700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-2552700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-2552700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-2552700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-2552700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Wynn Las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Vegas, LLC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and Wynn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Valvino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0"/>
              </w:rPr>
              <w:t>Las Vegas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3"/>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Capital Corp.</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04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4,205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-502920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-502920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-502920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-502920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-502920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-502920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-502920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-502920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-502920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-502920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-502920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-502920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71" w:name="page172"/>
    <w:bookmarkEnd w:id="17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Loss/(Gain) on Sale of Fixed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Loss/(Gain) from Incidental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27,855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(27,855)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(11,790)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(25,875)</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(1,721)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12"/>
              <w:spacing w:after="0"/>
              <w:rPr>
                <w:sz w:val="20"/>
                <w:szCs w:val="20"/>
                <w:color w:val="auto"/>
              </w:rPr>
            </w:pPr>
            <w:r>
              <w:rPr>
                <w:rFonts w:ascii="Arial" w:cs="Arial" w:eastAsia="Arial" w:hAnsi="Arial"/>
                <w:sz w:val="18"/>
                <w:szCs w:val="18"/>
                <w:color w:val="auto"/>
                <w:w w:val="97"/>
              </w:rPr>
              <w:t>(12,229)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(4,108)</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99"/>
              <w:spacing w:after="0"/>
              <w:rPr>
                <w:sz w:val="20"/>
                <w:szCs w:val="20"/>
                <w:color w:val="auto"/>
              </w:rPr>
            </w:pPr>
            <w:r>
              <w:rPr>
                <w:rFonts w:ascii="Arial" w:cs="Arial" w:eastAsia="Arial" w:hAnsi="Arial"/>
                <w:sz w:val="18"/>
                <w:szCs w:val="18"/>
                <w:color w:val="auto"/>
                <w:w w:val="91"/>
              </w:rPr>
              <w:t>F-29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50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16"/>
          </w:tcPr>
          <w:p>
            <w:pPr>
              <w:jc w:val="center"/>
              <w:ind w:left="536"/>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gridSpan w:val="20"/>
          </w:tcPr>
          <w:p>
            <w:pPr>
              <w:jc w:val="center"/>
              <w:ind w:right="52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gridSpan w:val="13"/>
          </w:tcPr>
          <w:p>
            <w:pPr>
              <w:jc w:val="center"/>
              <w:ind w:right="540"/>
              <w:spacing w:after="0"/>
              <w:rPr>
                <w:sz w:val="20"/>
                <w:szCs w:val="20"/>
                <w:color w:val="auto"/>
              </w:rPr>
            </w:pPr>
            <w:r>
              <w:rPr>
                <w:rFonts w:ascii="Arial" w:cs="Arial" w:eastAsia="Arial" w:hAnsi="Arial"/>
                <w:sz w:val="18"/>
                <w:szCs w:val="18"/>
                <w:b w:val="1"/>
                <w:bCs w:val="1"/>
                <w:color w:val="auto"/>
                <w:w w:val="88"/>
              </w:rPr>
              <w:t>Six Months Ended June 30, 2002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40" w:type="dxa"/>
            <w:vAlign w:val="bottom"/>
          </w:tcPr>
          <w:p>
            <w:pPr>
              <w:spacing w:after="0"/>
              <w:rPr>
                <w:sz w:val="12"/>
                <w:szCs w:val="12"/>
                <w:color w:val="auto"/>
              </w:rPr>
            </w:pPr>
          </w:p>
        </w:tc>
        <w:tc>
          <w:tcPr>
            <w:tcW w:w="12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40" w:type="dxa"/>
            <w:vAlign w:val="bottom"/>
          </w:tcPr>
          <w:p>
            <w:pPr>
              <w:spacing w:after="0"/>
              <w:rPr>
                <w:sz w:val="15"/>
                <w:szCs w:val="15"/>
                <w:color w:val="auto"/>
              </w:rPr>
            </w:pP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1180" w:type="dxa"/>
            <w:vAlign w:val="bottom"/>
            <w:gridSpan w:val="2"/>
          </w:tcPr>
          <w:p>
            <w:pPr>
              <w:jc w:val="right"/>
              <w:ind w:right="896"/>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(6,944)</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(3,380)</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During the Development Stage to Net Cash Provided</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2,534</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1,971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w w:val="90"/>
              </w:rPr>
              <w:t>Increase (Decrease) in Cash from Changes in: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(1,788)</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w w:val="92"/>
              </w:rPr>
              <w:t>Accounts Payable and Accrued Expenses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79"/>
              </w:rPr>
              <w:t>2,622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3"/>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Net Cash Provided by / (Used in) Operating Activities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3,656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Acquisition of Airplane</w:t>
            </w:r>
          </w:p>
        </w:tc>
        <w:tc>
          <w:tcPr>
            <w:tcW w:w="3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gridSpan w:val="4"/>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-9979025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-9979025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-9979025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-9979025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-9979025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-9979025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-9979025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-9979025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-9979025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-9979025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-9979025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-9979025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-7938135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-7938135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-7938135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-7938135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-7938135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-7938135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-7938135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-7938135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-7938135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-7938135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-7938135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-7938135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-6771640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-6771640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-6771640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-6771640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-6771640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-6771640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-6771640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-6771640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-6771640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-6771640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-6771640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-6771640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-6308725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-6308725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-6308725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-6308725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-6308725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-6308725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-6308725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-6308725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-6308725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-6308725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-6308725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-6308725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-5227955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-5227955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-3023870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-3023870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-3023870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-3023870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-3023870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-3023870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-3023870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-3023870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-3023870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-3023870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-3023870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-3023870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-760095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-760095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-760095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-760095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-760095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-760095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-760095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-760095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-760095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-760095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-760095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-760095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-511175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-511175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-511175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-511175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-511175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-511175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-511175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-511175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-511175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-511175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-511175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-511175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01" w:right="239" w:bottom="0" w:gutter="0" w:footer="0" w:header="0"/>
        </w:sectPr>
      </w:pPr>
    </w:p>
    <w:bookmarkStart w:id="172" w:name="page173"/>
    <w:bookmarkEnd w:id="172"/>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(27,518)</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(701)</w:t>
            </w: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w w:val="95"/>
              </w:rPr>
              <w:t>(27,111)</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3,300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8"/>
              </w:rPr>
              <w:t>31,275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4"/>
                <w:szCs w:val="14"/>
                <w:color w:val="auto"/>
              </w:rPr>
              <w:t>(7,683)</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vMerge w:val="restart"/>
          </w:tcPr>
          <w:p>
            <w:pPr>
              <w:ind w:left="220"/>
              <w:spacing w:after="0"/>
              <w:rPr>
                <w:sz w:val="20"/>
                <w:szCs w:val="20"/>
                <w:color w:val="auto"/>
              </w:rPr>
            </w:pPr>
            <w:r>
              <w:rPr>
                <w:rFonts w:ascii="Arial" w:cs="Arial" w:eastAsia="Arial" w:hAnsi="Arial"/>
                <w:sz w:val="14"/>
                <w:szCs w:val="14"/>
                <w:color w:val="auto"/>
                <w:w w:val="99"/>
              </w:rPr>
              <w:t>Net Cash Provided by / (Used in) Investing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w w:val="95"/>
              </w:rPr>
              <w:t>(54,621)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2,711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23,805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6"/>
              </w:rPr>
              <w:t>173,494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5"/>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2"/>
              </w:rPr>
              <w:t>Net Cash Provided by Financing Activities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173,478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5"/>
              <w:spacing w:after="0"/>
              <w:rPr>
                <w:sz w:val="20"/>
                <w:szCs w:val="20"/>
                <w:color w:val="auto"/>
              </w:rPr>
            </w:pPr>
            <w:r>
              <w:rPr>
                <w:rFonts w:ascii="Arial" w:cs="Arial" w:eastAsia="Arial" w:hAnsi="Arial"/>
                <w:sz w:val="14"/>
                <w:szCs w:val="14"/>
                <w:color w:val="auto"/>
              </w:rPr>
              <w:t>(23,804)</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880" w:type="dxa"/>
            <w:vAlign w:val="bottom"/>
            <w:gridSpan w:val="2"/>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6"/>
              </w:rPr>
              <w:t>122,513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(967)</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148,592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813"/>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6"/>
              </w:rPr>
              <w:t>162,103</w:t>
            </w:r>
          </w:p>
        </w:tc>
        <w:tc>
          <w:tcPr>
            <w:tcW w:w="120" w:type="dxa"/>
            <w:vAlign w:val="bottom"/>
          </w:tcPr>
          <w:p>
            <w:pPr>
              <w:spacing w:after="0"/>
              <w:rPr>
                <w:sz w:val="23"/>
                <w:szCs w:val="23"/>
                <w:color w:val="auto"/>
              </w:rPr>
            </w:pP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54"/>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23"/>
                <w:szCs w:val="2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(1,240)</w:t>
            </w:r>
          </w:p>
        </w:tc>
        <w:tc>
          <w:tcPr>
            <w:tcW w:w="980" w:type="dxa"/>
            <w:vAlign w:val="bottom"/>
            <w:gridSpan w:val="2"/>
          </w:tcPr>
          <w:p>
            <w:pPr>
              <w:jc w:val="right"/>
              <w:ind w:right="792"/>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813"/>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54"/>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440</w:t>
            </w:r>
          </w:p>
        </w:tc>
        <w:tc>
          <w:tcPr>
            <w:tcW w:w="60" w:type="dxa"/>
            <w:vAlign w:val="bottom"/>
          </w:tcPr>
          <w:p>
            <w:pPr>
              <w:spacing w:after="0"/>
              <w:rPr>
                <w:sz w:val="14"/>
                <w:szCs w:val="14"/>
                <w:color w:val="auto"/>
              </w:rPr>
            </w:pPr>
          </w:p>
        </w:tc>
        <w:tc>
          <w:tcPr>
            <w:tcW w:w="980" w:type="dxa"/>
            <w:vAlign w:val="bottom"/>
            <w:gridSpan w:val="2"/>
          </w:tcPr>
          <w:p>
            <w:pPr>
              <w:jc w:val="right"/>
              <w:ind w:right="79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F-30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48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420" w:type="dxa"/>
            <w:vAlign w:val="bottom"/>
            <w:tcBorders>
              <w:bottom w:val="single" w:sz="8" w:color="808080"/>
            </w:tcBorders>
            <w:gridSpan w:val="2"/>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15"/>
          </w:tcPr>
          <w:p>
            <w:pPr>
              <w:jc w:val="center"/>
              <w:ind w:left="593"/>
              <w:spacing w:after="0"/>
              <w:rPr>
                <w:sz w:val="20"/>
                <w:szCs w:val="20"/>
                <w:color w:val="auto"/>
              </w:rPr>
            </w:pPr>
            <w:r>
              <w:rPr>
                <w:rFonts w:ascii="Arial" w:cs="Arial" w:eastAsia="Arial" w:hAnsi="Arial"/>
                <w:sz w:val="18"/>
                <w:szCs w:val="18"/>
                <w:b w:val="1"/>
                <w:bCs w:val="1"/>
                <w:color w:val="auto"/>
                <w:w w:val="98"/>
              </w:rPr>
              <w:t>VALVINO LAMORE, LLC AND SUBSIDIARIES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720" w:type="dxa"/>
            <w:vAlign w:val="bottom"/>
            <w:gridSpan w:val="19"/>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Six Months Ended June 30, 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(Unaudited)</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Wynn Las</w:t>
            </w:r>
          </w:p>
        </w:tc>
        <w:tc>
          <w:tcPr>
            <w:tcW w:w="140" w:type="dxa"/>
            <w:vAlign w:val="bottom"/>
          </w:tcPr>
          <w:p>
            <w:pPr>
              <w:spacing w:after="0"/>
              <w:rPr>
                <w:sz w:val="24"/>
                <w:szCs w:val="2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Eliminating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Lamore, LLC</w:t>
            </w:r>
          </w:p>
        </w:tc>
        <w:tc>
          <w:tcPr>
            <w:tcW w:w="40" w:type="dxa"/>
            <w:vAlign w:val="bottom"/>
          </w:tcPr>
          <w:p>
            <w:pPr>
              <w:spacing w:after="0"/>
              <w:rPr>
                <w:sz w:val="15"/>
                <w:szCs w:val="15"/>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140" w:type="dxa"/>
            <w:vAlign w:val="bottom"/>
          </w:tcPr>
          <w:p>
            <w:pPr>
              <w:spacing w:after="0"/>
              <w:rPr>
                <w:sz w:val="15"/>
                <w:szCs w:val="15"/>
                <w:color w:val="auto"/>
              </w:rPr>
            </w:pPr>
          </w:p>
        </w:tc>
        <w:tc>
          <w:tcPr>
            <w:tcW w:w="12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Non-Guarantors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w w:val="96"/>
              </w:rPr>
              <w:t>Net Loss Accumulated During the Development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8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(5,684)</w:t>
            </w:r>
          </w:p>
        </w:tc>
        <w:tc>
          <w:tcPr>
            <w:tcW w:w="460" w:type="dxa"/>
            <w:vAlign w:val="bottom"/>
            <w:gridSpan w:val="2"/>
          </w:tcPr>
          <w:p>
            <w:pPr>
              <w:jc w:val="right"/>
              <w:ind w:right="286"/>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(103)</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(2,130)</w:t>
            </w:r>
          </w:p>
        </w:tc>
        <w:tc>
          <w:tcPr>
            <w:tcW w:w="4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(317)</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Adjustments to Reconcile Net Loss Accumulated</w:t>
            </w: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 / (Used in) Operating Activities:</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 (Loss) on Sale of Fixed Assets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Increase (Decrease) in Cash from Changes in:</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(1,290)</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(383)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(7,525)</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(7,434)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(5,257)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(19,500)</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9"/>
              </w:rPr>
              <w:t>Net Cash Provided by / (Used in) Investing</w:t>
            </w: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(25,495)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9,741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(15,507)</w:t>
            </w: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88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4"/>
              </w:rPr>
              <w:t>(10,017)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10,017</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19,985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(10,017)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Increase/(Decrease) in Cash and Cash Equivalents</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(4,743)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(245)</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10,035</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64,474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(10,035)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59,731</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6"/>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4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 Disclosure: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88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-9994265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-9994265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-9994265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-9994265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-9994265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-9994265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-9994265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-9994265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-9994265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-9994265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-9994265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-9994265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-9651365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-9651365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-9651365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-9651365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-9651365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-9651365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-9651365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-9651365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-9651365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-9651365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-9651365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-9651365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-8939530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-8939530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-8939530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-8939530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-8939530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-8939530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-8939530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-8939530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-8939530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-8939530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-8939530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-8939530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-8630285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-8630285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-8630285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-8630285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-8630285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-8630285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-8630285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-8630285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-8630285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-8630285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-8630285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-8630285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-8287385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-8287385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-8287385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-8287385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-8287385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-8287385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-8287385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-8287385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-8287385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-8287385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-8287385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-8287385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-7335520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-7335520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-5414645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-5414645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-5414645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-5414645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-5414645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-5414645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-5414645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-5414645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-5414645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-5414645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-5414645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-5414645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-3519170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-3519170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-3519170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-3519170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-3519170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-3519170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-3519170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-3519170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-3519170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-3519170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-3519170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-3519170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-3176270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-3176270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-3176270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-3176270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-3176270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-3176270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-3176270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-3176270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-3176270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-3176270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-3176270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-3176270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-2155825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-2155825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-2155825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-2155825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-2155825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-2155825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-2155825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-2155825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-2155825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-2155825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-2155825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-2155825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-1812925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-1812925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-1812925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-1812925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-1812925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-1812925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-1812925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-1812925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-1812925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-1812925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-1812925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-1812925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-1101090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-1101090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-1101090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-1101090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-1101090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-1101090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-1101090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-1101090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-1101090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-1101090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-1101090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-1101090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-792480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-792480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-792480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-792480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-792480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-792480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-792480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-792480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-792480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-792480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-792480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-792480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-449580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-449580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-449580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-449580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-449580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-449580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-449580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-449580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-449580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-449580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-449580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-449580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4" w:orient="portrait"/>
          <w:cols w:equalWidth="0" w:num="1">
            <w:col w:w="11420"/>
          </w:cols>
          <w:pgMar w:left="240" w:top="140" w:right="239" w:bottom="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Paid, Net of Amounts Capitalized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76"/>
              </w:rPr>
              <w:t>$</w:t>
            </w: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10"/>
          </w:tcPr>
          <w:p>
            <w:pPr>
              <w:jc w:val="center"/>
              <w:ind w:left="61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13"/>
          </w:tcPr>
          <w:p>
            <w:pPr>
              <w:jc w:val="center"/>
              <w:ind w:right="60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Year Ended December 31, 2001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1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Lamore, LLC</w:t>
            </w:r>
          </w:p>
        </w:tc>
        <w:tc>
          <w:tcPr>
            <w:tcW w:w="10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(5,807)</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640" w:type="dxa"/>
            <w:vAlign w:val="bottom"/>
            <w:gridSpan w:val="3"/>
          </w:tcPr>
          <w:p>
            <w:pPr>
              <w:jc w:val="right"/>
              <w:ind w:right="6"/>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-9662160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-9662160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-8058150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-8058150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-8058150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-8058150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-8058150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-8058150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-8058150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-8058150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-8058150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-8058150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-8058150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-8058150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-5039995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-5039995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-5039995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-5039995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-5039995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-5039995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-5039995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-5039995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-5039995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-5039995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-4610735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-4610735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-4610735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-4610735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-4610735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-4610735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-4610735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-4610735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-4610735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-4610735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-4610735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-4610735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13" w:gutter="0" w:footer="0" w:header="0"/>
        </w:sectPr>
      </w:pPr>
    </w:p>
    <w:bookmarkStart w:id="174" w:name="page175"/>
    <w:bookmarkEnd w:id="174"/>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Valvino Lamore,</w:t>
            </w:r>
          </w:p>
        </w:tc>
        <w:tc>
          <w:tcPr>
            <w:tcW w:w="1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Loss Accumulated During the Development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Stage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0"/>
              </w:rPr>
              <w:t>During the Development Stage to Net Cash Provided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by / (Used in) Operating Activities:</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 Changes in:</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(9,196)</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by/(Used in) Operating</w:t>
            </w: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(4,377)</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Acquisition of Desert Inn Resort and Casino, Net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Cash Acquired</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(270,718)</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(9,489)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(2,864)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Net Cash Provided by/(Used in) Investing Activities</w:t>
            </w:r>
          </w:p>
        </w:tc>
        <w:tc>
          <w:tcPr>
            <w:tcW w:w="14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(319,897)</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Contributions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Third Party Fee</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(125,018)</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w w:val="91"/>
              </w:rPr>
              <w:t>Proceeds from Issuance of Related Party Loan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Related Party Loan</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Increase/(Decrease) in Cash and Cash Equivalents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gridSpan w:val="2"/>
            <w:vMerge w:val="continue"/>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-7423785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-7423785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-7423785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-7423785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-7423785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-7423785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-7423785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-7423785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-7423785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-7423785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-5228590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-5228590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-5228590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-5228590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-5228590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-5228590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-5228590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-5228590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-5228590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-5228590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-4799330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-4799330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-4799330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-4799330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-4799330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-4799330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-4799330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-4799330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-4799330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-4799330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-3547745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-3547745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-3547745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-3547745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-3547745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-3547745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-3547745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-3547745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-3547745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-3547745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-3255645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-3255645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-3255645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-3255645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-3255645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-3255645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-3255645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-3255645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-3255645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-3255645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2" w:right="239" w:bottom="0" w:gutter="0" w:footer="0" w:header="0"/>
        </w:sectPr>
      </w:pPr>
    </w:p>
    <w:bookmarkStart w:id="175" w:name="page176"/>
    <w:bookmarkEnd w:id="17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Las Vegas</w:t>
            </w: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9"/>
              </w:rPr>
              <w:t>Net Loss Accumulated During the Development</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(25,875)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(1,721)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(12,229)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(4,108)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to Reconcile Net Loss Accumulated</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(8,100)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2"/>
              </w:rPr>
              <w:t>Acquisition of Desert Inn Resort and Casino, Net of</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200" w:type="dxa"/>
            <w:vAlign w:val="bottom"/>
          </w:tcPr>
          <w:p>
            <w:pPr>
              <w:spacing w:after="0"/>
              <w:rPr>
                <w:sz w:val="13"/>
                <w:szCs w:val="13"/>
                <w:color w:val="auto"/>
              </w:rPr>
            </w:pPr>
          </w:p>
        </w:tc>
        <w:tc>
          <w:tcPr>
            <w:tcW w:w="14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(55,459)</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(27,653)</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67,326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w w:val="93"/>
              </w:rPr>
              <w:t>Net Cash Provided by/(Used in) Investing Activities</w:t>
            </w: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(419,597)</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(10,584)</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(110,482)</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(10,800)</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(125,066)</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-6366510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-6366510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-6366510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-6366510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-6366510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-6366510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-6366510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-6366510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-6366510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-6366510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-6366510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-6366510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-3853815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-3853815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-3853815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-3853815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-3853815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-3853815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-3853815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-3853815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-3853815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-3853815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-3853815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-3510915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-3510915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-3510915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-3510915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-3510915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-3510915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-3510915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-3510915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-3510915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-3510915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-3510915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-2601595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-2601595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-2601595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-2601595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-2601595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-2601595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-2601595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-2601595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-2601595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-2601595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-2601595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-2353310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-2353310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-2353310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-2353310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-2353310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-2353310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-2353310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-2353310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-2353310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-2353310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-2353310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-1255395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-1255395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-1255395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-1255395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-1255395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-1255395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-1255395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-1255395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-1255395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-1255395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-1255395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-1006475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-1006475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-1006475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-1006475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-1006475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-1006475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-1006475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-1006475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-1006475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-1006475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-1006475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-663575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-663575</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-663575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-663575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-663575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-663575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-663575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-663575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-663575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-663575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-663575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FINANCIALS (Continued)</w:t>
      </w:r>
    </w:p>
    <w:p>
      <w:pPr>
        <w:spacing w:after="0" w:line="245" w:lineRule="exact"/>
        <w:rPr>
          <w:sz w:val="20"/>
          <w:szCs w:val="20"/>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6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12"/>
                <w:szCs w:val="12"/>
                <w:color w:val="auto"/>
              </w:rPr>
            </w:pPr>
          </w:p>
        </w:tc>
      </w:tr>
      <w:tr>
        <w:trPr>
          <w:trHeight w:val="174"/>
        </w:trPr>
        <w:tc>
          <w:tcPr>
            <w:tcW w:w="2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r>
      <w:tr>
        <w:trPr>
          <w:trHeight w:val="105"/>
        </w:trPr>
        <w:tc>
          <w:tcPr>
            <w:tcW w:w="25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25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-159385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-159385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-159385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-159385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-159385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-159385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-159385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-159385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-159385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-159385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-159385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4" w:right="239" w:bottom="0" w:gutter="0" w:footer="0" w:header="0"/>
        </w:sectPr>
      </w:pPr>
    </w:p>
    <w:bookmarkStart w:id="176" w:name="page177"/>
    <w:bookmarkEnd w:id="17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380,236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379,726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337,464</w:t>
            </w: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337,467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313,022</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2"/>
                <w:szCs w:val="12"/>
                <w:color w:val="auto"/>
              </w:rPr>
            </w:pPr>
          </w:p>
        </w:tc>
        <w:tc>
          <w:tcPr>
            <w:tcW w:w="14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(40,747)</w:t>
            </w:r>
          </w:p>
        </w:tc>
        <w:tc>
          <w:tcPr>
            <w:tcW w:w="12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(41,118)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(26,054)</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160" w:type="dxa"/>
            <w:vAlign w:val="bottom"/>
            <w:shd w:val="clear" w:color="auto" w:fill="CCEEFF"/>
          </w:tcPr>
          <w:p>
            <w:pPr>
              <w:spacing w:after="0"/>
              <w:rPr>
                <w:sz w:val="13"/>
                <w:szCs w:val="13"/>
                <w:color w:val="auto"/>
              </w:rPr>
            </w:pPr>
          </w:p>
        </w:tc>
        <w:tc>
          <w:tcPr>
            <w:tcW w:w="142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(9,155)</w:t>
            </w: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Total Liabilities &amp; Members' Equity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52"/>
              <w:spacing w:after="0" w:line="136"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1"/>
                <w:szCs w:val="11"/>
                <w:color w:val="auto"/>
              </w:rPr>
            </w:pPr>
          </w:p>
        </w:tc>
        <w:tc>
          <w:tcPr>
            <w:tcW w:w="10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1"/>
                <w:szCs w:val="11"/>
                <w:color w:val="auto"/>
              </w:rPr>
            </w:pPr>
          </w:p>
        </w:tc>
        <w:tc>
          <w:tcPr>
            <w:tcW w:w="1420" w:type="dxa"/>
            <w:vAlign w:val="bottom"/>
            <w:gridSpan w:val="5"/>
          </w:tcPr>
          <w:p>
            <w:pPr>
              <w:jc w:val="right"/>
              <w:ind w:right="80"/>
              <w:spacing w:after="0" w:line="136"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1"/>
                <w:szCs w:val="11"/>
                <w:color w:val="auto"/>
              </w:rPr>
            </w:pPr>
          </w:p>
        </w:tc>
        <w:tc>
          <w:tcPr>
            <w:tcW w:w="1360" w:type="dxa"/>
            <w:vAlign w:val="bottom"/>
            <w:gridSpan w:val="2"/>
          </w:tcPr>
          <w:p>
            <w:pPr>
              <w:jc w:val="right"/>
              <w:ind w:right="60"/>
              <w:spacing w:after="0" w:line="136"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2001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104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ind w:left="132"/>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945</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9,193</w:t>
            </w:r>
          </w:p>
        </w:tc>
        <w:tc>
          <w:tcPr>
            <w:tcW w:w="12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5,490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11,862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4,203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(15,915)</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(14,348)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(9,813)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(10,456)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(20,151)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(14,693)</w:t>
            </w:r>
          </w:p>
        </w:tc>
        <w:tc>
          <w:tcPr>
            <w:tcW w:w="13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(12,776)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(7,935)</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5"/>
              </w:rPr>
              <w:t>(8,234)</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(16,899)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12"/>
              <w:spacing w:after="0" w:line="136" w:lineRule="exact"/>
              <w:rPr>
                <w:sz w:val="20"/>
                <w:szCs w:val="20"/>
                <w:color w:val="auto"/>
              </w:rPr>
            </w:pPr>
            <w:r>
              <w:rPr>
                <w:rFonts w:ascii="Arial" w:cs="Arial" w:eastAsia="Arial" w:hAnsi="Arial"/>
                <w:sz w:val="14"/>
                <w:szCs w:val="14"/>
                <w:color w:val="auto"/>
              </w:rPr>
              <w:t>(70.37)</w:t>
            </w:r>
          </w:p>
        </w:tc>
        <w:tc>
          <w:tcPr>
            <w:tcW w:w="13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(61.19)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right"/>
              <w:ind w:right="20"/>
              <w:spacing w:after="0" w:line="136" w:lineRule="exact"/>
              <w:rPr>
                <w:sz w:val="20"/>
                <w:szCs w:val="20"/>
                <w:color w:val="auto"/>
              </w:rPr>
            </w:pPr>
            <w:r>
              <w:rPr>
                <w:rFonts w:ascii="Arial" w:cs="Arial" w:eastAsia="Arial" w:hAnsi="Arial"/>
                <w:sz w:val="14"/>
                <w:szCs w:val="14"/>
                <w:color w:val="auto"/>
              </w:rPr>
              <w:t>(39.04)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3"/>
          </w:tcPr>
          <w:p>
            <w:pPr>
              <w:jc w:val="right"/>
              <w:ind w:right="60"/>
              <w:spacing w:after="0" w:line="136" w:lineRule="exact"/>
              <w:rPr>
                <w:sz w:val="20"/>
                <w:szCs w:val="20"/>
                <w:color w:val="auto"/>
              </w:rPr>
            </w:pPr>
            <w:r>
              <w:rPr>
                <w:rFonts w:ascii="Arial" w:cs="Arial" w:eastAsia="Arial" w:hAnsi="Arial"/>
                <w:sz w:val="14"/>
                <w:szCs w:val="14"/>
                <w:color w:val="auto"/>
                <w:w w:val="85"/>
              </w:rPr>
              <w:t>(40.52)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4"/>
          </w:tcPr>
          <w:p>
            <w:pPr>
              <w:jc w:val="right"/>
              <w:ind w:right="80"/>
              <w:spacing w:after="0" w:line="136" w:lineRule="exact"/>
              <w:rPr>
                <w:sz w:val="20"/>
                <w:szCs w:val="20"/>
                <w:color w:val="auto"/>
              </w:rPr>
            </w:pPr>
            <w:r>
              <w:rPr>
                <w:rFonts w:ascii="Arial" w:cs="Arial" w:eastAsia="Arial" w:hAnsi="Arial"/>
                <w:sz w:val="14"/>
                <w:szCs w:val="14"/>
                <w:color w:val="auto"/>
              </w:rPr>
              <w:t>(82.24)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left="574"/>
              <w:spacing w:after="0" w:line="149" w:lineRule="exact"/>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left="572"/>
              <w:spacing w:after="0" w:line="149" w:lineRule="exact"/>
              <w:rPr>
                <w:sz w:val="20"/>
                <w:szCs w:val="20"/>
                <w:color w:val="auto"/>
              </w:rPr>
            </w:pPr>
            <w:r>
              <w:rPr>
                <w:rFonts w:ascii="Arial" w:cs="Arial" w:eastAsia="Arial" w:hAnsi="Arial"/>
                <w:sz w:val="14"/>
                <w:szCs w:val="14"/>
                <w:b w:val="1"/>
                <w:bCs w:val="1"/>
                <w:color w:val="auto"/>
                <w:w w:val="83"/>
              </w:rPr>
              <w:t>2000</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4"/>
              </w:rPr>
              <w:t>Restated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4,522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24,695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3,681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(10,572)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(12,120)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(45,432)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(9,155)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(10,616)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w w:val="85"/>
              </w:rPr>
              <w:t>(45.78)</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(53.08)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-2042795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-2042795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-2042795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-2042795</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-2042795</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-2042795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-2042795</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-2042795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-2042795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-2042795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-2042795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-2042795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-661670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-661670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-661670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-661670</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-661670</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-661670</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-661670</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Wynn Las Vegas, LLC:</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balance sheet of Wynn Las Vegas, LLC (a wholly owned subsidiary of Valvino Lamore, LLC and a development stage company) as of December 31, 2001, and the related statements of operations, member's deficiency, and cash flows for the period from inception (April 17, 2001) to December 31, 2001. These financial statements are the responsibility of the Company's management. Our responsibility is to express an opinion on these financial statements based on our audit.</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December 31, 2001, and the results of its operations and its cash flows for the period from inception to December 31, 2001,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6,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21, 2002 (October 3, 2002 as to the effects of the restatement at Note 6)</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jc w:val="center"/>
              <w:ind w:left="387"/>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15"/>
                <w:szCs w:val="15"/>
                <w:color w:val="auto"/>
              </w:rPr>
            </w:pPr>
          </w:p>
        </w:tc>
        <w:tc>
          <w:tcPr>
            <w:tcW w:w="1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180" w:type="dxa"/>
            <w:vAlign w:val="bottom"/>
          </w:tcPr>
          <w:p>
            <w:pPr>
              <w:jc w:val="right"/>
              <w:ind w:right="1007"/>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2,288</w:t>
            </w:r>
          </w:p>
        </w:tc>
        <w:tc>
          <w:tcPr>
            <w:tcW w:w="174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-1180465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-1180465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-836930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-836930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-836930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-836930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27" w:right="139" w:bottom="0" w:gutter="0" w:footer="0" w:header="0"/>
        </w:sectPr>
      </w:pPr>
    </w:p>
    <w:bookmarkStart w:id="177" w:name="page178"/>
    <w:bookmarkEnd w:id="17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172,084</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Trademark</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Pr>
          <w:p>
            <w:pPr>
              <w:spacing w:after="0"/>
              <w:rPr>
                <w:sz w:val="24"/>
                <w:szCs w:val="24"/>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24"/>
                <w:szCs w:val="24"/>
                <w:color w:val="auto"/>
              </w:rPr>
            </w:pPr>
          </w:p>
        </w:tc>
      </w:tr>
      <w:tr>
        <w:trPr>
          <w:trHeight w:val="134"/>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459"/>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4"/>
                <w:szCs w:val="24"/>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r>
      <w:tr>
        <w:trPr>
          <w:trHeight w:val="112"/>
        </w:trPr>
        <w:tc>
          <w:tcPr>
            <w:tcW w:w="7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431"/>
        </w:trPr>
        <w:tc>
          <w:tcPr>
            <w:tcW w:w="7400" w:type="dxa"/>
            <w:vAlign w:val="bottom"/>
          </w:tcPr>
          <w:p>
            <w:pPr>
              <w:spacing w:after="0"/>
              <w:rPr>
                <w:sz w:val="20"/>
                <w:szCs w:val="20"/>
                <w:color w:val="auto"/>
              </w:rPr>
            </w:pPr>
            <w:r>
              <w:rPr>
                <w:rFonts w:ascii="Arial" w:cs="Arial" w:eastAsia="Arial" w:hAnsi="Arial"/>
                <w:sz w:val="18"/>
                <w:szCs w:val="18"/>
                <w:color w:val="auto"/>
              </w:rPr>
              <w:t>Due to related parties, net</w:t>
            </w: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177,880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24"/>
                <w:szCs w:val="24"/>
                <w:color w:val="auto"/>
              </w:rPr>
            </w:pPr>
          </w:p>
        </w:tc>
      </w:tr>
      <w:tr>
        <w:trPr>
          <w:trHeight w:val="43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Contributed capital</w:t>
            </w:r>
          </w:p>
        </w:tc>
        <w:tc>
          <w:tcPr>
            <w:tcW w:w="5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r>
      <w:tr>
        <w:trPr>
          <w:trHeight w:val="120"/>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Deficiency</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-3084195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-3084195</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-3084195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-3084195</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-1764030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-1764030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-1764030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-1764030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-631825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-631825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-631825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-631825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-340360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-340360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00" w:type="dxa"/>
            <w:vAlign w:val="bottom"/>
            <w:gridSpan w:val="3"/>
          </w:tcPr>
          <w:p>
            <w:pPr>
              <w:jc w:val="right"/>
              <w:ind w:right="821"/>
              <w:spacing w:after="0"/>
              <w:rPr>
                <w:sz w:val="20"/>
                <w:szCs w:val="20"/>
                <w:color w:val="auto"/>
              </w:rPr>
            </w:pPr>
            <w:r>
              <w:rPr>
                <w:rFonts w:ascii="Arial" w:cs="Arial" w:eastAsia="Arial" w:hAnsi="Arial"/>
                <w:sz w:val="14"/>
                <w:szCs w:val="14"/>
                <w:b w:val="1"/>
                <w:bCs w:val="1"/>
                <w:color w:val="auto"/>
                <w:w w:val="85"/>
              </w:rPr>
              <w:t>(As restated, see Note 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8"/>
              </w:rPr>
              <w:t>Six Months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From Inception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5"/>
              </w:rPr>
              <w:t>June 30, 2002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81"/>
              <w:spacing w:after="0"/>
              <w:rPr>
                <w:sz w:val="20"/>
                <w:szCs w:val="20"/>
                <w:color w:val="auto"/>
              </w:rPr>
            </w:pPr>
            <w:r>
              <w:rPr>
                <w:rFonts w:ascii="Arial" w:cs="Arial" w:eastAsia="Arial" w:hAnsi="Arial"/>
                <w:sz w:val="14"/>
                <w:szCs w:val="14"/>
                <w:b w:val="1"/>
                <w:bCs w:val="1"/>
                <w:color w:val="auto"/>
              </w:rPr>
              <w:t>December 31, 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1360" w:type="dxa"/>
            <w:vAlign w:val="bottom"/>
            <w:shd w:val="clear" w:color="auto" w:fill="CCEEFF"/>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Pre-opening costs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Expenses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560" w:type="dxa"/>
            <w:vAlign w:val="bottom"/>
            <w:gridSpan w:val="2"/>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spacing w:after="0"/>
              <w:rPr>
                <w:sz w:val="20"/>
                <w:szCs w:val="20"/>
                <w:color w:val="auto"/>
              </w:rPr>
            </w:pPr>
            <w:r>
              <w:rPr>
                <w:rFonts w:ascii="Arial" w:cs="Arial" w:eastAsia="Arial" w:hAnsi="Arial"/>
                <w:sz w:val="14"/>
                <w:szCs w:val="14"/>
                <w:color w:val="auto"/>
              </w:rPr>
              <w:t>Operating Loss</w:t>
            </w:r>
          </w:p>
        </w:tc>
        <w:tc>
          <w:tcPr>
            <w:tcW w:w="13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(846)</w:t>
            </w:r>
          </w:p>
        </w:tc>
        <w:tc>
          <w:tcPr>
            <w:tcW w:w="130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spacing w:after="0"/>
              <w:rPr>
                <w:sz w:val="22"/>
                <w:szCs w:val="22"/>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Other Income/(Expense)</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540" w:type="dxa"/>
            <w:vAlign w:val="bottom"/>
          </w:tcPr>
          <w:p>
            <w:pPr>
              <w:ind w:left="440"/>
              <w:spacing w:after="0"/>
              <w:rPr>
                <w:sz w:val="20"/>
                <w:szCs w:val="20"/>
                <w:color w:val="auto"/>
              </w:rPr>
            </w:pPr>
            <w:r>
              <w:rPr>
                <w:rFonts w:ascii="Arial" w:cs="Arial" w:eastAsia="Arial" w:hAnsi="Arial"/>
                <w:sz w:val="14"/>
                <w:szCs w:val="14"/>
                <w:color w:val="auto"/>
                <w:w w:val="95"/>
              </w:rPr>
              <w:t>Net loss accumulated during the development stage</w:t>
            </w:r>
          </w:p>
        </w:tc>
        <w:tc>
          <w:tcPr>
            <w:tcW w:w="1360" w:type="dxa"/>
            <w:vAlign w:val="bottom"/>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(843)</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-2887345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-2887345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-2449830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-2449830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-2449830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-2449830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-2449830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-2449830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-2449830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-2449830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-1549400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-1549400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-1549400</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-1549400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-1549400</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-1549400</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-1549400</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-1549400</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-1240790</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-1240790</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-1240790</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-1240790</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-1240790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-1240790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-1240790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-1240790</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-648970</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-648970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-648970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-648970</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-648970</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-648970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-648970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-340360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-340360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-340360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-340360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-340360</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-340360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-340360</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MEMBER'S DEFICIENCY</w:t>
      </w:r>
    </w:p>
    <w:p>
      <w:pPr>
        <w:sectPr>
          <w:pgSz w:w="11900" w:h="16847" w:orient="portrait"/>
          <w:cols w:equalWidth="0" w:num="1">
            <w:col w:w="11420"/>
          </w:cols>
          <w:pgMar w:left="240" w:top="140" w:right="23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tcPr>
          <w:p>
            <w:pPr>
              <w:ind w:left="51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 (April 17, 2001)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 (As restated, see Note 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(unaudited)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2002 (unaudited)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-1214755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-1214755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-768985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-768985</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4"/>
          </w:tcPr>
          <w:p>
            <w:pPr>
              <w:jc w:val="right"/>
              <w:ind w:right="1041"/>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5"/>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right"/>
              <w:ind w:right="241"/>
              <w:spacing w:after="0" w:line="149" w:lineRule="exact"/>
              <w:rPr>
                <w:sz w:val="20"/>
                <w:szCs w:val="20"/>
                <w:color w:val="auto"/>
              </w:rPr>
            </w:pPr>
            <w:r>
              <w:rPr>
                <w:rFonts w:ascii="Arial" w:cs="Arial" w:eastAsia="Arial" w:hAnsi="Arial"/>
                <w:sz w:val="14"/>
                <w:szCs w:val="14"/>
                <w:b w:val="1"/>
                <w:bCs w:val="1"/>
                <w:color w:val="auto"/>
              </w:rPr>
              <w:t>Inception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7"/>
              </w:rPr>
              <w:t>June 30, 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41"/>
              <w:spacing w:after="0"/>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4120" w:type="dxa"/>
            <w:vAlign w:val="bottom"/>
            <w:tcBorders>
              <w:right w:val="single" w:sz="8" w:color="CCEEFF"/>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320" w:type="dxa"/>
            <w:vAlign w:val="bottom"/>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1720" w:type="dxa"/>
            <w:vAlign w:val="bottom"/>
            <w:shd w:val="clear" w:color="auto" w:fill="CCEEFF"/>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(878)</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w w:val="93"/>
              </w:rPr>
              <w:t>Adjustments to reconcile net loss accumulated during the development</w:t>
            </w: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color w:val="auto"/>
              </w:rPr>
              <w:t>stage to net cash provided used in operating activities:</w:t>
            </w: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(1,788)</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Accounts payable and accrued expenses</w:t>
            </w:r>
          </w:p>
        </w:tc>
        <w:tc>
          <w:tcPr>
            <w:tcW w:w="13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(2,711)</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(1,244)</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18"/>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vMerge w:val="continue"/>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w:t>
            </w:r>
          </w:p>
        </w:tc>
        <w:tc>
          <w:tcPr>
            <w:tcW w:w="1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7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(1,252)</w:t>
            </w: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Due to related parties</w:t>
            </w: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Net Cash Provided by Investing Activities</w:t>
            </w:r>
          </w:p>
        </w:tc>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Flows From Financing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tcPr>
          <w:p>
            <w:pPr>
              <w:spacing w:after="0"/>
              <w:rPr>
                <w:sz w:val="20"/>
                <w:szCs w:val="20"/>
                <w:color w:val="auto"/>
              </w:rPr>
            </w:pPr>
            <w:r>
              <w:rPr>
                <w:rFonts w:ascii="Arial" w:cs="Arial" w:eastAsia="Arial" w:hAnsi="Arial"/>
                <w:sz w:val="14"/>
                <w:szCs w:val="14"/>
                <w:color w:val="auto"/>
              </w:rPr>
              <w:t>Decrease in Cash and Cash Equivalents</w:t>
            </w:r>
          </w:p>
        </w:tc>
        <w:tc>
          <w:tcPr>
            <w:tcW w:w="13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-3804920</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-3804920</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-3367405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-3367405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-3367405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-3367405</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-3367405</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-3367405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-3367405</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-3367405</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-1901190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-1901190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-1901190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-1901190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-1901190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-1901190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-1901190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-1901190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-1652270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-1652270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-1652270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-1652270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-1652270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-1652270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-1652270</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-1652270</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-1120775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-1120775</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-1120775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-1120775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-1120775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-1120775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-1120775</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-1120775</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-871855</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-871855</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-871855</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-871855</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-871855</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-871855</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-622935</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-622935</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-622935</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-622935</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-622935</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-622935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-622935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-280035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-280035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-280035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-280035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-280035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-280035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right="420"/>
        <w:spacing w:after="0" w:line="239" w:lineRule="auto"/>
        <w:rPr>
          <w:sz w:val="20"/>
          <w:szCs w:val="20"/>
          <w:color w:val="auto"/>
        </w:rPr>
      </w:pPr>
      <w:r>
        <w:rPr>
          <w:rFonts w:ascii="Arial" w:cs="Arial" w:eastAsia="Arial" w:hAnsi="Arial"/>
          <w:sz w:val="14"/>
          <w:szCs w:val="14"/>
          <w:color w:val="auto"/>
        </w:rPr>
        <w:t>During the six months ended June 30, 2002, land and construction in progress with book values of $161,392 and $10,692, respectively, were transferred to the Company from an affiliate and the Company recorded an intercompany payable to the affiliate for the same amount (See Notes 1.f. and 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0" w:gutter="0" w:footer="0" w:header="0"/>
        </w:sectPr>
      </w:pPr>
    </w:p>
    <w:bookmarkStart w:id="179" w:name="page180"/>
    <w:bookmarkEnd w:id="179"/>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Hotel A, LLC was formed on April 17, 2001 as a Nevada limited-liability company. On May 15, 2002, Hotel A, LLC changed its name to Wynn Las Vegas, LLC. Hotel A, LLC is hereafter referred to as Wynn Las Vegas, LLC or the Company. The sole member of the Company is Wynn Resorts, LLC. The sole member of Wynn Resorts, LLC is Valvino Lamore, LLC (Valvino).</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Wynn Las Vegas, LLC was primarily organized to construct and operate "Le Rêve", a preeminent luxury hotel and destination casino resort in Las Vegas, Nevada.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primarily for the purpose of obtaining financing for Le Rêve. Wynn Capital is authorized to issue 2,000 shares of common stock, par value $0.01. At June 30, 2002, the Company holds all of the authorized shares. The financial position and results of operations of Wynn Capital are included in the financial statements of the Company as of June 30, 2002 and for the periods then ended.</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and include the assets, liabilities, operating results and cash flows of Wynn Las Vegas, LLC. However, the financial information included herein may not necessarily be indicative of the conditions that would have existed or the results of operations had the Company been a separate, stand-alone entity during the periods presented (Note 3).</w:t>
      </w:r>
    </w:p>
    <w:p>
      <w:pPr>
        <w:spacing w:after="0" w:line="224" w:lineRule="exact"/>
        <w:rPr>
          <w:sz w:val="20"/>
          <w:szCs w:val="20"/>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has no operating history and is currently in the process of planning, developing and obtaining additional financing for the Le Rêve project.</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 is subject to many rules, regulations and uncertainties in both the construction and development phases of the project, including, but not limited to, receiving the appropriate permits for particular construction activities and securing necessary financing for the project. There is no certainty that the Company will be able to secure the necessary financing or that the financial resources available will be sufficient to fund the project (see further discussion at Note 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11" w:lineRule="exact"/>
        <w:rPr>
          <w:sz w:val="20"/>
          <w:szCs w:val="20"/>
          <w:color w:val="auto"/>
        </w:rPr>
      </w:pPr>
    </w:p>
    <w:p>
      <w:pPr>
        <w:ind w:left="540" w:hanging="532"/>
        <w:spacing w:after="0"/>
        <w:tabs>
          <w:tab w:leader="none" w:pos="5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Prior to June 2002, the financial statements include the accounts of the Company. As of June 30, 2002 and for the periods then ended, the financial statements include the accounts of the Company and its wholly owned subsidiary, Wynn Capital. Significant intercompany balances and transactions, if any, are eliminated.</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213" w:lineRule="exact"/>
        <w:rPr>
          <w:sz w:val="20"/>
          <w:szCs w:val="20"/>
          <w:color w:val="auto"/>
        </w:rPr>
      </w:pPr>
    </w:p>
    <w:p>
      <w:pPr>
        <w:ind w:left="540" w:hanging="532"/>
        <w:spacing w:after="0"/>
        <w:tabs>
          <w:tab w:leader="none" w:pos="5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At December 31, 2001, property of the Company consisted of approximately $2 thousand of computer equipment with an estimated useful life of three years. Depreciation is provided over the estimated useful life of assets using the straight-line method.</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May of 2002, Valvino transferred approximately $161 million of land it acquired in connection with its acquisition of the Desert Inn Resort and Casino, and approximately $11 million of construction in progress to the Company (see further discussion at Note 2, </w:t>
      </w:r>
      <w:r>
        <w:rPr>
          <w:rFonts w:ascii="Arial" w:cs="Arial" w:eastAsia="Arial" w:hAnsi="Arial"/>
          <w:sz w:val="16"/>
          <w:szCs w:val="16"/>
          <w:i w:val="1"/>
          <w:iCs w:val="1"/>
          <w:color w:val="auto"/>
        </w:rPr>
        <w:t>Property and Equipment</w:t>
      </w:r>
      <w:r>
        <w:rPr>
          <w:rFonts w:ascii="Arial" w:cs="Arial" w:eastAsia="Arial" w:hAnsi="Arial"/>
          <w:sz w:val="16"/>
          <w:szCs w:val="16"/>
          <w:color w:val="auto"/>
        </w:rPr>
        <w:t>).</w:t>
      </w:r>
    </w:p>
    <w:p>
      <w:pPr>
        <w:spacing w:after="0" w:line="153" w:lineRule="exact"/>
        <w:rPr>
          <w:sz w:val="20"/>
          <w:szCs w:val="20"/>
          <w:color w:val="auto"/>
        </w:rPr>
      </w:pPr>
    </w:p>
    <w:p>
      <w:pPr>
        <w:ind w:left="540" w:hanging="532"/>
        <w:spacing w:after="0"/>
        <w:tabs>
          <w:tab w:leader="none" w:pos="5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Trademark</w:t>
      </w:r>
    </w:p>
    <w:p>
      <w:pPr>
        <w:spacing w:after="0" w:line="225"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Company has recorded an asset representing the cost, $1 million, of the common-law name and mark "LE REVE". The trademark has an indefinite useful life and therefore is not amortized. Similar to other long-lived assets, the trademark is reviewed for impairment whenever events or circumstances indicate that the carrying value may not be recoverable.</w:t>
      </w:r>
    </w:p>
    <w:p>
      <w:pPr>
        <w:spacing w:after="0" w:line="221" w:lineRule="exact"/>
        <w:rPr>
          <w:sz w:val="20"/>
          <w:szCs w:val="20"/>
          <w:color w:val="auto"/>
        </w:rPr>
      </w:pPr>
    </w:p>
    <w:p>
      <w:pPr>
        <w:ind w:left="540" w:hanging="532"/>
        <w:spacing w:after="0"/>
        <w:tabs>
          <w:tab w:leader="none" w:pos="5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a limited-liability company, Wynn Las Vegas,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Member's Deficiency</w:t>
      </w:r>
    </w:p>
    <w:p>
      <w:pPr>
        <w:spacing w:after="0" w:line="225"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The Company was initially capitalized with a $100 contribution from Valvino, the sole member of the Company. Such contribution was made in exchange for a 100 percent ownership interest in the capital and profits of the Company. No additional capital contributions are required to be made. Cash</w:t>
      </w:r>
    </w:p>
    <w:p>
      <w:pPr>
        <w:sectPr>
          <w:pgSz w:w="11900" w:h="16838" w:orient="portrait"/>
          <w:cols w:equalWidth="0" w:num="1">
            <w:col w:w="10860"/>
          </w:cols>
          <w:pgMar w:left="780" w:top="131" w:right="259" w:bottom="0" w:gutter="0" w:footer="0" w:header="0"/>
        </w:sectPr>
      </w:pPr>
    </w:p>
    <w:bookmarkStart w:id="180" w:name="page181"/>
    <w:bookmarkEnd w:id="180"/>
    <w:p>
      <w:pPr>
        <w:ind w:left="532" w:right="140"/>
        <w:spacing w:after="0" w:line="268" w:lineRule="auto"/>
        <w:rPr>
          <w:sz w:val="20"/>
          <w:szCs w:val="20"/>
          <w:color w:val="auto"/>
        </w:rPr>
      </w:pPr>
      <w:r>
        <w:rPr>
          <w:rFonts w:ascii="Arial" w:cs="Arial" w:eastAsia="Arial" w:hAnsi="Arial"/>
          <w:sz w:val="18"/>
          <w:szCs w:val="18"/>
          <w:color w:val="auto"/>
        </w:rPr>
        <w:t>or other assets may be distributed to Valvino as determined by Valvino provided that the distribution was not in violation of any applicable law or would cause a breach or default under agreements to which the Company is a party.</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hanging="532"/>
        <w:spacing w:after="0"/>
        <w:tabs>
          <w:tab w:leader="none" w:pos="107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Pre-opening costs primarily consists of salaries and other payroll related expenses. Pre-opening costs are expensed as incurred.</w:t>
      </w:r>
    </w:p>
    <w:p>
      <w:pPr>
        <w:spacing w:after="0" w:line="252" w:lineRule="exact"/>
        <w:rPr>
          <w:sz w:val="20"/>
          <w:szCs w:val="20"/>
          <w:color w:val="auto"/>
        </w:rPr>
      </w:pPr>
    </w:p>
    <w:p>
      <w:pPr>
        <w:ind w:left="1072" w:hanging="532"/>
        <w:spacing w:after="0"/>
        <w:tabs>
          <w:tab w:leader="none" w:pos="107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532" w:right="12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1072" w:hanging="532"/>
        <w:spacing w:after="0"/>
        <w:tabs>
          <w:tab w:leader="none" w:pos="107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left="532" w:right="100" w:firstLine="351"/>
        <w:spacing w:after="0" w:line="259" w:lineRule="auto"/>
        <w:rPr>
          <w:sz w:val="20"/>
          <w:szCs w:val="20"/>
          <w:color w:val="auto"/>
        </w:rPr>
      </w:pPr>
      <w:r>
        <w:rPr>
          <w:rFonts w:ascii="Arial" w:cs="Arial" w:eastAsia="Arial" w:hAnsi="Arial"/>
          <w:sz w:val="18"/>
          <w:szCs w:val="18"/>
          <w:color w:val="auto"/>
        </w:rPr>
        <w:t>Management periodically reviews long-lived assets, which are not to be disposed of, including property and equipment,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1072" w:hanging="532"/>
        <w:spacing w:after="0"/>
        <w:tabs>
          <w:tab w:leader="none" w:pos="10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left="532" w:right="10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24" w:lineRule="exact"/>
        <w:rPr>
          <w:sz w:val="20"/>
          <w:szCs w:val="20"/>
          <w:color w:val="auto"/>
        </w:rPr>
      </w:pPr>
    </w:p>
    <w:p>
      <w:pPr>
        <w:ind w:left="1072" w:hanging="532"/>
        <w:spacing w:after="0"/>
        <w:tabs>
          <w:tab w:leader="none" w:pos="107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532" w:firstLine="351"/>
        <w:spacing w:after="0" w:line="253" w:lineRule="auto"/>
        <w:rPr>
          <w:sz w:val="20"/>
          <w:szCs w:val="20"/>
          <w:color w:val="auto"/>
        </w:rPr>
      </w:pPr>
      <w:r>
        <w:rPr>
          <w:rFonts w:ascii="Arial" w:cs="Arial" w:eastAsia="Arial" w:hAnsi="Arial"/>
          <w:sz w:val="18"/>
          <w:szCs w:val="18"/>
          <w:color w:val="auto"/>
        </w:rPr>
        <w:t>In June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99" w:lineRule="exact"/>
        <w:rPr>
          <w:sz w:val="20"/>
          <w:szCs w:val="20"/>
          <w:color w:val="auto"/>
        </w:rPr>
      </w:pPr>
    </w:p>
    <w:p>
      <w:pPr>
        <w:ind w:left="532" w:right="40" w:firstLine="351"/>
        <w:spacing w:after="0" w:line="256"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spacing w:after="0"/>
        <w:rPr>
          <w:sz w:val="20"/>
          <w:szCs w:val="20"/>
          <w:color w:val="auto"/>
        </w:rPr>
      </w:pPr>
      <w:r>
        <w:rPr>
          <w:rFonts w:ascii="Arial" w:cs="Arial" w:eastAsia="Arial" w:hAnsi="Arial"/>
          <w:sz w:val="18"/>
          <w:szCs w:val="18"/>
          <w:color w:val="auto"/>
        </w:rPr>
        <w:t>will have a material impact on the Company's consolidated financial position or results of operations.</w:t>
      </w:r>
    </w:p>
    <w:p>
      <w:pPr>
        <w:spacing w:after="0" w:line="225" w:lineRule="exact"/>
        <w:rPr>
          <w:sz w:val="20"/>
          <w:szCs w:val="20"/>
          <w:color w:val="auto"/>
        </w:rPr>
      </w:pPr>
    </w:p>
    <w:p>
      <w:pPr>
        <w:ind w:left="532" w:right="6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32" w:right="16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32"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532" w:hanging="532"/>
        <w:spacing w:after="0"/>
        <w:tabs>
          <w:tab w:leader="none" w:pos="532" w:val="left"/>
        </w:tabs>
        <w:numPr>
          <w:ilvl w:val="0"/>
          <w:numId w:val="381"/>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ectPr>
          <w:pgSz w:w="11900" w:h="16838" w:orient="portrait"/>
          <w:cols w:equalWidth="0" w:num="1">
            <w:col w:w="11372"/>
          </w:cols>
          <w:pgMar w:left="248" w:top="131" w:right="279" w:bottom="0" w:gutter="0" w:footer="0" w:header="0"/>
        </w:sectPr>
      </w:pPr>
    </w:p>
    <w:bookmarkStart w:id="181" w:name="page182"/>
    <w:bookmarkEnd w:id="181"/>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2001 consisted of the following:</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In ($</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000's)</w:t>
            </w:r>
          </w:p>
        </w:tc>
      </w:tr>
      <w:tr>
        <w:trPr>
          <w:trHeight w:val="105"/>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12"/>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6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-751840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May of 2002, Valvino transferred land acquired in connection with its acquisition of the Desert Inn Resort and Casino to the Company. The land was transferred at its carrying value of approximately $161 million. In addition, approximately $11 million of construction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progress was transferred. In consideration for the land, the Company recorded a payable to Valvino for an equal amount.</w:t>
      </w:r>
    </w:p>
    <w:p>
      <w:pPr>
        <w:spacing w:after="0" w:line="239" w:lineRule="exact"/>
        <w:rPr>
          <w:sz w:val="20"/>
          <w:szCs w:val="20"/>
          <w:color w:val="auto"/>
        </w:rPr>
      </w:pPr>
    </w:p>
    <w:p>
      <w:pPr>
        <w:ind w:left="540" w:hanging="532"/>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At December 31, 2001 amounts due to related parties were comprised primarily of amounts due to Valvino. For the period from inception through June 30, 2002, the Company's statements of operations include allocations from Valvino for legal, accounting, human resource, information services, real estate, or other corporate support services provided by Valvino. The corporate support service allocations have been determined on a basis that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for the six months ended June 30, 2002 and 2001 and for the periods from inception to December 31, 2001 and June 30, 2002 and were approximately $140,000, $65,000, $196,000 and $336,000, respectively. Given the development stage nature of the Company's operations for the periods presented, management does not believe it is practicable to estimate the cost that would have been incurred if the Company had operated as a stand-alone entity.</w:t>
      </w:r>
    </w:p>
    <w:p>
      <w:pPr>
        <w:spacing w:after="0" w:line="199" w:lineRule="exact"/>
        <w:rPr>
          <w:sz w:val="20"/>
          <w:szCs w:val="20"/>
          <w:color w:val="auto"/>
        </w:rPr>
      </w:pPr>
    </w:p>
    <w:p>
      <w:pPr>
        <w:ind w:left="540" w:hanging="532"/>
        <w:spacing w:after="0"/>
        <w:tabs>
          <w:tab w:leader="none" w:pos="54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In the normal course of business, the Company may be subject to disputes with third parties, which could lead to litigation. Presently, the Company is not involved in any such matters.</w:t>
      </w:r>
    </w:p>
    <w:p>
      <w:pPr>
        <w:spacing w:after="0" w:line="199" w:lineRule="exact"/>
        <w:rPr>
          <w:sz w:val="20"/>
          <w:szCs w:val="20"/>
          <w:color w:val="auto"/>
        </w:rPr>
      </w:pPr>
    </w:p>
    <w:p>
      <w:pPr>
        <w:ind w:left="1080" w:hanging="532"/>
        <w:spacing w:after="0"/>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0" w:firstLine="348"/>
        <w:spacing w:after="0" w:line="290" w:lineRule="auto"/>
        <w:rPr>
          <w:sz w:val="20"/>
          <w:szCs w:val="20"/>
          <w:color w:val="auto"/>
        </w:rPr>
      </w:pPr>
      <w:r>
        <w:rPr>
          <w:rFonts w:ascii="Arial" w:cs="Arial" w:eastAsia="Arial" w:hAnsi="Arial"/>
          <w:sz w:val="16"/>
          <w:szCs w:val="16"/>
          <w:color w:val="auto"/>
        </w:rPr>
        <w:t>The Company has entered into certain contracts related to the construction of "Le Rêve". Effective as of June 4, 2002, and amended by Change Order No. 1, effective as of August 12, 2002, the Company entered into an agreement with a construction contractor for guaranteed maximum price construction services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Company's actions.</w:t>
      </w:r>
    </w:p>
    <w:p>
      <w:pPr>
        <w:spacing w:after="0" w:line="172" w:lineRule="exact"/>
        <w:rPr>
          <w:sz w:val="20"/>
          <w:szCs w:val="20"/>
          <w:color w:val="auto"/>
        </w:rPr>
      </w:pPr>
    </w:p>
    <w:p>
      <w:pPr>
        <w:ind w:left="540" w:right="200" w:firstLine="341"/>
        <w:spacing w:after="0" w:line="268" w:lineRule="auto"/>
        <w:rPr>
          <w:sz w:val="20"/>
          <w:szCs w:val="20"/>
          <w:color w:val="auto"/>
        </w:rPr>
      </w:pPr>
      <w:r>
        <w:rPr>
          <w:rFonts w:ascii="Arial" w:cs="Arial" w:eastAsia="Arial" w:hAnsi="Arial"/>
          <w:sz w:val="18"/>
          <w:szCs w:val="18"/>
          <w:color w:val="auto"/>
        </w:rPr>
        <w:t>Additionally, the Company has entered into an agreement with a construction contractor for the design and construction of a parking structure for a maximum cost of $9.85 million, subject to specified exceptions, effective as of June 6, 2002.</w:t>
      </w:r>
    </w:p>
    <w:p>
      <w:pPr>
        <w:spacing w:after="0" w:line="213" w:lineRule="exact"/>
        <w:rPr>
          <w:sz w:val="20"/>
          <w:szCs w:val="20"/>
          <w:color w:val="auto"/>
        </w:rPr>
      </w:pPr>
    </w:p>
    <w:p>
      <w:pPr>
        <w:ind w:left="1080" w:hanging="532"/>
        <w:spacing w:after="0"/>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Financing Arrangements</w:t>
      </w:r>
    </w:p>
    <w:p>
      <w:pPr>
        <w:spacing w:after="0" w:line="225"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Valvino, the Company and Wynn Resorts Holdings LLC, a wholly owned subsidiary of Valvino, have entered into a commitment letter with several lenders for a $750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61" w:lineRule="exact"/>
        <w:rPr>
          <w:sz w:val="20"/>
          <w:szCs w:val="20"/>
          <w:color w:val="auto"/>
        </w:rPr>
      </w:pPr>
    </w:p>
    <w:p>
      <w:pPr>
        <w:jc w:val="both"/>
        <w:ind w:left="540"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left="540"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460" w:firstLine="351"/>
        <w:spacing w:after="0" w:line="370" w:lineRule="auto"/>
        <w:rPr>
          <w:sz w:val="20"/>
          <w:szCs w:val="20"/>
          <w:color w:val="auto"/>
        </w:rPr>
      </w:pPr>
      <w:r>
        <w:rPr>
          <w:rFonts w:ascii="Arial" w:cs="Arial" w:eastAsia="Arial" w:hAnsi="Arial"/>
          <w:sz w:val="15"/>
          <w:szCs w:val="15"/>
          <w:color w:val="auto"/>
        </w:rPr>
        <w:t>Before Le Rêve opens, the Credit Facilities are expected to bear interest at either the prime rate or reserve Eurodollar Rate, as elected by the Company, plus, in either case, 4.00% per annum. After the opening of Le Rêve, the Credit Facilities interest rate will be reduced to the prime rate or</w:t>
      </w:r>
    </w:p>
    <w:p>
      <w:pPr>
        <w:sectPr>
          <w:pgSz w:w="11900" w:h="16989" w:orient="portrait"/>
          <w:cols w:equalWidth="0" w:num="1">
            <w:col w:w="11420"/>
          </w:cols>
          <w:pgMar w:left="240" w:top="131" w:right="239" w:bottom="0" w:gutter="0" w:footer="0" w:header="0"/>
        </w:sectPr>
      </w:pPr>
    </w:p>
    <w:bookmarkStart w:id="182" w:name="page183"/>
    <w:bookmarkEnd w:id="182"/>
    <w:p>
      <w:pPr>
        <w:ind w:left="540"/>
        <w:spacing w:after="0"/>
        <w:rPr>
          <w:sz w:val="20"/>
          <w:szCs w:val="20"/>
          <w:color w:val="auto"/>
        </w:rPr>
      </w:pPr>
      <w:r>
        <w:rPr>
          <w:rFonts w:ascii="Arial" w:cs="Arial" w:eastAsia="Arial" w:hAnsi="Arial"/>
          <w:sz w:val="18"/>
          <w:szCs w:val="18"/>
          <w:color w:val="auto"/>
        </w:rPr>
        <w:t>reserve adjusted Eurodollar Rate plus, in either case, a margin based on a leverage ratio.</w:t>
      </w:r>
    </w:p>
    <w:p>
      <w:pPr>
        <w:spacing w:after="0" w:line="225" w:lineRule="exact"/>
        <w:rPr>
          <w:sz w:val="20"/>
          <w:szCs w:val="20"/>
          <w:color w:val="auto"/>
        </w:rPr>
      </w:pPr>
    </w:p>
    <w:p>
      <w:pPr>
        <w:ind w:left="540" w:right="40" w:firstLine="351"/>
        <w:spacing w:after="0" w:line="253" w:lineRule="auto"/>
        <w:rPr>
          <w:sz w:val="20"/>
          <w:szCs w:val="20"/>
          <w:color w:val="auto"/>
        </w:rPr>
      </w:pPr>
      <w:r>
        <w:rPr>
          <w:rFonts w:ascii="Arial" w:cs="Arial" w:eastAsia="Arial" w:hAnsi="Arial"/>
          <w:sz w:val="18"/>
          <w:szCs w:val="18"/>
          <w:color w:val="auto"/>
        </w:rPr>
        <w:t>In addition, the Company's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The Company may also use proceeds from the FF&amp;E facility to refinance a replacement corporate aircraft in which case the Company would request the FF&amp;E lenders to increase the total commitment under the FF&amp;E facility by $10 million to $198.5 million.</w:t>
      </w:r>
    </w:p>
    <w:p>
      <w:pPr>
        <w:spacing w:after="0" w:line="213" w:lineRule="exact"/>
        <w:rPr>
          <w:sz w:val="20"/>
          <w:szCs w:val="20"/>
          <w:color w:val="auto"/>
        </w:rPr>
      </w:pPr>
    </w:p>
    <w:p>
      <w:pPr>
        <w:ind w:left="1080" w:hanging="532"/>
        <w:spacing w:after="0"/>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jc w:val="both"/>
        <w:ind w:left="540" w:right="420" w:firstLine="348"/>
        <w:spacing w:after="0" w:line="306" w:lineRule="auto"/>
        <w:rPr>
          <w:sz w:val="20"/>
          <w:szCs w:val="20"/>
          <w:color w:val="auto"/>
        </w:rPr>
      </w:pPr>
      <w:r>
        <w:rPr>
          <w:rFonts w:ascii="Arial" w:cs="Arial" w:eastAsia="Arial" w:hAnsi="Arial"/>
          <w:sz w:val="16"/>
          <w:szCs w:val="16"/>
          <w:color w:val="auto"/>
        </w:rPr>
        <w:t>Valvino is self-insured for medical and worker's compensation claims. The Individual Stop Loss Attachment Point for each claim is $40,000 for medical and $250,000 for worker's compensation claims with a maximum payout of $960,000 and $1,000,000, respectively. Valvino's self-insurance covers any claims made by employees of Wynn Las Vegas, LLC and Wynn Las Vegas Capital Corp.</w:t>
      </w:r>
    </w:p>
    <w:p>
      <w:pPr>
        <w:spacing w:after="0" w:line="188" w:lineRule="exact"/>
        <w:rPr>
          <w:sz w:val="20"/>
          <w:szCs w:val="20"/>
          <w:color w:val="auto"/>
        </w:rPr>
      </w:pPr>
    </w:p>
    <w:p>
      <w:pPr>
        <w:ind w:left="540" w:hanging="532"/>
        <w:spacing w:after="0"/>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Employees of the Company participate in the Valvino retirement savings plan, which was established in July 2000 under Section 401(k) of the Internal Revenue Code. The plan allows employees to defer, within prescribed limits, up to 18% of their income on a pre-tax basis through contributions to this plan. Valvino matches the contributions, within prescribed limits,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with an amount equal to 100% of the participant's initial 2% tax deferred contribution and 50% of the tax deferred contribution between 2% and 4% of the participant's compensation. Valvino recorded charges for matching contributions of approximately $127,000 for the year ended December 31, 2001.</w:t>
      </w:r>
    </w:p>
    <w:p>
      <w:pPr>
        <w:spacing w:after="0" w:line="153" w:lineRule="exact"/>
        <w:rPr>
          <w:sz w:val="20"/>
          <w:szCs w:val="20"/>
          <w:color w:val="auto"/>
        </w:rPr>
      </w:pPr>
    </w:p>
    <w:p>
      <w:pPr>
        <w:ind w:left="540" w:hanging="532"/>
        <w:spacing w:after="0"/>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Subsequent to the issuance of the Company's financial statements for the six months ended June 30, 2002, and for the year ended December 31, 2001, the Company's management determined that costs incurred by Valvino associated with certain corporate support services should have been allocated to the Company. As a result, the financial statements of the Company have been restated from the amounts previously reported to reflect the allocation of certain costs associated with corporate support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2"/>
              </w:rPr>
              <w:t>2002 as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Previously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77"/>
              </w:rPr>
              <w:t>Restated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177,880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Member's Deficiency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June 30, 2002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Six months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 2001 as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June 30, 2002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 2001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14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2002 as 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i w:val="1"/>
                <w:iCs w:val="1"/>
                <w:color w:val="auto"/>
                <w:w w:val="77"/>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6"/>
          </w:tcPr>
          <w:p>
            <w:pPr>
              <w:jc w:val="right"/>
              <w:ind w:right="60"/>
              <w:spacing w:after="0"/>
              <w:rPr>
                <w:sz w:val="20"/>
                <w:szCs w:val="20"/>
                <w:color w:val="auto"/>
              </w:rPr>
            </w:pPr>
            <w:r>
              <w:rPr>
                <w:rFonts w:ascii="Arial" w:cs="Arial" w:eastAsia="Arial" w:hAnsi="Arial"/>
                <w:sz w:val="18"/>
                <w:szCs w:val="18"/>
                <w:color w:val="auto"/>
              </w:rPr>
              <w:t>F-47</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-3063875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-3063875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-3063875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-3063875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-3063875</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-3063875</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-3063875</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-3063875</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-1845945</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-1845945</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-1845945</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-1845945</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-1845945</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-1845945</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-1845945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-1845945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-628650</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-628650</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-628650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-628650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-628650</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-628650</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-628650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-628650</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9"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The accompanying pro forma unaudited consolidating financial information is presented assuming the transfer of certain assets, as noted below, to Wynn Resorts, Limited by Valvino Lamore, LLC had occurred as of and for the six month period ended June 30, 2002 and for the year ended December 31, 2001. The statements have been adjusted to reflect the elimination of all items management believes will be ultimately transferred to Wynn Resorts, Limited in accordance with a Distribution Agreement and Assignment dated October 2002. The assets to be distributed are expected to include the Company's equity interests in the non-guarantor entities (Wynn Group Asia, Inc., Kevyn LLC, Rambas Marketing Co. LLC, Toasty, LLC and World Wide Wynn, LLC), Inventories and affiliates</w:t>
      </w:r>
    </w:p>
    <w:p>
      <w:pPr>
        <w:sectPr>
          <w:pgSz w:w="11900" w:h="16838" w:orient="portrait"/>
          <w:cols w:equalWidth="0" w:num="1">
            <w:col w:w="11420"/>
          </w:cols>
          <w:pgMar w:left="240" w:top="131" w:right="239" w:bottom="0" w:gutter="0" w:footer="0" w:header="0"/>
        </w:sectPr>
      </w:pPr>
    </w:p>
    <w:bookmarkStart w:id="183" w:name="page184"/>
    <w:bookmarkEnd w:id="183"/>
    <w:p>
      <w:pPr>
        <w:ind w:right="40"/>
        <w:spacing w:after="0" w:line="306" w:lineRule="auto"/>
        <w:rPr>
          <w:sz w:val="20"/>
          <w:szCs w:val="20"/>
          <w:color w:val="auto"/>
        </w:rPr>
      </w:pPr>
      <w:r>
        <w:rPr>
          <w:rFonts w:ascii="Arial" w:cs="Arial" w:eastAsia="Arial" w:hAnsi="Arial"/>
          <w:sz w:val="16"/>
          <w:szCs w:val="16"/>
          <w:color w:val="auto"/>
        </w:rPr>
        <w:t>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 Actual eliminations will differ as a result of operations which have occurred subsequent to June 30, 2002.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160,863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Intercompany Balances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Deficit Accumulated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Inception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Development Stage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537,981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524,315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3"/>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83"/>
              <w:spacing w:after="0"/>
              <w:rPr>
                <w:sz w:val="20"/>
                <w:szCs w:val="20"/>
                <w:color w:val="auto"/>
              </w:rPr>
            </w:pPr>
            <w:r>
              <w:rPr>
                <w:rFonts w:ascii="Arial" w:cs="Arial" w:eastAsia="Arial" w:hAnsi="Arial"/>
                <w:sz w:val="18"/>
                <w:szCs w:val="18"/>
                <w:color w:val="auto"/>
              </w:rPr>
              <w:t>F-49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-6085840</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-6085840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-6085840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-6085840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-6085840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-6085840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-6085840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-6085840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-6085840</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-6085840</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-6085840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-6085840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-4696460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-4696460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-4696460</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-4696460</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-4696460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-4696460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-4696460</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-4696460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-4696460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-4696460</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-4696460</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-4696460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-3702050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-3702050</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-3702050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-3702050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-3702050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-3702050</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-3702050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-3702050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-3702050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-3702050</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-3702050</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-3702050</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-2398395</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-2398395</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-2398395</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-2398395</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-2398395</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-2398395</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-2398395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-2398395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-2398395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-2398395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1" w:right="239" w:bottom="0" w:gutter="0" w:footer="0" w:header="0"/>
        </w:sectPr>
      </w:pPr>
    </w:p>
    <w:bookmarkStart w:id="184" w:name="page185"/>
    <w:bookmarkEnd w:id="184"/>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2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(4,410)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(4,424)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92"/>
              <w:spacing w:after="0"/>
              <w:rPr>
                <w:sz w:val="20"/>
                <w:szCs w:val="20"/>
                <w:color w:val="auto"/>
              </w:rPr>
            </w:pPr>
            <w:r>
              <w:rPr>
                <w:rFonts w:ascii="Arial" w:cs="Arial" w:eastAsia="Arial" w:hAnsi="Arial"/>
                <w:sz w:val="18"/>
                <w:szCs w:val="18"/>
                <w:color w:val="auto"/>
              </w:rPr>
              <w:t>F-50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-5640070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-5640070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-5640070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-5640070</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-5640070</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-5640070</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-5640070</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-5640070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-5640070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-5640070</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-5640070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-5640070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-4730750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-4730750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-4730750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-4730750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-4730750</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-4730750</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-4730750</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-4730750</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-4730750</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-4730750</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-4730750</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-4730750</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-2724150</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-2724150</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-2724150</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-2724150</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-2724150</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-2724150</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-2724150</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-2415540</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-2415540</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-2415540</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-2415540</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-1988820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-1988820</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-1988820</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-1988820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-1988820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-1988820</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-1988820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-1988820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-1988820</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-1988820</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-1988820</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-1988820</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-1079500</wp:posOffset>
            </wp:positionV>
            <wp:extent cx="1270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-1079500</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-1079500</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-1079500</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-1079500</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-1079500</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-1079500</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-1079500</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-1079500</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-1079500</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3" w:orient="portrait"/>
          <w:cols w:equalWidth="0" w:num="1">
            <w:col w:w="11420"/>
          </w:cols>
          <w:pgMar w:left="240" w:top="341" w:right="239" w:bottom="0" w:gutter="0" w:footer="0" w:header="0"/>
        </w:sectPr>
      </w:pPr>
    </w:p>
    <w:bookmarkStart w:id="185" w:name="page186"/>
    <w:bookmarkEnd w:id="185"/>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&amp;</w:t>
            </w:r>
          </w:p>
        </w:tc>
        <w:tc>
          <w:tcPr>
            <w:tcW w:w="5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5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9"/>
                <w:szCs w:val="19"/>
                <w:color w:val="auto"/>
              </w:rPr>
            </w:pPr>
          </w:p>
        </w:tc>
      </w:tr>
      <w:tr>
        <w:trPr>
          <w:trHeight w:val="242"/>
        </w:trPr>
        <w:tc>
          <w:tcPr>
            <w:tcW w:w="276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r>
      <w:tr>
        <w:trPr>
          <w:trHeight w:val="241"/>
        </w:trPr>
        <w:tc>
          <w:tcPr>
            <w:tcW w:w="276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5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6"/>
        </w:trPr>
        <w:tc>
          <w:tcPr>
            <w:tcW w:w="27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(19,501)</w:t>
            </w:r>
          </w:p>
        </w:tc>
      </w:tr>
      <w:tr>
        <w:trPr>
          <w:trHeight w:val="433"/>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 (Expense)</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2760" w:type="dxa"/>
            <w:vAlign w:val="bottom"/>
          </w:tcPr>
          <w:p>
            <w:pPr>
              <w:ind w:left="240"/>
              <w:spacing w:after="0"/>
              <w:rPr>
                <w:sz w:val="20"/>
                <w:szCs w:val="20"/>
                <w:color w:val="auto"/>
              </w:rPr>
            </w:pPr>
            <w:r>
              <w:rPr>
                <w:rFonts w:ascii="Arial" w:cs="Arial" w:eastAsia="Arial" w:hAnsi="Arial"/>
                <w:sz w:val="18"/>
                <w:szCs w:val="18"/>
                <w:color w:val="auto"/>
                <w:w w:val="92"/>
              </w:rPr>
              <w:t>Interest Expense, Net of Amounts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Capitalized</w:t>
            </w: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76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Net Loss Accumulated During</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Development Stage</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(17,167)</w:t>
            </w: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8"/>
                <w:szCs w:val="18"/>
                <w:color w:val="auto"/>
              </w:rPr>
              <w:t>F-51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-2844165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-2844165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-2844165</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-2844165</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-2844165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-2844165</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-2844165</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-2844165</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-2844165</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-2535555</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-2535555</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-2535555</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-2535555</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-2535555</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-2535555</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-2535555</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-2535555</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-1403350</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-1403350</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-1403350</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(4,410)</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80" w:type="dxa"/>
            <w:vAlign w:val="bottom"/>
          </w:tcPr>
          <w:p>
            <w:pPr>
              <w:spacing w:after="0"/>
              <w:rPr>
                <w:sz w:val="12"/>
                <w:szCs w:val="12"/>
                <w:color w:val="auto"/>
              </w:rPr>
            </w:pP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Incidental Operations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1,971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Restricted Cash</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(1,788)</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Inventories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 / (Used in) Operating Activities</w:t>
            </w: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Acquisition of Airplane</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(2,899)</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Due from Related Parties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(29,646)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(1,566)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Activities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(32,537)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(1,576)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Equity Contributions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151,507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151,507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Principal Payments of Long-Term Debt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5430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-4293870</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-4293870</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-4293870</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-4293870</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-4293870</wp:posOffset>
            </wp:positionV>
            <wp:extent cx="1270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-4293870</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-4293870</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-4293870</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-4293870</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-4293870</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-4293870</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-4293870</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-2338070</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-2338070</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-2338070</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-2338070</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-2338070</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-2338070</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-2338070</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-2338070</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-2338070</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-2338070</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-2338070</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-2338070</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-2089785</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-2089785</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-2089785</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-2089785</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-2089785</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-2089785</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-2089785</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-2089785</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-2089785</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-2089785</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-2089785</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-2089785</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-1069340</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-1069340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-1069340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-1069340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-1069340</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-1069340</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-1069340</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-1069340</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-1069340</wp:posOffset>
            </wp:positionV>
            <wp:extent cx="1270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-1069340</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-1069340</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-1069340</wp:posOffset>
            </wp:positionV>
            <wp:extent cx="1270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-725805</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-725805</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-725805</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-725805</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-725805</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-725805</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-725805</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-725805</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-725805</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-725805</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-725805</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-725805</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-14605</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2" w:orient="portrait"/>
          <w:cols w:equalWidth="0" w:num="1">
            <w:col w:w="11420"/>
          </w:cols>
          <w:pgMar w:left="240" w:top="131" w:right="239" w:bottom="0" w:gutter="0" w:footer="0" w:header="0"/>
        </w:sectPr>
      </w:pPr>
    </w:p>
    <w:p>
      <w:pPr>
        <w:spacing w:after="0" w:line="189" w:lineRule="exact"/>
        <w:rPr>
          <w:sz w:val="20"/>
          <w:szCs w:val="20"/>
          <w:color w:val="auto"/>
        </w:rPr>
      </w:pPr>
    </w:p>
    <w:p>
      <w:pPr>
        <w:ind w:left="460"/>
        <w:spacing w:after="0"/>
        <w:tabs>
          <w:tab w:leader="none" w:pos="4120" w:val="left"/>
          <w:tab w:leader="none" w:pos="6040" w:val="left"/>
          <w:tab w:leader="none" w:pos="7400" w:val="left"/>
          <w:tab w:leader="none" w:pos="9100" w:val="left"/>
          <w:tab w:leader="none" w:pos="10900" w:val="left"/>
        </w:tabs>
        <w:rPr>
          <w:sz w:val="20"/>
          <w:szCs w:val="20"/>
          <w:color w:val="auto"/>
        </w:rPr>
      </w:pPr>
      <w:r>
        <w:rPr>
          <w:rFonts w:ascii="Arial" w:cs="Arial" w:eastAsia="Arial" w:hAnsi="Arial"/>
          <w:sz w:val="14"/>
          <w:szCs w:val="14"/>
          <w:color w:val="auto"/>
        </w:rPr>
        <w:t>Net Cash Provided by Financing Activities</w:t>
      </w:r>
      <w:r>
        <w:rPr>
          <w:sz w:val="20"/>
          <w:szCs w:val="20"/>
          <w:color w:val="auto"/>
        </w:rPr>
        <w:tab/>
      </w:r>
      <w:r>
        <w:rPr>
          <w:rFonts w:ascii="Arial" w:cs="Arial" w:eastAsia="Arial" w:hAnsi="Arial"/>
          <w:sz w:val="14"/>
          <w:szCs w:val="14"/>
          <w:color w:val="auto"/>
        </w:rPr>
        <w:t>151,491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151,491</w:t>
      </w:r>
    </w:p>
    <w:p>
      <w:pPr>
        <w:sectPr>
          <w:pgSz w:w="11900" w:h="16872" w:orient="portrait"/>
          <w:cols w:equalWidth="0" w:num="1">
            <w:col w:w="11420"/>
          </w:cols>
          <w:pgMar w:left="240" w:top="131" w:right="239" w:bottom="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760" w:type="dxa"/>
            <w:vAlign w:val="bottom"/>
          </w:tcPr>
          <w:p>
            <w:pPr>
              <w:spacing w:after="0"/>
              <w:rPr>
                <w:sz w:val="14"/>
                <w:szCs w:val="14"/>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121,595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162,103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160,863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2118995</wp:posOffset>
            </wp:positionH>
            <wp:positionV relativeFrom="page">
              <wp:posOffset>88900</wp:posOffset>
            </wp:positionV>
            <wp:extent cx="5252720" cy="1905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5252720" cy="1905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-550545</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-550545</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-550545</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-550545</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-550545</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-550545</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-550545</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-550545</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-550545</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-550545</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-550545</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CASH FLOW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Entries</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(37,252)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(44,980)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Contributions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(24,884)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-6978015</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-6978015</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-6978015</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-6978015</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-6978015</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-6978015</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-6978015</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-6978015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-6978015</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-6978015</wp:posOffset>
            </wp:positionV>
            <wp:extent cx="1270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-6978015</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-6978015</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-3959225</wp:posOffset>
            </wp:positionV>
            <wp:extent cx="1270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-3959225</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-3959225</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-3959225</wp:posOffset>
            </wp:positionV>
            <wp:extent cx="1270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-3959225</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-3959225</wp:posOffset>
            </wp:positionV>
            <wp:extent cx="1270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-3959225</wp:posOffset>
            </wp:positionV>
            <wp:extent cx="1270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-3959225</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-3959225</wp:posOffset>
            </wp:positionV>
            <wp:extent cx="1270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-3959225</wp:posOffset>
            </wp:positionV>
            <wp:extent cx="1270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-3959225</wp:posOffset>
            </wp:positionV>
            <wp:extent cx="1270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-3959225</wp:posOffset>
            </wp:positionV>
            <wp:extent cx="1270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-3530600</wp:posOffset>
            </wp:positionV>
            <wp:extent cx="1270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-3530600</wp:posOffset>
            </wp:positionV>
            <wp:extent cx="1270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-3530600</wp:posOffset>
            </wp:positionV>
            <wp:extent cx="1270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-3530600</wp:posOffset>
            </wp:positionV>
            <wp:extent cx="1270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-3530600</wp:posOffset>
            </wp:positionV>
            <wp:extent cx="1270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-3530600</wp:posOffset>
            </wp:positionV>
            <wp:extent cx="1270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-3530600</wp:posOffset>
            </wp:positionV>
            <wp:extent cx="1270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-3530600</wp:posOffset>
            </wp:positionV>
            <wp:extent cx="1270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-3530600</wp:posOffset>
            </wp:positionV>
            <wp:extent cx="1270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-3530600</wp:posOffset>
            </wp:positionV>
            <wp:extent cx="1270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-3530600</wp:posOffset>
            </wp:positionV>
            <wp:extent cx="1270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-3530600</wp:posOffset>
            </wp:positionV>
            <wp:extent cx="1270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-2415540</wp:posOffset>
            </wp:positionV>
            <wp:extent cx="1270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-2415540</wp:posOffset>
            </wp:positionV>
            <wp:extent cx="1270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-2415540</wp:posOffset>
            </wp:positionV>
            <wp:extent cx="1270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-2415540</wp:posOffset>
            </wp:positionV>
            <wp:extent cx="1270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-2415540</wp:posOffset>
            </wp:positionV>
            <wp:extent cx="1270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-2415540</wp:posOffset>
            </wp:positionV>
            <wp:extent cx="1270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-2415540</wp:posOffset>
            </wp:positionV>
            <wp:extent cx="1270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-2415540</wp:posOffset>
            </wp:positionV>
            <wp:extent cx="1270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-2415540</wp:posOffset>
            </wp:positionV>
            <wp:extent cx="1270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-2415540</wp:posOffset>
            </wp:positionV>
            <wp:extent cx="1270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-2415540</wp:posOffset>
            </wp:positionV>
            <wp:extent cx="1270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-1986915</wp:posOffset>
            </wp:positionV>
            <wp:extent cx="1270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-1986915</wp:posOffset>
            </wp:positionV>
            <wp:extent cx="1270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-1986915</wp:posOffset>
            </wp:positionV>
            <wp:extent cx="1270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-1986915</wp:posOffset>
            </wp:positionV>
            <wp:extent cx="1270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-1986915</wp:posOffset>
            </wp:positionV>
            <wp:extent cx="1270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-1986915</wp:posOffset>
            </wp:positionV>
            <wp:extent cx="1270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-1986915</wp:posOffset>
            </wp:positionV>
            <wp:extent cx="1270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-1986915</wp:posOffset>
            </wp:positionV>
            <wp:extent cx="1270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-1986915</wp:posOffset>
            </wp:positionV>
            <wp:extent cx="1270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-1986915</wp:posOffset>
            </wp:positionV>
            <wp:extent cx="1270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-1986915</wp:posOffset>
            </wp:positionV>
            <wp:extent cx="1270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-1009015</wp:posOffset>
            </wp:positionV>
            <wp:extent cx="1270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-1009015</wp:posOffset>
            </wp:positionV>
            <wp:extent cx="1270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-1009015</wp:posOffset>
            </wp:positionV>
            <wp:extent cx="1270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-1009015</wp:posOffset>
            </wp:positionV>
            <wp:extent cx="1270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-1009015</wp:posOffset>
            </wp:positionV>
            <wp:extent cx="1270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-1009015</wp:posOffset>
            </wp:positionV>
            <wp:extent cx="1270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-1009015</wp:posOffset>
            </wp:positionV>
            <wp:extent cx="1270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-1009015</wp:posOffset>
            </wp:positionV>
            <wp:extent cx="1270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-1009015</wp:posOffset>
            </wp:positionV>
            <wp:extent cx="1270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-1009015</wp:posOffset>
            </wp:positionV>
            <wp:extent cx="1270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-1009015</wp:posOffset>
            </wp:positionV>
            <wp:extent cx="1270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-1009015</wp:posOffset>
            </wp:positionV>
            <wp:extent cx="1270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-580390</wp:posOffset>
            </wp:positionV>
            <wp:extent cx="1270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-580390</wp:posOffset>
            </wp:positionV>
            <wp:extent cx="1270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-580390</wp:posOffset>
            </wp:positionV>
            <wp:extent cx="1270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-580390</wp:posOffset>
            </wp:positionV>
            <wp:extent cx="1270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-580390</wp:posOffset>
            </wp:positionV>
            <wp:extent cx="1270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-580390</wp:posOffset>
            </wp:positionV>
            <wp:extent cx="1270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-580390</wp:posOffset>
            </wp:positionV>
            <wp:extent cx="1270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-580390</wp:posOffset>
            </wp:positionV>
            <wp:extent cx="1270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-580390</wp:posOffset>
            </wp:positionV>
            <wp:extent cx="1270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-580390</wp:posOffset>
            </wp:positionV>
            <wp:extent cx="1270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-580390</wp:posOffset>
            </wp:positionV>
            <wp:extent cx="1270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-580390</wp:posOffset>
            </wp:positionV>
            <wp:extent cx="1270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6" w:right="239" w:bottom="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39,590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(49)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(273)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F-53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to Pro Forma Unaudited Guarantor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 forma consolidating information differs from that presented in Note 11 to Valvino Lamore, LLC's financial statements for the following items:</w:t>
      </w:r>
    </w:p>
    <w:p>
      <w:pPr>
        <w:spacing w:after="0" w:line="262" w:lineRule="exact"/>
        <w:rPr>
          <w:sz w:val="20"/>
          <w:szCs w:val="20"/>
          <w:color w:val="auto"/>
        </w:rPr>
      </w:pPr>
    </w:p>
    <w:p>
      <w:pPr>
        <w:ind w:left="1080" w:right="4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elimination of ownership interest in subsidiaries that will be transferred to Wynn Resorts, Limited from other assets on Valvino Lamore, LLC's balance sheet along with related intercompany balances.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elimination of certain inventory currently held by Valvino Lamore, LLC's which will be transferred to Wynn Resorts, Limited.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elimination from the All Other non-guarantors columns for those subsidiaries transferred to Wynn Resorts since such subsidiaries will no longer be part of the Valvino Lamore, LLC consolidated group.</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adjustment to Valvino Lamore, LLC's contributed capital to reflect the transfers as a distribution of equity to Wynn Resorts, Limited.</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elimination of the minority interest amounts that relate to a partially owned subsidiary that will be transferred to Wynn Resorts, Limited and will no longer be part of the Valvino Lamore, LLC consolidated group.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 permitted. The information contained in this prospectus is accurate only as of the date of this prospectus, regardless of the time of delivery of this prospectus or of any sale of our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 of Wynn Resorts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the Second Mortgage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Intercreditor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Disbursement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 Federal Income Tax Considerations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-3652520</wp:posOffset>
            </wp:positionV>
            <wp:extent cx="1270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-3652520</wp:posOffset>
            </wp:positionV>
            <wp:extent cx="1270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LLC</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Capital Corp.</w:t>
      </w:r>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$365,000,000</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 Second Mortgage</w:t>
      </w:r>
    </w:p>
    <w:p>
      <w:pPr>
        <w:sectPr>
          <w:pgSz w:w="11900" w:h="16838" w:orient="portrait"/>
          <w:cols w:equalWidth="0" w:num="1">
            <w:col w:w="11420"/>
          </w:cols>
          <w:pgMar w:left="240" w:top="131" w:right="239" w:bottom="0" w:gutter="0" w:footer="0" w:header="0"/>
        </w:sectPr>
      </w:pPr>
    </w:p>
    <w:bookmarkStart w:id="188" w:name="page189"/>
    <w:bookmarkEnd w:id="188"/>
    <w:p>
      <w:pPr>
        <w:spacing w:after="0"/>
        <w:rPr>
          <w:sz w:val="20"/>
          <w:szCs w:val="20"/>
          <w:color w:val="auto"/>
        </w:rPr>
      </w:pPr>
      <w:r>
        <w:rPr>
          <w:rFonts w:ascii="Arial" w:cs="Arial" w:eastAsia="Arial" w:hAnsi="Arial"/>
          <w:sz w:val="24"/>
          <w:szCs w:val="24"/>
          <w:b w:val="1"/>
          <w:bCs w:val="1"/>
          <w:color w:val="auto"/>
        </w:rPr>
        <w:t>Notes due 2010</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Banc of America Securities LLC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Co-Lead Managers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Fleet Securities, Inc.</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Scotia Capital</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SG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Jefferies &amp; Company,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second mortgage notes being registered. All amounts shown are estimates except for the Securities and Exchange Commission registration fee and the National Securities Dealers, Inc. filing fee.</w:t>
      </w:r>
    </w:p>
    <w:p>
      <w:pPr>
        <w:spacing w:after="0" w:line="19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66675</wp:posOffset>
            </wp:positionV>
            <wp:extent cx="853440" cy="215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ectPr>
          <w:pgSz w:w="11900" w:h="16838" w:orient="portrait"/>
          <w:cols w:equalWidth="0" w:num="1">
            <w:col w:w="11340"/>
          </w:cols>
          <w:pgMar w:left="240" w:top="112" w:right="319" w:bottom="0" w:gutter="0" w:footer="0" w:header="0"/>
        </w:sectPr>
      </w:pPr>
    </w:p>
    <w:p>
      <w:pPr>
        <w:spacing w:after="0" w:line="235" w:lineRule="exact"/>
        <w:rPr>
          <w:sz w:val="20"/>
          <w:szCs w:val="20"/>
          <w:color w:val="auto"/>
        </w:rPr>
      </w:pPr>
    </w:p>
    <w:p>
      <w:pPr>
        <w:ind w:left="1960" w:right="1278"/>
        <w:spacing w:after="0" w:line="252" w:lineRule="auto"/>
        <w:rPr>
          <w:sz w:val="20"/>
          <w:szCs w:val="20"/>
          <w:color w:val="auto"/>
        </w:rPr>
      </w:pPr>
      <w:r>
        <w:rPr>
          <w:rFonts w:ascii="Arial" w:cs="Arial" w:eastAsia="Arial" w:hAnsi="Arial"/>
          <w:sz w:val="18"/>
          <w:szCs w:val="18"/>
          <w:color w:val="auto"/>
        </w:rPr>
        <w:t>Registration fee—Securities and Exchange Commission Filing fee—National Association of Securities Dealers, Inc. Printing and engraving expenses 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-546100</wp:posOffset>
            </wp:positionV>
            <wp:extent cx="4776470" cy="13716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4776470" cy="13716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-271780</wp:posOffset>
            </wp:positionV>
            <wp:extent cx="4776470" cy="13716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Blue sky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Miscellaneous</w:t>
      </w:r>
    </w:p>
    <w:p>
      <w:pPr>
        <w:spacing w:after="0" w:line="24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-125730</wp:posOffset>
            </wp:positionV>
            <wp:extent cx="4776470" cy="15430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47764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62" w:hanging="862"/>
        <w:spacing w:after="0"/>
        <w:tabs>
          <w:tab w:leader="none" w:pos="862" w:val="left"/>
        </w:tabs>
        <w:numPr>
          <w:ilvl w:val="0"/>
          <w:numId w:val="391"/>
        </w:numPr>
        <w:rPr>
          <w:rFonts w:ascii="Arial" w:cs="Arial" w:eastAsia="Arial" w:hAnsi="Arial"/>
          <w:sz w:val="15"/>
          <w:szCs w:val="15"/>
          <w:color w:val="auto"/>
        </w:rPr>
      </w:pPr>
      <w:r>
        <w:rPr>
          <w:rFonts w:ascii="Arial" w:cs="Arial" w:eastAsia="Arial" w:hAnsi="Arial"/>
          <w:sz w:val="15"/>
          <w:szCs w:val="15"/>
          <w:color w:val="auto"/>
        </w:rPr>
        <w:t>31,280</w:t>
      </w:r>
    </w:p>
    <w:p>
      <w:pPr>
        <w:spacing w:after="0" w:line="4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5"/>
          <w:szCs w:val="15"/>
          <w:color w:val="auto"/>
        </w:rPr>
        <w:t>30,500</w:t>
      </w:r>
    </w:p>
    <w:p>
      <w:pPr>
        <w:spacing w:after="0" w:line="44"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237,500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3,000,000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250,000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12,000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853440" cy="215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26" w:lineRule="exact"/>
        <w:rPr>
          <w:sz w:val="20"/>
          <w:szCs w:val="20"/>
          <w:color w:val="auto"/>
        </w:rPr>
      </w:pPr>
    </w:p>
    <w:p>
      <w:pPr>
        <w:ind w:left="642" w:hanging="642"/>
        <w:spacing w:after="0"/>
        <w:tabs>
          <w:tab w:leader="none" w:pos="642" w:val="left"/>
        </w:tabs>
        <w:numPr>
          <w:ilvl w:val="0"/>
          <w:numId w:val="392"/>
        </w:numPr>
        <w:rPr>
          <w:rFonts w:ascii="Arial" w:cs="Arial" w:eastAsia="Arial" w:hAnsi="Arial"/>
          <w:sz w:val="15"/>
          <w:szCs w:val="15"/>
          <w:color w:val="auto"/>
        </w:rPr>
      </w:pPr>
      <w:r>
        <w:rPr>
          <w:rFonts w:ascii="Arial" w:cs="Arial" w:eastAsia="Arial" w:hAnsi="Arial"/>
          <w:sz w:val="15"/>
          <w:szCs w:val="15"/>
          <w:color w:val="auto"/>
        </w:rPr>
        <w:t>3,821,280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853440" cy="3873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53440" cy="3873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418" w:space="720"/>
            <w:col w:w="3202"/>
          </w:cols>
          <w:pgMar w:left="240" w:top="112" w:right="319" w:bottom="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 be made a party to an action (other than an action brought by or on behalf of the company as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40"/>
          </w:cols>
          <w:pgMar w:left="240" w:top="112" w:right="319" w:bottom="0" w:gutter="0" w:footer="0" w:header="0"/>
          <w:type w:val="continuous"/>
        </w:sectPr>
      </w:pPr>
    </w:p>
    <w:bookmarkStart w:id="189" w:name="page190"/>
    <w:bookmarkEnd w:id="189"/>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80"/>
        <w:spacing w:after="0" w:line="309" w:lineRule="auto"/>
        <w:rPr>
          <w:sz w:val="20"/>
          <w:szCs w:val="20"/>
          <w:color w:val="auto"/>
        </w:rPr>
      </w:pPr>
      <w:r>
        <w:rPr>
          <w:rFonts w:ascii="Arial" w:cs="Arial" w:eastAsia="Arial" w:hAnsi="Arial"/>
          <w:sz w:val="15"/>
          <w:szCs w:val="15"/>
          <w:color w:val="auto"/>
        </w:rPr>
        <w:t>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6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Las Vegas' and operating agreement, attached as Exhibit 3.2 hereto, provide that it shall indemnify its members to the maximum extent permitted by Nevada law.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Registrants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359"/>
        <w:spacing w:after="0" w:line="332" w:lineRule="auto"/>
        <w:tabs>
          <w:tab w:leader="none" w:pos="117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314" w:lineRule="auto"/>
        <w:tabs>
          <w:tab w:leader="none" w:pos="1184" w:val="left"/>
        </w:tabs>
        <w:numPr>
          <w:ilvl w:val="0"/>
          <w:numId w:val="394"/>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400" w:firstLine="359"/>
        <w:spacing w:after="0" w:line="332" w:lineRule="auto"/>
        <w:tabs>
          <w:tab w:leader="none" w:pos="117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300" w:firstLine="359"/>
        <w:spacing w:after="0" w:line="268" w:lineRule="auto"/>
        <w:tabs>
          <w:tab w:leader="none" w:pos="124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May 2002, Wynn Las Vegas Capital Corp., referred to as Wynn Capital, issued one share to Wynn Las Vegas, LLC in connection with the formation of Wynn Capital.</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Each of the other guarantor Registrants has engaged in various formation issuances of limited liability company membership interests.</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Footnote</w:t>
            </w:r>
          </w:p>
        </w:tc>
      </w:tr>
      <w:tr>
        <w:trPr>
          <w:trHeight w:val="17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80" w:type="dxa"/>
            <w:vAlign w:val="bottom"/>
          </w:tcPr>
          <w:p>
            <w:pPr>
              <w:spacing w:after="0"/>
              <w:rPr>
                <w:sz w:val="15"/>
                <w:szCs w:val="15"/>
                <w:color w:val="auto"/>
              </w:rPr>
            </w:pPr>
          </w:p>
        </w:tc>
        <w:tc>
          <w:tcPr>
            <w:tcW w:w="712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r>
      <w:tr>
        <w:trPr>
          <w:trHeight w:val="105"/>
        </w:trPr>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-14605</wp:posOffset>
            </wp:positionV>
            <wp:extent cx="1270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3" w:orient="portrait"/>
          <w:cols w:equalWidth="0" w:num="1">
            <w:col w:w="11420"/>
          </w:cols>
          <w:pgMar w:left="240" w:top="726" w:right="239" w:bottom="0" w:gutter="0" w:footer="0" w:header="0"/>
        </w:sectPr>
      </w:pPr>
    </w:p>
    <w:p>
      <w:pPr>
        <w:spacing w:after="0" w:line="96" w:lineRule="exact"/>
        <w:rPr>
          <w:sz w:val="20"/>
          <w:szCs w:val="20"/>
          <w:color w:val="auto"/>
        </w:rPr>
      </w:pPr>
    </w:p>
    <w:p>
      <w:pPr>
        <w:ind w:left="520"/>
        <w:spacing w:after="0"/>
        <w:tabs>
          <w:tab w:leader="none" w:pos="900" w:val="left"/>
          <w:tab w:leader="none" w:pos="8800" w:val="left"/>
        </w:tabs>
        <w:rPr>
          <w:sz w:val="20"/>
          <w:szCs w:val="20"/>
          <w:color w:val="auto"/>
        </w:rPr>
      </w:pPr>
      <w:r>
        <w:rPr>
          <w:rFonts w:ascii="Arial" w:cs="Arial" w:eastAsia="Arial" w:hAnsi="Arial"/>
          <w:sz w:val="18"/>
          <w:szCs w:val="18"/>
          <w:color w:val="auto"/>
        </w:rPr>
        <w:t>1.1</w:t>
        <w:tab/>
        <w:t>Form of Underwriting Agreement.</w:t>
      </w:r>
      <w:r>
        <w:rPr>
          <w:sz w:val="20"/>
          <w:szCs w:val="20"/>
          <w:color w:val="auto"/>
        </w:rPr>
        <w:tab/>
      </w:r>
      <w:r>
        <w:rPr>
          <w:rFonts w:ascii="Arial" w:cs="Arial" w:eastAsia="Arial" w:hAnsi="Arial"/>
          <w:sz w:val="16"/>
          <w:szCs w:val="16"/>
          <w:color w:val="auto"/>
        </w:rPr>
        <w:t>(13)</w:t>
      </w:r>
    </w:p>
    <w:p>
      <w:pPr>
        <w:sectPr>
          <w:pgSz w:w="11900" w:h="16853" w:orient="portrait"/>
          <w:cols w:equalWidth="0" w:num="1">
            <w:col w:w="11420"/>
          </w:cols>
          <w:pgMar w:left="240" w:top="726" w:right="239"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Incorporation of the Wynn Las Vegas Capital Corp.</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Desert Inn Water Company,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Form of First Amended and Restated Operating Agreement Desert Inn Water Company,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Valvino Lamore, LLC, as amended.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432"/>
        </w:trPr>
        <w:tc>
          <w:tcPr>
            <w:tcW w:w="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II-3</w:t>
            </w:r>
          </w:p>
        </w:tc>
        <w:tc>
          <w:tcPr>
            <w:tcW w:w="300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gridSpan w:val="3"/>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2"/>
              </w:rPr>
              <w:t>Form of Second Amended and Restated Operating Agreement of Valvino Lamore, LLC, as amended.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Wynn Design &amp; Development,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Form of First Amended and Restated Operating Agreement of Wynn Design &amp; Development,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8"/>
              </w:rPr>
              <w:t>Form of Second Amended and Restated Operating Agreement of Wynn Resorts Holdings,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3.15</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3180" w:type="dxa"/>
            <w:vAlign w:val="bottom"/>
          </w:tcPr>
          <w:p>
            <w:pPr>
              <w:spacing w:after="0"/>
              <w:rPr>
                <w:sz w:val="18"/>
                <w:szCs w:val="18"/>
                <w:color w:val="auto"/>
              </w:rPr>
            </w:pP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Fourth Amended and Restated Bylaws of Wynn Resorts, Limited.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Second Amended and Restated Articles of Incorporation of Wynn Resorts, Limited.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740" w:type="dxa"/>
            <w:vAlign w:val="bottom"/>
          </w:tcPr>
          <w:p>
            <w:pPr>
              <w:ind w:left="100"/>
              <w:spacing w:after="0"/>
              <w:rPr>
                <w:sz w:val="20"/>
                <w:szCs w:val="20"/>
                <w:color w:val="auto"/>
              </w:rPr>
            </w:pPr>
            <w:r>
              <w:rPr>
                <w:rFonts w:ascii="Arial" w:cs="Arial" w:eastAsia="Arial" w:hAnsi="Arial"/>
                <w:sz w:val="18"/>
                <w:szCs w:val="18"/>
                <w:color w:val="auto"/>
              </w:rPr>
              <w:t>Form of Indenture, dated</w:t>
            </w:r>
          </w:p>
        </w:tc>
        <w:tc>
          <w:tcPr>
            <w:tcW w:w="1680" w:type="dxa"/>
            <w:vAlign w:val="bottom"/>
          </w:tcPr>
          <w:p>
            <w:pPr>
              <w:ind w:left="80"/>
              <w:spacing w:after="0"/>
              <w:rPr>
                <w:sz w:val="20"/>
                <w:szCs w:val="20"/>
                <w:color w:val="auto"/>
              </w:rPr>
            </w:pPr>
            <w:r>
              <w:rPr>
                <w:rFonts w:ascii="Arial" w:cs="Arial" w:eastAsia="Arial" w:hAnsi="Arial"/>
                <w:sz w:val="18"/>
                <w:szCs w:val="18"/>
                <w:color w:val="auto"/>
                <w:w w:val="93"/>
              </w:rPr>
              <w:t>, 2002, governing the</w:t>
            </w:r>
          </w:p>
        </w:tc>
        <w:tc>
          <w:tcPr>
            <w:tcW w:w="3180" w:type="dxa"/>
            <w:vAlign w:val="bottom"/>
          </w:tcPr>
          <w:p>
            <w:pPr>
              <w:ind w:left="60"/>
              <w:spacing w:after="0"/>
              <w:rPr>
                <w:sz w:val="20"/>
                <w:szCs w:val="20"/>
                <w:color w:val="auto"/>
              </w:rPr>
            </w:pPr>
            <w:r>
              <w:rPr>
                <w:rFonts w:ascii="Arial" w:cs="Arial" w:eastAsia="Arial" w:hAnsi="Arial"/>
                <w:sz w:val="18"/>
                <w:szCs w:val="18"/>
                <w:color w:val="auto"/>
              </w:rPr>
              <w:t>% Second Mortgage Notes due 2010</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by and among Wynn Las Vegas, LLC, Wynn Las Vegas Capital Corp., Desert Inn Water Company,</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LLC, Wynn Design &amp; Development, LLC, Wynn Resorts Holdings, LLC, Las Vegas Jet, LLC,</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6"/>
              </w:rPr>
              <w:t>World Travel, LLC, Palo, LLC, Valvino Lamore, LLC and Wells Fargo Bank, National Association,</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Form of Deed of Trust, Assignment of Rents and Leases, Security Agreement and Fixture Filing in</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w w:val="93"/>
              </w:rPr>
              <w:t>Form of Guarantee and Collateral Agreement, dated as of</w:t>
            </w:r>
          </w:p>
        </w:tc>
        <w:tc>
          <w:tcPr>
            <w:tcW w:w="3180" w:type="dxa"/>
            <w:vAlign w:val="bottom"/>
          </w:tcPr>
          <w:p>
            <w:pPr>
              <w:ind w:left="760"/>
              <w:spacing w:after="0"/>
              <w:rPr>
                <w:sz w:val="20"/>
                <w:szCs w:val="20"/>
                <w:color w:val="auto"/>
              </w:rPr>
            </w:pPr>
            <w:r>
              <w:rPr>
                <w:rFonts w:ascii="Arial" w:cs="Arial" w:eastAsia="Arial" w:hAnsi="Arial"/>
                <w:sz w:val="18"/>
                <w:szCs w:val="18"/>
                <w:color w:val="auto"/>
              </w:rPr>
              <w:t>, 2002, among Valvino</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Water Company, LLC, World Travel LLC, Las Vegas Jet, LLC, Wynn Las Vegas, LLC and the other</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6"/>
              </w:rPr>
              <w:t>Grantors from to time party thereto in favor of Wells Fargo Bank, National Association, as trustee.</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740" w:type="dxa"/>
            <w:vAlign w:val="bottom"/>
          </w:tcPr>
          <w:p>
            <w:pPr>
              <w:ind w:left="100"/>
              <w:spacing w:after="0"/>
              <w:rPr>
                <w:sz w:val="20"/>
                <w:szCs w:val="20"/>
                <w:color w:val="auto"/>
              </w:rPr>
            </w:pPr>
            <w:r>
              <w:rPr>
                <w:rFonts w:ascii="Arial" w:cs="Arial" w:eastAsia="Arial" w:hAnsi="Arial"/>
                <w:sz w:val="18"/>
                <w:szCs w:val="18"/>
                <w:color w:val="auto"/>
              </w:rPr>
              <w:t>Opinion of Irell &amp; Manella LLP.</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Asset and Land Purchase Agreement, dated as of April 28, 2000, by and among Starwood Hotels &amp;</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Resorts Worldwide, Inc., Sheraton Gaming Corporation, Sheraton Desert Inn Corporation, Valvino</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90"/>
              </w:rPr>
              <w:t>Lamore, LLC and Stephen A. Wynn.</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3"/>
              </w:rPr>
              <w:t>First Amendment to Asset and Land Purchase Agreement, dated as of May 26, 2000, by and among</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7"/>
              </w:rPr>
              <w:t>Starwood Hotels &amp; Resorts Worldwide, Inc., Sheraton Gaming Corporation, Sheraton Desert Inn</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w w:val="94"/>
              </w:rPr>
              <w:t>Corporation, Valvino Lamore, LLC and Stephen A. Wynn.</w:t>
            </w: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7"/>
              </w:rPr>
              <w:t>Second Amendment to Asset and Land Purchase Agreement, dated as of June 16, 2000, by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among Starwood Hotels &amp; Resorts Worldwide, Inc., Sheraton Gaming Corporation, Sheraton Desert</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Inn Corporation, Valvino Lamore, LLC, Stephen A. Wynn, Rambas Marketing Co., LLC, and Desert</w:t>
            </w:r>
          </w:p>
        </w:tc>
        <w:tc>
          <w:tcPr>
            <w:tcW w:w="300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II-4</w:t>
            </w:r>
          </w:p>
        </w:tc>
        <w:tc>
          <w:tcPr>
            <w:tcW w:w="300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gridSpan w:val="3"/>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2"/>
              </w:rPr>
              <w:t>Third Amendment to Asset and Land Purchase Agreement, dated as of June 22, 2000, by and among</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7"/>
              </w:rPr>
              <w:t>Starwood Hotels &amp; Resorts Worldwide, Inc., Sheraton Gaming Corporation, Sheraton Desert Inn</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Corporation, Valvino Lamore, LLC, Stephen A. Wynn, Rambas Marketing Co., LLC, and Desert Inn</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Water Company, LLC.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Fourth Amendment to Asset and Land Purchase Agreement, dated as of October 27, 2000, by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among Starwood Hotels &amp; Resorts Worldwide, Inc., Sheraton Gaming Corporation, Sheraton SGC</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6"/>
              </w:rPr>
              <w:t>Fifth Amendment to Asset and Land Purchase Agreement, dated as of November 3, 2000, by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among Starwood Hotels &amp; Resorts Worldwide, Inc., Sheraton Gaming Corporation, Sheraton SGC</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Agreement, dated January 25, 2001, by and between Wynn Resorts Holdings, LLC and Calitri</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Art Rental and Licensing Agreement, dated November 1, 2001, by and between Stephen A. Wynn</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96"/>
              </w:rPr>
              <w:t>and Wynn Resorts Holdings, LLC.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4"/>
              </w:rPr>
              <w:t>Stockholders Agreement, dated as of April 11, 2002, by and among Stephen A. Wynn, Baron Asset</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Fund and Aruze USA, Inc.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5"/>
              </w:rPr>
              <w:t>Agreement for Guaranteed Maximum Price Construction Services between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00" w:type="dxa"/>
            <w:vAlign w:val="bottom"/>
            <w:gridSpan w:val="3"/>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Construction Company, Inc.</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740" w:type="dxa"/>
            <w:vAlign w:val="bottom"/>
          </w:tcPr>
          <w:p>
            <w:pPr>
              <w:ind w:left="100"/>
              <w:spacing w:after="0"/>
              <w:rPr>
                <w:sz w:val="20"/>
                <w:szCs w:val="20"/>
                <w:color w:val="auto"/>
              </w:rPr>
            </w:pPr>
            <w:r>
              <w:rPr>
                <w:rFonts w:ascii="Arial" w:cs="Arial" w:eastAsia="Arial" w:hAnsi="Arial"/>
                <w:sz w:val="18"/>
                <w:szCs w:val="18"/>
                <w:color w:val="auto"/>
              </w:rPr>
              <w:t>2002 Stock Incentive Plan</w:t>
            </w:r>
          </w:p>
        </w:tc>
        <w:tc>
          <w:tcPr>
            <w:tcW w:w="1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2740" w:type="dxa"/>
            <w:vAlign w:val="bottom"/>
          </w:tcPr>
          <w:p>
            <w:pPr>
              <w:ind w:left="100"/>
              <w:spacing w:after="0"/>
              <w:rPr>
                <w:sz w:val="20"/>
                <w:szCs w:val="20"/>
                <w:color w:val="auto"/>
              </w:rPr>
            </w:pPr>
            <w:r>
              <w:rPr>
                <w:rFonts w:ascii="Arial" w:cs="Arial" w:eastAsia="Arial" w:hAnsi="Arial"/>
                <w:sz w:val="18"/>
                <w:szCs w:val="18"/>
                <w:color w:val="auto"/>
              </w:rPr>
              <w:t>Form of Indemnity Agreement</w:t>
            </w:r>
          </w:p>
        </w:tc>
        <w:tc>
          <w:tcPr>
            <w:tcW w:w="1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-9084310</wp:posOffset>
            </wp:positionV>
            <wp:extent cx="1270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-9084310</wp:posOffset>
            </wp:positionV>
            <wp:extent cx="1270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-3784600</wp:posOffset>
            </wp:positionV>
            <wp:extent cx="1270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Limited.</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N.A.</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Limited.</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1980" w:type="dxa"/>
            <w:vAlign w:val="bottom"/>
          </w:tcPr>
          <w:p>
            <w:pPr>
              <w:ind w:left="100"/>
              <w:spacing w:after="0"/>
              <w:rPr>
                <w:sz w:val="20"/>
                <w:szCs w:val="20"/>
                <w:color w:val="auto"/>
              </w:rPr>
            </w:pPr>
            <w:r>
              <w:rPr>
                <w:rFonts w:ascii="Arial" w:cs="Arial" w:eastAsia="Arial" w:hAnsi="Arial"/>
                <w:sz w:val="18"/>
                <w:szCs w:val="18"/>
                <w:color w:val="auto"/>
                <w:w w:val="99"/>
              </w:rPr>
              <w:t>Agreement, dated as of</w:t>
            </w:r>
          </w:p>
        </w:tc>
        <w:tc>
          <w:tcPr>
            <w:tcW w:w="5660" w:type="dxa"/>
            <w:vAlign w:val="bottom"/>
          </w:tcPr>
          <w:p>
            <w:pPr>
              <w:ind w:left="26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spacing w:after="0"/>
              <w:rPr>
                <w:sz w:val="19"/>
                <w:szCs w:val="19"/>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Maddox.</w:t>
            </w:r>
          </w:p>
        </w:tc>
        <w:tc>
          <w:tcPr>
            <w:tcW w:w="566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60" w:type="dxa"/>
            <w:vAlign w:val="bottom"/>
          </w:tcPr>
          <w:p>
            <w:pPr>
              <w:ind w:left="2780"/>
              <w:spacing w:after="0"/>
              <w:rPr>
                <w:sz w:val="20"/>
                <w:szCs w:val="20"/>
                <w:color w:val="auto"/>
              </w:rPr>
            </w:pPr>
            <w:r>
              <w:rPr>
                <w:rFonts w:ascii="Arial" w:cs="Arial" w:eastAsia="Arial" w:hAnsi="Arial"/>
                <w:sz w:val="18"/>
                <w:szCs w:val="18"/>
                <w:color w:val="auto"/>
              </w:rPr>
              <w:t>II-5</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Concession Contract for Operating Casino Gaming or Other Forms of Gaming in the Macao Special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Wynn Resorts (Macau) S.A. (English translation of Chinese version of Concession Agreement).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as of April 1, 2001, between Stephen A. Wynn and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LLC.</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Kenneth R. Wynn.</w:t>
            </w: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60" w:type="dxa"/>
            <w:vAlign w:val="bottom"/>
          </w:tcPr>
          <w:p>
            <w:pPr>
              <w:ind w:left="2780"/>
              <w:spacing w:after="0"/>
              <w:rPr>
                <w:sz w:val="20"/>
                <w:szCs w:val="20"/>
                <w:color w:val="auto"/>
              </w:rPr>
            </w:pPr>
            <w:r>
              <w:rPr>
                <w:rFonts w:ascii="Arial" w:cs="Arial" w:eastAsia="Arial" w:hAnsi="Arial"/>
                <w:sz w:val="18"/>
                <w:szCs w:val="18"/>
                <w:color w:val="auto"/>
              </w:rPr>
              <w:t>II-6</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Tax Indemnification Agreement, effective as of September 24, 2002, by and among Stephen 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Wynn, Aruze USA, Inc., Baron Asset Fund on behalf of the Baron Asset Fund Series, Baron Asset</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1985, Valvino Lamore, LLC and Wynn Resorts, Limited.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DeRuyter O. Butler.</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October 4th,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Ferrari North America, Inc.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Maserati North America, Inc.</w:t>
            </w:r>
          </w:p>
        </w:tc>
        <w:tc>
          <w:tcPr>
            <w:tcW w:w="2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-7849235</wp:posOffset>
            </wp:positionV>
            <wp:extent cx="1270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-7849235</wp:posOffset>
            </wp:positionV>
            <wp:extent cx="1270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Resorts, Limited and Valvino Lamore, 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Master Disbursement Agreement by and among Wynn Las Vegas, LLC,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Driving Range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Parking Facility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20" w:type="dxa"/>
            <w:vAlign w:val="bottom"/>
          </w:tcPr>
          <w:p>
            <w:pPr>
              <w:ind w:left="100"/>
              <w:spacing w:after="0"/>
              <w:rPr>
                <w:sz w:val="20"/>
                <w:szCs w:val="20"/>
                <w:color w:val="auto"/>
              </w:rPr>
            </w:pPr>
            <w:r>
              <w:rPr>
                <w:rFonts w:ascii="Arial" w:cs="Arial" w:eastAsia="Arial" w:hAnsi="Arial"/>
                <w:sz w:val="18"/>
                <w:szCs w:val="18"/>
                <w:color w:val="auto"/>
                <w:w w:val="93"/>
              </w:rPr>
              <w:t>Form of Management Agreement, made as of</w:t>
            </w:r>
          </w:p>
        </w:tc>
        <w:tc>
          <w:tcPr>
            <w:tcW w:w="4100" w:type="dxa"/>
            <w:vAlign w:val="bottom"/>
            <w:gridSpan w:val="2"/>
          </w:tcPr>
          <w:p>
            <w:pPr>
              <w:jc w:val="right"/>
              <w:ind w:right="512"/>
              <w:spacing w:after="0"/>
              <w:rPr>
                <w:sz w:val="20"/>
                <w:szCs w:val="20"/>
                <w:color w:val="auto"/>
              </w:rPr>
            </w:pPr>
            <w:r>
              <w:rPr>
                <w:rFonts w:ascii="Arial" w:cs="Arial" w:eastAsia="Arial" w:hAnsi="Arial"/>
                <w:sz w:val="18"/>
                <w:szCs w:val="18"/>
                <w:color w:val="auto"/>
                <w:w w:val="88"/>
              </w:rPr>
              <w:t>, 2002, by and among Wynn Las Vegas,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20" w:type="dxa"/>
            <w:vAlign w:val="bottom"/>
          </w:tcPr>
          <w:p>
            <w:pPr>
              <w:ind w:left="100"/>
              <w:spacing w:after="0"/>
              <w:rPr>
                <w:sz w:val="20"/>
                <w:szCs w:val="20"/>
                <w:color w:val="auto"/>
              </w:rPr>
            </w:pPr>
            <w:r>
              <w:rPr>
                <w:rFonts w:ascii="Arial" w:cs="Arial" w:eastAsia="Arial" w:hAnsi="Arial"/>
                <w:sz w:val="18"/>
                <w:szCs w:val="18"/>
                <w:color w:val="auto"/>
                <w:w w:val="90"/>
              </w:rPr>
              <w:t>Form of Credit Agreement, dated as of October</w:t>
            </w:r>
          </w:p>
        </w:tc>
        <w:tc>
          <w:tcPr>
            <w:tcW w:w="4100" w:type="dxa"/>
            <w:vAlign w:val="bottom"/>
            <w:gridSpan w:val="2"/>
          </w:tcPr>
          <w:p>
            <w:pPr>
              <w:jc w:val="right"/>
              <w:ind w:right="672"/>
              <w:spacing w:after="0"/>
              <w:rPr>
                <w:sz w:val="20"/>
                <w:szCs w:val="20"/>
                <w:color w:val="auto"/>
              </w:rPr>
            </w:pPr>
            <w:r>
              <w:rPr>
                <w:rFonts w:ascii="Arial" w:cs="Arial" w:eastAsia="Arial" w:hAnsi="Arial"/>
                <w:sz w:val="18"/>
                <w:szCs w:val="18"/>
                <w:color w:val="auto"/>
                <w:w w:val="91"/>
              </w:rPr>
              <w:t>, 2002, among Wynn Las Vegas, LLC and the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22"/>
        </w:trPr>
        <w:tc>
          <w:tcPr>
            <w:tcW w:w="8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88"/>
              </w:rPr>
              <w:t>several lenders from time to time parties thereto.</w:t>
            </w: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jc w:val="right"/>
              <w:ind w:right="2512"/>
              <w:spacing w:after="0"/>
              <w:rPr>
                <w:sz w:val="20"/>
                <w:szCs w:val="20"/>
                <w:color w:val="auto"/>
              </w:rPr>
            </w:pPr>
            <w:r>
              <w:rPr>
                <w:rFonts w:ascii="Arial" w:cs="Arial" w:eastAsia="Arial" w:hAnsi="Arial"/>
                <w:sz w:val="18"/>
                <w:szCs w:val="18"/>
                <w:color w:val="auto"/>
              </w:rPr>
              <w:t>II-7</w:t>
            </w:r>
          </w:p>
        </w:tc>
        <w:tc>
          <w:tcPr>
            <w:tcW w:w="298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gridSpan w:val="2"/>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Loan Agreement, dated as of October</w:t>
            </w:r>
          </w:p>
        </w:tc>
        <w:tc>
          <w:tcPr>
            <w:tcW w:w="41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 2002, by and among Wynn Las Vegas, LLC,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Fargo Bank Nevada, N.A. and the lenders listed therein.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3"/>
              </w:rPr>
              <w:t>Financing, Inc.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10.71</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right"/>
              <w:ind w:right="452"/>
              <w:spacing w:after="0"/>
              <w:rPr>
                <w:sz w:val="20"/>
                <w:szCs w:val="20"/>
                <w:color w:val="auto"/>
              </w:rPr>
            </w:pPr>
            <w:r>
              <w:rPr>
                <w:rFonts w:ascii="Arial" w:cs="Arial" w:eastAsia="Arial" w:hAnsi="Arial"/>
                <w:sz w:val="18"/>
                <w:szCs w:val="18"/>
                <w:color w:val="auto"/>
                <w:w w:val="94"/>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w w:val="90"/>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National Association. (included in Exhibit 10.63)</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in favor of Deutsche Bank Trust Company Americas, as the Bank Agent, and Wells Fargo Bank,</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Project Lenders Intercreditor Agreement by and among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6"/>
              </w:rPr>
              <w:t>Americas and Wells Fargo Bank,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1"/>
              </w:rPr>
              <w:t>Form of Guarantee and Collateral Agreement, dated as of</w:t>
            </w:r>
          </w:p>
        </w:tc>
        <w:tc>
          <w:tcPr>
            <w:tcW w:w="3280" w:type="dxa"/>
            <w:vAlign w:val="bottom"/>
          </w:tcPr>
          <w:p>
            <w:pPr>
              <w:jc w:val="right"/>
              <w:ind w:right="792"/>
              <w:spacing w:after="0"/>
              <w:rPr>
                <w:sz w:val="20"/>
                <w:szCs w:val="20"/>
                <w:color w:val="auto"/>
              </w:rPr>
            </w:pPr>
            <w:r>
              <w:rPr>
                <w:rFonts w:ascii="Arial" w:cs="Arial" w:eastAsia="Arial" w:hAnsi="Arial"/>
                <w:sz w:val="18"/>
                <w:szCs w:val="18"/>
                <w:color w:val="auto"/>
              </w:rPr>
              <w:t>, 2002 among Valvino</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Grantors from time to time party thereto in favor of Deutsche Bank Trust Company Americas, as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Parent Guaranty, dated as of October</w:t>
            </w:r>
          </w:p>
        </w:tc>
        <w:tc>
          <w:tcPr>
            <w:tcW w:w="4100" w:type="dxa"/>
            <w:vAlign w:val="bottom"/>
            <w:gridSpan w:val="2"/>
          </w:tcPr>
          <w:p>
            <w:pPr>
              <w:spacing w:after="0"/>
              <w:rPr>
                <w:sz w:val="20"/>
                <w:szCs w:val="20"/>
                <w:color w:val="auto"/>
              </w:rPr>
            </w:pPr>
            <w:r>
              <w:rPr>
                <w:rFonts w:ascii="Arial" w:cs="Arial" w:eastAsia="Arial" w:hAnsi="Arial"/>
                <w:sz w:val="18"/>
                <w:szCs w:val="18"/>
                <w:color w:val="auto"/>
              </w:rPr>
              <w:t>, 2002, by Wynn Resorts, Limited in favor of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Fargo Bank, National Association, as Trustee.</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10.82</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Parent Guaranty, dated as of October</w:t>
            </w:r>
          </w:p>
        </w:tc>
        <w:tc>
          <w:tcPr>
            <w:tcW w:w="4100" w:type="dxa"/>
            <w:vAlign w:val="bottom"/>
            <w:gridSpan w:val="2"/>
          </w:tcPr>
          <w:p>
            <w:pPr>
              <w:spacing w:after="0"/>
              <w:rPr>
                <w:sz w:val="20"/>
                <w:szCs w:val="20"/>
                <w:color w:val="auto"/>
              </w:rPr>
            </w:pPr>
            <w:r>
              <w:rPr>
                <w:rFonts w:ascii="Arial" w:cs="Arial" w:eastAsia="Arial" w:hAnsi="Arial"/>
                <w:sz w:val="18"/>
                <w:szCs w:val="18"/>
                <w:color w:val="auto"/>
              </w:rPr>
              <w:t>, 2002, by Wynn Resorts, Limited in favor of</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22"/>
        </w:trPr>
        <w:tc>
          <w:tcPr>
            <w:tcW w:w="820" w:type="dxa"/>
            <w:vAlign w:val="bottom"/>
          </w:tcPr>
          <w:p>
            <w:pPr>
              <w:spacing w:after="0"/>
              <w:rPr>
                <w:sz w:val="19"/>
                <w:szCs w:val="19"/>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Deutsche Bank Trust Company Americas, as administrative agent.</w:t>
            </w:r>
          </w:p>
        </w:tc>
        <w:tc>
          <w:tcPr>
            <w:tcW w:w="2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-5842635</wp:posOffset>
            </wp:positionV>
            <wp:extent cx="1270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-5842635</wp:posOffset>
            </wp:positionV>
            <wp:extent cx="1270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6" w:gutter="0" w:footer="0" w:header="0"/>
        </w:sectPr>
      </w:pPr>
    </w:p>
    <w:bookmarkStart w:id="193" w:name="page194"/>
    <w:bookmarkEnd w:id="193"/>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6520" w:type="dxa"/>
            <w:vAlign w:val="bottom"/>
          </w:tcPr>
          <w:p>
            <w:pPr>
              <w:ind w:left="100"/>
              <w:spacing w:after="0"/>
              <w:rPr>
                <w:sz w:val="20"/>
                <w:szCs w:val="20"/>
                <w:color w:val="auto"/>
              </w:rPr>
            </w:pPr>
            <w:r>
              <w:rPr>
                <w:rFonts w:ascii="Arial" w:cs="Arial" w:eastAsia="Arial" w:hAnsi="Arial"/>
                <w:sz w:val="18"/>
                <w:szCs w:val="18"/>
                <w:color w:val="auto"/>
              </w:rPr>
              <w:t>Form of Purchase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6520" w:type="dxa"/>
            <w:vAlign w:val="bottom"/>
          </w:tcPr>
          <w:p>
            <w:pPr>
              <w:ind w:left="100"/>
              <w:spacing w:after="0"/>
              <w:rPr>
                <w:sz w:val="20"/>
                <w:szCs w:val="20"/>
                <w:color w:val="auto"/>
              </w:rPr>
            </w:pPr>
            <w:r>
              <w:rPr>
                <w:rFonts w:ascii="Arial" w:cs="Arial" w:eastAsia="Arial" w:hAnsi="Arial"/>
                <w:sz w:val="18"/>
                <w:szCs w:val="18"/>
                <w:color w:val="auto"/>
              </w:rPr>
              <w:t>First Amendment to 2002 Stock Incentive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6520" w:type="dxa"/>
            <w:vAlign w:val="bottom"/>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652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6520" w:type="dxa"/>
            <w:vAlign w:val="bottom"/>
          </w:tcPr>
          <w:p>
            <w:pPr>
              <w:ind w:left="100"/>
              <w:spacing w:after="0"/>
              <w:rPr>
                <w:sz w:val="20"/>
                <w:szCs w:val="20"/>
                <w:color w:val="auto"/>
              </w:rPr>
            </w:pPr>
            <w:r>
              <w:rPr>
                <w:rFonts w:ascii="Arial" w:cs="Arial" w:eastAsia="Arial" w:hAnsi="Arial"/>
                <w:sz w:val="18"/>
                <w:szCs w:val="18"/>
                <w:color w:val="auto"/>
              </w:rPr>
              <w:t>Consent of Irell &amp; Manella LLP (included in Exhibit 5.1).</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652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6520" w:type="dxa"/>
            <w:vAlign w:val="bottom"/>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1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6520" w:type="dxa"/>
            <w:vAlign w:val="bottom"/>
          </w:tcPr>
          <w:p>
            <w:pPr>
              <w:ind w:left="100"/>
              <w:spacing w:after="0"/>
              <w:rPr>
                <w:sz w:val="20"/>
                <w:szCs w:val="20"/>
                <w:color w:val="auto"/>
              </w:rPr>
            </w:pPr>
            <w:r>
              <w:rPr>
                <w:rFonts w:ascii="Arial" w:cs="Arial" w:eastAsia="Arial" w:hAnsi="Arial"/>
                <w:sz w:val="18"/>
                <w:szCs w:val="18"/>
                <w:color w:val="auto"/>
              </w:rPr>
              <w:t>Powers of Attorney of officers and directors of Wynn Resorts, Limited</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652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95"/>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 (Registration No. 333-98369).</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5"/>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 (Registration No. 333-98369).</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5"/>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Registrants on October 21, 2002 (Registration No. 333-98369).</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5"/>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7" w:lineRule="exact"/>
        <w:rPr>
          <w:sz w:val="20"/>
          <w:szCs w:val="20"/>
          <w:color w:val="auto"/>
        </w:rPr>
      </w:pPr>
    </w:p>
    <w:p>
      <w:pPr>
        <w:ind w:left="540" w:hanging="532"/>
        <w:spacing w:after="0"/>
        <w:tabs>
          <w:tab w:leader="none" w:pos="540" w:val="left"/>
        </w:tabs>
        <w:numPr>
          <w:ilvl w:val="0"/>
          <w:numId w:val="396"/>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Registrants on October 22, 2002 (Registration No. 333-98369).</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6"/>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6 filed by the Registrants on October 23,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8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7 to the Form S-1 filed by the Registrants on October 24, 2002 (Registration No. 333-98369).</w:t>
      </w:r>
    </w:p>
    <w:p>
      <w:pPr>
        <w:spacing w:after="0" w:line="54"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9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10 to The Registration Statement on Form S-1 of Wynn Resorts, Limited filed October 25,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6"/>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9 to the Form S-1 filed by the Registrants on October 25,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6"/>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66675</wp:posOffset>
            </wp:positionV>
            <wp:extent cx="338455" cy="215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33845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00" w:firstLine="359"/>
        <w:spacing w:after="0" w:line="306" w:lineRule="auto"/>
        <w:tabs>
          <w:tab w:leader="none" w:pos="1184" w:val="left"/>
        </w:tabs>
        <w:numPr>
          <w:ilvl w:val="0"/>
          <w:numId w:val="39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370" w:lineRule="auto"/>
        <w:tabs>
          <w:tab w:leader="none" w:pos="118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w:t>
      </w:r>
    </w:p>
    <w:p>
      <w:pPr>
        <w:sectPr>
          <w:pgSz w:w="11900" w:h="16881" w:orient="portrait"/>
          <w:cols w:equalWidth="0" w:num="1">
            <w:col w:w="11400"/>
          </w:cols>
          <w:pgMar w:left="240" w:top="131" w:right="259" w:bottom="0" w:gutter="0" w:footer="0" w:header="0"/>
        </w:sectPr>
      </w:pPr>
    </w:p>
    <w:bookmarkStart w:id="194" w:name="page195"/>
    <w:bookmarkEnd w:id="194"/>
    <w:p>
      <w:pPr>
        <w:ind w:left="540"/>
        <w:spacing w:after="0"/>
        <w:rPr>
          <w:sz w:val="20"/>
          <w:szCs w:val="20"/>
          <w:color w:val="auto"/>
        </w:rPr>
      </w:pPr>
      <w:r>
        <w:rPr>
          <w:rFonts w:ascii="Arial" w:cs="Arial" w:eastAsia="Arial" w:hAnsi="Arial"/>
          <w:sz w:val="18"/>
          <w:szCs w:val="18"/>
          <w:color w:val="auto"/>
        </w:rPr>
        <w:t>the initial bona fide offering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29th day of October, 2002.</w:t>
      </w:r>
    </w:p>
    <w:p>
      <w:pPr>
        <w:spacing w:after="0" w:line="1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(Principal Executive Officer) and 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8"/>
              </w:rPr>
              <w:t>Stephen A. Wynn</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/s/ 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8"/>
              </w:rPr>
              <w:t>Ronald J. Kramer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92"/>
              </w:rPr>
              <w:t>Robert J. Miller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7"/>
              </w:rPr>
              <w:t>Elaine P. Wynn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29,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w w:val="89"/>
              </w:rPr>
              <w:t>Stanley R. Zax</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Pr>
          <w:p>
            <w:pPr>
              <w:ind w:left="1040"/>
              <w:spacing w:after="0"/>
              <w:rPr>
                <w:sz w:val="20"/>
                <w:szCs w:val="20"/>
                <w:color w:val="auto"/>
              </w:rPr>
            </w:pPr>
            <w:r>
              <w:rPr>
                <w:rFonts w:ascii="Arial" w:cs="Arial" w:eastAsia="Arial" w:hAnsi="Arial"/>
                <w:sz w:val="18"/>
                <w:szCs w:val="18"/>
                <w:color w:val="auto"/>
              </w:rPr>
              <w:t>/s/ 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6"/>
              </w:rPr>
              <w:t>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i w:val="1"/>
                <w:iCs w:val="1"/>
                <w:color w:val="auto"/>
                <w:w w:val="91"/>
              </w:rPr>
              <w:t>Attorney-in-fact</w:t>
            </w:r>
          </w:p>
        </w:tc>
        <w:tc>
          <w:tcPr>
            <w:tcW w:w="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ind w:left="90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-4730750</wp:posOffset>
            </wp:positionV>
            <wp:extent cx="1270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-4730750</wp:posOffset>
            </wp:positionV>
            <wp:extent cx="1270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-4164965</wp:posOffset>
            </wp:positionV>
            <wp:extent cx="1270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-3462020</wp:posOffset>
            </wp:positionV>
            <wp:extent cx="1270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-786130</wp:posOffset>
            </wp:positionV>
            <wp:extent cx="1270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Las Vegas, LLC and Wynn Capital Corp.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ectPr>
          <w:pgSz w:w="11900" w:h="16838" w:orient="portrait"/>
          <w:cols w:equalWidth="0" w:num="1">
            <w:col w:w="11420"/>
          </w:cols>
          <w:pgMar w:left="240" w:top="131" w:right="239" w:bottom="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left="312"/>
              <w:spacing w:after="0"/>
              <w:rPr>
                <w:sz w:val="20"/>
                <w:szCs w:val="20"/>
                <w:color w:val="auto"/>
              </w:rPr>
            </w:pPr>
            <w:r>
              <w:rPr>
                <w:rFonts w:ascii="Arial" w:cs="Arial" w:eastAsia="Arial" w:hAnsi="Arial"/>
                <w:sz w:val="14"/>
                <w:szCs w:val="14"/>
                <w:b w:val="1"/>
                <w:bCs w:val="1"/>
                <w:color w:val="auto"/>
                <w:w w:val="85"/>
              </w:rPr>
              <w:t>Balance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 at</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 of</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left="332"/>
              <w:spacing w:after="0"/>
              <w:rPr>
                <w:sz w:val="20"/>
                <w:szCs w:val="20"/>
                <w:color w:val="auto"/>
              </w:rPr>
            </w:pPr>
            <w:r>
              <w:rPr>
                <w:rFonts w:ascii="Arial" w:cs="Arial" w:eastAsia="Arial" w:hAnsi="Arial"/>
                <w:sz w:val="14"/>
                <w:szCs w:val="14"/>
                <w:b w:val="1"/>
                <w:bCs w:val="1"/>
                <w:color w:val="auto"/>
                <w:w w:val="87"/>
              </w:rPr>
              <w:t>Period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Allowance for Doubtful Accounts Receivable</w:t>
            </w:r>
          </w:p>
        </w:tc>
        <w:tc>
          <w:tcPr>
            <w:tcW w:w="1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Year ended December 31, 2001</w:t>
            </w:r>
          </w:p>
        </w:tc>
        <w:tc>
          <w:tcPr>
            <w:tcW w:w="1680" w:type="dxa"/>
            <w:vAlign w:val="bottom"/>
          </w:tcPr>
          <w:p>
            <w:pPr>
              <w:spacing w:after="0"/>
              <w:rPr>
                <w:sz w:val="18"/>
                <w:szCs w:val="18"/>
                <w:color w:val="auto"/>
              </w:rPr>
            </w:pPr>
          </w:p>
        </w:tc>
        <w:tc>
          <w:tcPr>
            <w:tcW w:w="2800" w:type="dxa"/>
            <w:vAlign w:val="bottom"/>
            <w:gridSpan w:val="3"/>
          </w:tcPr>
          <w:p>
            <w:pPr>
              <w:jc w:val="right"/>
              <w:ind w:right="103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1,295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16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gridSpan w:val="3"/>
          </w:tcPr>
          <w:p>
            <w:pPr>
              <w:jc w:val="right"/>
              <w:ind w:right="2132"/>
              <w:spacing w:after="0"/>
              <w:rPr>
                <w:sz w:val="20"/>
                <w:szCs w:val="20"/>
                <w:color w:val="auto"/>
              </w:rPr>
            </w:pPr>
            <w:r>
              <w:rPr>
                <w:rFonts w:ascii="Arial" w:cs="Arial" w:eastAsia="Arial" w:hAnsi="Arial"/>
                <w:sz w:val="18"/>
                <w:szCs w:val="18"/>
                <w:color w:val="auto"/>
              </w:rPr>
              <w:t>S-3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gridSpan w:val="4"/>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80" w:type="dxa"/>
            <w:vAlign w:val="bottom"/>
            <w:gridSpan w:val="4"/>
          </w:tcPr>
          <w:p>
            <w:pPr>
              <w:jc w:val="right"/>
              <w:ind w:right="1592"/>
              <w:spacing w:after="0"/>
              <w:rPr>
                <w:sz w:val="20"/>
                <w:szCs w:val="20"/>
                <w:color w:val="auto"/>
              </w:rPr>
            </w:pPr>
            <w:r>
              <w:rPr>
                <w:rFonts w:ascii="Arial" w:cs="Arial" w:eastAsia="Arial" w:hAnsi="Arial"/>
                <w:sz w:val="18"/>
                <w:szCs w:val="18"/>
                <w:b w:val="1"/>
                <w:bCs w:val="1"/>
                <w:color w:val="auto"/>
              </w:rPr>
              <w:t>EXHIBIT INDEX</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Footnote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80" w:type="dxa"/>
            <w:vAlign w:val="bottom"/>
          </w:tcPr>
          <w:p>
            <w:pPr>
              <w:ind w:left="58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8"/>
              </w:rPr>
              <w:t>Form of Underwriting Agreement.</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(13)</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8"/>
              </w:rPr>
              <w:t>First Amended and Restated Articles of Incorporation of the Wynn Las Vegas Capital Corp.</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9"/>
              </w:rPr>
              <w:t>First Amended and Restated Articles of Organization of Desert Inn Water Company,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5"/>
              </w:rPr>
              <w:t>Form of First Amended and Restated Operating Agreement Desert Inn Water Company,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7"/>
              </w:rPr>
              <w:t>First Amended and Restated Articles of Organization of Valvino Lamore, LLC, as amended.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8"/>
              </w:rPr>
              <w:t>Form of Second Amended and Restated Operating Agreement of Valvino Lamore, LLC, as amended.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7"/>
              </w:rPr>
              <w:t>First Amended and Restated Articles of Organization of Wynn Design &amp; Development,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Form of First Amended and Restated Operating Agreement of Wynn Design &amp; Development,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3"/>
              </w:rPr>
              <w:t>Form of Second Amended and Restated Operating Agreement of Wynn Resorts Holdings,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3.15</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3.16</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3.17</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3.18</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3.19</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Fourth Amended and Restated Bylaws of Wynn Resorts, Limited.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3.20</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Second Amended and Restated Articles of Incorporation of Wynn Resorts, Limited.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Form of Indenture, dated</w:t>
            </w:r>
          </w:p>
        </w:tc>
        <w:tc>
          <w:tcPr>
            <w:tcW w:w="1680" w:type="dxa"/>
            <w:vAlign w:val="bottom"/>
          </w:tcPr>
          <w:p>
            <w:pPr>
              <w:ind w:left="80"/>
              <w:spacing w:after="0"/>
              <w:rPr>
                <w:sz w:val="20"/>
                <w:szCs w:val="20"/>
                <w:color w:val="auto"/>
              </w:rPr>
            </w:pPr>
            <w:r>
              <w:rPr>
                <w:rFonts w:ascii="Arial" w:cs="Arial" w:eastAsia="Arial" w:hAnsi="Arial"/>
                <w:sz w:val="18"/>
                <w:szCs w:val="18"/>
                <w:color w:val="auto"/>
                <w:w w:val="93"/>
              </w:rPr>
              <w:t>, 2002, governing the</w:t>
            </w:r>
          </w:p>
        </w:tc>
        <w:tc>
          <w:tcPr>
            <w:tcW w:w="2800" w:type="dxa"/>
            <w:vAlign w:val="bottom"/>
            <w:gridSpan w:val="3"/>
          </w:tcPr>
          <w:p>
            <w:pPr>
              <w:jc w:val="right"/>
              <w:ind w:right="92"/>
              <w:spacing w:after="0"/>
              <w:rPr>
                <w:sz w:val="20"/>
                <w:szCs w:val="20"/>
                <w:color w:val="auto"/>
              </w:rPr>
            </w:pPr>
            <w:r>
              <w:rPr>
                <w:rFonts w:ascii="Arial" w:cs="Arial" w:eastAsia="Arial" w:hAnsi="Arial"/>
                <w:sz w:val="18"/>
                <w:szCs w:val="18"/>
                <w:color w:val="auto"/>
                <w:w w:val="88"/>
              </w:rPr>
              <w:t>% Second Mortgage Notes due 2010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by and among Wynn Las Vegas, LLC, Wynn Las Vegas Capital Corp., Desert Inn Water Company,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6"/>
              </w:rPr>
              <w:t>LLC, Wynn Design &amp; Development, LLC, Wynn Resorts Holdings, LLC, Las Vegas Jet, LLC,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World Travel, LLC, Palo, LLC, Valvino Lamore, LLC and Wells Fargo Bank, National Association,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Form of Deed of Trust, Assignment of Rents and Leases, Security Agreement and Fixture Filing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3"/>
              </w:rPr>
              <w:t>Form of Guarantee and Collateral Agreement, dated as of</w:t>
            </w:r>
          </w:p>
        </w:tc>
        <w:tc>
          <w:tcPr>
            <w:tcW w:w="2800" w:type="dxa"/>
            <w:vAlign w:val="bottom"/>
            <w:gridSpan w:val="3"/>
          </w:tcPr>
          <w:p>
            <w:pPr>
              <w:jc w:val="right"/>
              <w:ind w:right="372"/>
              <w:spacing w:after="0"/>
              <w:rPr>
                <w:sz w:val="20"/>
                <w:szCs w:val="20"/>
                <w:color w:val="auto"/>
              </w:rPr>
            </w:pPr>
            <w:r>
              <w:rPr>
                <w:rFonts w:ascii="Arial" w:cs="Arial" w:eastAsia="Arial" w:hAnsi="Arial"/>
                <w:sz w:val="18"/>
                <w:szCs w:val="18"/>
                <w:color w:val="auto"/>
              </w:rPr>
              <w:t>, 2002, among Valvino</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Lamore, LLC, Wynn Las Vegas Capital Corp., Palo, LLC, Wynn Resorts Holdings, LLC, Desert Inn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Water Company, LLC, World Travel LLC, Las Vegas Jet, LLC, Wynn Las Vegas, LLC and the other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Grantors from to time party thereto in favor of Wells Fargo Bank, National Association, as trustee.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2740" w:type="dxa"/>
            <w:vAlign w:val="bottom"/>
            <w:tcBorders>
              <w:bottom w:val="single" w:sz="8" w:color="808080"/>
            </w:tcBorders>
            <w:gridSpan w:val="2"/>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Opinion of Irell &amp; Manella LLP.</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0"/>
              </w:rPr>
              <w:t>Lamore, LLC and Stephen A. Wynn.</w:t>
            </w: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4"/>
              </w:rPr>
              <w:t>Corporation, Valvino Lamore, LLC and Stephen A. Wynn.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-7592060</wp:posOffset>
            </wp:positionV>
            <wp:extent cx="1270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-7592060</wp:posOffset>
            </wp:positionV>
            <wp:extent cx="1270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-7592060</wp:posOffset>
            </wp:positionV>
            <wp:extent cx="1270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-7592060</wp:posOffset>
            </wp:positionV>
            <wp:extent cx="1270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-7592060</wp:posOffset>
            </wp:positionV>
            <wp:extent cx="1270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-7592060</wp:posOffset>
            </wp:positionV>
            <wp:extent cx="1270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-6682740</wp:posOffset>
            </wp:positionV>
            <wp:extent cx="1270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-6682740</wp:posOffset>
            </wp:positionV>
            <wp:extent cx="1270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-5859780</wp:posOffset>
            </wp:positionV>
            <wp:extent cx="1270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-5859780</wp:posOffset>
            </wp:positionV>
            <wp:extent cx="1270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-5859780</wp:posOffset>
            </wp:positionV>
            <wp:extent cx="1270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-5859780</wp:posOffset>
            </wp:positionV>
            <wp:extent cx="1270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-5859780</wp:posOffset>
            </wp:positionV>
            <wp:extent cx="1270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-5859780</wp:posOffset>
            </wp:positionV>
            <wp:extent cx="1270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Inn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Third Amendment to Asset and Land Purchase Agreement, dated as of June 22, 2000, by and among</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Corporation, Valvino Lamore, LLC, Stephen A. Wynn, Rambas Marketing Co., LLC, and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Fourth Amendment to Asset and Land Purchase Agreement, dated as of October 27,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Fifth Amendment to Asset and Land Purchase Agreement, dated as of November 3,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dated January 25, 2001, by and between Wynn Resorts Holdings, LLC and Calitri</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Art Rental and Licensing Agreement, dated November 1, 2001, by and between Stephen A.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Stockholders Agreement, dated as of April 11, 2002, by and among Stephen A. Wynn, Baron Asset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Fund and Aruze USA,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Agreement for Guaranteed Maximum Price Construction Services between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500" w:type="dxa"/>
            <w:vAlign w:val="bottom"/>
          </w:tcPr>
          <w:p>
            <w:pPr>
              <w:spacing w:after="0"/>
              <w:rPr>
                <w:sz w:val="18"/>
                <w:szCs w:val="18"/>
                <w:color w:val="auto"/>
              </w:rPr>
            </w:pP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Form of Indemnity Agreement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Contribution Agreement, dated as of June 11, 2002 by and among Stephen A. Wynn, Aruze USA,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4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gridSpan w:val="2"/>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50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Concession Contract for Operating Casino Gaming or Other Forms of Gaming in the Macao Special</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9"/>
              </w:rPr>
              <w:t>Wynn Resorts (Macau) S.A. (English translation of Chinese version of Concession Agreement).</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Purchase Agreement, dated as of April 1, 2001, between Stephen A. Wynn and Valvino Lamore,</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Employment Agreement, dated as of July 7, 2000, by and between Wynn Design &amp; Development,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LLC and William Todd Nisbet.</w:t>
            </w:r>
          </w:p>
        </w:tc>
        <w:tc>
          <w:tcPr>
            <w:tcW w:w="294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6, 2002, by and between Wynn Resorts, Limited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-5431155</wp:posOffset>
            </wp:positionV>
            <wp:extent cx="1270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-5431155</wp:posOffset>
            </wp:positionV>
            <wp:extent cx="1270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2"/>
              </w:rPr>
              <w:t>Employment Agreement, dated as of September 9,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22"/>
        </w:trPr>
        <w:tc>
          <w:tcPr>
            <w:tcW w:w="820" w:type="dxa"/>
            <w:vAlign w:val="bottom"/>
          </w:tcPr>
          <w:p>
            <w:pPr>
              <w:spacing w:after="0"/>
              <w:rPr>
                <w:sz w:val="19"/>
                <w:szCs w:val="19"/>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20" w:type="dxa"/>
            <w:vAlign w:val="bottom"/>
            <w:tcBorders>
              <w:bottom w:val="single" w:sz="8" w:color="808080"/>
            </w:tcBorders>
            <w:gridSpan w:val="3"/>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Development, LLC and Kenneth R. Wynn.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Tax Indemnification Agreement, effective as of September 24, 2002, by and among Stephen A.</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Wynn, Aruze USA, Inc., Baron Asset Fund on behalf of the Baron Asset Fund Series, Baron Asset</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1985, Valvino Lamore, LLC and Wynn Resorts, Limited.</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9"/>
              </w:rPr>
              <w:t>Development, LLC and DeRuyter O. Butler.</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Employment Agreement, dated as of October 4th,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LLC and Ferrari North 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LLC and Maserati North 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Resorts, Limited and Valvino Lamore, LLC.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Master Disbursement Agreement by and among Wynn Las Vegas, LLC,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LLC.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Driving Range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Parking Facility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S.A.</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22"/>
        </w:trPr>
        <w:tc>
          <w:tcPr>
            <w:tcW w:w="820" w:type="dxa"/>
            <w:vAlign w:val="bottom"/>
          </w:tcPr>
          <w:p>
            <w:pPr>
              <w:spacing w:after="0"/>
              <w:rPr>
                <w:sz w:val="19"/>
                <w:szCs w:val="19"/>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gridSpan w:val="2"/>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60" w:type="dxa"/>
            <w:vAlign w:val="bottom"/>
          </w:tcPr>
          <w:p>
            <w:pPr>
              <w:ind w:left="100"/>
              <w:spacing w:after="0"/>
              <w:rPr>
                <w:sz w:val="20"/>
                <w:szCs w:val="20"/>
                <w:color w:val="auto"/>
              </w:rPr>
            </w:pPr>
            <w:r>
              <w:rPr>
                <w:rFonts w:ascii="Arial" w:cs="Arial" w:eastAsia="Arial" w:hAnsi="Arial"/>
                <w:sz w:val="18"/>
                <w:szCs w:val="18"/>
                <w:color w:val="auto"/>
                <w:w w:val="94"/>
              </w:rPr>
              <w:t>Form of Management Agreement, made as of</w:t>
            </w:r>
          </w:p>
        </w:tc>
        <w:tc>
          <w:tcPr>
            <w:tcW w:w="4060" w:type="dxa"/>
            <w:vAlign w:val="bottom"/>
            <w:gridSpan w:val="2"/>
          </w:tcPr>
          <w:p>
            <w:pPr>
              <w:jc w:val="right"/>
              <w:ind w:right="512"/>
              <w:spacing w:after="0"/>
              <w:rPr>
                <w:sz w:val="20"/>
                <w:szCs w:val="20"/>
                <w:color w:val="auto"/>
              </w:rPr>
            </w:pPr>
            <w:r>
              <w:rPr>
                <w:rFonts w:ascii="Arial" w:cs="Arial" w:eastAsia="Arial" w:hAnsi="Arial"/>
                <w:sz w:val="18"/>
                <w:szCs w:val="18"/>
                <w:color w:val="auto"/>
                <w:w w:val="87"/>
              </w:rPr>
              <w:t>, 2002, by and among Wynn Las Vegas,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60" w:type="dxa"/>
            <w:vAlign w:val="bottom"/>
          </w:tcPr>
          <w:p>
            <w:pPr>
              <w:ind w:left="100"/>
              <w:spacing w:after="0"/>
              <w:rPr>
                <w:sz w:val="20"/>
                <w:szCs w:val="20"/>
                <w:color w:val="auto"/>
              </w:rPr>
            </w:pPr>
            <w:r>
              <w:rPr>
                <w:rFonts w:ascii="Arial" w:cs="Arial" w:eastAsia="Arial" w:hAnsi="Arial"/>
                <w:sz w:val="18"/>
                <w:szCs w:val="18"/>
                <w:color w:val="auto"/>
                <w:w w:val="91"/>
              </w:rPr>
              <w:t>Form of Credit Agreement, dated as of October</w:t>
            </w:r>
          </w:p>
        </w:tc>
        <w:tc>
          <w:tcPr>
            <w:tcW w:w="4060" w:type="dxa"/>
            <w:vAlign w:val="bottom"/>
            <w:gridSpan w:val="2"/>
          </w:tcPr>
          <w:p>
            <w:pPr>
              <w:jc w:val="right"/>
              <w:ind w:right="672"/>
              <w:spacing w:after="0"/>
              <w:rPr>
                <w:sz w:val="20"/>
                <w:szCs w:val="20"/>
                <w:color w:val="auto"/>
              </w:rPr>
            </w:pPr>
            <w:r>
              <w:rPr>
                <w:rFonts w:ascii="Arial" w:cs="Arial" w:eastAsia="Arial" w:hAnsi="Arial"/>
                <w:sz w:val="18"/>
                <w:szCs w:val="18"/>
                <w:color w:val="auto"/>
                <w:w w:val="90"/>
              </w:rPr>
              <w:t>, 2002, among Wynn Las Vegas, LLC and the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89"/>
              </w:rPr>
              <w:t>several lenders from time to time parties thereto.</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60" w:type="dxa"/>
            <w:vAlign w:val="bottom"/>
          </w:tcPr>
          <w:p>
            <w:pPr>
              <w:ind w:left="100"/>
              <w:spacing w:after="0"/>
              <w:rPr>
                <w:sz w:val="20"/>
                <w:szCs w:val="20"/>
                <w:color w:val="auto"/>
              </w:rPr>
            </w:pPr>
            <w:r>
              <w:rPr>
                <w:rFonts w:ascii="Arial" w:cs="Arial" w:eastAsia="Arial" w:hAnsi="Arial"/>
                <w:sz w:val="18"/>
                <w:szCs w:val="18"/>
                <w:color w:val="auto"/>
                <w:w w:val="93"/>
              </w:rPr>
              <w:t>Form of Loan Agreement, dated as of October</w:t>
            </w:r>
          </w:p>
        </w:tc>
        <w:tc>
          <w:tcPr>
            <w:tcW w:w="4060" w:type="dxa"/>
            <w:vAlign w:val="bottom"/>
            <w:gridSpan w:val="2"/>
          </w:tcPr>
          <w:p>
            <w:pPr>
              <w:jc w:val="right"/>
              <w:ind w:right="312"/>
              <w:spacing w:after="0"/>
              <w:rPr>
                <w:sz w:val="20"/>
                <w:szCs w:val="20"/>
                <w:color w:val="auto"/>
              </w:rPr>
            </w:pPr>
            <w:r>
              <w:rPr>
                <w:rFonts w:ascii="Arial" w:cs="Arial" w:eastAsia="Arial" w:hAnsi="Arial"/>
                <w:sz w:val="18"/>
                <w:szCs w:val="18"/>
                <w:color w:val="auto"/>
                <w:w w:val="88"/>
              </w:rPr>
              <w:t>, 2002, by and among Wynn Las Vegas, LLC,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Fargo Bank Nevada, N.A. and the lenders listed therein.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3"/>
              </w:rPr>
              <w:t>Financing, Inc.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10.71</w:t>
            </w:r>
          </w:p>
        </w:tc>
        <w:tc>
          <w:tcPr>
            <w:tcW w:w="356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right"/>
              <w:ind w:right="452"/>
              <w:spacing w:after="0"/>
              <w:rPr>
                <w:sz w:val="20"/>
                <w:szCs w:val="20"/>
                <w:color w:val="auto"/>
              </w:rPr>
            </w:pPr>
            <w:r>
              <w:rPr>
                <w:rFonts w:ascii="Arial" w:cs="Arial" w:eastAsia="Arial" w:hAnsi="Arial"/>
                <w:sz w:val="18"/>
                <w:szCs w:val="18"/>
                <w:color w:val="auto"/>
                <w:w w:val="94"/>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w w:val="90"/>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0"/>
              </w:rPr>
              <w:t>National Association. (included in Exhibit 10.63)</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-9975850</wp:posOffset>
            </wp:positionV>
            <wp:extent cx="1270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-9975850</wp:posOffset>
            </wp:positionV>
            <wp:extent cx="1270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7"/>
              </w:rPr>
              <w:t>in favor of Deutsche Bank Trust Company Americas, as the Bank Agent, and Wells Fargo Bank,</w:t>
            </w:r>
          </w:p>
        </w:tc>
        <w:tc>
          <w:tcPr>
            <w:tcW w:w="30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348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10.78</w:t>
            </w: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7"/>
              </w:rPr>
              <w:t>Form of Project Lenders Intercreditor Agreement by and among Deutsche Bank Trust Company</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Americas and Wells Fargo Bank, National Association.</w:t>
            </w:r>
          </w:p>
        </w:tc>
        <w:tc>
          <w:tcPr>
            <w:tcW w:w="2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10.79</w:t>
            </w: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10.80</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Form of Guarantee and Collateral Agreement, dated as of</w:t>
            </w:r>
          </w:p>
        </w:tc>
        <w:tc>
          <w:tcPr>
            <w:tcW w:w="2460" w:type="dxa"/>
            <w:vAlign w:val="bottom"/>
          </w:tcPr>
          <w:p>
            <w:pPr>
              <w:ind w:left="60"/>
              <w:spacing w:after="0"/>
              <w:rPr>
                <w:sz w:val="20"/>
                <w:szCs w:val="20"/>
                <w:color w:val="auto"/>
              </w:rPr>
            </w:pPr>
            <w:r>
              <w:rPr>
                <w:rFonts w:ascii="Arial" w:cs="Arial" w:eastAsia="Arial" w:hAnsi="Arial"/>
                <w:sz w:val="18"/>
                <w:szCs w:val="18"/>
                <w:color w:val="auto"/>
              </w:rPr>
              <w:t>, 2002 among Valvino</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30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30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gridSpan w:val="3"/>
          </w:tcPr>
          <w:p>
            <w:pPr>
              <w:ind w:left="100"/>
              <w:spacing w:after="0"/>
              <w:rPr>
                <w:sz w:val="20"/>
                <w:szCs w:val="20"/>
                <w:color w:val="auto"/>
              </w:rPr>
            </w:pPr>
            <w:r>
              <w:rPr>
                <w:rFonts w:ascii="Arial" w:cs="Arial" w:eastAsia="Arial" w:hAnsi="Arial"/>
                <w:sz w:val="18"/>
                <w:szCs w:val="18"/>
                <w:color w:val="auto"/>
                <w:w w:val="97"/>
              </w:rPr>
              <w:t>Grantors from time to time party thereto in favor of Deutsche Bank Trust Company Americas, as</w:t>
            </w:r>
          </w:p>
        </w:tc>
        <w:tc>
          <w:tcPr>
            <w:tcW w:w="302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1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gridSpan w:val="2"/>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3480" w:type="dxa"/>
            <w:vAlign w:val="bottom"/>
          </w:tcPr>
          <w:p>
            <w:pPr>
              <w:ind w:left="100"/>
              <w:spacing w:after="0"/>
              <w:rPr>
                <w:sz w:val="20"/>
                <w:szCs w:val="20"/>
                <w:color w:val="auto"/>
              </w:rPr>
            </w:pPr>
            <w:r>
              <w:rPr>
                <w:rFonts w:ascii="Arial" w:cs="Arial" w:eastAsia="Arial" w:hAnsi="Arial"/>
                <w:sz w:val="18"/>
                <w:szCs w:val="18"/>
                <w:color w:val="auto"/>
                <w:w w:val="91"/>
              </w:rPr>
              <w:t>Form of Parent Guaranty, dated as of October</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rPr>
              <w:t>, 2002, by Wynn Resorts, Limited in favor of Wells</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w w:val="91"/>
              </w:rPr>
              <w:t>Fargo Bank, National Association, as Trustee.</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3480" w:type="dxa"/>
            <w:vAlign w:val="bottom"/>
          </w:tcPr>
          <w:p>
            <w:pPr>
              <w:ind w:left="100"/>
              <w:spacing w:after="0"/>
              <w:rPr>
                <w:sz w:val="20"/>
                <w:szCs w:val="20"/>
                <w:color w:val="auto"/>
              </w:rPr>
            </w:pPr>
            <w:r>
              <w:rPr>
                <w:rFonts w:ascii="Arial" w:cs="Arial" w:eastAsia="Arial" w:hAnsi="Arial"/>
                <w:sz w:val="18"/>
                <w:szCs w:val="18"/>
                <w:color w:val="auto"/>
                <w:w w:val="91"/>
              </w:rPr>
              <w:t>Form of Parent Guaranty, dated as of October</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rPr>
              <w:t>, 2002, by Wynn Resorts, Limited in favor of</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4"/>
              </w:rPr>
              <w:t>Deutsche Bank Trust Company Americas, as administrative agent.</w:t>
            </w:r>
          </w:p>
        </w:tc>
        <w:tc>
          <w:tcPr>
            <w:tcW w:w="2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3480" w:type="dxa"/>
            <w:vAlign w:val="bottom"/>
          </w:tcPr>
          <w:p>
            <w:pPr>
              <w:ind w:left="100"/>
              <w:spacing w:after="0"/>
              <w:rPr>
                <w:sz w:val="20"/>
                <w:szCs w:val="20"/>
                <w:color w:val="auto"/>
              </w:rPr>
            </w:pPr>
            <w:r>
              <w:rPr>
                <w:rFonts w:ascii="Arial" w:cs="Arial" w:eastAsia="Arial" w:hAnsi="Arial"/>
                <w:sz w:val="18"/>
                <w:szCs w:val="18"/>
                <w:color w:val="auto"/>
              </w:rPr>
              <w:t>Form of Purchase Agreement.</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3480" w:type="dxa"/>
            <w:vAlign w:val="bottom"/>
          </w:tcPr>
          <w:p>
            <w:pPr>
              <w:ind w:left="100"/>
              <w:spacing w:after="0"/>
              <w:rPr>
                <w:sz w:val="20"/>
                <w:szCs w:val="20"/>
                <w:color w:val="auto"/>
              </w:rPr>
            </w:pPr>
            <w:r>
              <w:rPr>
                <w:rFonts w:ascii="Arial" w:cs="Arial" w:eastAsia="Arial" w:hAnsi="Arial"/>
                <w:sz w:val="18"/>
                <w:szCs w:val="18"/>
                <w:color w:val="auto"/>
                <w:w w:val="89"/>
              </w:rPr>
              <w:t>First Amendment to 2002 Stock Incentive Plan.</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348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3480" w:type="dxa"/>
            <w:vAlign w:val="bottom"/>
          </w:tcPr>
          <w:p>
            <w:pPr>
              <w:ind w:left="100"/>
              <w:spacing w:after="0"/>
              <w:rPr>
                <w:sz w:val="20"/>
                <w:szCs w:val="20"/>
                <w:color w:val="auto"/>
              </w:rPr>
            </w:pPr>
            <w:r>
              <w:rPr>
                <w:rFonts w:ascii="Arial" w:cs="Arial" w:eastAsia="Arial" w:hAnsi="Arial"/>
                <w:sz w:val="18"/>
                <w:szCs w:val="18"/>
                <w:color w:val="auto"/>
                <w:w w:val="91"/>
              </w:rPr>
              <w:t>Subsidiaries of Wynn Las Vegas Capital Corp.</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348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348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3480" w:type="dxa"/>
            <w:vAlign w:val="bottom"/>
          </w:tcPr>
          <w:p>
            <w:pPr>
              <w:ind w:left="100"/>
              <w:spacing w:after="0"/>
              <w:rPr>
                <w:sz w:val="20"/>
                <w:szCs w:val="20"/>
                <w:color w:val="auto"/>
              </w:rPr>
            </w:pPr>
            <w:r>
              <w:rPr>
                <w:rFonts w:ascii="Arial" w:cs="Arial" w:eastAsia="Arial" w:hAnsi="Arial"/>
                <w:sz w:val="18"/>
                <w:szCs w:val="18"/>
                <w:color w:val="auto"/>
                <w:w w:val="93"/>
              </w:rPr>
              <w:t>Subsidiaries of Wynn Resorts Holdings,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348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348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Consent of Irell &amp; Manella LLP (included in Exhibit 5.1).</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348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0"/>
              </w:rPr>
              <w:t>Powers of Attorney of officers and directors of Wynn Resorts, Limited</w:t>
            </w:r>
          </w:p>
        </w:tc>
        <w:tc>
          <w:tcPr>
            <w:tcW w:w="2460" w:type="dxa"/>
            <w:vAlign w:val="bottom"/>
          </w:tcPr>
          <w:p>
            <w:pPr>
              <w:spacing w:after="0"/>
              <w:rPr>
                <w:sz w:val="18"/>
                <w:szCs w:val="18"/>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8"/>
              </w:rPr>
              <w:t>Form of T-1 Statement of Eligibility and Qualification of Trustee.</w:t>
            </w:r>
          </w:p>
        </w:tc>
        <w:tc>
          <w:tcPr>
            <w:tcW w:w="2460" w:type="dxa"/>
            <w:vAlign w:val="bottom"/>
          </w:tcPr>
          <w:p>
            <w:pPr>
              <w:spacing w:after="0"/>
              <w:rPr>
                <w:sz w:val="19"/>
                <w:szCs w:val="19"/>
                <w:color w:val="auto"/>
              </w:rPr>
            </w:pP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98"/>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 (Registration No. 333-98369).</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8"/>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 (Registration No. 333-98369).</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8"/>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244" w:lineRule="exact"/>
        <w:rPr>
          <w:rFonts w:ascii="Arial" w:cs="Arial" w:eastAsia="Arial" w:hAnsi="Arial"/>
          <w:sz w:val="23"/>
          <w:szCs w:val="23"/>
          <w:color w:val="auto"/>
          <w:vertAlign w:val="subscript"/>
        </w:rPr>
      </w:pPr>
    </w:p>
    <w:p>
      <w:pPr>
        <w:ind w:left="540" w:hanging="532"/>
        <w:spacing w:after="0"/>
        <w:tabs>
          <w:tab w:leader="none" w:pos="540" w:val="left"/>
        </w:tabs>
        <w:numPr>
          <w:ilvl w:val="0"/>
          <w:numId w:val="39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4 to the Form S-1 filed by the Registrants on October 21, 2002 (Registration No. 333-98369).</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398"/>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5 to the Form S-1 filed by the Registrants on October 22, 2002 (Registration No. 333-98369).</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8"/>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6 to the Form S-1 filed by the Registrants on October 23,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8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7 to the Form S-1 filed by the Registrants on October 24, 2002 (Registration No. 333-98369).</w:t>
      </w:r>
    </w:p>
    <w:p>
      <w:pPr>
        <w:spacing w:after="0" w:line="54"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10 to the Registration Statement on Form S-1 of Wynn Resorts, Limited filed October 25,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98"/>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9 to the Form S-1 filed by the Registrants on October 25, 2002 (Registration No. 333-98369).</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398"/>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-1801495</wp:posOffset>
            </wp:positionV>
            <wp:extent cx="7250430" cy="215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600" w:firstLine="348"/>
        <w:spacing w:after="0" w:line="305" w:lineRule="auto"/>
        <w:rPr>
          <w:sz w:val="20"/>
          <w:szCs w:val="20"/>
          <w:color w:val="auto"/>
        </w:rPr>
      </w:pPr>
      <w:r>
        <w:rPr>
          <w:rFonts w:ascii="Arial" w:cs="Arial" w:eastAsia="Arial" w:hAnsi="Arial"/>
          <w:sz w:val="15"/>
          <w:szCs w:val="15"/>
          <w:color w:val="auto"/>
        </w:rPr>
        <w:t>We consent to the use in this Registration Statement of Wynn Resorts, Limited on Form S-1 of our reports dated June 6, 2002 (October 2, 2002 as to Note 12) (which report expresses an unqualified opinion and includes an explanatory paragraph referring to the restatement of the financial statements at</w:t>
      </w:r>
    </w:p>
    <w:p>
      <w:pPr>
        <w:ind w:right="80"/>
        <w:spacing w:after="0" w:line="295" w:lineRule="auto"/>
        <w:rPr>
          <w:sz w:val="20"/>
          <w:szCs w:val="20"/>
          <w:color w:val="auto"/>
        </w:rPr>
      </w:pPr>
      <w:r>
        <w:rPr>
          <w:rFonts w:ascii="Arial" w:cs="Arial" w:eastAsia="Arial" w:hAnsi="Arial"/>
          <w:sz w:val="16"/>
          <w:szCs w:val="16"/>
          <w:color w:val="auto"/>
        </w:rPr>
        <w:t>Note 12), and August 21, 2002 (October 3, 2002 as to Note 6) (which report expresses an unqualified opinion and includes an explanatory paragraph referring to the restatement of the financial statements at Note 6),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0"/>
      </w:cols>
      <w:pgMar w:left="240" w:top="8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95F5FA"/>
    <w:multiLevelType w:val="hybridMultilevel"/>
    <w:lvl w:ilvl="0">
      <w:lvlJc w:val="left"/>
      <w:lvlText w:val="(%1)"/>
      <w:numFmt w:val="decimal"/>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
      <w:numFmt w:val="bullet"/>
      <w:start w:val="1"/>
    </w:lvl>
  </w:abstractNum>
  <w:abstractNum w:abstractNumId="3">
    <w:nsid w:val="4B793735"/>
    <w:multiLevelType w:val="hybridMultilevel"/>
    <w:lvl w:ilvl="0">
      <w:lvlJc w:val="left"/>
      <w:lvlText w:val="•"/>
      <w:numFmt w:val="bullet"/>
      <w:start w:val="1"/>
    </w:lvl>
  </w:abstractNum>
  <w:abstractNum w:abstractNumId="4">
    <w:nsid w:val="4A10B4E8"/>
    <w:multiLevelType w:val="hybridMultilevel"/>
    <w:lvl w:ilvl="0">
      <w:lvlJc w:val="left"/>
      <w:lvlText w:val="•"/>
      <w:numFmt w:val="bullet"/>
      <w:start w:val="1"/>
    </w:lvl>
    <w:lvl w:ilvl="1">
      <w:lvlJc w:val="left"/>
      <w:lvlText w:val="•"/>
      <w:numFmt w:val="bullet"/>
      <w:start w:val="1"/>
    </w:lvl>
  </w:abstractNum>
  <w:abstractNum w:abstractNumId="5">
    <w:nsid w:val="43D3BCD4"/>
    <w:multiLevelType w:val="hybridMultilevel"/>
    <w:lvl w:ilvl="0">
      <w:lvlJc w:val="left"/>
      <w:lvlText w:val="•"/>
      <w:numFmt w:val="bullet"/>
      <w:start w:val="1"/>
    </w:lvl>
    <w:lvl w:ilvl="1">
      <w:lvlJc w:val="left"/>
      <w:lvlText w:val="•"/>
      <w:numFmt w:val="bullet"/>
      <w:start w:val="1"/>
    </w:lvl>
  </w:abstractNum>
  <w:abstractNum w:abstractNumId="6">
    <w:nsid w:val="4C2A7166"/>
    <w:multiLevelType w:val="hybridMultilevel"/>
    <w:lvl w:ilvl="0">
      <w:lvlJc w:val="left"/>
      <w:lvlText w:val="•"/>
      <w:numFmt w:val="bullet"/>
      <w:start w:val="1"/>
    </w:lvl>
  </w:abstractNum>
  <w:abstractNum w:abstractNumId="7">
    <w:nsid w:val="2E534A82"/>
    <w:multiLevelType w:val="hybridMultilevel"/>
    <w:lvl w:ilvl="0">
      <w:lvlJc w:val="left"/>
      <w:lvlText w:val="•"/>
      <w:numFmt w:val="bullet"/>
      <w:start w:val="1"/>
    </w:lvl>
  </w:abstractNum>
  <w:abstractNum w:abstractNumId="8">
    <w:nsid w:val="26F2D364"/>
    <w:multiLevelType w:val="hybridMultilevel"/>
    <w:lvl w:ilvl="0">
      <w:lvlJc w:val="left"/>
      <w:lvlText w:val="•"/>
      <w:numFmt w:val="bullet"/>
      <w:start w:val="1"/>
    </w:lvl>
  </w:abstractNum>
  <w:abstractNum w:abstractNumId="9">
    <w:nsid w:val="71C1AF98"/>
    <w:multiLevelType w:val="hybridMultilevel"/>
    <w:lvl w:ilvl="0">
      <w:lvlJc w:val="left"/>
      <w:lvlText w:val="•"/>
      <w:numFmt w:val="bullet"/>
      <w:start w:val="1"/>
    </w:lvl>
  </w:abstractNum>
  <w:abstractNum w:abstractNumId="10">
    <w:nsid w:val="3D00B9D9"/>
    <w:multiLevelType w:val="hybridMultilevel"/>
    <w:lvl w:ilvl="0">
      <w:lvlJc w:val="left"/>
      <w:lvlText w:val="(%1)"/>
      <w:numFmt w:val="decimal"/>
      <w:start w:val="1"/>
    </w:lvl>
  </w:abstractNum>
  <w:abstractNum w:abstractNumId="11">
    <w:nsid w:val="15BCABA8"/>
    <w:multiLevelType w:val="hybridMultilevel"/>
    <w:lvl w:ilvl="0">
      <w:lvlJc w:val="left"/>
      <w:lvlText w:val="(%1)"/>
      <w:numFmt w:val="decimal"/>
      <w:start w:val="4"/>
    </w:lvl>
  </w:abstractNum>
  <w:abstractNum w:abstractNumId="12">
    <w:nsid w:val="4E0B9A87"/>
    <w:multiLevelType w:val="hybridMultilevel"/>
    <w:lvl w:ilvl="0">
      <w:lvlJc w:val="left"/>
      <w:lvlText w:val="•"/>
      <w:numFmt w:val="bullet"/>
      <w:start w:val="1"/>
    </w:lvl>
  </w:abstractNum>
  <w:abstractNum w:abstractNumId="13">
    <w:nsid w:val="434BAE75"/>
    <w:multiLevelType w:val="hybridMultilevel"/>
    <w:lvl w:ilvl="0">
      <w:lvlJc w:val="left"/>
      <w:lvlText w:val="•"/>
      <w:numFmt w:val="bullet"/>
      <w:start w:val="1"/>
    </w:lvl>
  </w:abstractNum>
  <w:abstractNum w:abstractNumId="14">
    <w:nsid w:val="4F38F265"/>
    <w:multiLevelType w:val="hybridMultilevel"/>
    <w:lvl w:ilvl="0">
      <w:lvlJc w:val="left"/>
      <w:lvlText w:val="•"/>
      <w:numFmt w:val="bullet"/>
      <w:start w:val="1"/>
    </w:lvl>
  </w:abstractNum>
  <w:abstractNum w:abstractNumId="15">
    <w:nsid w:val="4C502870"/>
    <w:multiLevelType w:val="hybridMultilevel"/>
    <w:lvl w:ilvl="0">
      <w:lvlJc w:val="left"/>
      <w:lvlText w:val="•"/>
      <w:numFmt w:val="bullet"/>
      <w:start w:val="1"/>
    </w:lvl>
  </w:abstractNum>
  <w:abstractNum w:abstractNumId="16">
    <w:nsid w:val="1DE8725A"/>
    <w:multiLevelType w:val="hybridMultilevel"/>
    <w:lvl w:ilvl="0">
      <w:lvlJc w:val="left"/>
      <w:lvlText w:val="•"/>
      <w:numFmt w:val="bullet"/>
      <w:start w:val="1"/>
    </w:lvl>
  </w:abstractNum>
  <w:abstractNum w:abstractNumId="17">
    <w:nsid w:val="6A37288A"/>
    <w:multiLevelType w:val="hybridMultilevel"/>
    <w:lvl w:ilvl="0">
      <w:lvlJc w:val="left"/>
      <w:lvlText w:val="•"/>
      <w:numFmt w:val="bullet"/>
      <w:start w:val="1"/>
    </w:lvl>
  </w:abstractNum>
  <w:abstractNum w:abstractNumId="18">
    <w:nsid w:val="8F8B73F"/>
    <w:multiLevelType w:val="hybridMultilevel"/>
    <w:lvl w:ilvl="0">
      <w:lvlJc w:val="left"/>
      <w:lvlText w:val="•"/>
      <w:numFmt w:val="bullet"/>
      <w:start w:val="1"/>
    </w:lvl>
  </w:abstractNum>
  <w:abstractNum w:abstractNumId="19">
    <w:nsid w:val="CA6B462"/>
    <w:multiLevelType w:val="hybridMultilevel"/>
    <w:lvl w:ilvl="0">
      <w:lvlJc w:val="left"/>
      <w:lvlText w:val="•"/>
      <w:numFmt w:val="bullet"/>
      <w:start w:val="1"/>
    </w:lvl>
  </w:abstractNum>
  <w:abstractNum w:abstractNumId="20">
    <w:nsid w:val="763CB680"/>
    <w:multiLevelType w:val="hybridMultilevel"/>
    <w:lvl w:ilvl="0">
      <w:lvlJc w:val="left"/>
      <w:lvlText w:val="•"/>
      <w:numFmt w:val="bullet"/>
      <w:start w:val="1"/>
    </w:lvl>
  </w:abstractNum>
  <w:abstractNum w:abstractNumId="21">
    <w:nsid w:val="15B71329"/>
    <w:multiLevelType w:val="hybridMultilevel"/>
    <w:lvl w:ilvl="0">
      <w:lvlJc w:val="left"/>
      <w:lvlText w:val="•"/>
      <w:numFmt w:val="bullet"/>
      <w:start w:val="1"/>
    </w:lvl>
  </w:abstractNum>
  <w:abstractNum w:abstractNumId="22">
    <w:nsid w:val="3DA97044"/>
    <w:multiLevelType w:val="hybridMultilevel"/>
    <w:lvl w:ilvl="0">
      <w:lvlJc w:val="left"/>
      <w:lvlText w:val="•"/>
      <w:numFmt w:val="bullet"/>
      <w:start w:val="1"/>
    </w:lvl>
    <w:lvl w:ilvl="1">
      <w:lvlJc w:val="left"/>
      <w:lvlText w:val="•"/>
      <w:numFmt w:val="bullet"/>
      <w:start w:val="1"/>
    </w:lvl>
  </w:abstractNum>
  <w:abstractNum w:abstractNumId="23">
    <w:nsid w:val="1CDCE2DE"/>
    <w:multiLevelType w:val="hybridMultilevel"/>
    <w:lvl w:ilvl="0">
      <w:lvlJc w:val="left"/>
      <w:lvlText w:val="•"/>
      <w:numFmt w:val="bullet"/>
      <w:start w:val="1"/>
    </w:lvl>
  </w:abstractNum>
  <w:abstractNum w:abstractNumId="24">
    <w:nsid w:val="69D3947C"/>
    <w:multiLevelType w:val="hybridMultilevel"/>
    <w:lvl w:ilvl="0">
      <w:lvlJc w:val="left"/>
      <w:lvlText w:val="•"/>
      <w:numFmt w:val="bullet"/>
      <w:start w:val="1"/>
    </w:lvl>
  </w:abstractNum>
  <w:abstractNum w:abstractNumId="25">
    <w:nsid w:val="2539DFA5"/>
    <w:multiLevelType w:val="hybridMultilevel"/>
    <w:lvl w:ilvl="0">
      <w:lvlJc w:val="left"/>
      <w:lvlText w:val="•"/>
      <w:numFmt w:val="bullet"/>
      <w:start w:val="1"/>
    </w:lvl>
  </w:abstractNum>
  <w:abstractNum w:abstractNumId="26">
    <w:nsid w:val="2DB88089"/>
    <w:multiLevelType w:val="hybridMultilevel"/>
    <w:lvl w:ilvl="0">
      <w:lvlJc w:val="left"/>
      <w:lvlText w:val="•"/>
      <w:numFmt w:val="bullet"/>
      <w:start w:val="1"/>
    </w:lvl>
  </w:abstractNum>
  <w:abstractNum w:abstractNumId="27">
    <w:nsid w:val="706B674E"/>
    <w:multiLevelType w:val="hybridMultilevel"/>
    <w:lvl w:ilvl="0">
      <w:lvlJc w:val="left"/>
      <w:lvlText w:val="•"/>
      <w:numFmt w:val="bullet"/>
      <w:start w:val="1"/>
    </w:lvl>
  </w:abstractNum>
  <w:abstractNum w:abstractNumId="28">
    <w:nsid w:val="2C106A57"/>
    <w:multiLevelType w:val="hybridMultilevel"/>
    <w:lvl w:ilvl="0">
      <w:lvlJc w:val="left"/>
      <w:lvlText w:val="•"/>
      <w:numFmt w:val="bullet"/>
      <w:start w:val="1"/>
    </w:lvl>
  </w:abstractNum>
  <w:abstractNum w:abstractNumId="29">
    <w:nsid w:val="684EED59"/>
    <w:multiLevelType w:val="hybridMultilevel"/>
    <w:lvl w:ilvl="0">
      <w:lvlJc w:val="left"/>
      <w:lvlText w:val="•"/>
      <w:numFmt w:val="bullet"/>
      <w:start w:val="1"/>
    </w:lvl>
  </w:abstractNum>
  <w:abstractNum w:abstractNumId="30">
    <w:nsid w:val="545EE5D3"/>
    <w:multiLevelType w:val="hybridMultilevel"/>
    <w:lvl w:ilvl="0">
      <w:lvlJc w:val="left"/>
      <w:lvlText w:val="•"/>
      <w:numFmt w:val="bullet"/>
      <w:start w:val="1"/>
    </w:lvl>
  </w:abstractNum>
  <w:abstractNum w:abstractNumId="31">
    <w:nsid w:val="4A66051"/>
    <w:multiLevelType w:val="hybridMultilevel"/>
    <w:lvl w:ilvl="0">
      <w:lvlJc w:val="left"/>
      <w:lvlText w:val="•"/>
      <w:numFmt w:val="bullet"/>
      <w:start w:val="1"/>
    </w:lvl>
  </w:abstractNum>
  <w:abstractNum w:abstractNumId="32">
    <w:nsid w:val="20F4BDAD"/>
    <w:multiLevelType w:val="hybridMultilevel"/>
    <w:lvl w:ilvl="0">
      <w:lvlJc w:val="left"/>
      <w:lvlText w:val="•"/>
      <w:numFmt w:val="bullet"/>
      <w:start w:val="1"/>
    </w:lvl>
  </w:abstractNum>
  <w:abstractNum w:abstractNumId="33">
    <w:nsid w:val="639DEFAC"/>
    <w:multiLevelType w:val="hybridMultilevel"/>
    <w:lvl w:ilvl="0">
      <w:lvlJc w:val="left"/>
      <w:lvlText w:val="•"/>
      <w:numFmt w:val="bullet"/>
      <w:start w:val="1"/>
    </w:lvl>
  </w:abstractNum>
  <w:abstractNum w:abstractNumId="34">
    <w:nsid w:val="501F9786"/>
    <w:multiLevelType w:val="hybridMultilevel"/>
    <w:lvl w:ilvl="0">
      <w:lvlJc w:val="left"/>
      <w:lvlText w:val="•"/>
      <w:numFmt w:val="bullet"/>
      <w:start w:val="1"/>
    </w:lvl>
    <w:lvl w:ilvl="1">
      <w:lvlJc w:val="left"/>
      <w:lvlText w:val="•"/>
      <w:numFmt w:val="bullet"/>
      <w:start w:val="1"/>
    </w:lvl>
  </w:abstractNum>
  <w:abstractNum w:abstractNumId="35">
    <w:nsid w:val="6B057295"/>
    <w:multiLevelType w:val="hybridMultilevel"/>
    <w:lvl w:ilvl="0">
      <w:lvlJc w:val="left"/>
      <w:lvlText w:val="•"/>
      <w:numFmt w:val="bullet"/>
      <w:start w:val="1"/>
    </w:lvl>
  </w:abstractNum>
  <w:abstractNum w:abstractNumId="36">
    <w:nsid w:val="2771AC80"/>
    <w:multiLevelType w:val="hybridMultilevel"/>
    <w:lvl w:ilvl="0">
      <w:lvlJc w:val="left"/>
      <w:lvlText w:val="•"/>
      <w:numFmt w:val="bullet"/>
      <w:start w:val="1"/>
    </w:lvl>
  </w:abstractNum>
  <w:abstractNum w:abstractNumId="37">
    <w:nsid w:val="1C4A08EC"/>
    <w:multiLevelType w:val="hybridMultilevel"/>
    <w:lvl w:ilvl="0">
      <w:lvlJc w:val="left"/>
      <w:lvlText w:val="•"/>
      <w:numFmt w:val="bullet"/>
      <w:start w:val="1"/>
    </w:lvl>
  </w:abstractNum>
  <w:abstractNum w:abstractNumId="38">
    <w:nsid w:val="1958BD17"/>
    <w:multiLevelType w:val="hybridMultilevel"/>
    <w:lvl w:ilvl="0">
      <w:lvlJc w:val="left"/>
      <w:lvlText w:val="•"/>
      <w:numFmt w:val="bullet"/>
      <w:start w:val="1"/>
    </w:lvl>
  </w:abstractNum>
  <w:abstractNum w:abstractNumId="39">
    <w:nsid w:val="4E647FE4"/>
    <w:multiLevelType w:val="hybridMultilevel"/>
    <w:lvl w:ilvl="0">
      <w:lvlJc w:val="left"/>
      <w:lvlText w:val="•"/>
      <w:numFmt w:val="bullet"/>
      <w:start w:val="1"/>
    </w:lvl>
  </w:abstractNum>
  <w:abstractNum w:abstractNumId="40">
    <w:nsid w:val="E0BB885"/>
    <w:multiLevelType w:val="hybridMultilevel"/>
    <w:lvl w:ilvl="0">
      <w:lvlJc w:val="left"/>
      <w:lvlText w:val="•"/>
      <w:numFmt w:val="bullet"/>
      <w:start w:val="1"/>
    </w:lvl>
  </w:abstractNum>
  <w:abstractNum w:abstractNumId="41">
    <w:nsid w:val="565976F1"/>
    <w:multiLevelType w:val="hybridMultilevel"/>
    <w:lvl w:ilvl="0">
      <w:lvlJc w:val="left"/>
      <w:lvlText w:val="•"/>
      <w:numFmt w:val="bullet"/>
      <w:start w:val="1"/>
    </w:lvl>
  </w:abstractNum>
  <w:abstractNum w:abstractNumId="42">
    <w:nsid w:val="64212B8C"/>
    <w:multiLevelType w:val="hybridMultilevel"/>
    <w:lvl w:ilvl="0">
      <w:lvlJc w:val="left"/>
      <w:lvlText w:val="•"/>
      <w:numFmt w:val="bullet"/>
      <w:start w:val="1"/>
    </w:lvl>
  </w:abstractNum>
  <w:abstractNum w:abstractNumId="43">
    <w:nsid w:val="5C17530C"/>
    <w:multiLevelType w:val="hybridMultilevel"/>
    <w:lvl w:ilvl="0">
      <w:lvlJc w:val="left"/>
      <w:lvlText w:val="(%1)"/>
      <w:numFmt w:val="decimal"/>
      <w:start w:val="1"/>
    </w:lvl>
  </w:abstractNum>
  <w:abstractNum w:abstractNumId="44">
    <w:nsid w:val="19A52566"/>
    <w:multiLevelType w:val="hybridMultilevel"/>
    <w:lvl w:ilvl="0">
      <w:lvlJc w:val="left"/>
      <w:lvlText w:val="(%1)"/>
      <w:numFmt w:val="decimal"/>
      <w:start w:val="1"/>
    </w:lvl>
  </w:abstractNum>
  <w:abstractNum w:abstractNumId="45">
    <w:nsid w:val="335A1DF1"/>
    <w:multiLevelType w:val="hybridMultilevel"/>
    <w:lvl w:ilvl="0">
      <w:lvlJc w:val="left"/>
      <w:lvlText w:val="(%1)"/>
      <w:numFmt w:val="decimal"/>
      <w:start w:val="3"/>
    </w:lvl>
  </w:abstractNum>
  <w:abstractNum w:abstractNumId="46">
    <w:nsid w:val="28677B7C"/>
    <w:multiLevelType w:val="hybridMultilevel"/>
    <w:lvl w:ilvl="0">
      <w:lvlJc w:val="left"/>
      <w:lvlText w:val="•"/>
      <w:numFmt w:val="bullet"/>
      <w:start w:val="1"/>
    </w:lvl>
  </w:abstractNum>
  <w:abstractNum w:abstractNumId="47">
    <w:nsid w:val="378D97C0"/>
    <w:multiLevelType w:val="hybridMultilevel"/>
    <w:lvl w:ilvl="0">
      <w:lvlJc w:val="left"/>
      <w:lvlText w:val="(%1)"/>
      <w:numFmt w:val="decimal"/>
      <w:start w:val="1"/>
    </w:lvl>
  </w:abstractNum>
  <w:abstractNum w:abstractNumId="48">
    <w:nsid w:val="1D91467C"/>
    <w:multiLevelType w:val="hybridMultilevel"/>
    <w:lvl w:ilvl="0">
      <w:lvlJc w:val="left"/>
      <w:lvlText w:val="(%1)"/>
      <w:numFmt w:val="decimal"/>
      <w:start w:val="1"/>
    </w:lvl>
  </w:abstractNum>
  <w:abstractNum w:abstractNumId="49">
    <w:nsid w:val="316032BB"/>
    <w:multiLevelType w:val="hybridMultilevel"/>
    <w:lvl w:ilvl="0">
      <w:lvlJc w:val="left"/>
      <w:lvlText w:val="•"/>
      <w:numFmt w:val="bullet"/>
      <w:start w:val="1"/>
    </w:lvl>
  </w:abstractNum>
  <w:abstractNum w:abstractNumId="50">
    <w:nsid w:val="44344C22"/>
    <w:multiLevelType w:val="hybridMultilevel"/>
    <w:lvl w:ilvl="0">
      <w:lvlJc w:val="left"/>
      <w:lvlText w:val="•"/>
      <w:numFmt w:val="bullet"/>
      <w:start w:val="1"/>
    </w:lvl>
  </w:abstractNum>
  <w:abstractNum w:abstractNumId="51">
    <w:nsid w:val="13CDFCFC"/>
    <w:multiLevelType w:val="hybridMultilevel"/>
    <w:lvl w:ilvl="0">
      <w:lvlJc w:val="left"/>
      <w:lvlText w:val="•"/>
      <w:numFmt w:val="bullet"/>
      <w:start w:val="1"/>
    </w:lvl>
  </w:abstractNum>
  <w:abstractNum w:abstractNumId="52">
    <w:nsid w:val="471745E4"/>
    <w:multiLevelType w:val="hybridMultilevel"/>
    <w:lvl w:ilvl="0">
      <w:lvlJc w:val="left"/>
      <w:lvlText w:val="(%1)"/>
      <w:numFmt w:val="decimal"/>
      <w:start w:val="1"/>
    </w:lvl>
  </w:abstractNum>
  <w:abstractNum w:abstractNumId="53">
    <w:nsid w:val="1DDBC66"/>
    <w:multiLevelType w:val="hybridMultilevel"/>
    <w:lvl w:ilvl="0">
      <w:lvlJc w:val="left"/>
      <w:lvlText w:val="•"/>
      <w:numFmt w:val="bullet"/>
      <w:start w:val="1"/>
    </w:lvl>
  </w:abstractNum>
  <w:abstractNum w:abstractNumId="54">
    <w:nsid w:val="30AADFDA"/>
    <w:multiLevelType w:val="hybridMultilevel"/>
    <w:lvl w:ilvl="0">
      <w:lvlJc w:val="left"/>
      <w:lvlText w:val="(%1)"/>
      <w:numFmt w:val="decimal"/>
      <w:start w:val="1"/>
    </w:lvl>
  </w:abstractNum>
  <w:abstractNum w:abstractNumId="55">
    <w:nsid w:val="30EADA61"/>
    <w:multiLevelType w:val="hybridMultilevel"/>
    <w:lvl w:ilvl="0">
      <w:lvlJc w:val="left"/>
      <w:lvlText w:val="•"/>
      <w:numFmt w:val="bullet"/>
      <w:start w:val="1"/>
    </w:lvl>
  </w:abstractNum>
  <w:abstractNum w:abstractNumId="56">
    <w:nsid w:val="27179C0B"/>
    <w:multiLevelType w:val="hybridMultilevel"/>
    <w:lvl w:ilvl="0">
      <w:lvlJc w:val="left"/>
      <w:lvlText w:val="•"/>
      <w:numFmt w:val="bullet"/>
      <w:start w:val="1"/>
    </w:lvl>
  </w:abstractNum>
  <w:abstractNum w:abstractNumId="57">
    <w:nsid w:val="5E636063"/>
    <w:multiLevelType w:val="hybridMultilevel"/>
    <w:lvl w:ilvl="0">
      <w:lvlJc w:val="left"/>
      <w:lvlText w:val="(%1)"/>
      <w:numFmt w:val="decimal"/>
      <w:start w:val="1"/>
    </w:lvl>
  </w:abstractNum>
  <w:abstractNum w:abstractNumId="58">
    <w:nsid w:val="215641AF"/>
    <w:multiLevelType w:val="hybridMultilevel"/>
    <w:lvl w:ilvl="0">
      <w:lvlJc w:val="left"/>
      <w:lvlText w:val="(%1)"/>
      <w:numFmt w:val="decimal"/>
      <w:start w:val="8"/>
    </w:lvl>
  </w:abstractNum>
  <w:abstractNum w:abstractNumId="59">
    <w:nsid w:val="53280662"/>
    <w:multiLevelType w:val="hybridMultilevel"/>
    <w:lvl w:ilvl="0">
      <w:lvlJc w:val="left"/>
      <w:lvlText w:val="•"/>
      <w:numFmt w:val="bullet"/>
      <w:start w:val="1"/>
    </w:lvl>
  </w:abstractNum>
  <w:abstractNum w:abstractNumId="60">
    <w:nsid w:val="46B24DBC"/>
    <w:multiLevelType w:val="hybridMultilevel"/>
    <w:lvl w:ilvl="0">
      <w:lvlJc w:val="left"/>
      <w:lvlText w:val="•"/>
      <w:numFmt w:val="bullet"/>
      <w:start w:val="1"/>
    </w:lvl>
  </w:abstractNum>
  <w:abstractNum w:abstractNumId="61">
    <w:nsid w:val="75B52783"/>
    <w:multiLevelType w:val="hybridMultilevel"/>
    <w:lvl w:ilvl="0">
      <w:lvlJc w:val="left"/>
      <w:lvlText w:val="•"/>
      <w:numFmt w:val="bullet"/>
      <w:start w:val="1"/>
    </w:lvl>
  </w:abstractNum>
  <w:abstractNum w:abstractNumId="62">
    <w:nsid w:val="57CE66B4"/>
    <w:multiLevelType w:val="hybridMultilevel"/>
    <w:lvl w:ilvl="0">
      <w:lvlJc w:val="left"/>
      <w:lvlText w:val="•"/>
      <w:numFmt w:val="bullet"/>
      <w:start w:val="1"/>
    </w:lvl>
  </w:abstractNum>
  <w:abstractNum w:abstractNumId="63">
    <w:nsid w:val="67A70B69"/>
    <w:multiLevelType w:val="hybridMultilevel"/>
    <w:lvl w:ilvl="0">
      <w:lvlJc w:val="left"/>
      <w:lvlText w:val="•"/>
      <w:numFmt w:val="bullet"/>
      <w:start w:val="1"/>
    </w:lvl>
  </w:abstractNum>
  <w:abstractNum w:abstractNumId="64">
    <w:nsid w:val="5953172F"/>
    <w:multiLevelType w:val="hybridMultilevel"/>
    <w:lvl w:ilvl="0">
      <w:lvlJc w:val="left"/>
      <w:lvlText w:val="•"/>
      <w:numFmt w:val="bullet"/>
      <w:start w:val="1"/>
    </w:lvl>
  </w:abstractNum>
  <w:abstractNum w:abstractNumId="65">
    <w:nsid w:val="27EDFE3A"/>
    <w:multiLevelType w:val="hybridMultilevel"/>
    <w:lvl w:ilvl="0">
      <w:lvlJc w:val="left"/>
      <w:lvlText w:val="•"/>
      <w:numFmt w:val="bullet"/>
      <w:start w:val="1"/>
    </w:lvl>
  </w:abstractNum>
  <w:abstractNum w:abstractNumId="66">
    <w:nsid w:val="52AC7DFF"/>
    <w:multiLevelType w:val="hybridMultilevel"/>
    <w:lvl w:ilvl="0">
      <w:lvlJc w:val="left"/>
      <w:lvlText w:val="•"/>
      <w:numFmt w:val="bullet"/>
      <w:start w:val="1"/>
    </w:lvl>
  </w:abstractNum>
  <w:abstractNum w:abstractNumId="67">
    <w:nsid w:val="C4C3AF"/>
    <w:multiLevelType w:val="hybridMultilevel"/>
    <w:lvl w:ilvl="0">
      <w:lvlJc w:val="left"/>
      <w:lvlText w:val="•"/>
      <w:numFmt w:val="bullet"/>
      <w:start w:val="1"/>
    </w:lvl>
  </w:abstractNum>
  <w:abstractNum w:abstractNumId="68">
    <w:nsid w:val="44380727"/>
    <w:multiLevelType w:val="hybridMultilevel"/>
    <w:lvl w:ilvl="0">
      <w:lvlJc w:val="left"/>
      <w:lvlText w:val="(%1)"/>
      <w:numFmt w:val="decimal"/>
      <w:start w:val="1"/>
    </w:lvl>
  </w:abstractNum>
  <w:abstractNum w:abstractNumId="69">
    <w:nsid w:val="6C053B16"/>
    <w:multiLevelType w:val="hybridMultilevel"/>
    <w:lvl w:ilvl="0">
      <w:lvlJc w:val="left"/>
      <w:lvlText w:val="•"/>
      <w:numFmt w:val="bullet"/>
      <w:start w:val="1"/>
    </w:lvl>
  </w:abstractNum>
  <w:abstractNum w:abstractNumId="70">
    <w:nsid w:val="4F294393"/>
    <w:multiLevelType w:val="hybridMultilevel"/>
    <w:lvl w:ilvl="0">
      <w:lvlJc w:val="left"/>
      <w:lvlText w:val="•"/>
      <w:numFmt w:val="bullet"/>
      <w:start w:val="1"/>
    </w:lvl>
  </w:abstractNum>
  <w:abstractNum w:abstractNumId="71">
    <w:nsid w:val="5243BFAC"/>
    <w:multiLevelType w:val="hybridMultilevel"/>
    <w:lvl w:ilvl="0">
      <w:lvlJc w:val="left"/>
      <w:lvlText w:val="•"/>
      <w:numFmt w:val="bullet"/>
      <w:start w:val="1"/>
    </w:lvl>
  </w:abstractNum>
  <w:abstractNum w:abstractNumId="72">
    <w:nsid w:val="425EB207"/>
    <w:multiLevelType w:val="hybridMultilevel"/>
    <w:lvl w:ilvl="0">
      <w:lvlJc w:val="left"/>
      <w:lvlText w:val="•"/>
      <w:numFmt w:val="bullet"/>
      <w:start w:val="1"/>
    </w:lvl>
  </w:abstractNum>
  <w:abstractNum w:abstractNumId="73">
    <w:nsid w:val="334A6F1F"/>
    <w:multiLevelType w:val="hybridMultilevel"/>
    <w:lvl w:ilvl="0">
      <w:lvlJc w:val="left"/>
      <w:lvlText w:val="•"/>
      <w:numFmt w:val="bullet"/>
      <w:start w:val="1"/>
    </w:lvl>
  </w:abstractNum>
  <w:abstractNum w:abstractNumId="74">
    <w:nsid w:val="2E5B12B8"/>
    <w:multiLevelType w:val="hybridMultilevel"/>
    <w:lvl w:ilvl="0">
      <w:lvlJc w:val="left"/>
      <w:lvlText w:val="•"/>
      <w:numFmt w:val="bullet"/>
      <w:start w:val="1"/>
    </w:lvl>
  </w:abstractNum>
  <w:abstractNum w:abstractNumId="75">
    <w:nsid w:val="5C03D76D"/>
    <w:multiLevelType w:val="hybridMultilevel"/>
    <w:lvl w:ilvl="0">
      <w:lvlJc w:val="left"/>
      <w:lvlText w:val="•"/>
      <w:numFmt w:val="bullet"/>
      <w:start w:val="1"/>
    </w:lvl>
  </w:abstractNum>
  <w:abstractNum w:abstractNumId="76">
    <w:nsid w:val="66A48D11"/>
    <w:multiLevelType w:val="hybridMultilevel"/>
    <w:lvl w:ilvl="0">
      <w:lvlJc w:val="left"/>
      <w:lvlText w:val="•"/>
      <w:numFmt w:val="bullet"/>
      <w:start w:val="1"/>
    </w:lvl>
  </w:abstractNum>
  <w:abstractNum w:abstractNumId="77">
    <w:nsid w:val="56C28E34"/>
    <w:multiLevelType w:val="hybridMultilevel"/>
    <w:lvl w:ilvl="0">
      <w:lvlJc w:val="left"/>
      <w:lvlText w:val="•"/>
      <w:numFmt w:val="bullet"/>
      <w:start w:val="1"/>
    </w:lvl>
  </w:abstractNum>
  <w:abstractNum w:abstractNumId="78">
    <w:nsid w:val="13916F2D"/>
    <w:multiLevelType w:val="hybridMultilevel"/>
    <w:lvl w:ilvl="0">
      <w:lvlJc w:val="left"/>
      <w:lvlText w:val="•"/>
      <w:numFmt w:val="bullet"/>
      <w:start w:val="1"/>
    </w:lvl>
  </w:abstractNum>
  <w:abstractNum w:abstractNumId="79">
    <w:nsid w:val="435D38D"/>
    <w:multiLevelType w:val="hybridMultilevel"/>
    <w:lvl w:ilvl="0">
      <w:lvlJc w:val="left"/>
      <w:lvlText w:val="•"/>
      <w:numFmt w:val="bullet"/>
      <w:start w:val="1"/>
    </w:lvl>
  </w:abstractNum>
  <w:abstractNum w:abstractNumId="80">
    <w:nsid w:val="822C0EF"/>
    <w:multiLevelType w:val="hybridMultilevel"/>
    <w:lvl w:ilvl="0">
      <w:lvlJc w:val="left"/>
      <w:lvlText w:val="•"/>
      <w:numFmt w:val="bullet"/>
      <w:start w:val="1"/>
    </w:lvl>
  </w:abstractNum>
  <w:abstractNum w:abstractNumId="81">
    <w:nsid w:val="57C5BB4F"/>
    <w:multiLevelType w:val="hybridMultilevel"/>
    <w:lvl w:ilvl="0">
      <w:lvlJc w:val="left"/>
      <w:lvlText w:val="•"/>
      <w:numFmt w:val="bullet"/>
      <w:start w:val="1"/>
    </w:lvl>
  </w:abstractNum>
  <w:abstractNum w:abstractNumId="82">
    <w:nsid w:val="1803D089"/>
    <w:multiLevelType w:val="hybridMultilevel"/>
    <w:lvl w:ilvl="0">
      <w:lvlJc w:val="left"/>
      <w:lvlText w:val="•"/>
      <w:numFmt w:val="bullet"/>
      <w:start w:val="1"/>
    </w:lvl>
  </w:abstractNum>
  <w:abstractNum w:abstractNumId="83">
    <w:nsid w:val="4F3A06D4"/>
    <w:multiLevelType w:val="hybridMultilevel"/>
    <w:lvl w:ilvl="0">
      <w:lvlJc w:val="left"/>
      <w:lvlText w:val="•"/>
      <w:numFmt w:val="bullet"/>
      <w:start w:val="1"/>
    </w:lvl>
  </w:abstractNum>
  <w:abstractNum w:abstractNumId="84">
    <w:nsid w:val="59A377B6"/>
    <w:multiLevelType w:val="hybridMultilevel"/>
    <w:lvl w:ilvl="0">
      <w:lvlJc w:val="left"/>
      <w:lvlText w:val="•"/>
      <w:numFmt w:val="bullet"/>
      <w:start w:val="1"/>
    </w:lvl>
  </w:abstractNum>
  <w:abstractNum w:abstractNumId="85">
    <w:nsid w:val="48AEB063"/>
    <w:multiLevelType w:val="hybridMultilevel"/>
    <w:lvl w:ilvl="0">
      <w:lvlJc w:val="left"/>
      <w:lvlText w:val="•"/>
      <w:numFmt w:val="bullet"/>
      <w:start w:val="1"/>
    </w:lvl>
  </w:abstractNum>
  <w:abstractNum w:abstractNumId="86">
    <w:nsid w:val="24E135"/>
    <w:multiLevelType w:val="hybridMultilevel"/>
    <w:lvl w:ilvl="0">
      <w:lvlJc w:val="left"/>
      <w:lvlText w:val="•"/>
      <w:numFmt w:val="bullet"/>
      <w:start w:val="1"/>
    </w:lvl>
  </w:abstractNum>
  <w:abstractNum w:abstractNumId="87">
    <w:nsid w:val="BB13C1"/>
    <w:multiLevelType w:val="hybridMultilevel"/>
    <w:lvl w:ilvl="0">
      <w:lvlJc w:val="left"/>
      <w:lvlText w:val="•"/>
      <w:numFmt w:val="bullet"/>
      <w:start w:val="1"/>
    </w:lvl>
  </w:abstractNum>
  <w:abstractNum w:abstractNumId="88">
    <w:nsid w:val="271210C7"/>
    <w:multiLevelType w:val="hybridMultilevel"/>
    <w:lvl w:ilvl="0">
      <w:lvlJc w:val="left"/>
      <w:lvlText w:val="•"/>
      <w:numFmt w:val="bullet"/>
      <w:start w:val="1"/>
    </w:lvl>
  </w:abstractNum>
  <w:abstractNum w:abstractNumId="89">
    <w:nsid w:val="217B22E4"/>
    <w:multiLevelType w:val="hybridMultilevel"/>
    <w:lvl w:ilvl="0">
      <w:lvlJc w:val="left"/>
      <w:lvlText w:val="•"/>
      <w:numFmt w:val="bullet"/>
      <w:start w:val="1"/>
    </w:lvl>
  </w:abstractNum>
  <w:abstractNum w:abstractNumId="90">
    <w:nsid w:val="53E31A24"/>
    <w:multiLevelType w:val="hybridMultilevel"/>
    <w:lvl w:ilvl="0">
      <w:lvlJc w:val="left"/>
      <w:lvlText w:val="•"/>
      <w:numFmt w:val="bullet"/>
      <w:start w:val="1"/>
    </w:lvl>
  </w:abstractNum>
  <w:abstractNum w:abstractNumId="91">
    <w:nsid w:val="6DC45E83"/>
    <w:multiLevelType w:val="hybridMultilevel"/>
    <w:lvl w:ilvl="0">
      <w:lvlJc w:val="left"/>
      <w:lvlText w:val="(%1)"/>
      <w:numFmt w:val="decimal"/>
      <w:start w:val="1"/>
    </w:lvl>
  </w:abstractNum>
  <w:abstractNum w:abstractNumId="92">
    <w:nsid w:val="17304A67"/>
    <w:multiLevelType w:val="hybridMultilevel"/>
    <w:lvl w:ilvl="0">
      <w:lvlJc w:val="left"/>
      <w:lvlText w:val="(%1)"/>
      <w:numFmt w:val="decimal"/>
      <w:start w:val="6"/>
    </w:lvl>
  </w:abstractNum>
  <w:abstractNum w:abstractNumId="93">
    <w:nsid w:val="2BB180D8"/>
    <w:multiLevelType w:val="hybridMultilevel"/>
    <w:lvl w:ilvl="0">
      <w:lvlJc w:val="left"/>
      <w:lvlText w:val="(%1)"/>
      <w:numFmt w:val="decimal"/>
      <w:start w:val="1"/>
    </w:lvl>
  </w:abstractNum>
  <w:abstractNum w:abstractNumId="94">
    <w:nsid w:val="556B69ED"/>
    <w:multiLevelType w:val="hybridMultilevel"/>
    <w:lvl w:ilvl="0">
      <w:lvlJc w:val="left"/>
      <w:lvlText w:val="•"/>
      <w:numFmt w:val="bullet"/>
      <w:start w:val="1"/>
    </w:lvl>
  </w:abstractNum>
  <w:abstractNum w:abstractNumId="95">
    <w:nsid w:val="70836196"/>
    <w:multiLevelType w:val="hybridMultilevel"/>
    <w:lvl w:ilvl="0">
      <w:lvlJc w:val="left"/>
      <w:lvlText w:val="•"/>
      <w:numFmt w:val="bullet"/>
      <w:start w:val="1"/>
    </w:lvl>
  </w:abstractNum>
  <w:abstractNum w:abstractNumId="96">
    <w:nsid w:val="539F7F12"/>
    <w:multiLevelType w:val="hybridMultilevel"/>
    <w:lvl w:ilvl="0">
      <w:lvlJc w:val="left"/>
      <w:lvlText w:val="•"/>
      <w:numFmt w:val="bullet"/>
      <w:start w:val="1"/>
    </w:lvl>
  </w:abstractNum>
  <w:abstractNum w:abstractNumId="97">
    <w:nsid w:val="2817E7EC"/>
    <w:multiLevelType w:val="hybridMultilevel"/>
    <w:lvl w:ilvl="0">
      <w:lvlJc w:val="left"/>
      <w:lvlText w:val="*"/>
      <w:numFmt w:val="bullet"/>
      <w:start w:val="1"/>
    </w:lvl>
  </w:abstractNum>
  <w:abstractNum w:abstractNumId="98">
    <w:nsid w:val="71482545"/>
    <w:multiLevelType w:val="hybridMultilevel"/>
    <w:lvl w:ilvl="0">
      <w:lvlJc w:val="left"/>
      <w:lvlText w:val="(%1)"/>
      <w:numFmt w:val="decimal"/>
      <w:start w:val="1"/>
    </w:lvl>
  </w:abstractNum>
  <w:abstractNum w:abstractNumId="99">
    <w:nsid w:val="17D78639"/>
    <w:multiLevelType w:val="hybridMultilevel"/>
    <w:lvl w:ilvl="0">
      <w:lvlJc w:val="left"/>
      <w:lvlText w:val="(%1)"/>
      <w:numFmt w:val="decimal"/>
      <w:start w:val="2"/>
    </w:lvl>
  </w:abstractNum>
  <w:abstractNum w:abstractNumId="100">
    <w:nsid w:val="141D2302"/>
    <w:multiLevelType w:val="hybridMultilevel"/>
    <w:lvl w:ilvl="0">
      <w:lvlJc w:val="left"/>
      <w:lvlText w:val="•"/>
      <w:numFmt w:val="bullet"/>
      <w:start w:val="1"/>
    </w:lvl>
  </w:abstractNum>
  <w:abstractNum w:abstractNumId="101">
    <w:nsid w:val="407168D8"/>
    <w:multiLevelType w:val="hybridMultilevel"/>
    <w:lvl w:ilvl="0">
      <w:lvlJc w:val="left"/>
      <w:lvlText w:val="•"/>
      <w:numFmt w:val="bullet"/>
      <w:start w:val="1"/>
    </w:lvl>
  </w:abstractNum>
  <w:abstractNum w:abstractNumId="102">
    <w:nsid w:val="6A1B45E5"/>
    <w:multiLevelType w:val="hybridMultilevel"/>
    <w:lvl w:ilvl="0">
      <w:lvlJc w:val="left"/>
      <w:lvlText w:val="•"/>
      <w:numFmt w:val="bullet"/>
      <w:start w:val="1"/>
    </w:lvl>
  </w:abstractNum>
  <w:abstractNum w:abstractNumId="103">
    <w:nsid w:val="567BD50A"/>
    <w:multiLevelType w:val="hybridMultilevel"/>
    <w:lvl w:ilvl="0">
      <w:lvlJc w:val="left"/>
      <w:lvlText w:val="•"/>
      <w:numFmt w:val="bullet"/>
      <w:start w:val="1"/>
    </w:lvl>
  </w:abstractNum>
  <w:abstractNum w:abstractNumId="104">
    <w:nsid w:val="73BBD7F8"/>
    <w:multiLevelType w:val="hybridMultilevel"/>
    <w:lvl w:ilvl="0">
      <w:lvlJc w:val="left"/>
      <w:lvlText w:val="•"/>
      <w:numFmt w:val="bullet"/>
      <w:start w:val="1"/>
    </w:lvl>
  </w:abstractNum>
  <w:abstractNum w:abstractNumId="105">
    <w:nsid w:val="1876589D"/>
    <w:multiLevelType w:val="hybridMultilevel"/>
    <w:lvl w:ilvl="0">
      <w:lvlJc w:val="left"/>
      <w:lvlText w:val="•"/>
      <w:numFmt w:val="bullet"/>
      <w:start w:val="1"/>
    </w:lvl>
  </w:abstractNum>
  <w:abstractNum w:abstractNumId="106">
    <w:nsid w:val="327FAC77"/>
    <w:multiLevelType w:val="hybridMultilevel"/>
    <w:lvl w:ilvl="0">
      <w:lvlJc w:val="left"/>
      <w:lvlText w:val="•"/>
      <w:numFmt w:val="bullet"/>
      <w:start w:val="1"/>
    </w:lvl>
  </w:abstractNum>
  <w:abstractNum w:abstractNumId="107">
    <w:nsid w:val="5A606509"/>
    <w:multiLevelType w:val="hybridMultilevel"/>
    <w:lvl w:ilvl="0">
      <w:lvlJc w:val="left"/>
      <w:lvlText w:val="•"/>
      <w:numFmt w:val="bullet"/>
      <w:start w:val="1"/>
    </w:lvl>
  </w:abstractNum>
  <w:abstractNum w:abstractNumId="108">
    <w:nsid w:val="6F38E6D1"/>
    <w:multiLevelType w:val="hybridMultilevel"/>
    <w:lvl w:ilvl="0">
      <w:lvlJc w:val="left"/>
      <w:lvlText w:val="•"/>
      <w:numFmt w:val="bullet"/>
      <w:start w:val="1"/>
    </w:lvl>
  </w:abstractNum>
  <w:abstractNum w:abstractNumId="109">
    <w:nsid w:val="46111BA5"/>
    <w:multiLevelType w:val="hybridMultilevel"/>
    <w:lvl w:ilvl="0">
      <w:lvlJc w:val="left"/>
      <w:lvlText w:val="•"/>
      <w:numFmt w:val="bullet"/>
      <w:start w:val="1"/>
    </w:lvl>
  </w:abstractNum>
  <w:abstractNum w:abstractNumId="110">
    <w:nsid w:val="5E963896"/>
    <w:multiLevelType w:val="hybridMultilevel"/>
    <w:lvl w:ilvl="0">
      <w:lvlJc w:val="left"/>
      <w:lvlText w:val="(%1)"/>
      <w:numFmt w:val="decimal"/>
      <w:start w:val="1"/>
    </w:lvl>
  </w:abstractNum>
  <w:abstractNum w:abstractNumId="111">
    <w:nsid w:val="775BA7C1"/>
    <w:multiLevelType w:val="hybridMultilevel"/>
    <w:lvl w:ilvl="0">
      <w:lvlJc w:val="left"/>
      <w:lvlText w:val="(%1)"/>
      <w:numFmt w:val="decimal"/>
      <w:start w:val="1"/>
    </w:lvl>
    <w:lvl w:ilvl="1">
      <w:lvlJc w:val="left"/>
      <w:lvlText w:val="(%2)"/>
      <w:numFmt w:val="lowerLetter"/>
      <w:start w:val="1"/>
    </w:lvl>
  </w:abstractNum>
  <w:abstractNum w:abstractNumId="112">
    <w:nsid w:val="1DD6D6F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3">
    <w:nsid w:val="769A091F"/>
    <w:multiLevelType w:val="hybridMultilevel"/>
    <w:lvl w:ilvl="0">
      <w:lvlJc w:val="left"/>
      <w:lvlText w:val="(%1)"/>
      <w:numFmt w:val="decimal"/>
      <w:start w:val="1"/>
    </w:lvl>
  </w:abstractNum>
  <w:abstractNum w:abstractNumId="114">
    <w:nsid w:val="4695AE95"/>
    <w:multiLevelType w:val="hybridMultilevel"/>
    <w:lvl w:ilvl="0">
      <w:lvlJc w:val="left"/>
      <w:lvlText w:val="(%1)"/>
      <w:numFmt w:val="decimal"/>
      <w:start w:val="1"/>
    </w:lvl>
  </w:abstractNum>
  <w:abstractNum w:abstractNumId="115">
    <w:nsid w:val="777A4EAA"/>
    <w:multiLevelType w:val="hybridMultilevel"/>
    <w:lvl w:ilvl="0">
      <w:lvlJc w:val="left"/>
      <w:lvlText w:val="•"/>
      <w:numFmt w:val="bullet"/>
      <w:start w:val="1"/>
    </w:lvl>
  </w:abstractNum>
  <w:abstractNum w:abstractNumId="116">
    <w:nsid w:val="3F48B982"/>
    <w:multiLevelType w:val="hybridMultilevel"/>
    <w:lvl w:ilvl="0">
      <w:lvlJc w:val="left"/>
      <w:lvlText w:val="•"/>
      <w:numFmt w:val="bullet"/>
      <w:start w:val="1"/>
    </w:lvl>
  </w:abstractNum>
  <w:abstractNum w:abstractNumId="117">
    <w:nsid w:val="46BA8FCA"/>
    <w:multiLevelType w:val="hybridMultilevel"/>
    <w:lvl w:ilvl="0">
      <w:lvlJc w:val="left"/>
      <w:lvlText w:val="•"/>
      <w:numFmt w:val="bullet"/>
      <w:start w:val="1"/>
    </w:lvl>
  </w:abstractNum>
  <w:abstractNum w:abstractNumId="118">
    <w:nsid w:val="7835626C"/>
    <w:multiLevelType w:val="hybridMultilevel"/>
    <w:lvl w:ilvl="0">
      <w:lvlJc w:val="left"/>
      <w:lvlText w:val="•"/>
      <w:numFmt w:val="bullet"/>
      <w:start w:val="1"/>
    </w:lvl>
  </w:abstractNum>
  <w:abstractNum w:abstractNumId="119">
    <w:nsid w:val="665ACA49"/>
    <w:multiLevelType w:val="hybridMultilevel"/>
    <w:lvl w:ilvl="0">
      <w:lvlJc w:val="left"/>
      <w:lvlText w:val="(%1)"/>
      <w:numFmt w:val="lowerLetter"/>
      <w:start w:val="1"/>
    </w:lvl>
    <w:lvl w:ilvl="1">
      <w:lvlJc w:val="left"/>
      <w:lvlText w:val="(%2)"/>
      <w:numFmt w:val="lowerRoman"/>
      <w:start w:val="1"/>
    </w:lvl>
  </w:abstractNum>
  <w:abstractNum w:abstractNumId="120">
    <w:nsid w:val="6835B2AE"/>
    <w:multiLevelType w:val="hybridMultilevel"/>
    <w:lvl w:ilvl="0">
      <w:lvlJc w:val="left"/>
      <w:lvlText w:val="(%1)"/>
      <w:numFmt w:val="lowerLetter"/>
      <w:start w:val="5"/>
    </w:lvl>
  </w:abstractNum>
  <w:abstractNum w:abstractNumId="121">
    <w:nsid w:val="4C187C90"/>
    <w:multiLevelType w:val="hybridMultilevel"/>
    <w:lvl w:ilvl="0">
      <w:lvlJc w:val="left"/>
      <w:lvlText w:val="(%1)"/>
      <w:numFmt w:val="lowerLetter"/>
      <w:start w:val="1"/>
    </w:lvl>
  </w:abstractNum>
  <w:abstractNum w:abstractNumId="122">
    <w:nsid w:val="541F28CD"/>
    <w:multiLevelType w:val="hybridMultilevel"/>
    <w:lvl w:ilvl="0">
      <w:lvlJc w:val="left"/>
      <w:lvlText w:val="(%1)"/>
      <w:numFmt w:val="lowerLetter"/>
      <w:start w:val="4"/>
    </w:lvl>
    <w:lvl w:ilvl="1">
      <w:lvlJc w:val="left"/>
      <w:lvlText w:val="(%2)"/>
      <w:numFmt w:val="lowerRoman"/>
      <w:start w:val="1"/>
    </w:lvl>
  </w:abstractNum>
  <w:abstractNum w:abstractNumId="123">
    <w:nsid w:val="7F65FD16"/>
    <w:multiLevelType w:val="hybridMultilevel"/>
    <w:lvl w:ilvl="0">
      <w:lvlJc w:val="left"/>
      <w:lvlText w:val="(%1)"/>
      <w:numFmt w:val="decimal"/>
      <w:start w:val="1"/>
    </w:lvl>
  </w:abstractNum>
  <w:abstractNum w:abstractNumId="124">
    <w:nsid w:val="77C9FD68"/>
    <w:multiLevelType w:val="hybridMultilevel"/>
    <w:lvl w:ilvl="0">
      <w:lvlJc w:val="left"/>
      <w:lvlText w:val="(%1)"/>
      <w:numFmt w:val="decimal"/>
      <w:start w:val="1"/>
    </w:lvl>
  </w:abstractNum>
  <w:abstractNum w:abstractNumId="125">
    <w:nsid w:val="298A92BA"/>
    <w:multiLevelType w:val="hybridMultilevel"/>
    <w:lvl w:ilvl="0">
      <w:lvlJc w:val="left"/>
      <w:lvlText w:val="(%1)"/>
      <w:numFmt w:val="lowerLetter"/>
      <w:start w:val="1"/>
    </w:lvl>
  </w:abstractNum>
  <w:abstractNum w:abstractNumId="126">
    <w:nsid w:val="6FE95EAC"/>
    <w:multiLevelType w:val="hybridMultilevel"/>
    <w:lvl w:ilvl="0">
      <w:lvlJc w:val="left"/>
      <w:lvlText w:val="(%1)"/>
      <w:numFmt w:val="lowerLetter"/>
      <w:start w:val="1"/>
    </w:lvl>
  </w:abstractNum>
  <w:abstractNum w:abstractNumId="127">
    <w:nsid w:val="4B697C7A"/>
    <w:multiLevelType w:val="hybridMultilevel"/>
    <w:lvl w:ilvl="0">
      <w:lvlJc w:val="left"/>
      <w:lvlText w:val="(%1)"/>
      <w:numFmt w:val="decimal"/>
      <w:start w:val="1"/>
    </w:lvl>
  </w:abstractNum>
  <w:abstractNum w:abstractNumId="128">
    <w:nsid w:val="51A27AA6"/>
    <w:multiLevelType w:val="hybridMultilevel"/>
    <w:lvl w:ilvl="0">
      <w:lvlJc w:val="left"/>
      <w:lvlText w:val="(%1)"/>
      <w:numFmt w:val="decimal"/>
      <w:start w:val="2"/>
    </w:lvl>
  </w:abstractNum>
  <w:abstractNum w:abstractNumId="129">
    <w:nsid w:val="613183F2"/>
    <w:multiLevelType w:val="hybridMultilevel"/>
    <w:lvl w:ilvl="0">
      <w:lvlJc w:val="left"/>
      <w:lvlText w:val="(%1)"/>
      <w:numFmt w:val="decimal"/>
      <w:start w:val="1"/>
    </w:lvl>
  </w:abstractNum>
  <w:abstractNum w:abstractNumId="130">
    <w:nsid w:val="634102B4"/>
    <w:multiLevelType w:val="hybridMultilevel"/>
    <w:lvl w:ilvl="0">
      <w:lvlJc w:val="left"/>
      <w:lvlText w:val="(%1)"/>
      <w:numFmt w:val="decimal"/>
      <w:start w:val="1"/>
    </w:lvl>
  </w:abstractNum>
  <w:abstractNum w:abstractNumId="131">
    <w:nsid w:val="65BF9DA8"/>
    <w:multiLevelType w:val="hybridMultilevel"/>
    <w:lvl w:ilvl="0">
      <w:lvlJc w:val="left"/>
      <w:lvlText w:val="(%1)"/>
      <w:numFmt w:val="decimal"/>
      <w:start w:val="1"/>
    </w:lvl>
  </w:abstractNum>
  <w:abstractNum w:abstractNumId="132">
    <w:nsid w:val="21A2ECCA"/>
    <w:multiLevelType w:val="hybridMultilevel"/>
    <w:lvl w:ilvl="0">
      <w:lvlJc w:val="left"/>
      <w:lvlText w:val="(%1)"/>
      <w:numFmt w:val="decimal"/>
      <w:start w:val="3"/>
    </w:lvl>
  </w:abstractNum>
  <w:abstractNum w:abstractNumId="133">
    <w:nsid w:val="4D5C48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4">
    <w:nsid w:val="3C3B72B2"/>
    <w:multiLevelType w:val="hybridMultilevel"/>
    <w:lvl w:ilvl="0">
      <w:lvlJc w:val="left"/>
      <w:lvlText w:val="(%1)"/>
      <w:numFmt w:val="lowerRoman"/>
      <w:start w:val="4"/>
    </w:lvl>
  </w:abstractNum>
  <w:abstractNum w:abstractNumId="135">
    <w:nsid w:val="155EC4C2"/>
    <w:multiLevelType w:val="hybridMultilevel"/>
    <w:lvl w:ilvl="0">
      <w:lvlJc w:val="left"/>
      <w:lvlText w:val="(%1)"/>
      <w:numFmt w:val="lowerLetter"/>
      <w:start w:val="4"/>
    </w:lvl>
  </w:abstractNum>
  <w:abstractNum w:abstractNumId="136">
    <w:nsid w:val="65D2A137"/>
    <w:multiLevelType w:val="hybridMultilevel"/>
    <w:lvl w:ilvl="0">
      <w:lvlJc w:val="left"/>
      <w:lvlText w:val="(%1)"/>
      <w:numFmt w:val="decimal"/>
      <w:start w:val="1"/>
    </w:lvl>
  </w:abstractNum>
  <w:abstractNum w:abstractNumId="137">
    <w:nsid w:val="6EBB1F2A"/>
    <w:multiLevelType w:val="hybridMultilevel"/>
    <w:lvl w:ilvl="0">
      <w:lvlJc w:val="left"/>
      <w:lvlText w:val="(%1)"/>
      <w:numFmt w:val="decimal"/>
      <w:start w:val="5"/>
    </w:lvl>
  </w:abstractNum>
  <w:abstractNum w:abstractNumId="138">
    <w:nsid w:val="6FBF29CB"/>
    <w:multiLevelType w:val="hybridMultilevel"/>
    <w:lvl w:ilvl="0">
      <w:lvlJc w:val="left"/>
      <w:lvlText w:val="(%1)"/>
      <w:numFmt w:val="decimal"/>
      <w:start w:val="14"/>
    </w:lvl>
    <w:lvl w:ilvl="1">
      <w:lvlJc w:val="left"/>
      <w:lvlText w:val="(%2)"/>
      <w:numFmt w:val="lowerLetter"/>
      <w:start w:val="1"/>
    </w:lvl>
  </w:abstractNum>
  <w:abstractNum w:abstractNumId="139">
    <w:nsid w:val="550B8808"/>
    <w:multiLevelType w:val="hybridMultilevel"/>
    <w:lvl w:ilvl="0">
      <w:lvlJc w:val="left"/>
      <w:lvlText w:val="(%1)"/>
      <w:numFmt w:val="decimal"/>
      <w:start w:val="1"/>
    </w:lvl>
    <w:lvl w:ilvl="1">
      <w:lvlJc w:val="left"/>
      <w:lvlText w:val="(%2)"/>
      <w:numFmt w:val="lowerLetter"/>
      <w:start w:val="1"/>
    </w:lvl>
  </w:abstractNum>
  <w:abstractNum w:abstractNumId="140">
    <w:nsid w:val="34CC3ACF"/>
    <w:multiLevelType w:val="hybridMultilevel"/>
    <w:lvl w:ilvl="0">
      <w:lvlJc w:val="left"/>
      <w:lvlText w:val="(%1)"/>
      <w:numFmt w:val="lowerLetter"/>
      <w:start w:val="2"/>
    </w:lvl>
  </w:abstractNum>
  <w:abstractNum w:abstractNumId="141">
    <w:nsid w:val="4E556261"/>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42">
    <w:nsid w:val="4C672FC9"/>
    <w:multiLevelType w:val="hybridMultilevel"/>
    <w:lvl w:ilvl="0">
      <w:lvlJc w:val="left"/>
      <w:lvlText w:val="(%1)"/>
      <w:numFmt w:val="decimal"/>
      <w:start w:val="9"/>
    </w:lvl>
  </w:abstractNum>
  <w:abstractNum w:abstractNumId="143">
    <w:nsid w:val="52A311C3"/>
    <w:multiLevelType w:val="hybridMultilevel"/>
    <w:lvl w:ilvl="0">
      <w:lvlJc w:val="left"/>
      <w:lvlText w:val="%1"/>
      <w:numFmt w:val="decimal"/>
      <w:start w:val="1"/>
    </w:lvl>
    <w:lvl w:ilvl="1">
      <w:lvlJc w:val="left"/>
      <w:lvlText w:val="(%2)"/>
      <w:numFmt w:val="lowerLetter"/>
      <w:start w:val="1"/>
    </w:lvl>
  </w:abstractNum>
  <w:abstractNum w:abstractNumId="144">
    <w:nsid w:val="44EF6B80"/>
    <w:multiLevelType w:val="hybridMultilevel"/>
    <w:lvl w:ilvl="0">
      <w:lvlJc w:val="left"/>
      <w:lvlText w:val="(%1)"/>
      <w:numFmt w:val="decimal"/>
      <w:start w:val="12"/>
    </w:lvl>
    <w:lvl w:ilvl="1">
      <w:lvlJc w:val="left"/>
      <w:lvlText w:val="(%2)"/>
      <w:numFmt w:val="lowerLetter"/>
      <w:start w:val="1"/>
    </w:lvl>
  </w:abstractNum>
  <w:abstractNum w:abstractNumId="145">
    <w:nsid w:val="12FCDE5E"/>
    <w:multiLevelType w:val="hybridMultilevel"/>
    <w:lvl w:ilvl="0">
      <w:lvlJc w:val="left"/>
      <w:lvlText w:val="(%1)"/>
      <w:numFmt w:val="lowerLetter"/>
      <w:start w:val="1"/>
    </w:lvl>
  </w:abstractNum>
  <w:abstractNum w:abstractNumId="146">
    <w:nsid w:val="4A1D606E"/>
    <w:multiLevelType w:val="hybridMultilevel"/>
    <w:lvl w:ilvl="0">
      <w:lvlJc w:val="left"/>
      <w:lvlText w:val="(%1)"/>
      <w:numFmt w:val="decimal"/>
      <w:start w:val="1"/>
    </w:lvl>
  </w:abstractNum>
  <w:abstractNum w:abstractNumId="147">
    <w:nsid w:val="4382503"/>
    <w:multiLevelType w:val="hybridMultilevel"/>
    <w:lvl w:ilvl="0">
      <w:lvlJc w:val="left"/>
      <w:lvlText w:val="(%1)"/>
      <w:numFmt w:val="decimal"/>
      <w:start w:val="3"/>
    </w:lvl>
  </w:abstractNum>
  <w:abstractNum w:abstractNumId="148">
    <w:nsid w:val="59B76E28"/>
    <w:multiLevelType w:val="hybridMultilevel"/>
    <w:lvl w:ilvl="0">
      <w:lvlJc w:val="left"/>
      <w:lvlText w:val="(%1)"/>
      <w:numFmt w:val="decimal"/>
      <w:start w:val="1"/>
    </w:lvl>
  </w:abstractNum>
  <w:abstractNum w:abstractNumId="149">
    <w:nsid w:val="4252C2DA"/>
    <w:multiLevelType w:val="hybridMultilevel"/>
    <w:lvl w:ilvl="0">
      <w:lvlJc w:val="left"/>
      <w:lvlText w:val="(%1)"/>
      <w:numFmt w:val="decimal"/>
      <w:start w:val="1"/>
    </w:lvl>
  </w:abstractNum>
  <w:abstractNum w:abstractNumId="150">
    <w:nsid w:val="6A92EF4C"/>
    <w:multiLevelType w:val="hybridMultilevel"/>
    <w:lvl w:ilvl="0">
      <w:lvlJc w:val="left"/>
      <w:lvlText w:val="(%1)"/>
      <w:numFmt w:val="decimal"/>
      <w:start w:val="1"/>
    </w:lvl>
  </w:abstractNum>
  <w:abstractNum w:abstractNumId="151">
    <w:nsid w:val="41ED20D7"/>
    <w:multiLevelType w:val="hybridMultilevel"/>
    <w:lvl w:ilvl="0">
      <w:lvlJc w:val="left"/>
      <w:lvlText w:val="(%1)"/>
      <w:numFmt w:val="decimal"/>
      <w:start w:val="1"/>
    </w:lvl>
    <w:lvl w:ilvl="1">
      <w:lvlJc w:val="left"/>
      <w:lvlText w:val="(%2)"/>
      <w:numFmt w:val="lowerLetter"/>
      <w:start w:val="1"/>
    </w:lvl>
  </w:abstractNum>
  <w:abstractNum w:abstractNumId="152">
    <w:nsid w:val="E6B3F6A"/>
    <w:multiLevelType w:val="hybridMultilevel"/>
    <w:lvl w:ilvl="0">
      <w:lvlJc w:val="left"/>
      <w:lvlText w:val="(%1)"/>
      <w:numFmt w:val="decimal"/>
      <w:start w:val="3"/>
    </w:lvl>
  </w:abstractNum>
  <w:abstractNum w:abstractNumId="153">
    <w:nsid w:val="3EB21819"/>
    <w:multiLevelType w:val="hybridMultilevel"/>
    <w:lvl w:ilvl="0">
      <w:lvlJc w:val="left"/>
      <w:lvlText w:val="(%1)"/>
      <w:numFmt w:val="decimal"/>
      <w:start w:val="1"/>
    </w:lvl>
  </w:abstractNum>
  <w:abstractNum w:abstractNumId="154">
    <w:nsid w:val="41531DED"/>
    <w:multiLevelType w:val="hybridMultilevel"/>
    <w:lvl w:ilvl="0">
      <w:lvlJc w:val="left"/>
      <w:lvlText w:val="(%1)"/>
      <w:numFmt w:val="decimal"/>
      <w:start w:val="2"/>
    </w:lvl>
    <w:lvl w:ilvl="1">
      <w:lvlJc w:val="left"/>
      <w:lvlText w:val="(%2)"/>
      <w:numFmt w:val="lowerLetter"/>
      <w:start w:val="1"/>
    </w:lvl>
  </w:abstractNum>
  <w:abstractNum w:abstractNumId="155">
    <w:nsid w:val="6353CD2"/>
    <w:multiLevelType w:val="hybridMultilevel"/>
    <w:lvl w:ilvl="0">
      <w:lvlJc w:val="left"/>
      <w:lvlText w:val="(%1)"/>
      <w:numFmt w:val="decimal"/>
      <w:start w:val="1"/>
    </w:lvl>
  </w:abstractNum>
  <w:abstractNum w:abstractNumId="156">
    <w:nsid w:val="683CAAD3"/>
    <w:multiLevelType w:val="hybridMultilevel"/>
    <w:lvl w:ilvl="0">
      <w:lvlJc w:val="left"/>
      <w:lvlText w:val="(%1)"/>
      <w:numFmt w:val="decimal"/>
      <w:start w:val="2"/>
    </w:lvl>
  </w:abstractNum>
  <w:abstractNum w:abstractNumId="157">
    <w:nsid w:val="313C7C99"/>
    <w:multiLevelType w:val="hybridMultilevel"/>
    <w:lvl w:ilvl="0">
      <w:lvlJc w:val="left"/>
      <w:lvlText w:val="(%1)"/>
      <w:numFmt w:val="decimal"/>
      <w:start w:val="1"/>
    </w:lvl>
  </w:abstractNum>
  <w:abstractNum w:abstractNumId="158">
    <w:nsid w:val="519EB94C"/>
    <w:multiLevelType w:val="hybridMultilevel"/>
    <w:lvl w:ilvl="0">
      <w:lvlJc w:val="left"/>
      <w:lvlText w:val="(%1)"/>
      <w:numFmt w:val="decimal"/>
      <w:start w:val="3"/>
    </w:lvl>
  </w:abstractNum>
  <w:abstractNum w:abstractNumId="159">
    <w:nsid w:val="39DF2579"/>
    <w:multiLevelType w:val="hybridMultilevel"/>
    <w:lvl w:ilvl="0">
      <w:lvlJc w:val="left"/>
      <w:lvlText w:val="(%1)"/>
      <w:numFmt w:val="decimal"/>
      <w:start w:val="1"/>
    </w:lvl>
  </w:abstractNum>
  <w:abstractNum w:abstractNumId="160">
    <w:nsid w:val="126E008B"/>
    <w:multiLevelType w:val="hybridMultilevel"/>
    <w:lvl w:ilvl="0">
      <w:lvlJc w:val="left"/>
      <w:lvlText w:val="(%1)"/>
      <w:numFmt w:val="decimal"/>
      <w:start w:val="1"/>
    </w:lvl>
  </w:abstractNum>
  <w:abstractNum w:abstractNumId="161">
    <w:nsid w:val="34DFBC00"/>
    <w:multiLevelType w:val="hybridMultilevel"/>
    <w:lvl w:ilvl="0">
      <w:lvlJc w:val="left"/>
      <w:lvlText w:val="(%1)"/>
      <w:numFmt w:val="decimal"/>
      <w:start w:val="1"/>
    </w:lvl>
  </w:abstractNum>
  <w:abstractNum w:abstractNumId="162">
    <w:nsid w:val="1F9EC322"/>
    <w:multiLevelType w:val="hybridMultilevel"/>
    <w:lvl w:ilvl="0">
      <w:lvlJc w:val="left"/>
      <w:lvlText w:val="(%1)"/>
      <w:numFmt w:val="decimal"/>
      <w:start w:val="2"/>
    </w:lvl>
  </w:abstractNum>
  <w:abstractNum w:abstractNumId="163">
    <w:nsid w:val="3410ED56"/>
    <w:multiLevelType w:val="hybridMultilevel"/>
    <w:lvl w:ilvl="0">
      <w:lvlJc w:val="left"/>
      <w:lvlText w:val="(%1)"/>
      <w:numFmt w:val="decimal"/>
      <w:start w:val="1"/>
    </w:lvl>
    <w:lvl w:ilvl="1">
      <w:lvlJc w:val="left"/>
      <w:lvlText w:val="(%2)"/>
      <w:numFmt w:val="lowerLetter"/>
      <w:start w:val="1"/>
    </w:lvl>
  </w:abstractNum>
  <w:abstractNum w:abstractNumId="164">
    <w:nsid w:val="23C049A"/>
    <w:multiLevelType w:val="hybridMultilevel"/>
    <w:lvl w:ilvl="0">
      <w:lvlJc w:val="left"/>
      <w:lvlText w:val="(%1)"/>
      <w:numFmt w:val="decimal"/>
      <w:start w:val="1"/>
    </w:lvl>
  </w:abstractNum>
  <w:abstractNum w:abstractNumId="165">
    <w:nsid w:val="5BDA35D4"/>
    <w:multiLevelType w:val="hybridMultilevel"/>
    <w:lvl w:ilvl="0">
      <w:lvlJc w:val="left"/>
      <w:lvlText w:val="(%1)"/>
      <w:numFmt w:val="decimal"/>
      <w:start w:val="1"/>
    </w:lvl>
  </w:abstractNum>
  <w:abstractNum w:abstractNumId="166">
    <w:nsid w:val="496FB218"/>
    <w:multiLevelType w:val="hybridMultilevel"/>
    <w:lvl w:ilvl="0">
      <w:lvlJc w:val="left"/>
      <w:lvlText w:val="(%1)"/>
      <w:numFmt w:val="decimal"/>
      <w:start w:val="1"/>
    </w:lvl>
  </w:abstractNum>
  <w:abstractNum w:abstractNumId="167">
    <w:nsid w:val="680EA5D1"/>
    <w:multiLevelType w:val="hybridMultilevel"/>
    <w:lvl w:ilvl="0">
      <w:lvlJc w:val="left"/>
      <w:lvlText w:val="(%1)"/>
      <w:numFmt w:val="decimal"/>
      <w:start w:val="1"/>
    </w:lvl>
  </w:abstractNum>
  <w:abstractNum w:abstractNumId="168">
    <w:nsid w:val="4A9554FE"/>
    <w:multiLevelType w:val="hybridMultilevel"/>
    <w:lvl w:ilvl="0">
      <w:lvlJc w:val="left"/>
      <w:lvlText w:val="(%1)"/>
      <w:numFmt w:val="decimal"/>
      <w:start w:val="3"/>
    </w:lvl>
  </w:abstractNum>
  <w:abstractNum w:abstractNumId="169">
    <w:nsid w:val="392EDBE4"/>
    <w:multiLevelType w:val="hybridMultilevel"/>
    <w:lvl w:ilvl="0">
      <w:lvlJc w:val="left"/>
      <w:lvlText w:val="(%1)"/>
      <w:numFmt w:val="decimal"/>
      <w:start w:val="1"/>
    </w:lvl>
    <w:lvl w:ilvl="1">
      <w:lvlJc w:val="left"/>
      <w:lvlText w:val="(%2)"/>
      <w:numFmt w:val="lowerLetter"/>
      <w:start w:val="2"/>
    </w:lvl>
  </w:abstractNum>
  <w:abstractNum w:abstractNumId="170">
    <w:nsid w:val="3D1A2DD9"/>
    <w:multiLevelType w:val="hybridMultilevel"/>
    <w:lvl w:ilvl="0">
      <w:lvlJc w:val="left"/>
      <w:lvlText w:val="(%1)"/>
      <w:numFmt w:val="decimal"/>
      <w:start w:val="3"/>
    </w:lvl>
    <w:lvl w:ilvl="1">
      <w:lvlJc w:val="left"/>
      <w:lvlText w:val="(%2)"/>
      <w:numFmt w:val="lowerLetter"/>
      <w:start w:val="1"/>
    </w:lvl>
  </w:abstractNum>
  <w:abstractNum w:abstractNumId="171">
    <w:nsid w:val="7F618FCD"/>
    <w:multiLevelType w:val="hybridMultilevel"/>
    <w:lvl w:ilvl="0">
      <w:lvlJc w:val="left"/>
      <w:lvlText w:val="(%1)"/>
      <w:numFmt w:val="decimal"/>
      <w:start w:val="1"/>
    </w:lvl>
  </w:abstractNum>
  <w:abstractNum w:abstractNumId="172">
    <w:nsid w:val="7843E45"/>
    <w:multiLevelType w:val="hybridMultilevel"/>
    <w:lvl w:ilvl="0">
      <w:lvlJc w:val="left"/>
      <w:lvlText w:val="%1"/>
      <w:numFmt w:val="decimal"/>
      <w:start w:val="1"/>
    </w:lvl>
    <w:lvl w:ilvl="1">
      <w:lvlJc w:val="left"/>
      <w:lvlText w:val="(%2)"/>
      <w:numFmt w:val="lowerLetter"/>
      <w:start w:val="1"/>
    </w:lvl>
  </w:abstractNum>
  <w:abstractNum w:abstractNumId="173">
    <w:nsid w:val="9815DA3"/>
    <w:multiLevelType w:val="hybridMultilevel"/>
    <w:lvl w:ilvl="0">
      <w:lvlJc w:val="left"/>
      <w:lvlText w:val="(%1)"/>
      <w:numFmt w:val="decimal"/>
      <w:start w:val="3"/>
    </w:lvl>
    <w:lvl w:ilvl="1">
      <w:lvlJc w:val="left"/>
      <w:lvlText w:val="%2"/>
      <w:numFmt w:val="lowerLetter"/>
      <w:start w:val="1"/>
    </w:lvl>
  </w:abstractNum>
  <w:abstractNum w:abstractNumId="174">
    <w:nsid w:val="5204A191"/>
    <w:multiLevelType w:val="hybridMultilevel"/>
    <w:lvl w:ilvl="0">
      <w:lvlJc w:val="left"/>
      <w:lvlText w:val="(%1)"/>
      <w:numFmt w:val="decimal"/>
      <w:start w:val="1"/>
    </w:lvl>
  </w:abstractNum>
  <w:abstractNum w:abstractNumId="175">
    <w:nsid w:val="4C73A9C6"/>
    <w:multiLevelType w:val="hybridMultilevel"/>
    <w:lvl w:ilvl="0">
      <w:lvlJc w:val="left"/>
      <w:lvlText w:val="(%1)"/>
      <w:numFmt w:val="decimal"/>
      <w:start w:val="1"/>
    </w:lvl>
  </w:abstractNum>
  <w:abstractNum w:abstractNumId="176">
    <w:nsid w:val="1C7E3C01"/>
    <w:multiLevelType w:val="hybridMultilevel"/>
    <w:lvl w:ilvl="0">
      <w:lvlJc w:val="left"/>
      <w:lvlText w:val="(%1)"/>
      <w:numFmt w:val="decimal"/>
      <w:start w:val="2"/>
    </w:lvl>
  </w:abstractNum>
  <w:abstractNum w:abstractNumId="177">
    <w:nsid w:val="1C2201FF"/>
    <w:multiLevelType w:val="hybridMultilevel"/>
    <w:lvl w:ilvl="0">
      <w:lvlJc w:val="left"/>
      <w:lvlText w:val="(%1)"/>
      <w:numFmt w:val="lowerLetter"/>
      <w:start w:val="35"/>
    </w:lvl>
    <w:lvl w:ilvl="1">
      <w:lvlJc w:val="left"/>
      <w:lvlText w:val="(%2)"/>
      <w:numFmt w:val="lowerLetter"/>
      <w:start w:val="1"/>
    </w:lvl>
  </w:abstractNum>
  <w:abstractNum w:abstractNumId="178">
    <w:nsid w:val="50ABCEC9"/>
    <w:multiLevelType w:val="hybridMultilevel"/>
    <w:lvl w:ilvl="0">
      <w:lvlJc w:val="left"/>
      <w:lvlText w:val="(%1)"/>
      <w:numFmt w:val="decimal"/>
      <w:start w:val="1"/>
    </w:lvl>
  </w:abstractNum>
  <w:abstractNum w:abstractNumId="179">
    <w:nsid w:val="7635AA2A"/>
    <w:multiLevelType w:val="hybridMultilevel"/>
    <w:lvl w:ilvl="0">
      <w:lvlJc w:val="left"/>
      <w:lvlText w:val="(%1)"/>
      <w:numFmt w:val="decimal"/>
      <w:start w:val="1"/>
    </w:lvl>
  </w:abstractNum>
  <w:abstractNum w:abstractNumId="180">
    <w:nsid w:val="5E74C4D9"/>
    <w:multiLevelType w:val="hybridMultilevel"/>
    <w:lvl w:ilvl="0">
      <w:lvlJc w:val="left"/>
      <w:lvlText w:val="(%1)"/>
      <w:numFmt w:val="decimal"/>
      <w:start w:val="1"/>
    </w:lvl>
  </w:abstractNum>
  <w:abstractNum w:abstractNumId="181">
    <w:nsid w:val="3B3EBE15"/>
    <w:multiLevelType w:val="hybridMultilevel"/>
    <w:lvl w:ilvl="0">
      <w:lvlJc w:val="left"/>
      <w:lvlText w:val="(%1)"/>
      <w:numFmt w:val="decimal"/>
      <w:start w:val="2"/>
    </w:lvl>
    <w:lvl w:ilvl="1">
      <w:lvlJc w:val="left"/>
      <w:lvlText w:val="(%2)"/>
      <w:numFmt w:val="lowerLetter"/>
      <w:start w:val="1"/>
    </w:lvl>
  </w:abstractNum>
  <w:abstractNum w:abstractNumId="182">
    <w:nsid w:val="3822CB01"/>
    <w:multiLevelType w:val="hybridMultilevel"/>
    <w:lvl w:ilvl="0">
      <w:lvlJc w:val="left"/>
      <w:lvlText w:val="(%1)"/>
      <w:numFmt w:val="decimal"/>
      <w:start w:val="8"/>
    </w:lvl>
  </w:abstractNum>
  <w:abstractNum w:abstractNumId="183">
    <w:nsid w:val="6CE00443"/>
    <w:multiLevelType w:val="hybridMultilevel"/>
    <w:lvl w:ilvl="0">
      <w:lvlJc w:val="left"/>
      <w:lvlText w:val="(%1)"/>
      <w:numFmt w:val="decimal"/>
      <w:start w:val="9"/>
    </w:lvl>
  </w:abstractNum>
  <w:abstractNum w:abstractNumId="184">
    <w:nsid w:val="79F0D62F"/>
    <w:multiLevelType w:val="hybridMultilevel"/>
    <w:lvl w:ilvl="0">
      <w:lvlJc w:val="left"/>
      <w:lvlText w:val="(%1)"/>
      <w:numFmt w:val="decimal"/>
      <w:start w:val="1"/>
    </w:lvl>
  </w:abstractNum>
  <w:abstractNum w:abstractNumId="185">
    <w:nsid w:val="7975E8EE"/>
    <w:multiLevelType w:val="hybridMultilevel"/>
    <w:lvl w:ilvl="0">
      <w:lvlJc w:val="left"/>
      <w:lvlText w:val="(%1)"/>
      <w:numFmt w:val="decimal"/>
      <w:start w:val="1"/>
    </w:lvl>
  </w:abstractNum>
  <w:abstractNum w:abstractNumId="186">
    <w:nsid w:val="73154115"/>
    <w:multiLevelType w:val="hybridMultilevel"/>
    <w:lvl w:ilvl="0">
      <w:lvlJc w:val="left"/>
      <w:lvlText w:val="(%1)"/>
      <w:numFmt w:val="decimal"/>
      <w:start w:val="1"/>
    </w:lvl>
  </w:abstractNum>
  <w:abstractNum w:abstractNumId="187">
    <w:nsid w:val="622D8102"/>
    <w:multiLevelType w:val="hybridMultilevel"/>
    <w:lvl w:ilvl="0">
      <w:lvlJc w:val="left"/>
      <w:lvlText w:val="(%1)"/>
      <w:numFmt w:val="decimal"/>
      <w:start w:val="2"/>
    </w:lvl>
  </w:abstractNum>
  <w:abstractNum w:abstractNumId="188">
    <w:nsid w:val="2AB26587"/>
    <w:multiLevelType w:val="hybridMultilevel"/>
    <w:lvl w:ilvl="0">
      <w:lvlJc w:val="left"/>
      <w:lvlText w:val="(%1)"/>
      <w:numFmt w:val="decimal"/>
      <w:start w:val="4"/>
    </w:lvl>
    <w:lvl w:ilvl="1">
      <w:lvlJc w:val="left"/>
      <w:lvlText w:val="(%2)"/>
      <w:numFmt w:val="lowerLetter"/>
      <w:start w:val="1"/>
    </w:lvl>
  </w:abstractNum>
  <w:abstractNum w:abstractNumId="189">
    <w:nsid w:val="44B3FA61"/>
    <w:multiLevelType w:val="hybridMultilevel"/>
    <w:lvl w:ilvl="0">
      <w:lvlJc w:val="left"/>
      <w:lvlText w:val="(%1)"/>
      <w:numFmt w:val="decimal"/>
      <w:start w:val="1"/>
    </w:lvl>
  </w:abstractNum>
  <w:abstractNum w:abstractNumId="190">
    <w:nsid w:val="1C0CA67C"/>
    <w:multiLevelType w:val="hybridMultilevel"/>
    <w:lvl w:ilvl="0">
      <w:lvlJc w:val="left"/>
      <w:lvlText w:val="(%1)"/>
      <w:numFmt w:val="decimal"/>
      <w:start w:val="1"/>
    </w:lvl>
  </w:abstractNum>
  <w:abstractNum w:abstractNumId="191">
    <w:nsid w:val="3D206613"/>
    <w:multiLevelType w:val="hybridMultilevel"/>
    <w:lvl w:ilvl="0">
      <w:lvlJc w:val="left"/>
      <w:lvlText w:val="(%1)"/>
      <w:numFmt w:val="decimal"/>
      <w:start w:val="1"/>
    </w:lvl>
  </w:abstractNum>
  <w:abstractNum w:abstractNumId="192">
    <w:nsid w:val="7993B662"/>
    <w:multiLevelType w:val="hybridMultilevel"/>
    <w:lvl w:ilvl="0">
      <w:lvlJc w:val="left"/>
      <w:lvlText w:val="(%1)"/>
      <w:numFmt w:val="decimal"/>
      <w:start w:val="7"/>
    </w:lvl>
  </w:abstractNum>
  <w:abstractNum w:abstractNumId="193">
    <w:nsid w:val="3BAB699E"/>
    <w:multiLevelType w:val="hybridMultilevel"/>
    <w:lvl w:ilvl="0">
      <w:lvlJc w:val="left"/>
      <w:lvlText w:val="(%1)"/>
      <w:numFmt w:val="decimal"/>
      <w:start w:val="1"/>
    </w:lvl>
    <w:lvl w:ilvl="1">
      <w:lvlJc w:val="left"/>
      <w:lvlText w:val="(%2)"/>
      <w:numFmt w:val="lowerLetter"/>
      <w:start w:val="1"/>
    </w:lvl>
  </w:abstractNum>
  <w:abstractNum w:abstractNumId="194">
    <w:nsid w:val="71315369"/>
    <w:multiLevelType w:val="hybridMultilevel"/>
    <w:lvl w:ilvl="0">
      <w:lvlJc w:val="left"/>
      <w:lvlText w:val="(%1)"/>
      <w:numFmt w:val="decimal"/>
      <w:start w:val="3"/>
    </w:lvl>
  </w:abstractNum>
  <w:abstractNum w:abstractNumId="195">
    <w:nsid w:val="7BCFBAFC"/>
    <w:multiLevelType w:val="hybridMultilevel"/>
    <w:lvl w:ilvl="0">
      <w:lvlJc w:val="left"/>
      <w:lvlText w:val="(%1)"/>
      <w:numFmt w:val="decimal"/>
      <w:start w:val="1"/>
    </w:lvl>
  </w:abstractNum>
  <w:abstractNum w:abstractNumId="196">
    <w:nsid w:val="17859F72"/>
    <w:multiLevelType w:val="hybridMultilevel"/>
    <w:lvl w:ilvl="0">
      <w:lvlJc w:val="left"/>
      <w:lvlText w:val="(%1)"/>
      <w:numFmt w:val="decimal"/>
      <w:start w:val="2"/>
    </w:lvl>
  </w:abstractNum>
  <w:abstractNum w:abstractNumId="197">
    <w:nsid w:val="3AA10581"/>
    <w:multiLevelType w:val="hybridMultilevel"/>
    <w:lvl w:ilvl="0">
      <w:lvlJc w:val="left"/>
      <w:lvlText w:val="(%1)"/>
      <w:numFmt w:val="decimal"/>
      <w:start w:val="1"/>
    </w:lvl>
  </w:abstractNum>
  <w:abstractNum w:abstractNumId="198">
    <w:nsid w:val="63DE60CD"/>
    <w:multiLevelType w:val="hybridMultilevel"/>
    <w:lvl w:ilvl="0">
      <w:lvlJc w:val="left"/>
      <w:lvlText w:val="(%1)"/>
      <w:numFmt w:val="decimal"/>
      <w:start w:val="1"/>
    </w:lvl>
  </w:abstractNum>
  <w:abstractNum w:abstractNumId="199">
    <w:nsid w:val="621AF471"/>
    <w:multiLevelType w:val="hybridMultilevel"/>
    <w:lvl w:ilvl="0">
      <w:lvlJc w:val="left"/>
      <w:lvlText w:val="(%1)"/>
      <w:numFmt w:val="decimal"/>
      <w:start w:val="1"/>
    </w:lvl>
  </w:abstractNum>
  <w:abstractNum w:abstractNumId="200">
    <w:nsid w:val="73CFE165"/>
    <w:multiLevelType w:val="hybridMultilevel"/>
    <w:lvl w:ilvl="0">
      <w:lvlJc w:val="left"/>
      <w:lvlText w:val="(%1)"/>
      <w:numFmt w:val="decimal"/>
      <w:start w:val="1"/>
    </w:lvl>
  </w:abstractNum>
  <w:abstractNum w:abstractNumId="201">
    <w:nsid w:val="20F88EA6"/>
    <w:multiLevelType w:val="hybridMultilevel"/>
    <w:lvl w:ilvl="0">
      <w:lvlJc w:val="left"/>
      <w:lvlText w:val="(%1)"/>
      <w:numFmt w:val="decimal"/>
      <w:start w:val="8"/>
    </w:lvl>
  </w:abstractNum>
  <w:abstractNum w:abstractNumId="202">
    <w:nsid w:val="617C843E"/>
    <w:multiLevelType w:val="hybridMultilevel"/>
    <w:lvl w:ilvl="0">
      <w:lvlJc w:val="left"/>
      <w:lvlText w:val="(%1)"/>
      <w:numFmt w:val="decimal"/>
      <w:start w:val="1"/>
    </w:lvl>
    <w:lvl w:ilvl="1">
      <w:lvlJc w:val="left"/>
      <w:lvlText w:val="(%2)"/>
      <w:numFmt w:val="lowerLetter"/>
      <w:start w:val="1"/>
    </w:lvl>
  </w:abstractNum>
  <w:abstractNum w:abstractNumId="203">
    <w:nsid w:val="7B541FAB"/>
    <w:multiLevelType w:val="hybridMultilevel"/>
    <w:lvl w:ilvl="0">
      <w:lvlJc w:val="left"/>
      <w:lvlText w:val="(%1)"/>
      <w:numFmt w:val="lowerLetter"/>
      <w:start w:val="1"/>
    </w:lvl>
  </w:abstractNum>
  <w:abstractNum w:abstractNumId="204">
    <w:nsid w:val="2A79EC49"/>
    <w:multiLevelType w:val="hybridMultilevel"/>
    <w:lvl w:ilvl="0">
      <w:lvlJc w:val="left"/>
      <w:lvlText w:val="(%1)"/>
      <w:numFmt w:val="lowerLetter"/>
      <w:start w:val="2"/>
    </w:lvl>
  </w:abstractNum>
  <w:abstractNum w:abstractNumId="205">
    <w:nsid w:val="338125CF"/>
    <w:multiLevelType w:val="hybridMultilevel"/>
    <w:lvl w:ilvl="0">
      <w:lvlJc w:val="left"/>
      <w:lvlText w:val="(%1)"/>
      <w:numFmt w:val="decimal"/>
      <w:start w:val="1"/>
    </w:lvl>
  </w:abstractNum>
  <w:abstractNum w:abstractNumId="206">
    <w:nsid w:val="47C7C971"/>
    <w:multiLevelType w:val="hybridMultilevel"/>
    <w:lvl w:ilvl="0">
      <w:lvlJc w:val="left"/>
      <w:lvlText w:val="(%1)"/>
      <w:numFmt w:val="decimal"/>
      <w:start w:val="2"/>
    </w:lvl>
    <w:lvl w:ilvl="1">
      <w:lvlJc w:val="left"/>
      <w:lvlText w:val="(%2)"/>
      <w:numFmt w:val="lowerLetter"/>
      <w:start w:val="1"/>
    </w:lvl>
  </w:abstractNum>
  <w:abstractNum w:abstractNumId="207">
    <w:nsid w:val="46F8284B"/>
    <w:multiLevelType w:val="hybridMultilevel"/>
    <w:lvl w:ilvl="0">
      <w:lvlJc w:val="left"/>
      <w:lvlText w:val="(%1)"/>
      <w:numFmt w:val="decimal"/>
      <w:start w:val="6"/>
    </w:lvl>
  </w:abstractNum>
  <w:abstractNum w:abstractNumId="208">
    <w:nsid w:val="4FA327CE"/>
    <w:multiLevelType w:val="hybridMultilevel"/>
    <w:lvl w:ilvl="0">
      <w:lvlJc w:val="left"/>
      <w:lvlText w:val="(%1)"/>
      <w:numFmt w:val="decimal"/>
      <w:start w:val="1"/>
    </w:lvl>
  </w:abstractNum>
  <w:abstractNum w:abstractNumId="209">
    <w:nsid w:val="1873983A"/>
    <w:multiLevelType w:val="hybridMultilevel"/>
    <w:lvl w:ilvl="0">
      <w:lvlJc w:val="left"/>
      <w:lvlText w:val="(%1)"/>
      <w:numFmt w:val="decimal"/>
      <w:start w:val="1"/>
    </w:lvl>
  </w:abstractNum>
  <w:abstractNum w:abstractNumId="210">
    <w:nsid w:val="3D2DD275"/>
    <w:multiLevelType w:val="hybridMultilevel"/>
    <w:lvl w:ilvl="0">
      <w:lvlJc w:val="left"/>
      <w:lvlText w:val="(%1)"/>
      <w:numFmt w:val="lowerLetter"/>
      <w:start w:val="1"/>
    </w:lvl>
  </w:abstractNum>
  <w:abstractNum w:abstractNumId="211">
    <w:nsid w:val="2E17ECA7"/>
    <w:multiLevelType w:val="hybridMultilevel"/>
    <w:lvl w:ilvl="0">
      <w:lvlJc w:val="left"/>
      <w:lvlText w:val="%1"/>
      <w:numFmt w:val="decimal"/>
      <w:start w:val="1"/>
    </w:lvl>
    <w:lvl w:ilvl="1">
      <w:lvlJc w:val="left"/>
      <w:lvlText w:val="(%2)"/>
      <w:numFmt w:val="lowerLetter"/>
      <w:start w:val="2"/>
    </w:lvl>
  </w:abstractNum>
  <w:abstractNum w:abstractNumId="212">
    <w:nsid w:val="53B2564F"/>
    <w:multiLevelType w:val="hybridMultilevel"/>
    <w:lvl w:ilvl="0">
      <w:lvlJc w:val="left"/>
      <w:lvlText w:val="(%1)"/>
      <w:numFmt w:val="decimal"/>
      <w:start w:val="4"/>
    </w:lvl>
    <w:lvl w:ilvl="1">
      <w:lvlJc w:val="left"/>
      <w:lvlText w:val="%2"/>
      <w:numFmt w:val="lowerLetter"/>
      <w:start w:val="1"/>
    </w:lvl>
  </w:abstractNum>
  <w:abstractNum w:abstractNumId="213">
    <w:nsid w:val="75509D76"/>
    <w:multiLevelType w:val="hybridMultilevel"/>
    <w:lvl w:ilvl="0">
      <w:lvlJc w:val="left"/>
      <w:lvlText w:val="(%1)"/>
      <w:numFmt w:val="decimal"/>
      <w:start w:val="6"/>
    </w:lvl>
  </w:abstractNum>
  <w:abstractNum w:abstractNumId="214">
    <w:nsid w:val="1AF7F0EA"/>
    <w:multiLevelType w:val="hybridMultilevel"/>
    <w:lvl w:ilvl="0">
      <w:lvlJc w:val="left"/>
      <w:lvlText w:val="(%1)"/>
      <w:numFmt w:val="decimal"/>
      <w:start w:val="1"/>
    </w:lvl>
  </w:abstractNum>
  <w:abstractNum w:abstractNumId="215">
    <w:nsid w:val="4DA32C7E"/>
    <w:multiLevelType w:val="hybridMultilevel"/>
    <w:lvl w:ilvl="0">
      <w:lvlJc w:val="left"/>
      <w:lvlText w:val="(%1)"/>
      <w:numFmt w:val="decimal"/>
      <w:start w:val="1"/>
    </w:lvl>
  </w:abstractNum>
  <w:abstractNum w:abstractNumId="216">
    <w:nsid w:val="6EC68664"/>
    <w:multiLevelType w:val="hybridMultilevel"/>
    <w:lvl w:ilvl="0">
      <w:lvlJc w:val="left"/>
      <w:lvlText w:val="(%1)"/>
      <w:numFmt w:val="lowerLetter"/>
      <w:start w:val="1"/>
    </w:lvl>
  </w:abstractNum>
  <w:abstractNum w:abstractNumId="217">
    <w:nsid w:val="E0D31FF"/>
    <w:multiLevelType w:val="hybridMultilevel"/>
    <w:lvl w:ilvl="0">
      <w:lvlJc w:val="left"/>
      <w:lvlText w:val="(%1)"/>
      <w:numFmt w:val="lowerLetter"/>
      <w:start w:val="2"/>
    </w:lvl>
  </w:abstractNum>
  <w:abstractNum w:abstractNumId="218">
    <w:nsid w:val="2FD0AD81"/>
    <w:multiLevelType w:val="hybridMultilevel"/>
    <w:lvl w:ilvl="0">
      <w:lvlJc w:val="left"/>
      <w:lvlText w:val="(%1)"/>
      <w:numFmt w:val="decimal"/>
      <w:start w:val="4"/>
    </w:lvl>
    <w:lvl w:ilvl="1">
      <w:lvlJc w:val="left"/>
      <w:lvlText w:val="(%2)"/>
      <w:numFmt w:val="lowerLetter"/>
      <w:start w:val="1"/>
    </w:lvl>
  </w:abstractNum>
  <w:abstractNum w:abstractNumId="219">
    <w:nsid w:val="1978EBEB"/>
    <w:multiLevelType w:val="hybridMultilevel"/>
    <w:lvl w:ilvl="0">
      <w:lvlJc w:val="left"/>
      <w:lvlText w:val="(%1)"/>
      <w:numFmt w:val="decimal"/>
      <w:start w:val="1"/>
    </w:lvl>
  </w:abstractNum>
  <w:abstractNum w:abstractNumId="220">
    <w:nsid w:val="52C12C61"/>
    <w:multiLevelType w:val="hybridMultilevel"/>
    <w:lvl w:ilvl="0">
      <w:lvlJc w:val="left"/>
      <w:lvlText w:val="(%1)"/>
      <w:numFmt w:val="decimal"/>
      <w:start w:val="4"/>
    </w:lvl>
    <w:lvl w:ilvl="1">
      <w:lvlJc w:val="left"/>
      <w:lvlText w:val="(%2)"/>
      <w:numFmt w:val="lowerLetter"/>
      <w:start w:val="1"/>
    </w:lvl>
  </w:abstractNum>
  <w:abstractNum w:abstractNumId="221">
    <w:nsid w:val="4BDD53FD"/>
    <w:multiLevelType w:val="hybridMultilevel"/>
    <w:lvl w:ilvl="0">
      <w:lvlJc w:val="left"/>
      <w:lvlText w:val="(%1)"/>
      <w:numFmt w:val="decimal"/>
      <w:start w:val="1"/>
    </w:lvl>
  </w:abstractNum>
  <w:abstractNum w:abstractNumId="222">
    <w:nsid w:val="569951FE"/>
    <w:multiLevelType w:val="hybridMultilevel"/>
    <w:lvl w:ilvl="0">
      <w:lvlJc w:val="left"/>
      <w:lvlText w:val="(%1)"/>
      <w:numFmt w:val="lowerLetter"/>
      <w:start w:val="2"/>
    </w:lvl>
  </w:abstractNum>
  <w:abstractNum w:abstractNumId="223">
    <w:nsid w:val="4C54E2C3"/>
    <w:multiLevelType w:val="hybridMultilevel"/>
    <w:lvl w:ilvl="0">
      <w:lvlJc w:val="left"/>
      <w:lvlText w:val="(%1)"/>
      <w:numFmt w:val="decimal"/>
      <w:start w:val="1"/>
    </w:lvl>
  </w:abstractNum>
  <w:abstractNum w:abstractNumId="224">
    <w:nsid w:val="788BD9B"/>
    <w:multiLevelType w:val="hybridMultilevel"/>
    <w:lvl w:ilvl="0">
      <w:lvlJc w:val="left"/>
      <w:lvlText w:val="(%1)"/>
      <w:numFmt w:val="decimal"/>
      <w:start w:val="4"/>
    </w:lvl>
  </w:abstractNum>
  <w:abstractNum w:abstractNumId="225">
    <w:nsid w:val="47CAA567"/>
    <w:multiLevelType w:val="hybridMultilevel"/>
    <w:lvl w:ilvl="0">
      <w:lvlJc w:val="left"/>
      <w:lvlText w:val="(%1)"/>
      <w:numFmt w:val="decimal"/>
      <w:start w:val="1"/>
    </w:lvl>
  </w:abstractNum>
  <w:abstractNum w:abstractNumId="226">
    <w:nsid w:val="48249DBF"/>
    <w:multiLevelType w:val="hybridMultilevel"/>
    <w:lvl w:ilvl="0">
      <w:lvlJc w:val="left"/>
      <w:lvlText w:val="(%1)"/>
      <w:numFmt w:val="decimal"/>
      <w:start w:val="1"/>
    </w:lvl>
  </w:abstractNum>
  <w:abstractNum w:abstractNumId="227">
    <w:nsid w:val="1F0E5D0D"/>
    <w:multiLevelType w:val="hybridMultilevel"/>
    <w:lvl w:ilvl="0">
      <w:lvlJc w:val="left"/>
      <w:lvlText w:val="(%1)"/>
      <w:numFmt w:val="decimal"/>
      <w:start w:val="1"/>
    </w:lvl>
  </w:abstractNum>
  <w:abstractNum w:abstractNumId="228">
    <w:nsid w:val="26BAAE9"/>
    <w:multiLevelType w:val="hybridMultilevel"/>
    <w:lvl w:ilvl="0">
      <w:lvlJc w:val="left"/>
      <w:lvlText w:val="(%1)"/>
      <w:numFmt w:val="decimal"/>
      <w:start w:val="3"/>
    </w:lvl>
  </w:abstractNum>
  <w:abstractNum w:abstractNumId="229">
    <w:nsid w:val="2C02FE8C"/>
    <w:multiLevelType w:val="hybridMultilevel"/>
    <w:lvl w:ilvl="0">
      <w:lvlJc w:val="left"/>
      <w:lvlText w:val="(%1)"/>
      <w:numFmt w:val="decimal"/>
      <w:start w:val="1"/>
    </w:lvl>
  </w:abstractNum>
  <w:abstractNum w:abstractNumId="230">
    <w:nsid w:val="129517E"/>
    <w:multiLevelType w:val="hybridMultilevel"/>
    <w:lvl w:ilvl="0">
      <w:lvlJc w:val="left"/>
      <w:lvlText w:val="(%1)"/>
      <w:numFmt w:val="decimal"/>
      <w:start w:val="8"/>
    </w:lvl>
  </w:abstractNum>
  <w:abstractNum w:abstractNumId="231">
    <w:nsid w:val="763B8C4E"/>
    <w:multiLevelType w:val="hybridMultilevel"/>
    <w:lvl w:ilvl="0">
      <w:lvlJc w:val="left"/>
      <w:lvlText w:val="(%1)"/>
      <w:numFmt w:val="decimal"/>
      <w:start w:val="1"/>
    </w:lvl>
  </w:abstractNum>
  <w:abstractNum w:abstractNumId="232">
    <w:nsid w:val="4CFB8D32"/>
    <w:multiLevelType w:val="hybridMultilevel"/>
    <w:lvl w:ilvl="0">
      <w:lvlJc w:val="left"/>
      <w:lvlText w:val="(%1)"/>
      <w:numFmt w:val="decimal"/>
      <w:start w:val="1"/>
    </w:lvl>
  </w:abstractNum>
  <w:abstractNum w:abstractNumId="233">
    <w:nsid w:val="62A5D5BD"/>
    <w:multiLevelType w:val="hybridMultilevel"/>
    <w:lvl w:ilvl="0">
      <w:lvlJc w:val="left"/>
      <w:lvlText w:val="(%1)"/>
      <w:numFmt w:val="decimal"/>
      <w:start w:val="3"/>
    </w:lvl>
  </w:abstractNum>
  <w:abstractNum w:abstractNumId="234">
    <w:nsid w:val="718FABF9"/>
    <w:multiLevelType w:val="hybridMultilevel"/>
    <w:lvl w:ilvl="0">
      <w:lvlJc w:val="left"/>
      <w:lvlText w:val="(%1)"/>
      <w:numFmt w:val="decimal"/>
      <w:start w:val="1"/>
    </w:lvl>
  </w:abstractNum>
  <w:abstractNum w:abstractNumId="235">
    <w:nsid w:val="7775797C"/>
    <w:multiLevelType w:val="hybridMultilevel"/>
    <w:lvl w:ilvl="0">
      <w:lvlJc w:val="left"/>
      <w:lvlText w:val="(%1)"/>
      <w:numFmt w:val="decimal"/>
      <w:start w:val="1"/>
    </w:lvl>
  </w:abstractNum>
  <w:abstractNum w:abstractNumId="236">
    <w:nsid w:val="1626FB8C"/>
    <w:multiLevelType w:val="hybridMultilevel"/>
    <w:lvl w:ilvl="0">
      <w:lvlJc w:val="left"/>
      <w:lvlText w:val="(%1)"/>
      <w:numFmt w:val="decimal"/>
      <w:start w:val="1"/>
    </w:lvl>
  </w:abstractNum>
  <w:abstractNum w:abstractNumId="237">
    <w:nsid w:val="3957756A"/>
    <w:multiLevelType w:val="hybridMultilevel"/>
    <w:lvl w:ilvl="0">
      <w:lvlJc w:val="left"/>
      <w:lvlText w:val="(%1)"/>
      <w:numFmt w:val="decimal"/>
      <w:start w:val="1"/>
    </w:lvl>
  </w:abstractNum>
  <w:abstractNum w:abstractNumId="238">
    <w:nsid w:val="3E6DA1C7"/>
    <w:multiLevelType w:val="hybridMultilevel"/>
    <w:lvl w:ilvl="0">
      <w:lvlJc w:val="left"/>
      <w:lvlText w:val="(%1)"/>
      <w:numFmt w:val="decimal"/>
      <w:start w:val="1"/>
    </w:lvl>
  </w:abstractNum>
  <w:abstractNum w:abstractNumId="239">
    <w:nsid w:val="65CA235B"/>
    <w:multiLevelType w:val="hybridMultilevel"/>
    <w:lvl w:ilvl="0">
      <w:lvlJc w:val="left"/>
      <w:lvlText w:val="(%1)"/>
      <w:numFmt w:val="decimal"/>
      <w:start w:val="1"/>
    </w:lvl>
  </w:abstractNum>
  <w:abstractNum w:abstractNumId="240">
    <w:nsid w:val="51CB0DA4"/>
    <w:multiLevelType w:val="hybridMultilevel"/>
    <w:lvl w:ilvl="0">
      <w:lvlJc w:val="left"/>
      <w:lvlText w:val="(%1)"/>
      <w:numFmt w:val="decimal"/>
      <w:start w:val="4"/>
    </w:lvl>
  </w:abstractNum>
  <w:abstractNum w:abstractNumId="241">
    <w:nsid w:val="7B9B743C"/>
    <w:multiLevelType w:val="hybridMultilevel"/>
    <w:lvl w:ilvl="0">
      <w:lvlJc w:val="left"/>
      <w:lvlText w:val="(%1)"/>
      <w:numFmt w:val="decimal"/>
      <w:start w:val="1"/>
    </w:lvl>
    <w:lvl w:ilvl="1">
      <w:lvlJc w:val="left"/>
      <w:lvlText w:val="(%2)"/>
      <w:numFmt w:val="lowerLetter"/>
      <w:start w:val="1"/>
    </w:lvl>
  </w:abstractNum>
  <w:abstractNum w:abstractNumId="242">
    <w:nsid w:val="13E21002"/>
    <w:multiLevelType w:val="hybridMultilevel"/>
    <w:lvl w:ilvl="0">
      <w:lvlJc w:val="left"/>
      <w:lvlText w:val="(%1)"/>
      <w:numFmt w:val="decimal"/>
      <w:start w:val="1"/>
    </w:lvl>
  </w:abstractNum>
  <w:abstractNum w:abstractNumId="243">
    <w:nsid w:val="257D63F4"/>
    <w:multiLevelType w:val="hybridMultilevel"/>
    <w:lvl w:ilvl="0">
      <w:lvlJc w:val="left"/>
      <w:lvlText w:val="(%1)"/>
      <w:numFmt w:val="decimal"/>
      <w:start w:val="1"/>
    </w:lvl>
  </w:abstractNum>
  <w:abstractNum w:abstractNumId="244">
    <w:nsid w:val="70EC11B2"/>
    <w:multiLevelType w:val="hybridMultilevel"/>
    <w:lvl w:ilvl="0">
      <w:lvlJc w:val="left"/>
      <w:lvlText w:val="(%1)"/>
      <w:numFmt w:val="decimal"/>
      <w:start w:val="3"/>
    </w:lvl>
  </w:abstractNum>
  <w:abstractNum w:abstractNumId="245">
    <w:nsid w:val="2EDA00ED"/>
    <w:multiLevelType w:val="hybridMultilevel"/>
    <w:lvl w:ilvl="0">
      <w:lvlJc w:val="left"/>
      <w:lvlText w:val="(%1)"/>
      <w:numFmt w:val="decimal"/>
      <w:start w:val="2"/>
    </w:lvl>
  </w:abstractNum>
  <w:abstractNum w:abstractNumId="246">
    <w:nsid w:val="73209072"/>
    <w:multiLevelType w:val="hybridMultilevel"/>
    <w:lvl w:ilvl="0">
      <w:lvlJc w:val="left"/>
      <w:lvlText w:val="(%1)"/>
      <w:numFmt w:val="decimal"/>
      <w:start w:val="1"/>
    </w:lvl>
  </w:abstractNum>
  <w:abstractNum w:abstractNumId="247">
    <w:nsid w:val="5FB29816"/>
    <w:multiLevelType w:val="hybridMultilevel"/>
    <w:lvl w:ilvl="0">
      <w:lvlJc w:val="left"/>
      <w:lvlText w:val="(%1)"/>
      <w:numFmt w:val="decimal"/>
      <w:start w:val="1"/>
    </w:lvl>
  </w:abstractNum>
  <w:abstractNum w:abstractNumId="248">
    <w:nsid w:val="3CE732EC"/>
    <w:multiLevelType w:val="hybridMultilevel"/>
    <w:lvl w:ilvl="0">
      <w:lvlJc w:val="left"/>
      <w:lvlText w:val="(%1)"/>
      <w:numFmt w:val="decimal"/>
      <w:start w:val="1"/>
    </w:lvl>
  </w:abstractNum>
  <w:abstractNum w:abstractNumId="249">
    <w:nsid w:val="22F13DF3"/>
    <w:multiLevelType w:val="hybridMultilevel"/>
    <w:lvl w:ilvl="0">
      <w:lvlJc w:val="left"/>
      <w:lvlText w:val="(%1)"/>
      <w:numFmt w:val="decimal"/>
      <w:start w:val="1"/>
    </w:lvl>
  </w:abstractNum>
  <w:abstractNum w:abstractNumId="250">
    <w:nsid w:val="792B8401"/>
    <w:multiLevelType w:val="hybridMultilevel"/>
    <w:lvl w:ilvl="0">
      <w:lvlJc w:val="left"/>
      <w:lvlText w:val="(%1)"/>
      <w:numFmt w:val="decimal"/>
      <w:start w:val="1"/>
    </w:lvl>
  </w:abstractNum>
  <w:abstractNum w:abstractNumId="251">
    <w:nsid w:val="FA85F4D"/>
    <w:multiLevelType w:val="hybridMultilevel"/>
    <w:lvl w:ilvl="0">
      <w:lvlJc w:val="left"/>
      <w:lvlText w:val="(%1)"/>
      <w:numFmt w:val="decimal"/>
      <w:start w:val="1"/>
    </w:lvl>
  </w:abstractNum>
  <w:abstractNum w:abstractNumId="252">
    <w:nsid w:val="6ECE91F0"/>
    <w:multiLevelType w:val="hybridMultilevel"/>
    <w:lvl w:ilvl="0">
      <w:lvlJc w:val="left"/>
      <w:lvlText w:val="(%1)"/>
      <w:numFmt w:val="decimal"/>
      <w:start w:val="2"/>
    </w:lvl>
  </w:abstractNum>
  <w:abstractNum w:abstractNumId="253">
    <w:nsid w:val="4FC4D600"/>
    <w:multiLevelType w:val="hybridMultilevel"/>
    <w:lvl w:ilvl="0">
      <w:lvlJc w:val="left"/>
      <w:lvlText w:val="(%1)"/>
      <w:numFmt w:val="decimal"/>
      <w:start w:val="1"/>
    </w:lvl>
  </w:abstractNum>
  <w:abstractNum w:abstractNumId="254">
    <w:nsid w:val="5BFD4210"/>
    <w:multiLevelType w:val="hybridMultilevel"/>
    <w:lvl w:ilvl="0">
      <w:lvlJc w:val="left"/>
      <w:lvlText w:val="(%1)"/>
      <w:numFmt w:val="decimal"/>
      <w:start w:val="1"/>
    </w:lvl>
  </w:abstractNum>
  <w:abstractNum w:abstractNumId="255">
    <w:nsid w:val="76574F8B"/>
    <w:multiLevelType w:val="hybridMultilevel"/>
    <w:lvl w:ilvl="0">
      <w:lvlJc w:val="left"/>
      <w:lvlText w:val="(%1)"/>
      <w:numFmt w:val="decimal"/>
      <w:start w:val="1"/>
    </w:lvl>
  </w:abstractNum>
  <w:abstractNum w:abstractNumId="256">
    <w:nsid w:val="178F7B67"/>
    <w:multiLevelType w:val="hybridMultilevel"/>
    <w:lvl w:ilvl="0">
      <w:lvlJc w:val="left"/>
      <w:lvlText w:val="(%1)"/>
      <w:numFmt w:val="decimal"/>
      <w:start w:val="1"/>
    </w:lvl>
  </w:abstractNum>
  <w:abstractNum w:abstractNumId="257">
    <w:nsid w:val="2421DFCF"/>
    <w:multiLevelType w:val="hybridMultilevel"/>
    <w:lvl w:ilvl="0">
      <w:lvlJc w:val="left"/>
      <w:lvlText w:val="(%1)"/>
      <w:numFmt w:val="decimal"/>
      <w:start w:val="1"/>
    </w:lvl>
  </w:abstractNum>
  <w:abstractNum w:abstractNumId="258">
    <w:nsid w:val="1565AC99"/>
    <w:multiLevelType w:val="hybridMultilevel"/>
    <w:lvl w:ilvl="0">
      <w:lvlJc w:val="left"/>
      <w:lvlText w:val="(%1)"/>
      <w:numFmt w:val="decimal"/>
      <w:start w:val="1"/>
    </w:lvl>
  </w:abstractNum>
  <w:abstractNum w:abstractNumId="259">
    <w:nsid w:val="19FB2650"/>
    <w:multiLevelType w:val="hybridMultilevel"/>
    <w:lvl w:ilvl="0">
      <w:lvlJc w:val="left"/>
      <w:lvlText w:val="(%1)"/>
      <w:numFmt w:val="decimal"/>
      <w:start w:val="6"/>
    </w:lvl>
  </w:abstractNum>
  <w:abstractNum w:abstractNumId="260">
    <w:nsid w:val="5024DE5B"/>
    <w:multiLevelType w:val="hybridMultilevel"/>
    <w:lvl w:ilvl="0">
      <w:lvlJc w:val="left"/>
      <w:lvlText w:val="(%1)"/>
      <w:numFmt w:val="decimal"/>
      <w:start w:val="1"/>
    </w:lvl>
    <w:lvl w:ilvl="1">
      <w:lvlJc w:val="left"/>
      <w:lvlText w:val="(%2)"/>
      <w:numFmt w:val="lowerLetter"/>
      <w:start w:val="1"/>
    </w:lvl>
  </w:abstractNum>
  <w:abstractNum w:abstractNumId="261">
    <w:nsid w:val="168EFE17"/>
    <w:multiLevelType w:val="hybridMultilevel"/>
    <w:lvl w:ilvl="0">
      <w:lvlJc w:val="left"/>
      <w:lvlText w:val="(%1)"/>
      <w:numFmt w:val="lowerLetter"/>
      <w:start w:val="4"/>
    </w:lvl>
  </w:abstractNum>
  <w:abstractNum w:abstractNumId="262">
    <w:nsid w:val="1036B29F"/>
    <w:multiLevelType w:val="hybridMultilevel"/>
    <w:lvl w:ilvl="0">
      <w:lvlJc w:val="left"/>
      <w:lvlText w:val="(%1)"/>
      <w:numFmt w:val="decimal"/>
      <w:start w:val="2"/>
    </w:lvl>
    <w:lvl w:ilvl="1">
      <w:lvlJc w:val="left"/>
      <w:lvlText w:val="(%2)"/>
      <w:numFmt w:val="lowerLetter"/>
      <w:start w:val="1"/>
    </w:lvl>
  </w:abstractNum>
  <w:abstractNum w:abstractNumId="263">
    <w:nsid w:val="1D206B8E"/>
    <w:multiLevelType w:val="hybridMultilevel"/>
    <w:lvl w:ilvl="0">
      <w:lvlJc w:val="left"/>
      <w:lvlText w:val="(%1)"/>
      <w:numFmt w:val="decimal"/>
      <w:start w:val="5"/>
    </w:lvl>
  </w:abstractNum>
  <w:abstractNum w:abstractNumId="264">
    <w:nsid w:val="7934D3D4"/>
    <w:multiLevelType w:val="hybridMultilevel"/>
    <w:lvl w:ilvl="0">
      <w:lvlJc w:val="left"/>
      <w:lvlText w:val="(%1)"/>
      <w:numFmt w:val="decimal"/>
      <w:start w:val="1"/>
    </w:lvl>
    <w:lvl w:ilvl="1">
      <w:lvlJc w:val="left"/>
      <w:lvlText w:val="(%2)"/>
      <w:numFmt w:val="lowerLetter"/>
      <w:start w:val="1"/>
    </w:lvl>
  </w:abstractNum>
  <w:abstractNum w:abstractNumId="265">
    <w:nsid w:val="1C65E98"/>
    <w:multiLevelType w:val="hybridMultilevel"/>
    <w:lvl w:ilvl="0">
      <w:lvlJc w:val="left"/>
      <w:lvlText w:val="(%1)"/>
      <w:numFmt w:val="decimal"/>
      <w:start w:val="4"/>
    </w:lvl>
    <w:lvl w:ilvl="1">
      <w:lvlJc w:val="left"/>
      <w:lvlText w:val="(%2)"/>
      <w:numFmt w:val="lowerLetter"/>
      <w:start w:val="1"/>
    </w:lvl>
  </w:abstractNum>
  <w:abstractNum w:abstractNumId="266">
    <w:nsid w:val="1495E50A"/>
    <w:multiLevelType w:val="hybridMultilevel"/>
    <w:lvl w:ilvl="0">
      <w:lvlJc w:val="left"/>
      <w:lvlText w:val="(%1)"/>
      <w:numFmt w:val="decimal"/>
      <w:start w:val="18"/>
    </w:lvl>
  </w:abstractNum>
  <w:abstractNum w:abstractNumId="267">
    <w:nsid w:val="F5BCF61"/>
    <w:multiLevelType w:val="hybridMultilevel"/>
    <w:lvl w:ilvl="0">
      <w:lvlJc w:val="left"/>
      <w:lvlText w:val="%1"/>
      <w:numFmt w:val="decimal"/>
      <w:start w:val="1"/>
    </w:lvl>
    <w:lvl w:ilvl="1">
      <w:lvlJc w:val="left"/>
      <w:lvlText w:val="(%2)"/>
      <w:numFmt w:val="lowerLetter"/>
      <w:start w:val="1"/>
    </w:lvl>
  </w:abstractNum>
  <w:abstractNum w:abstractNumId="268">
    <w:nsid w:val="3B1DD403"/>
    <w:multiLevelType w:val="hybridMultilevel"/>
    <w:lvl w:ilvl="0">
      <w:lvlJc w:val="left"/>
      <w:lvlText w:val="(%1)"/>
      <w:numFmt w:val="decimal"/>
      <w:start w:val="23"/>
    </w:lvl>
    <w:lvl w:ilvl="1">
      <w:lvlJc w:val="left"/>
      <w:lvlText w:val="%2"/>
      <w:numFmt w:val="lowerLetter"/>
      <w:start w:val="1"/>
    </w:lvl>
  </w:abstractNum>
  <w:abstractNum w:abstractNumId="269">
    <w:nsid w:val="530386D1"/>
    <w:multiLevelType w:val="hybridMultilevel"/>
    <w:lvl w:ilvl="0">
      <w:lvlJc w:val="left"/>
      <w:lvlText w:val="(%1)"/>
      <w:numFmt w:val="decimal"/>
      <w:start w:val="1"/>
    </w:lvl>
  </w:abstractNum>
  <w:abstractNum w:abstractNumId="270">
    <w:nsid w:val="7525F2BC"/>
    <w:multiLevelType w:val="hybridMultilevel"/>
    <w:lvl w:ilvl="0">
      <w:lvlJc w:val="left"/>
      <w:lvlText w:val="(%1)"/>
      <w:numFmt w:val="decimal"/>
      <w:start w:val="1"/>
    </w:lvl>
  </w:abstractNum>
  <w:abstractNum w:abstractNumId="271">
    <w:nsid w:val="CE8E1A7"/>
    <w:multiLevelType w:val="hybridMultilevel"/>
    <w:lvl w:ilvl="0">
      <w:lvlJc w:val="left"/>
      <w:lvlText w:val="(%1)"/>
      <w:numFmt w:val="decimal"/>
      <w:start w:val="1"/>
    </w:lvl>
  </w:abstractNum>
  <w:abstractNum w:abstractNumId="272">
    <w:nsid w:val="4E9EFB0D"/>
    <w:multiLevelType w:val="hybridMultilevel"/>
    <w:lvl w:ilvl="0">
      <w:lvlJc w:val="left"/>
      <w:lvlText w:val="(%1)"/>
      <w:numFmt w:val="decimal"/>
      <w:start w:val="1"/>
    </w:lvl>
  </w:abstractNum>
  <w:abstractNum w:abstractNumId="273">
    <w:nsid w:val="90802BE"/>
    <w:multiLevelType w:val="hybridMultilevel"/>
    <w:lvl w:ilvl="0">
      <w:lvlJc w:val="left"/>
      <w:lvlText w:val="(%1)"/>
      <w:numFmt w:val="decimal"/>
      <w:start w:val="1"/>
    </w:lvl>
  </w:abstractNum>
  <w:abstractNum w:abstractNumId="274">
    <w:nsid w:val="3266459B"/>
    <w:multiLevelType w:val="hybridMultilevel"/>
    <w:lvl w:ilvl="0">
      <w:lvlJc w:val="left"/>
      <w:lvlText w:val="(%1)"/>
      <w:numFmt w:val="decimal"/>
      <w:start w:val="1"/>
    </w:lvl>
    <w:lvl w:ilvl="1">
      <w:lvlJc w:val="left"/>
      <w:lvlText w:val="(%2)"/>
      <w:numFmt w:val="lowerLetter"/>
      <w:start w:val="1"/>
    </w:lvl>
  </w:abstractNum>
  <w:abstractNum w:abstractNumId="275">
    <w:nsid w:val="3F8B0CBF"/>
    <w:multiLevelType w:val="hybridMultilevel"/>
    <w:lvl w:ilvl="0">
      <w:lvlJc w:val="left"/>
      <w:lvlText w:val="(%1)"/>
      <w:numFmt w:val="decimal"/>
      <w:start w:val="2"/>
    </w:lvl>
  </w:abstractNum>
  <w:abstractNum w:abstractNumId="276">
    <w:nsid w:val="37E203AB"/>
    <w:multiLevelType w:val="hybridMultilevel"/>
    <w:lvl w:ilvl="0">
      <w:lvlJc w:val="left"/>
      <w:lvlText w:val="(%1)"/>
      <w:numFmt w:val="decimal"/>
      <w:start w:val="1"/>
    </w:lvl>
  </w:abstractNum>
  <w:abstractNum w:abstractNumId="277">
    <w:nsid w:val="2586D60E"/>
    <w:multiLevelType w:val="hybridMultilevel"/>
    <w:lvl w:ilvl="0">
      <w:lvlJc w:val="left"/>
      <w:lvlText w:val="(%1)"/>
      <w:numFmt w:val="decimal"/>
      <w:start w:val="1"/>
    </w:lvl>
  </w:abstractNum>
  <w:abstractNum w:abstractNumId="278">
    <w:nsid w:val="1F3DA4D5"/>
    <w:multiLevelType w:val="hybridMultilevel"/>
    <w:lvl w:ilvl="0">
      <w:lvlJc w:val="left"/>
      <w:lvlText w:val="(%1)"/>
      <w:numFmt w:val="decimal"/>
      <w:start w:val="1"/>
    </w:lvl>
  </w:abstractNum>
  <w:abstractNum w:abstractNumId="279">
    <w:nsid w:val="74C93698"/>
    <w:multiLevelType w:val="hybridMultilevel"/>
    <w:lvl w:ilvl="0">
      <w:lvlJc w:val="left"/>
      <w:lvlText w:val="(%1)"/>
      <w:numFmt w:val="decimal"/>
      <w:start w:val="1"/>
    </w:lvl>
  </w:abstractNum>
  <w:abstractNum w:abstractNumId="280">
    <w:nsid w:val="48781401"/>
    <w:multiLevelType w:val="hybridMultilevel"/>
    <w:lvl w:ilvl="0">
      <w:lvlJc w:val="left"/>
      <w:lvlText w:val="(%1)"/>
      <w:numFmt w:val="decimal"/>
      <w:start w:val="1"/>
    </w:lvl>
  </w:abstractNum>
  <w:abstractNum w:abstractNumId="281">
    <w:nsid w:val="186928D6"/>
    <w:multiLevelType w:val="hybridMultilevel"/>
    <w:lvl w:ilvl="0">
      <w:lvlJc w:val="left"/>
      <w:lvlText w:val="(%1)"/>
      <w:numFmt w:val="lowerLetter"/>
      <w:start w:val="1"/>
    </w:lvl>
  </w:abstractNum>
  <w:abstractNum w:abstractNumId="282">
    <w:nsid w:val="47195E5"/>
    <w:multiLevelType w:val="hybridMultilevel"/>
    <w:lvl w:ilvl="0">
      <w:lvlJc w:val="left"/>
      <w:lvlText w:val="(%1)"/>
      <w:numFmt w:val="decimal"/>
      <w:start w:val="3"/>
    </w:lvl>
  </w:abstractNum>
  <w:abstractNum w:abstractNumId="283">
    <w:nsid w:val="3746A5F2"/>
    <w:multiLevelType w:val="hybridMultilevel"/>
    <w:lvl w:ilvl="0">
      <w:lvlJc w:val="left"/>
      <w:lvlText w:val="(%1)"/>
      <w:numFmt w:val="decimal"/>
      <w:start w:val="1"/>
    </w:lvl>
  </w:abstractNum>
  <w:abstractNum w:abstractNumId="284">
    <w:nsid w:val="682DFED6"/>
    <w:multiLevelType w:val="hybridMultilevel"/>
    <w:lvl w:ilvl="0">
      <w:lvlJc w:val="left"/>
      <w:lvlText w:val="(%1)"/>
      <w:numFmt w:val="decimal"/>
      <w:start w:val="1"/>
    </w:lvl>
  </w:abstractNum>
  <w:abstractNum w:abstractNumId="285">
    <w:nsid w:val="606ED7F6"/>
    <w:multiLevelType w:val="hybridMultilevel"/>
    <w:lvl w:ilvl="0">
      <w:lvlJc w:val="left"/>
      <w:lvlText w:val="•"/>
      <w:numFmt w:val="bullet"/>
      <w:start w:val="1"/>
    </w:lvl>
  </w:abstractNum>
  <w:abstractNum w:abstractNumId="286">
    <w:nsid w:val="2D9DF57D"/>
    <w:multiLevelType w:val="hybridMultilevel"/>
    <w:lvl w:ilvl="0">
      <w:lvlJc w:val="left"/>
      <w:lvlText w:val="•"/>
      <w:numFmt w:val="bullet"/>
      <w:start w:val="1"/>
    </w:lvl>
  </w:abstractNum>
  <w:abstractNum w:abstractNumId="287">
    <w:nsid w:val="7FBD7A3E"/>
    <w:multiLevelType w:val="hybridMultilevel"/>
    <w:lvl w:ilvl="0">
      <w:lvlJc w:val="left"/>
      <w:lvlText w:val="•"/>
      <w:numFmt w:val="bullet"/>
      <w:start w:val="1"/>
    </w:lvl>
  </w:abstractNum>
  <w:abstractNum w:abstractNumId="288">
    <w:nsid w:val="490B7C5"/>
    <w:multiLevelType w:val="hybridMultilevel"/>
    <w:lvl w:ilvl="0">
      <w:lvlJc w:val="left"/>
      <w:lvlText w:val="•"/>
      <w:numFmt w:val="bullet"/>
      <w:start w:val="1"/>
    </w:lvl>
  </w:abstractNum>
  <w:abstractNum w:abstractNumId="289">
    <w:nsid w:val="4303A216"/>
    <w:multiLevelType w:val="hybridMultilevel"/>
    <w:lvl w:ilvl="0">
      <w:lvlJc w:val="left"/>
      <w:lvlText w:val="•"/>
      <w:numFmt w:val="bullet"/>
      <w:start w:val="1"/>
    </w:lvl>
  </w:abstractNum>
  <w:abstractNum w:abstractNumId="290">
    <w:nsid w:val="19B8A08E"/>
    <w:multiLevelType w:val="hybridMultilevel"/>
    <w:lvl w:ilvl="0">
      <w:lvlJc w:val="left"/>
      <w:lvlText w:val="•"/>
      <w:numFmt w:val="bullet"/>
      <w:start w:val="1"/>
    </w:lvl>
  </w:abstractNum>
  <w:abstractNum w:abstractNumId="291">
    <w:nsid w:val="54B59621"/>
    <w:multiLevelType w:val="hybridMultilevel"/>
    <w:lvl w:ilvl="0">
      <w:lvlJc w:val="left"/>
      <w:lvlText w:val="•"/>
      <w:numFmt w:val="bullet"/>
      <w:start w:val="1"/>
    </w:lvl>
  </w:abstractNum>
  <w:abstractNum w:abstractNumId="292">
    <w:nsid w:val="5992A02E"/>
    <w:multiLevelType w:val="hybridMultilevel"/>
    <w:lvl w:ilvl="0">
      <w:lvlJc w:val="left"/>
      <w:lvlText w:val="•"/>
      <w:numFmt w:val="bullet"/>
      <w:start w:val="1"/>
    </w:lvl>
  </w:abstractNum>
  <w:abstractNum w:abstractNumId="293">
    <w:nsid w:val="29EF532D"/>
    <w:multiLevelType w:val="hybridMultilevel"/>
    <w:lvl w:ilvl="0">
      <w:lvlJc w:val="left"/>
      <w:lvlText w:val="•"/>
      <w:numFmt w:val="bullet"/>
      <w:start w:val="1"/>
    </w:lvl>
  </w:abstractNum>
  <w:abstractNum w:abstractNumId="294">
    <w:nsid w:val="71D601AF"/>
    <w:multiLevelType w:val="hybridMultilevel"/>
    <w:lvl w:ilvl="0">
      <w:lvlJc w:val="left"/>
      <w:lvlText w:val="•"/>
      <w:numFmt w:val="bullet"/>
      <w:start w:val="1"/>
    </w:lvl>
  </w:abstractNum>
  <w:abstractNum w:abstractNumId="295">
    <w:nsid w:val="52C77402"/>
    <w:multiLevelType w:val="hybridMultilevel"/>
    <w:lvl w:ilvl="0">
      <w:lvlJc w:val="left"/>
      <w:lvlText w:val="•"/>
      <w:numFmt w:val="bullet"/>
      <w:start w:val="1"/>
    </w:lvl>
    <w:lvl w:ilvl="1">
      <w:lvlJc w:val="left"/>
      <w:lvlText w:val="(%2)"/>
      <w:numFmt w:val="decimal"/>
      <w:start w:val="1"/>
    </w:lvl>
  </w:abstractNum>
  <w:abstractNum w:abstractNumId="296">
    <w:nsid w:val="2BB5B1C6"/>
    <w:multiLevelType w:val="hybridMultilevel"/>
    <w:lvl w:ilvl="0">
      <w:lvlJc w:val="left"/>
      <w:lvlText w:val="•"/>
      <w:numFmt w:val="bullet"/>
      <w:start w:val="1"/>
    </w:lvl>
    <w:lvl w:ilvl="1">
      <w:lvlJc w:val="left"/>
      <w:lvlText w:val="(%2)"/>
      <w:numFmt w:val="decimal"/>
      <w:start w:val="1"/>
    </w:lvl>
  </w:abstractNum>
  <w:abstractNum w:abstractNumId="297">
    <w:nsid w:val="66BE6B9"/>
    <w:multiLevelType w:val="hybridMultilevel"/>
    <w:lvl w:ilvl="0">
      <w:lvlJc w:val="left"/>
      <w:lvlText w:val="•"/>
      <w:numFmt w:val="bullet"/>
      <w:start w:val="1"/>
    </w:lvl>
    <w:lvl w:ilvl="1">
      <w:lvlJc w:val="left"/>
      <w:lvlText w:val="(%2)"/>
      <w:numFmt w:val="decimal"/>
      <w:start w:val="3"/>
    </w:lvl>
  </w:abstractNum>
  <w:abstractNum w:abstractNumId="298">
    <w:nsid w:val="62234363"/>
    <w:multiLevelType w:val="hybridMultilevel"/>
    <w:lvl w:ilvl="0">
      <w:lvlJc w:val="left"/>
      <w:lvlText w:val="•"/>
      <w:numFmt w:val="bullet"/>
      <w:start w:val="1"/>
    </w:lvl>
  </w:abstractNum>
  <w:abstractNum w:abstractNumId="299">
    <w:nsid w:val="66D385C9"/>
    <w:multiLevelType w:val="hybridMultilevel"/>
    <w:lvl w:ilvl="0">
      <w:lvlJc w:val="left"/>
      <w:lvlText w:val="•"/>
      <w:numFmt w:val="bullet"/>
      <w:start w:val="1"/>
    </w:lvl>
  </w:abstractNum>
  <w:abstractNum w:abstractNumId="300">
    <w:nsid w:val="596F6D8A"/>
    <w:multiLevelType w:val="hybridMultilevel"/>
    <w:lvl w:ilvl="0">
      <w:lvlJc w:val="left"/>
      <w:lvlText w:val="•"/>
      <w:numFmt w:val="bullet"/>
      <w:start w:val="1"/>
    </w:lvl>
  </w:abstractNum>
  <w:abstractNum w:abstractNumId="301">
    <w:nsid w:val="5749361F"/>
    <w:multiLevelType w:val="hybridMultilevel"/>
    <w:lvl w:ilvl="0">
      <w:lvlJc w:val="left"/>
      <w:lvlText w:val="•"/>
      <w:numFmt w:val="bullet"/>
      <w:start w:val="1"/>
    </w:lvl>
  </w:abstractNum>
  <w:abstractNum w:abstractNumId="302">
    <w:nsid w:val="73BC6770"/>
    <w:multiLevelType w:val="hybridMultilevel"/>
    <w:lvl w:ilvl="0">
      <w:lvlJc w:val="left"/>
      <w:lvlText w:val="•"/>
      <w:numFmt w:val="bullet"/>
      <w:start w:val="1"/>
    </w:lvl>
    <w:lvl w:ilvl="1">
      <w:lvlJc w:val="left"/>
      <w:lvlText w:val="•"/>
      <w:numFmt w:val="bullet"/>
      <w:start w:val="1"/>
    </w:lvl>
  </w:abstractNum>
  <w:abstractNum w:abstractNumId="303">
    <w:nsid w:val="280E6897"/>
    <w:multiLevelType w:val="hybridMultilevel"/>
    <w:lvl w:ilvl="0">
      <w:lvlJc w:val="left"/>
      <w:lvlText w:val="•"/>
      <w:numFmt w:val="bullet"/>
      <w:start w:val="1"/>
    </w:lvl>
  </w:abstractNum>
  <w:abstractNum w:abstractNumId="304">
    <w:nsid w:val="605138DE"/>
    <w:multiLevelType w:val="hybridMultilevel"/>
    <w:lvl w:ilvl="0">
      <w:lvlJc w:val="left"/>
      <w:lvlText w:val="•"/>
      <w:numFmt w:val="bullet"/>
      <w:start w:val="1"/>
    </w:lvl>
  </w:abstractNum>
  <w:abstractNum w:abstractNumId="305">
    <w:nsid w:val="2622AD0C"/>
    <w:multiLevelType w:val="hybridMultilevel"/>
    <w:lvl w:ilvl="0">
      <w:lvlJc w:val="left"/>
      <w:lvlText w:val="•"/>
      <w:numFmt w:val="bullet"/>
      <w:start w:val="1"/>
    </w:lvl>
  </w:abstractNum>
  <w:abstractNum w:abstractNumId="306">
    <w:nsid w:val="67997556"/>
    <w:multiLevelType w:val="hybridMultilevel"/>
    <w:lvl w:ilvl="0">
      <w:lvlJc w:val="left"/>
      <w:lvlText w:val="•"/>
      <w:numFmt w:val="bullet"/>
      <w:start w:val="1"/>
    </w:lvl>
  </w:abstractNum>
  <w:abstractNum w:abstractNumId="307">
    <w:nsid w:val="18333C89"/>
    <w:multiLevelType w:val="hybridMultilevel"/>
    <w:lvl w:ilvl="0">
      <w:lvlJc w:val="left"/>
      <w:lvlText w:val="•"/>
      <w:numFmt w:val="bullet"/>
      <w:start w:val="1"/>
    </w:lvl>
  </w:abstractNum>
  <w:abstractNum w:abstractNumId="308">
    <w:nsid w:val="4BA9831A"/>
    <w:multiLevelType w:val="hybridMultilevel"/>
    <w:lvl w:ilvl="0">
      <w:lvlJc w:val="left"/>
      <w:lvlText w:val="•"/>
      <w:numFmt w:val="bullet"/>
      <w:start w:val="1"/>
    </w:lvl>
  </w:abstractNum>
  <w:abstractNum w:abstractNumId="309">
    <w:nsid w:val="6D71A2B"/>
    <w:multiLevelType w:val="hybridMultilevel"/>
    <w:lvl w:ilvl="0">
      <w:lvlJc w:val="left"/>
      <w:lvlText w:val="•"/>
      <w:numFmt w:val="bullet"/>
      <w:start w:val="1"/>
    </w:lvl>
    <w:lvl w:ilvl="1">
      <w:lvlJc w:val="left"/>
      <w:lvlText w:val="(%2)"/>
      <w:numFmt w:val="decimal"/>
      <w:start w:val="1"/>
    </w:lvl>
  </w:abstractNum>
  <w:abstractNum w:abstractNumId="310">
    <w:nsid w:val="CFC7321"/>
    <w:multiLevelType w:val="hybridMultilevel"/>
    <w:lvl w:ilvl="0">
      <w:lvlJc w:val="left"/>
      <w:lvlText w:val="•"/>
      <w:numFmt w:val="bullet"/>
      <w:start w:val="1"/>
    </w:lvl>
    <w:lvl w:ilvl="1">
      <w:lvlJc w:val="left"/>
      <w:lvlText w:val="(%2)"/>
      <w:numFmt w:val="decimal"/>
      <w:start w:val="4"/>
    </w:lvl>
  </w:abstractNum>
  <w:abstractNum w:abstractNumId="311">
    <w:nsid w:val="1421971B"/>
    <w:multiLevelType w:val="hybridMultilevel"/>
    <w:lvl w:ilvl="0">
      <w:lvlJc w:val="left"/>
      <w:lvlText w:val="•"/>
      <w:numFmt w:val="bullet"/>
      <w:start w:val="1"/>
    </w:lvl>
  </w:abstractNum>
  <w:abstractNum w:abstractNumId="312">
    <w:nsid w:val="1F404301"/>
    <w:multiLevelType w:val="hybridMultilevel"/>
    <w:lvl w:ilvl="0">
      <w:lvlJc w:val="left"/>
      <w:lvlText w:val="•"/>
      <w:numFmt w:val="bullet"/>
      <w:start w:val="1"/>
    </w:lvl>
  </w:abstractNum>
  <w:abstractNum w:abstractNumId="313">
    <w:nsid w:val="116E0907"/>
    <w:multiLevelType w:val="hybridMultilevel"/>
    <w:lvl w:ilvl="0">
      <w:lvlJc w:val="left"/>
      <w:lvlText w:val="•"/>
      <w:numFmt w:val="bullet"/>
      <w:start w:val="1"/>
    </w:lvl>
  </w:abstractNum>
  <w:abstractNum w:abstractNumId="314">
    <w:nsid w:val="4B683D0D"/>
    <w:multiLevelType w:val="hybridMultilevel"/>
    <w:lvl w:ilvl="0">
      <w:lvlJc w:val="left"/>
      <w:lvlText w:val="•"/>
      <w:numFmt w:val="bullet"/>
      <w:start w:val="1"/>
    </w:lvl>
  </w:abstractNum>
  <w:abstractNum w:abstractNumId="315">
    <w:nsid w:val="76E41D8"/>
    <w:multiLevelType w:val="hybridMultilevel"/>
    <w:lvl w:ilvl="0">
      <w:lvlJc w:val="left"/>
      <w:lvlText w:val="•"/>
      <w:numFmt w:val="bullet"/>
      <w:start w:val="1"/>
    </w:lvl>
    <w:lvl w:ilvl="1">
      <w:lvlJc w:val="left"/>
      <w:lvlText w:val="(%2)"/>
      <w:numFmt w:val="decimal"/>
      <w:start w:val="1"/>
    </w:lvl>
  </w:abstractNum>
  <w:abstractNum w:abstractNumId="316">
    <w:nsid w:val="71DCE0FD"/>
    <w:multiLevelType w:val="hybridMultilevel"/>
    <w:lvl w:ilvl="0">
      <w:lvlJc w:val="left"/>
      <w:lvlText w:val="•"/>
      <w:numFmt w:val="bullet"/>
      <w:start w:val="1"/>
    </w:lvl>
  </w:abstractNum>
  <w:abstractNum w:abstractNumId="317">
    <w:nsid w:val="7906328B"/>
    <w:multiLevelType w:val="hybridMultilevel"/>
    <w:lvl w:ilvl="0">
      <w:lvlJc w:val="left"/>
      <w:lvlText w:val="•"/>
      <w:numFmt w:val="bullet"/>
      <w:start w:val="1"/>
    </w:lvl>
  </w:abstractNum>
  <w:abstractNum w:abstractNumId="318">
    <w:nsid w:val="72BBC16"/>
    <w:multiLevelType w:val="hybridMultilevel"/>
    <w:lvl w:ilvl="0">
      <w:lvlJc w:val="left"/>
      <w:lvlText w:val="•"/>
      <w:numFmt w:val="bullet"/>
      <w:start w:val="1"/>
    </w:lvl>
  </w:abstractNum>
  <w:abstractNum w:abstractNumId="319">
    <w:nsid w:val="766D98C2"/>
    <w:multiLevelType w:val="hybridMultilevel"/>
    <w:lvl w:ilvl="0">
      <w:lvlJc w:val="left"/>
      <w:lvlText w:val="•"/>
      <w:numFmt w:val="bullet"/>
      <w:start w:val="1"/>
    </w:lvl>
  </w:abstractNum>
  <w:abstractNum w:abstractNumId="320">
    <w:nsid w:val="3C09D4A1"/>
    <w:multiLevelType w:val="hybridMultilevel"/>
    <w:lvl w:ilvl="0">
      <w:lvlJc w:val="left"/>
      <w:lvlText w:val="•"/>
      <w:numFmt w:val="bullet"/>
      <w:start w:val="1"/>
    </w:lvl>
  </w:abstractNum>
  <w:abstractNum w:abstractNumId="321">
    <w:nsid w:val="20E45CA4"/>
    <w:multiLevelType w:val="hybridMultilevel"/>
    <w:lvl w:ilvl="0">
      <w:lvlJc w:val="left"/>
      <w:lvlText w:val="(%1)"/>
      <w:numFmt w:val="decimal"/>
      <w:start w:val="1"/>
    </w:lvl>
  </w:abstractNum>
  <w:abstractNum w:abstractNumId="322">
    <w:nsid w:val="4B232EE3"/>
    <w:multiLevelType w:val="hybridMultilevel"/>
    <w:lvl w:ilvl="0">
      <w:lvlJc w:val="left"/>
      <w:lvlText w:val="(%1)"/>
      <w:numFmt w:val="decimal"/>
      <w:start w:val="1"/>
    </w:lvl>
  </w:abstractNum>
  <w:abstractNum w:abstractNumId="323">
    <w:nsid w:val="159C74CF"/>
    <w:multiLevelType w:val="hybridMultilevel"/>
    <w:lvl w:ilvl="0">
      <w:lvlJc w:val="left"/>
      <w:lvlText w:val="(%1)"/>
      <w:numFmt w:val="lowerRoman"/>
      <w:start w:val="2"/>
    </w:lvl>
  </w:abstractNum>
  <w:abstractNum w:abstractNumId="324">
    <w:nsid w:val="4AD3AFD2"/>
    <w:multiLevelType w:val="hybridMultilevel"/>
    <w:lvl w:ilvl="0">
      <w:lvlJc w:val="left"/>
      <w:lvlText w:val="(%1)"/>
      <w:numFmt w:val="lowerRoman"/>
      <w:start w:val="2"/>
    </w:lvl>
  </w:abstractNum>
  <w:abstractNum w:abstractNumId="325">
    <w:nsid w:val="3CF93092"/>
    <w:multiLevelType w:val="hybridMultilevel"/>
    <w:lvl w:ilvl="0">
      <w:lvlJc w:val="left"/>
      <w:lvlText w:val="(%1)"/>
      <w:numFmt w:val="lowerLetter"/>
      <w:start w:val="1"/>
    </w:lvl>
    <w:lvl w:ilvl="1">
      <w:lvlJc w:val="left"/>
      <w:lvlText w:val="(%2)"/>
      <w:numFmt w:val="lowerRoman"/>
      <w:start w:val="1"/>
    </w:lvl>
  </w:abstractNum>
  <w:abstractNum w:abstractNumId="326">
    <w:nsid w:val="6863E8D2"/>
    <w:multiLevelType w:val="hybridMultilevel"/>
    <w:lvl w:ilvl="0">
      <w:lvlJc w:val="left"/>
      <w:lvlText w:val="(%1)"/>
      <w:numFmt w:val="lowerRoman"/>
      <w:start w:val="2"/>
    </w:lvl>
  </w:abstractNum>
  <w:abstractNum w:abstractNumId="327">
    <w:nsid w:val="76896198"/>
    <w:multiLevelType w:val="hybridMultilevel"/>
    <w:lvl w:ilvl="0">
      <w:lvlJc w:val="left"/>
      <w:lvlText w:val="%1."/>
      <w:numFmt w:val="decimal"/>
      <w:start w:val="1"/>
    </w:lvl>
  </w:abstractNum>
  <w:abstractNum w:abstractNumId="328">
    <w:nsid w:val="4365174B"/>
    <w:multiLevelType w:val="hybridMultilevel"/>
    <w:lvl w:ilvl="0">
      <w:lvlJc w:val="left"/>
      <w:lvlText w:val="%1."/>
      <w:numFmt w:val="lowerLetter"/>
      <w:start w:val="1"/>
    </w:lvl>
  </w:abstractNum>
  <w:abstractNum w:abstractNumId="329">
    <w:nsid w:val="4A872C35"/>
    <w:multiLevelType w:val="hybridMultilevel"/>
    <w:lvl w:ilvl="0">
      <w:lvlJc w:val="left"/>
      <w:lvlText w:val="%1."/>
      <w:numFmt w:val="lowerLetter"/>
      <w:start w:val="2"/>
    </w:lvl>
  </w:abstractNum>
  <w:abstractNum w:abstractNumId="330">
    <w:nsid w:val="5D5CE761"/>
    <w:multiLevelType w:val="hybridMultilevel"/>
    <w:lvl w:ilvl="0">
      <w:lvlJc w:val="left"/>
      <w:lvlText w:val="%1."/>
      <w:numFmt w:val="lowerLetter"/>
      <w:start w:val="3"/>
    </w:lvl>
  </w:abstractNum>
  <w:abstractNum w:abstractNumId="331">
    <w:nsid w:val="1CD484D5"/>
    <w:multiLevelType w:val="hybridMultilevel"/>
    <w:lvl w:ilvl="0">
      <w:lvlJc w:val="left"/>
      <w:lvlText w:val="%1."/>
      <w:numFmt w:val="lowerLetter"/>
      <w:start w:val="4"/>
    </w:lvl>
  </w:abstractNum>
  <w:abstractNum w:abstractNumId="332">
    <w:nsid w:val="21D06255"/>
    <w:multiLevelType w:val="hybridMultilevel"/>
    <w:lvl w:ilvl="0">
      <w:lvlJc w:val="left"/>
      <w:lvlText w:val="%1."/>
      <w:numFmt w:val="lowerLetter"/>
      <w:start w:val="5"/>
    </w:lvl>
  </w:abstractNum>
  <w:abstractNum w:abstractNumId="333">
    <w:nsid w:val="51194ED1"/>
    <w:multiLevelType w:val="hybridMultilevel"/>
    <w:lvl w:ilvl="0">
      <w:lvlJc w:val="left"/>
      <w:lvlText w:val="%1."/>
      <w:numFmt w:val="lowerLetter"/>
      <w:start w:val="6"/>
    </w:lvl>
  </w:abstractNum>
  <w:abstractNum w:abstractNumId="334">
    <w:nsid w:val="44E2ED6C"/>
    <w:multiLevelType w:val="hybridMultilevel"/>
    <w:lvl w:ilvl="0">
      <w:lvlJc w:val="left"/>
      <w:lvlText w:val="%1."/>
      <w:numFmt w:val="lowerLetter"/>
      <w:start w:val="7"/>
    </w:lvl>
  </w:abstractNum>
  <w:abstractNum w:abstractNumId="335">
    <w:nsid w:val="2219B33"/>
    <w:multiLevelType w:val="hybridMultilevel"/>
    <w:lvl w:ilvl="0">
      <w:lvlJc w:val="left"/>
      <w:lvlText w:val="%1."/>
      <w:numFmt w:val="lowerLetter"/>
      <w:start w:val="8"/>
    </w:lvl>
  </w:abstractNum>
  <w:abstractNum w:abstractNumId="336">
    <w:nsid w:val="773BFBDD"/>
    <w:multiLevelType w:val="hybridMultilevel"/>
    <w:lvl w:ilvl="0">
      <w:lvlJc w:val="left"/>
      <w:lvlText w:val="%1."/>
      <w:numFmt w:val="lowerRoman"/>
      <w:start w:val="1"/>
    </w:lvl>
  </w:abstractNum>
  <w:abstractNum w:abstractNumId="337">
    <w:nsid w:val="2C7C62C2"/>
    <w:multiLevelType w:val="hybridMultilevel"/>
    <w:lvl w:ilvl="0">
      <w:lvlJc w:val="left"/>
      <w:lvlText w:val="%1."/>
      <w:numFmt w:val="lowerLetter"/>
      <w:start w:val="10"/>
    </w:lvl>
  </w:abstractNum>
  <w:abstractNum w:abstractNumId="338">
    <w:nsid w:val="1A54D7BC"/>
    <w:multiLevelType w:val="hybridMultilevel"/>
    <w:lvl w:ilvl="0">
      <w:lvlJc w:val="left"/>
      <w:lvlText w:val="%1."/>
      <w:numFmt w:val="lowerLetter"/>
      <w:start w:val="11"/>
    </w:lvl>
  </w:abstractNum>
  <w:abstractNum w:abstractNumId="339">
    <w:nsid w:val="42E57EF7"/>
    <w:multiLevelType w:val="hybridMultilevel"/>
    <w:lvl w:ilvl="0">
      <w:lvlJc w:val="left"/>
      <w:lvlText w:val="%1."/>
      <w:numFmt w:val="lowerLetter"/>
      <w:start w:val="12"/>
    </w:lvl>
  </w:abstractNum>
  <w:abstractNum w:abstractNumId="340">
    <w:nsid w:val="33537CED"/>
    <w:multiLevelType w:val="hybridMultilevel"/>
    <w:lvl w:ilvl="0">
      <w:lvlJc w:val="left"/>
      <w:lvlText w:val="%1."/>
      <w:numFmt w:val="lowerLetter"/>
      <w:start w:val="13"/>
    </w:lvl>
  </w:abstractNum>
  <w:abstractNum w:abstractNumId="341">
    <w:nsid w:val="27514ADE"/>
    <w:multiLevelType w:val="hybridMultilevel"/>
    <w:lvl w:ilvl="0">
      <w:lvlJc w:val="left"/>
      <w:lvlText w:val="%1."/>
      <w:numFmt w:val="lowerLetter"/>
      <w:start w:val="14"/>
    </w:lvl>
  </w:abstractNum>
  <w:abstractNum w:abstractNumId="342">
    <w:nsid w:val="57071613"/>
    <w:multiLevelType w:val="hybridMultilevel"/>
    <w:lvl w:ilvl="0">
      <w:lvlJc w:val="left"/>
      <w:lvlText w:val="%1."/>
      <w:numFmt w:val="lowerLetter"/>
      <w:start w:val="15"/>
    </w:lvl>
  </w:abstractNum>
  <w:abstractNum w:abstractNumId="343">
    <w:nsid w:val="5293BFEF"/>
    <w:multiLevelType w:val="hybridMultilevel"/>
    <w:lvl w:ilvl="0">
      <w:lvlJc w:val="left"/>
      <w:lvlText w:val="%1."/>
      <w:numFmt w:val="lowerLetter"/>
      <w:start w:val="16"/>
    </w:lvl>
  </w:abstractNum>
  <w:abstractNum w:abstractNumId="344">
    <w:nsid w:val="38BF53E5"/>
    <w:multiLevelType w:val="hybridMultilevel"/>
    <w:lvl w:ilvl="0">
      <w:lvlJc w:val="left"/>
      <w:lvlText w:val="%1."/>
      <w:numFmt w:val="lowerLetter"/>
      <w:start w:val="17"/>
    </w:lvl>
  </w:abstractNum>
  <w:abstractNum w:abstractNumId="345">
    <w:nsid w:val="226F5320"/>
    <w:multiLevelType w:val="hybridMultilevel"/>
    <w:lvl w:ilvl="0">
      <w:lvlJc w:val="left"/>
      <w:lvlText w:val="%1."/>
      <w:numFmt w:val="lowerLetter"/>
      <w:start w:val="18"/>
    </w:lvl>
  </w:abstractNum>
  <w:abstractNum w:abstractNumId="346">
    <w:nsid w:val="5A0201C7"/>
    <w:multiLevelType w:val="hybridMultilevel"/>
    <w:lvl w:ilvl="0">
      <w:lvlJc w:val="left"/>
      <w:lvlText w:val="%1."/>
      <w:numFmt w:val="decimal"/>
      <w:start w:val="2"/>
    </w:lvl>
  </w:abstractNum>
  <w:abstractNum w:abstractNumId="347">
    <w:nsid w:val="2A9C34E2"/>
    <w:multiLevelType w:val="hybridMultilevel"/>
    <w:lvl w:ilvl="0">
      <w:lvlJc w:val="left"/>
      <w:lvlText w:val="%1."/>
      <w:numFmt w:val="decimal"/>
      <w:start w:val="5"/>
    </w:lvl>
  </w:abstractNum>
  <w:abstractNum w:abstractNumId="348">
    <w:nsid w:val="1B7585AB"/>
    <w:multiLevelType w:val="hybridMultilevel"/>
    <w:lvl w:ilvl="0">
      <w:lvlJc w:val="left"/>
      <w:lvlText w:val="%1."/>
      <w:numFmt w:val="decimal"/>
      <w:start w:val="6"/>
    </w:lvl>
  </w:abstractNum>
  <w:abstractNum w:abstractNumId="349">
    <w:nsid w:val="612DBDDD"/>
    <w:multiLevelType w:val="hybridMultilevel"/>
    <w:lvl w:ilvl="0">
      <w:lvlJc w:val="left"/>
      <w:lvlText w:val="%1."/>
      <w:numFmt w:val="decimal"/>
      <w:start w:val="7"/>
    </w:lvl>
  </w:abstractNum>
  <w:abstractNum w:abstractNumId="350">
    <w:nsid w:val="2109CDA4"/>
    <w:multiLevelType w:val="hybridMultilevel"/>
    <w:lvl w:ilvl="0">
      <w:lvlJc w:val="left"/>
      <w:lvlText w:val="%1."/>
      <w:numFmt w:val="decimal"/>
      <w:start w:val="8"/>
    </w:lvl>
  </w:abstractNum>
  <w:abstractNum w:abstractNumId="351">
    <w:nsid w:val="577F5A4D"/>
    <w:multiLevelType w:val="hybridMultilevel"/>
    <w:lvl w:ilvl="0">
      <w:lvlJc w:val="left"/>
      <w:lvlText w:val="%1."/>
      <w:numFmt w:val="lowerLetter"/>
      <w:start w:val="1"/>
    </w:lvl>
  </w:abstractNum>
  <w:abstractNum w:abstractNumId="352">
    <w:nsid w:val="2121A81"/>
    <w:multiLevelType w:val="hybridMultilevel"/>
    <w:lvl w:ilvl="0">
      <w:lvlJc w:val="left"/>
      <w:lvlText w:val="%1."/>
      <w:numFmt w:val="lowerLetter"/>
      <w:start w:val="2"/>
    </w:lvl>
  </w:abstractNum>
  <w:abstractNum w:abstractNumId="353">
    <w:nsid w:val="6C2CFC88"/>
    <w:multiLevelType w:val="hybridMultilevel"/>
    <w:lvl w:ilvl="0">
      <w:lvlJc w:val="left"/>
      <w:lvlText w:val="%1."/>
      <w:numFmt w:val="lowerLetter"/>
      <w:start w:val="3"/>
    </w:lvl>
  </w:abstractNum>
  <w:abstractNum w:abstractNumId="354">
    <w:nsid w:val="6D1BCF1C"/>
    <w:multiLevelType w:val="hybridMultilevel"/>
    <w:lvl w:ilvl="0">
      <w:lvlJc w:val="left"/>
      <w:lvlText w:val="%1."/>
      <w:numFmt w:val="lowerLetter"/>
      <w:start w:val="4"/>
    </w:lvl>
  </w:abstractNum>
  <w:abstractNum w:abstractNumId="355">
    <w:nsid w:val="4CE5CA53"/>
    <w:multiLevelType w:val="hybridMultilevel"/>
    <w:lvl w:ilvl="0">
      <w:lvlJc w:val="left"/>
      <w:lvlText w:val="%1."/>
      <w:numFmt w:val="lowerLetter"/>
      <w:start w:val="5"/>
    </w:lvl>
  </w:abstractNum>
  <w:abstractNum w:abstractNumId="356">
    <w:nsid w:val="29262D1A"/>
    <w:multiLevelType w:val="hybridMultilevel"/>
    <w:lvl w:ilvl="0">
      <w:lvlJc w:val="left"/>
      <w:lvlText w:val="%1."/>
      <w:numFmt w:val="lowerLetter"/>
      <w:start w:val="6"/>
    </w:lvl>
  </w:abstractNum>
  <w:abstractNum w:abstractNumId="357">
    <w:nsid w:val="557FB7EE"/>
    <w:multiLevelType w:val="hybridMultilevel"/>
    <w:lvl w:ilvl="0">
      <w:lvlJc w:val="left"/>
      <w:lvlText w:val="%1."/>
      <w:numFmt w:val="decimal"/>
      <w:start w:val="9"/>
    </w:lvl>
  </w:abstractNum>
  <w:abstractNum w:abstractNumId="358">
    <w:nsid w:val="436F2BEB"/>
    <w:multiLevelType w:val="hybridMultilevel"/>
    <w:lvl w:ilvl="0">
      <w:lvlJc w:val="left"/>
      <w:lvlText w:val="%1."/>
      <w:numFmt w:val="decimal"/>
      <w:start w:val="10"/>
    </w:lvl>
  </w:abstractNum>
  <w:abstractNum w:abstractNumId="359">
    <w:nsid w:val="6C8B4466"/>
    <w:multiLevelType w:val="hybridMultilevel"/>
    <w:lvl w:ilvl="0">
      <w:lvlJc w:val="left"/>
      <w:lvlText w:val="%1."/>
      <w:numFmt w:val="lowerLetter"/>
      <w:start w:val="1"/>
    </w:lvl>
  </w:abstractNum>
  <w:abstractNum w:abstractNumId="360">
    <w:nsid w:val="2006E424"/>
    <w:multiLevelType w:val="hybridMultilevel"/>
    <w:lvl w:ilvl="0">
      <w:lvlJc w:val="left"/>
      <w:lvlText w:val="%1."/>
      <w:numFmt w:val="lowerLetter"/>
      <w:start w:val="2"/>
    </w:lvl>
  </w:abstractNum>
  <w:abstractNum w:abstractNumId="361">
    <w:nsid w:val="20CC134C"/>
    <w:multiLevelType w:val="hybridMultilevel"/>
    <w:lvl w:ilvl="0">
      <w:lvlJc w:val="left"/>
      <w:lvlText w:val="%1."/>
      <w:numFmt w:val="lowerLetter"/>
      <w:start w:val="3"/>
    </w:lvl>
  </w:abstractNum>
  <w:abstractNum w:abstractNumId="362">
    <w:nsid w:val="95FC93B"/>
    <w:multiLevelType w:val="hybridMultilevel"/>
    <w:lvl w:ilvl="0">
      <w:lvlJc w:val="left"/>
      <w:lvlText w:val="%1."/>
      <w:numFmt w:val="lowerLetter"/>
      <w:start w:val="4"/>
    </w:lvl>
  </w:abstractNum>
  <w:abstractNum w:abstractNumId="363">
    <w:nsid w:val="41D74679"/>
    <w:multiLevelType w:val="hybridMultilevel"/>
    <w:lvl w:ilvl="0">
      <w:lvlJc w:val="left"/>
      <w:lvlText w:val="%1."/>
      <w:numFmt w:val="lowerLetter"/>
      <w:start w:val="5"/>
    </w:lvl>
  </w:abstractNum>
  <w:abstractNum w:abstractNumId="364">
    <w:nsid w:val="71E5621E"/>
    <w:multiLevelType w:val="hybridMultilevel"/>
    <w:lvl w:ilvl="0">
      <w:lvlJc w:val="left"/>
      <w:lvlText w:val="%1."/>
      <w:numFmt w:val="decimal"/>
      <w:start w:val="11"/>
    </w:lvl>
  </w:abstractNum>
  <w:abstractNum w:abstractNumId="365">
    <w:nsid w:val="4E42B6A8"/>
    <w:multiLevelType w:val="hybridMultilevel"/>
    <w:lvl w:ilvl="0">
      <w:lvlJc w:val="left"/>
      <w:lvlText w:val="%1."/>
      <w:numFmt w:val="decimal"/>
      <w:start w:val="12"/>
    </w:lvl>
  </w:abstractNum>
  <w:abstractNum w:abstractNumId="366">
    <w:nsid w:val="43F8E1AC"/>
    <w:multiLevelType w:val="hybridMultilevel"/>
    <w:lvl w:ilvl="0">
      <w:lvlJc w:val="left"/>
      <w:lvlText w:val="%1."/>
      <w:numFmt w:val="lowerLetter"/>
      <w:start w:val="1"/>
    </w:lvl>
  </w:abstractNum>
  <w:abstractNum w:abstractNumId="367">
    <w:nsid w:val="69215DFB"/>
    <w:multiLevelType w:val="hybridMultilevel"/>
    <w:lvl w:ilvl="0">
      <w:lvlJc w:val="left"/>
      <w:lvlText w:val="%1."/>
      <w:numFmt w:val="lowerLetter"/>
      <w:start w:val="2"/>
    </w:lvl>
  </w:abstractNum>
  <w:abstractNum w:abstractNumId="368">
    <w:nsid w:val="7ABF196A"/>
    <w:multiLevelType w:val="hybridMultilevel"/>
    <w:lvl w:ilvl="0">
      <w:lvlJc w:val="left"/>
      <w:lvlText w:val="%1."/>
      <w:numFmt w:val="lowerLetter"/>
      <w:start w:val="3"/>
    </w:lvl>
  </w:abstractNum>
  <w:abstractNum w:abstractNumId="369">
    <w:nsid w:val="5E4DB968"/>
    <w:multiLevelType w:val="hybridMultilevel"/>
    <w:lvl w:ilvl="0">
      <w:lvlJc w:val="left"/>
      <w:lvlText w:val="%1."/>
      <w:numFmt w:val="lowerLetter"/>
      <w:start w:val="4"/>
    </w:lvl>
  </w:abstractNum>
  <w:abstractNum w:abstractNumId="370">
    <w:nsid w:val="2C06DCF3"/>
    <w:multiLevelType w:val="hybridMultilevel"/>
    <w:lvl w:ilvl="0">
      <w:lvlJc w:val="left"/>
      <w:lvlText w:val="%1."/>
      <w:numFmt w:val="lowerLetter"/>
      <w:start w:val="5"/>
    </w:lvl>
  </w:abstractNum>
  <w:abstractNum w:abstractNumId="371">
    <w:nsid w:val="2E129658"/>
    <w:multiLevelType w:val="hybridMultilevel"/>
    <w:lvl w:ilvl="0">
      <w:lvlJc w:val="left"/>
      <w:lvlText w:val="%1."/>
      <w:numFmt w:val="lowerLetter"/>
      <w:start w:val="6"/>
    </w:lvl>
  </w:abstractNum>
  <w:abstractNum w:abstractNumId="372">
    <w:nsid w:val="59F0446"/>
    <w:multiLevelType w:val="hybridMultilevel"/>
    <w:lvl w:ilvl="0">
      <w:lvlJc w:val="left"/>
      <w:lvlText w:val="%1."/>
      <w:numFmt w:val="lowerLetter"/>
      <w:start w:val="7"/>
    </w:lvl>
  </w:abstractNum>
  <w:abstractNum w:abstractNumId="373">
    <w:nsid w:val="30DF306"/>
    <w:multiLevelType w:val="hybridMultilevel"/>
    <w:lvl w:ilvl="0">
      <w:lvlJc w:val="left"/>
      <w:lvlText w:val="%1."/>
      <w:numFmt w:val="lowerLetter"/>
      <w:start w:val="8"/>
    </w:lvl>
  </w:abstractNum>
  <w:abstractNum w:abstractNumId="374">
    <w:nsid w:val="A65647"/>
    <w:multiLevelType w:val="hybridMultilevel"/>
    <w:lvl w:ilvl="0">
      <w:lvlJc w:val="left"/>
      <w:lvlText w:val="%1."/>
      <w:numFmt w:val="lowerRoman"/>
      <w:start w:val="1"/>
    </w:lvl>
  </w:abstractNum>
  <w:abstractNum w:abstractNumId="375">
    <w:nsid w:val="3E5E582B"/>
    <w:multiLevelType w:val="hybridMultilevel"/>
    <w:lvl w:ilvl="0">
      <w:lvlJc w:val="left"/>
      <w:lvlText w:val="%1."/>
      <w:numFmt w:val="lowerLetter"/>
      <w:start w:val="10"/>
    </w:lvl>
  </w:abstractNum>
  <w:abstractNum w:abstractNumId="376">
    <w:nsid w:val="257D4626"/>
    <w:multiLevelType w:val="hybridMultilevel"/>
    <w:lvl w:ilvl="0">
      <w:lvlJc w:val="left"/>
      <w:lvlText w:val="%1."/>
      <w:numFmt w:val="lowerLetter"/>
      <w:start w:val="10"/>
    </w:lvl>
  </w:abstractNum>
  <w:abstractNum w:abstractNumId="377">
    <w:nsid w:val="5AA8580E"/>
    <w:multiLevelType w:val="hybridMultilevel"/>
    <w:lvl w:ilvl="0">
      <w:lvlJc w:val="left"/>
      <w:lvlText w:val="%1."/>
      <w:numFmt w:val="lowerLetter"/>
      <w:start w:val="11"/>
    </w:lvl>
  </w:abstractNum>
  <w:abstractNum w:abstractNumId="378">
    <w:nsid w:val="68FA8D0D"/>
    <w:multiLevelType w:val="hybridMultilevel"/>
    <w:lvl w:ilvl="0">
      <w:lvlJc w:val="left"/>
      <w:lvlText w:val="%1."/>
      <w:numFmt w:val="lowerLetter"/>
      <w:start w:val="12"/>
    </w:lvl>
  </w:abstractNum>
  <w:abstractNum w:abstractNumId="379">
    <w:nsid w:val="40F2CBD2"/>
    <w:multiLevelType w:val="hybridMultilevel"/>
    <w:lvl w:ilvl="0">
      <w:lvlJc w:val="left"/>
      <w:lvlText w:val="%1."/>
      <w:numFmt w:val="lowerLetter"/>
      <w:start w:val="16"/>
    </w:lvl>
  </w:abstractNum>
  <w:abstractNum w:abstractNumId="380">
    <w:nsid w:val="3BD615EB"/>
    <w:multiLevelType w:val="hybridMultilevel"/>
    <w:lvl w:ilvl="0">
      <w:lvlJc w:val="left"/>
      <w:lvlText w:val="%1."/>
      <w:numFmt w:val="decimal"/>
      <w:start w:val="2"/>
    </w:lvl>
  </w:abstractNum>
  <w:abstractNum w:abstractNumId="381">
    <w:nsid w:val="A045AB2"/>
    <w:multiLevelType w:val="hybridMultilevel"/>
    <w:lvl w:ilvl="0">
      <w:lvlJc w:val="left"/>
      <w:lvlText w:val="%1."/>
      <w:numFmt w:val="decimal"/>
      <w:start w:val="3"/>
    </w:lvl>
  </w:abstractNum>
  <w:abstractNum w:abstractNumId="382">
    <w:nsid w:val="1872261F"/>
    <w:multiLevelType w:val="hybridMultilevel"/>
    <w:lvl w:ilvl="0">
      <w:lvlJc w:val="left"/>
      <w:lvlText w:val="%1."/>
      <w:numFmt w:val="decimal"/>
      <w:start w:val="4"/>
    </w:lvl>
  </w:abstractNum>
  <w:abstractNum w:abstractNumId="383">
    <w:nsid w:val="3DE8306C"/>
    <w:multiLevelType w:val="hybridMultilevel"/>
    <w:lvl w:ilvl="0">
      <w:lvlJc w:val="left"/>
      <w:lvlText w:val="%1."/>
      <w:numFmt w:val="lowerLetter"/>
      <w:start w:val="1"/>
    </w:lvl>
  </w:abstractNum>
  <w:abstractNum w:abstractNumId="384">
    <w:nsid w:val="7631573A"/>
    <w:multiLevelType w:val="hybridMultilevel"/>
    <w:lvl w:ilvl="0">
      <w:lvlJc w:val="left"/>
      <w:lvlText w:val="%1."/>
      <w:numFmt w:val="lowerLetter"/>
      <w:start w:val="2"/>
    </w:lvl>
  </w:abstractNum>
  <w:abstractNum w:abstractNumId="385">
    <w:nsid w:val="58DF53B"/>
    <w:multiLevelType w:val="hybridMultilevel"/>
    <w:lvl w:ilvl="0">
      <w:lvlJc w:val="left"/>
      <w:lvlText w:val="%1."/>
      <w:numFmt w:val="lowerLetter"/>
      <w:start w:val="3"/>
    </w:lvl>
  </w:abstractNum>
  <w:abstractNum w:abstractNumId="386">
    <w:nsid w:val="ACDFAC0"/>
    <w:multiLevelType w:val="hybridMultilevel"/>
    <w:lvl w:ilvl="0">
      <w:lvlJc w:val="left"/>
      <w:lvlText w:val="%1."/>
      <w:numFmt w:val="lowerLetter"/>
      <w:start w:val="6"/>
    </w:lvl>
  </w:abstractNum>
  <w:abstractNum w:abstractNumId="387">
    <w:nsid w:val="1F578454"/>
    <w:multiLevelType w:val="hybridMultilevel"/>
    <w:lvl w:ilvl="0">
      <w:lvlJc w:val="left"/>
      <w:lvlText w:val="%1."/>
      <w:numFmt w:val="decimal"/>
      <w:start w:val="5"/>
    </w:lvl>
  </w:abstractNum>
  <w:abstractNum w:abstractNumId="388">
    <w:nsid w:val="5B0DAD2A"/>
    <w:multiLevelType w:val="hybridMultilevel"/>
    <w:lvl w:ilvl="0">
      <w:lvlJc w:val="left"/>
      <w:lvlText w:val="%1."/>
      <w:numFmt w:val="decimal"/>
      <w:start w:val="6"/>
    </w:lvl>
  </w:abstractNum>
  <w:abstractNum w:abstractNumId="389">
    <w:nsid w:val="4E3D26AB"/>
    <w:multiLevelType w:val="hybridMultilevel"/>
    <w:lvl w:ilvl="0">
      <w:lvlJc w:val="left"/>
      <w:lvlText w:val="•"/>
      <w:numFmt w:val="bullet"/>
      <w:start w:val="1"/>
    </w:lvl>
  </w:abstractNum>
  <w:abstractNum w:abstractNumId="390">
    <w:nsid w:val="BE2C8BA"/>
    <w:multiLevelType w:val="hybridMultilevel"/>
    <w:lvl w:ilvl="0">
      <w:lvlJc w:val="left"/>
      <w:lvlText w:val="$"/>
      <w:numFmt w:val="bullet"/>
      <w:start w:val="1"/>
    </w:lvl>
  </w:abstractNum>
  <w:abstractNum w:abstractNumId="391">
    <w:nsid w:val="7B14914E"/>
    <w:multiLevelType w:val="hybridMultilevel"/>
    <w:lvl w:ilvl="0">
      <w:lvlJc w:val="left"/>
      <w:lvlText w:val="$"/>
      <w:numFmt w:val="bullet"/>
      <w:start w:val="1"/>
    </w:lvl>
  </w:abstractNum>
  <w:abstractNum w:abstractNumId="392">
    <w:nsid w:val="6F0939F8"/>
    <w:multiLevelType w:val="hybridMultilevel"/>
    <w:lvl w:ilvl="0">
      <w:lvlJc w:val="left"/>
      <w:lvlText w:val="(%1)"/>
      <w:numFmt w:val="lowerLetter"/>
      <w:start w:val="1"/>
    </w:lvl>
  </w:abstractNum>
  <w:abstractNum w:abstractNumId="393">
    <w:nsid w:val="154291F6"/>
    <w:multiLevelType w:val="hybridMultilevel"/>
    <w:lvl w:ilvl="0">
      <w:lvlJc w:val="left"/>
      <w:lvlText w:val="(%1)"/>
      <w:numFmt w:val="lowerLetter"/>
      <w:start w:val="3"/>
    </w:lvl>
  </w:abstractNum>
  <w:abstractNum w:abstractNumId="394">
    <w:nsid w:val="3CEBD7C7"/>
    <w:multiLevelType w:val="hybridMultilevel"/>
    <w:lvl w:ilvl="0">
      <w:lvlJc w:val="left"/>
      <w:lvlText w:val="(%1)"/>
      <w:numFmt w:val="decimal"/>
      <w:start w:val="1"/>
    </w:lvl>
  </w:abstractNum>
  <w:abstractNum w:abstractNumId="395">
    <w:nsid w:val="60EE9C16"/>
    <w:multiLevelType w:val="hybridMultilevel"/>
    <w:lvl w:ilvl="0">
      <w:lvlJc w:val="left"/>
      <w:lvlText w:val="(%1)"/>
      <w:numFmt w:val="decimal"/>
      <w:start w:val="11"/>
    </w:lvl>
  </w:abstractNum>
  <w:abstractNum w:abstractNumId="396">
    <w:nsid w:val="6385489E"/>
    <w:multiLevelType w:val="hybridMultilevel"/>
    <w:lvl w:ilvl="0">
      <w:lvlJc w:val="left"/>
      <w:lvlText w:val="(%1)"/>
      <w:numFmt w:val="decimal"/>
      <w:start w:val="1"/>
    </w:lvl>
  </w:abstractNum>
  <w:abstractNum w:abstractNumId="397">
    <w:nsid w:val="E4B9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2019-12-15T07:58:29Z</dcterms:created>
  <dcterms:modified xsi:type="dcterms:W3CDTF">2019-12-15T07:58:29Z</dcterms:modified>
</cp:coreProperties>
</file>