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SHOEMAKER ALVIN V</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74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vMerge w:val="restart"/>
          </w:tcPr>
          <w:p>
            <w:pPr>
              <w:spacing w:after="0"/>
              <w:rPr>
                <w:sz w:val="7"/>
                <w:szCs w:val="7"/>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03/02/2011</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8"/>
            <w:vMerge w:val="restart"/>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4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4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vMerge w:val="restart"/>
          </w:tcPr>
          <w:p>
            <w:pPr>
              <w:spacing w:after="0"/>
              <w:rPr>
                <w:sz w:val="5"/>
                <w:szCs w:val="5"/>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20" w:type="dxa"/>
            <w:vAlign w:val="bottom"/>
            <w:gridSpan w:val="5"/>
          </w:tcPr>
          <w:p>
            <w:pPr>
              <w:ind w:left="1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ind w:left="12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5"/>
                <w:szCs w:val="15"/>
                <w:color w:val="auto"/>
              </w:rPr>
            </w:pPr>
          </w:p>
        </w:tc>
        <w:tc>
          <w:tcPr>
            <w:tcW w:w="19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3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420" w:type="dxa"/>
            <w:vAlign w:val="bottom"/>
            <w:tcBorders>
              <w:bottom w:val="single" w:sz="8" w:color="2C2C2C"/>
            </w:tcBorders>
            <w:gridSpan w:val="4"/>
          </w:tcPr>
          <w:p>
            <w:pPr>
              <w:ind w:left="600"/>
              <w:spacing w:after="0"/>
              <w:rPr>
                <w:sz w:val="20"/>
                <w:szCs w:val="20"/>
                <w:color w:val="auto"/>
              </w:rPr>
            </w:pPr>
            <w:r>
              <w:rPr>
                <w:rFonts w:ascii="Arial" w:cs="Arial" w:eastAsia="Arial" w:hAnsi="Arial"/>
                <w:sz w:val="18"/>
                <w:szCs w:val="18"/>
                <w:color w:val="0000FF"/>
                <w:w w:val="88"/>
              </w:rPr>
              <w:t>03/02/2011</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5,000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126.0066</w:t>
            </w:r>
            <w:r>
              <w:rPr>
                <w:rFonts w:ascii="Arial" w:cs="Arial" w:eastAsia="Arial" w:hAnsi="Arial"/>
                <w:sz w:val="22"/>
                <w:szCs w:val="22"/>
                <w:color w:val="008000"/>
                <w:w w:val="91"/>
                <w:vertAlign w:val="superscript"/>
              </w:rPr>
              <w:t>(1)</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7,500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7"/>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00" w:type="dxa"/>
            <w:vAlign w:val="bottom"/>
            <w:gridSpan w:val="14"/>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weighted average price of multiple transactions with a range of prices between $126.00 and $126.06. The reporting person, upon request by the staff of the SEC, Wynn Resorts, Limited or any security holder of Wynn Resorts, Limited, undertakes to provide further information regarding the number of securities sold at each separate price.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Kevin Tourek, attorney-in-</w:t>
            </w: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03/02/2011</w:t>
            </w: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5"/>
              </w:rPr>
              <w:t>fact for Alvin V. Shoemaker</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9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6"/>
              </w:rPr>
              <w:t>** Signature of Reporting Person</w:t>
            </w:r>
          </w:p>
        </w:tc>
        <w:tc>
          <w:tcPr>
            <w:tcW w:w="220" w:type="dxa"/>
            <w:vAlign w:val="bottom"/>
            <w:gridSpan w:val="2"/>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192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2019-12-18T02:20:47Z</dcterms:created>
  <dcterms:modified xsi:type="dcterms:W3CDTF">2019-12-18T02:20:47Z</dcterms:modified>
</cp:coreProperties>
</file>