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68580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82550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November 2,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75" w:lineRule="exact"/>
        <w:rPr>
          <w:sz w:val="24"/>
          <w:szCs w:val="24"/>
          <w:color w:val="auto"/>
        </w:rPr>
      </w:pPr>
    </w:p>
    <w:tbl>
      <w:tblPr>
        <w:tblLayout w:type="fixed"/>
        <w:tblInd w:w="220" w:type="dxa"/>
        <w:tblCellMar>
          <w:top w:w="0" w:type="dxa"/>
          <w:left w:w="0" w:type="dxa"/>
          <w:bottom w:w="0" w:type="dxa"/>
          <w:right w:w="0" w:type="dxa"/>
        </w:tblCellMar>
      </w:tblPr>
      <w:tr>
        <w:trPr>
          <w:trHeight w:val="256"/>
        </w:trPr>
        <w:tc>
          <w:tcPr>
            <w:tcW w:w="3900" w:type="dxa"/>
            <w:vAlign w:val="bottom"/>
          </w:tcPr>
          <w:p>
            <w:pPr>
              <w:jc w:val="center"/>
              <w:ind w:right="321"/>
              <w:spacing w:after="0"/>
              <w:rPr>
                <w:sz w:val="20"/>
                <w:szCs w:val="20"/>
                <w:color w:val="auto"/>
              </w:rPr>
            </w:pPr>
            <w:r>
              <w:rPr>
                <w:rFonts w:ascii="Arial" w:cs="Arial" w:eastAsia="Arial" w:hAnsi="Arial"/>
                <w:sz w:val="20"/>
                <w:szCs w:val="20"/>
                <w:b w:val="1"/>
                <w:bCs w:val="1"/>
                <w:color w:val="auto"/>
                <w:w w:val="89"/>
              </w:rPr>
              <w:t>Nevada</w:t>
            </w:r>
          </w:p>
        </w:tc>
        <w:tc>
          <w:tcPr>
            <w:tcW w:w="3840" w:type="dxa"/>
            <w:vAlign w:val="bottom"/>
          </w:tcPr>
          <w:p>
            <w:pPr>
              <w:jc w:val="right"/>
              <w:ind w:right="164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338"/>
        </w:trPr>
        <w:tc>
          <w:tcPr>
            <w:tcW w:w="3900" w:type="dxa"/>
            <w:vAlign w:val="bottom"/>
          </w:tcPr>
          <w:p>
            <w:pPr>
              <w:jc w:val="center"/>
              <w:ind w:right="321"/>
              <w:spacing w:after="0"/>
              <w:rPr>
                <w:sz w:val="20"/>
                <w:szCs w:val="20"/>
                <w:color w:val="auto"/>
              </w:rPr>
            </w:pPr>
            <w:r>
              <w:rPr>
                <w:rFonts w:ascii="Arial" w:cs="Arial" w:eastAsia="Arial" w:hAnsi="Arial"/>
                <w:sz w:val="20"/>
                <w:szCs w:val="20"/>
                <w:color w:val="auto"/>
                <w:w w:val="92"/>
              </w:rPr>
              <w:t>(State or other jurisdiction of incorporation)</w:t>
            </w:r>
          </w:p>
        </w:tc>
        <w:tc>
          <w:tcPr>
            <w:tcW w:w="3840" w:type="dxa"/>
            <w:vAlign w:val="bottom"/>
          </w:tcPr>
          <w:p>
            <w:pPr>
              <w:ind w:left="560"/>
              <w:spacing w:after="0"/>
              <w:rPr>
                <w:sz w:val="20"/>
                <w:szCs w:val="20"/>
                <w:color w:val="auto"/>
              </w:rPr>
            </w:pPr>
            <w:r>
              <w:rPr>
                <w:rFonts w:ascii="Arial" w:cs="Arial" w:eastAsia="Arial" w:hAnsi="Arial"/>
                <w:sz w:val="20"/>
                <w:szCs w:val="20"/>
                <w:color w:val="auto"/>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735"/>
        </w:trPr>
        <w:tc>
          <w:tcPr>
            <w:tcW w:w="3900" w:type="dxa"/>
            <w:vAlign w:val="bottom"/>
          </w:tcPr>
          <w:p>
            <w:pPr>
              <w:spacing w:after="0"/>
              <w:rPr>
                <w:sz w:val="24"/>
                <w:szCs w:val="24"/>
                <w:color w:val="auto"/>
              </w:rPr>
            </w:pPr>
          </w:p>
        </w:tc>
        <w:tc>
          <w:tcPr>
            <w:tcW w:w="3840" w:type="dxa"/>
            <w:vAlign w:val="bottom"/>
          </w:tcPr>
          <w:p>
            <w:pPr>
              <w:jc w:val="center"/>
              <w:ind w:right="561"/>
              <w:spacing w:after="0"/>
              <w:rPr>
                <w:sz w:val="20"/>
                <w:szCs w:val="20"/>
                <w:color w:val="auto"/>
              </w:rPr>
            </w:pPr>
            <w:r>
              <w:rPr>
                <w:rFonts w:ascii="Arial" w:cs="Arial" w:eastAsia="Arial" w:hAnsi="Arial"/>
                <w:sz w:val="20"/>
                <w:szCs w:val="20"/>
                <w:b w:val="1"/>
                <w:bCs w:val="1"/>
                <w:color w:val="auto"/>
                <w:w w:val="99"/>
              </w:rPr>
              <w:t>WYNN LAS VEGAS, LLC</w:t>
            </w:r>
          </w:p>
        </w:tc>
        <w:tc>
          <w:tcPr>
            <w:tcW w:w="3020" w:type="dxa"/>
            <w:vAlign w:val="bottom"/>
          </w:tcPr>
          <w:p>
            <w:pPr>
              <w:spacing w:after="0"/>
              <w:rPr>
                <w:sz w:val="24"/>
                <w:szCs w:val="24"/>
                <w:color w:val="auto"/>
              </w:rPr>
            </w:pPr>
          </w:p>
        </w:tc>
      </w:tr>
      <w:tr>
        <w:trPr>
          <w:trHeight w:val="250"/>
        </w:trPr>
        <w:tc>
          <w:tcPr>
            <w:tcW w:w="7740" w:type="dxa"/>
            <w:vAlign w:val="bottom"/>
            <w:gridSpan w:val="2"/>
          </w:tcPr>
          <w:p>
            <w:pPr>
              <w:jc w:val="center"/>
              <w:ind w:left="3141"/>
              <w:spacing w:after="0"/>
              <w:rPr>
                <w:sz w:val="20"/>
                <w:szCs w:val="20"/>
                <w:color w:val="auto"/>
              </w:rPr>
            </w:pPr>
            <w:r>
              <w:rPr>
                <w:rFonts w:ascii="Arial" w:cs="Arial" w:eastAsia="Arial" w:hAnsi="Arial"/>
                <w:sz w:val="20"/>
                <w:szCs w:val="20"/>
                <w:color w:val="auto"/>
                <w:w w:val="89"/>
              </w:rPr>
              <w:t>(Exact name of registrant as specified in its charter)</w:t>
            </w:r>
          </w:p>
        </w:tc>
        <w:tc>
          <w:tcPr>
            <w:tcW w:w="3020" w:type="dxa"/>
            <w:vAlign w:val="bottom"/>
          </w:tcPr>
          <w:p>
            <w:pPr>
              <w:spacing w:after="0"/>
              <w:rPr>
                <w:sz w:val="21"/>
                <w:szCs w:val="21"/>
                <w:color w:val="auto"/>
              </w:rPr>
            </w:pPr>
          </w:p>
        </w:tc>
      </w:tr>
      <w:tr>
        <w:trPr>
          <w:trHeight w:val="527"/>
        </w:trPr>
        <w:tc>
          <w:tcPr>
            <w:tcW w:w="3900" w:type="dxa"/>
            <w:vAlign w:val="bottom"/>
          </w:tcPr>
          <w:p>
            <w:pPr>
              <w:jc w:val="center"/>
              <w:ind w:right="321"/>
              <w:spacing w:after="0"/>
              <w:rPr>
                <w:sz w:val="20"/>
                <w:szCs w:val="20"/>
                <w:color w:val="auto"/>
              </w:rPr>
            </w:pPr>
            <w:r>
              <w:rPr>
                <w:rFonts w:ascii="Arial" w:cs="Arial" w:eastAsia="Arial" w:hAnsi="Arial"/>
                <w:sz w:val="20"/>
                <w:szCs w:val="20"/>
                <w:b w:val="1"/>
                <w:bCs w:val="1"/>
                <w:color w:val="auto"/>
                <w:w w:val="89"/>
              </w:rPr>
              <w:t>Nevada</w:t>
            </w:r>
          </w:p>
        </w:tc>
        <w:tc>
          <w:tcPr>
            <w:tcW w:w="3840" w:type="dxa"/>
            <w:vAlign w:val="bottom"/>
          </w:tcPr>
          <w:p>
            <w:pPr>
              <w:jc w:val="right"/>
              <w:ind w:right="160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338"/>
        </w:trPr>
        <w:tc>
          <w:tcPr>
            <w:tcW w:w="3900" w:type="dxa"/>
            <w:vAlign w:val="bottom"/>
          </w:tcPr>
          <w:p>
            <w:pPr>
              <w:jc w:val="center"/>
              <w:ind w:right="321"/>
              <w:spacing w:after="0"/>
              <w:rPr>
                <w:sz w:val="20"/>
                <w:szCs w:val="20"/>
                <w:color w:val="auto"/>
              </w:rPr>
            </w:pPr>
            <w:r>
              <w:rPr>
                <w:rFonts w:ascii="Arial" w:cs="Arial" w:eastAsia="Arial" w:hAnsi="Arial"/>
                <w:sz w:val="20"/>
                <w:szCs w:val="20"/>
                <w:color w:val="auto"/>
                <w:w w:val="92"/>
              </w:rPr>
              <w:t>(State or other jurisdiction of incorporation)</w:t>
            </w:r>
          </w:p>
        </w:tc>
        <w:tc>
          <w:tcPr>
            <w:tcW w:w="3840" w:type="dxa"/>
            <w:vAlign w:val="bottom"/>
          </w:tcPr>
          <w:p>
            <w:pPr>
              <w:ind w:left="560"/>
              <w:spacing w:after="0"/>
              <w:rPr>
                <w:sz w:val="20"/>
                <w:szCs w:val="20"/>
                <w:color w:val="auto"/>
              </w:rPr>
            </w:pPr>
            <w:r>
              <w:rPr>
                <w:rFonts w:ascii="Arial" w:cs="Arial" w:eastAsia="Arial" w:hAnsi="Arial"/>
                <w:sz w:val="20"/>
                <w:szCs w:val="20"/>
                <w:color w:val="auto"/>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567"/>
        </w:trPr>
        <w:tc>
          <w:tcPr>
            <w:tcW w:w="7740" w:type="dxa"/>
            <w:vAlign w:val="bottom"/>
            <w:gridSpan w:val="2"/>
          </w:tcPr>
          <w:p>
            <w:pPr>
              <w:jc w:val="center"/>
              <w:ind w:right="421"/>
              <w:spacing w:after="0"/>
              <w:rPr>
                <w:sz w:val="20"/>
                <w:szCs w:val="20"/>
                <w:color w:val="auto"/>
              </w:rPr>
            </w:pPr>
            <w:r>
              <w:rPr>
                <w:rFonts w:ascii="Arial" w:cs="Arial" w:eastAsia="Arial" w:hAnsi="Arial"/>
                <w:sz w:val="20"/>
                <w:szCs w:val="20"/>
                <w:b w:val="1"/>
                <w:bCs w:val="1"/>
                <w:color w:val="auto"/>
                <w:w w:val="88"/>
              </w:rPr>
              <w:t>3131 Las Vegas Boulevard South</w:t>
            </w:r>
          </w:p>
        </w:tc>
        <w:tc>
          <w:tcPr>
            <w:tcW w:w="3020" w:type="dxa"/>
            <w:vAlign w:val="bottom"/>
          </w:tcPr>
          <w:p>
            <w:pPr>
              <w:spacing w:after="0"/>
              <w:rPr>
                <w:sz w:val="24"/>
                <w:szCs w:val="24"/>
                <w:color w:val="auto"/>
              </w:rPr>
            </w:pPr>
          </w:p>
        </w:tc>
      </w:tr>
      <w:tr>
        <w:trPr>
          <w:trHeight w:val="311"/>
        </w:trPr>
        <w:tc>
          <w:tcPr>
            <w:tcW w:w="7740" w:type="dxa"/>
            <w:vAlign w:val="bottom"/>
            <w:gridSpan w:val="2"/>
          </w:tcPr>
          <w:p>
            <w:pPr>
              <w:jc w:val="center"/>
              <w:ind w:right="421"/>
              <w:spacing w:after="0"/>
              <w:rPr>
                <w:sz w:val="20"/>
                <w:szCs w:val="20"/>
                <w:color w:val="auto"/>
              </w:rPr>
            </w:pPr>
            <w:r>
              <w:rPr>
                <w:rFonts w:ascii="Arial" w:cs="Arial" w:eastAsia="Arial" w:hAnsi="Arial"/>
                <w:sz w:val="20"/>
                <w:szCs w:val="20"/>
                <w:b w:val="1"/>
                <w:bCs w:val="1"/>
                <w:color w:val="auto"/>
                <w:w w:val="87"/>
              </w:rPr>
              <w:t>Las Vegas, Nevada</w:t>
            </w:r>
          </w:p>
        </w:tc>
        <w:tc>
          <w:tcPr>
            <w:tcW w:w="302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89109</w:t>
            </w:r>
          </w:p>
        </w:tc>
      </w:tr>
      <w:tr>
        <w:trPr>
          <w:trHeight w:val="311"/>
        </w:trPr>
        <w:tc>
          <w:tcPr>
            <w:tcW w:w="7740" w:type="dxa"/>
            <w:vAlign w:val="bottom"/>
            <w:gridSpan w:val="2"/>
          </w:tcPr>
          <w:p>
            <w:pPr>
              <w:jc w:val="center"/>
              <w:ind w:right="421"/>
              <w:spacing w:after="0"/>
              <w:rPr>
                <w:sz w:val="20"/>
                <w:szCs w:val="20"/>
                <w:color w:val="auto"/>
              </w:rPr>
            </w:pPr>
            <w:r>
              <w:rPr>
                <w:rFonts w:ascii="Arial" w:cs="Arial" w:eastAsia="Arial" w:hAnsi="Arial"/>
                <w:sz w:val="20"/>
                <w:szCs w:val="20"/>
                <w:color w:val="auto"/>
                <w:w w:val="91"/>
              </w:rPr>
              <w:t>(Address of principal executive offices of each registrant)</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(Zip Code)</w:t>
            </w:r>
          </w:p>
        </w:tc>
      </w:tr>
      <w:tr>
        <w:trPr>
          <w:trHeight w:val="492"/>
        </w:trPr>
        <w:tc>
          <w:tcPr>
            <w:tcW w:w="3900" w:type="dxa"/>
            <w:vAlign w:val="bottom"/>
          </w:tcPr>
          <w:p>
            <w:pPr>
              <w:spacing w:after="0"/>
              <w:rPr>
                <w:sz w:val="24"/>
                <w:szCs w:val="24"/>
                <w:color w:val="auto"/>
              </w:rPr>
            </w:pPr>
          </w:p>
        </w:tc>
        <w:tc>
          <w:tcPr>
            <w:tcW w:w="3840" w:type="dxa"/>
            <w:vAlign w:val="bottom"/>
          </w:tcPr>
          <w:p>
            <w:pPr>
              <w:jc w:val="center"/>
              <w:ind w:right="541"/>
              <w:spacing w:after="0"/>
              <w:rPr>
                <w:sz w:val="20"/>
                <w:szCs w:val="20"/>
                <w:color w:val="auto"/>
              </w:rPr>
            </w:pPr>
            <w:r>
              <w:rPr>
                <w:rFonts w:ascii="Arial" w:cs="Arial" w:eastAsia="Arial" w:hAnsi="Arial"/>
                <w:sz w:val="20"/>
                <w:szCs w:val="20"/>
                <w:b w:val="1"/>
                <w:bCs w:val="1"/>
                <w:color w:val="auto"/>
                <w:w w:val="90"/>
              </w:rPr>
              <w:t>(702) 770-7555</w:t>
            </w:r>
          </w:p>
        </w:tc>
        <w:tc>
          <w:tcPr>
            <w:tcW w:w="3020" w:type="dxa"/>
            <w:vAlign w:val="bottom"/>
          </w:tcPr>
          <w:p>
            <w:pPr>
              <w:spacing w:after="0"/>
              <w:rPr>
                <w:sz w:val="24"/>
                <w:szCs w:val="24"/>
                <w:color w:val="auto"/>
              </w:rPr>
            </w:pPr>
          </w:p>
        </w:tc>
      </w:tr>
      <w:tr>
        <w:trPr>
          <w:trHeight w:val="250"/>
        </w:trPr>
        <w:tc>
          <w:tcPr>
            <w:tcW w:w="7740" w:type="dxa"/>
            <w:vAlign w:val="bottom"/>
            <w:gridSpan w:val="2"/>
          </w:tcPr>
          <w:p>
            <w:pPr>
              <w:jc w:val="center"/>
              <w:ind w:left="3141"/>
              <w:spacing w:after="0"/>
              <w:rPr>
                <w:sz w:val="20"/>
                <w:szCs w:val="20"/>
                <w:color w:val="auto"/>
              </w:rPr>
            </w:pPr>
            <w:r>
              <w:rPr>
                <w:rFonts w:ascii="Arial" w:cs="Arial" w:eastAsia="Arial" w:hAnsi="Arial"/>
                <w:sz w:val="20"/>
                <w:szCs w:val="20"/>
                <w:color w:val="auto"/>
                <w:w w:val="88"/>
              </w:rPr>
              <w:t>(Registrant’s telephone number, including area code)</w:t>
            </w:r>
          </w:p>
        </w:tc>
        <w:tc>
          <w:tcPr>
            <w:tcW w:w="302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312" w:lineRule="exact"/>
        <w:rPr>
          <w:sz w:val="24"/>
          <w:szCs w:val="24"/>
          <w:color w:val="auto"/>
        </w:rPr>
      </w:pPr>
    </w:p>
    <w:p>
      <w:pPr>
        <w:ind w:left="1420" w:hanging="1304"/>
        <w:spacing w:after="0"/>
        <w:tabs>
          <w:tab w:leader="none" w:pos="1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MS PGothic" w:cs="MS PGothic" w:eastAsia="MS PGothic" w:hAnsi="MS PGothic"/>
          <w:sz w:val="20"/>
          <w:szCs w:val="20"/>
          <w:color w:val="auto"/>
        </w:rPr>
      </w:pPr>
    </w:p>
    <w:p>
      <w:pPr>
        <w:ind w:left="1420" w:hanging="1304"/>
        <w:spacing w:after="0"/>
        <w:tabs>
          <w:tab w:leader="none" w:pos="1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1420" w:hanging="1304"/>
        <w:spacing w:after="0"/>
        <w:tabs>
          <w:tab w:leader="none" w:pos="1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1420" w:hanging="1304"/>
        <w:spacing w:after="0"/>
        <w:tabs>
          <w:tab w:leader="none" w:pos="14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651510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60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firstLine="720"/>
        <w:spacing w:after="0" w:line="249" w:lineRule="auto"/>
        <w:rPr>
          <w:sz w:val="20"/>
          <w:szCs w:val="20"/>
          <w:color w:val="auto"/>
        </w:rPr>
      </w:pPr>
      <w:r>
        <w:rPr>
          <w:rFonts w:ascii="Arial" w:cs="Arial" w:eastAsia="Arial" w:hAnsi="Arial"/>
          <w:sz w:val="21"/>
          <w:szCs w:val="21"/>
          <w:color w:val="auto"/>
        </w:rPr>
        <w:t>On November 2, 2010, Wynn Resorts, Limited (the “Company”) issued a press release announcing its results of operations for the third quarter of 2010. The press release is furnished herewith as Exhibit 99.1. The information in Item 2.02 and Item 7.01 of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ind w:right="120" w:firstLine="720"/>
        <w:spacing w:after="0" w:line="238" w:lineRule="auto"/>
        <w:rPr>
          <w:sz w:val="20"/>
          <w:szCs w:val="20"/>
          <w:color w:val="auto"/>
        </w:rPr>
      </w:pPr>
      <w:r>
        <w:rPr>
          <w:rFonts w:ascii="Arial" w:cs="Arial" w:eastAsia="Arial" w:hAnsi="Arial"/>
          <w:sz w:val="22"/>
          <w:szCs w:val="22"/>
          <w:color w:val="auto"/>
        </w:rPr>
        <w:t>On November 2, 2010, the Board of Directors of the Company declared a cash dividend of $8.00 per share on its outstanding common stock. This cash dividend will be payable on December 7, 2010 to stockholders of record on November 23, 2010. The Company’s press release, dated November 2, 2010, announcing the cash dividend is filed herewith as Exhibit 99.2 and is incorporated herein by reference.</w:t>
      </w:r>
    </w:p>
    <w:p>
      <w:pPr>
        <w:spacing w:after="0" w:line="206"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660" w:hanging="526"/>
        <w:spacing w:after="0"/>
        <w:tabs>
          <w:tab w:leader="none" w:pos="1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0"/>
        <w:spacing w:after="0"/>
        <w:tabs>
          <w:tab w:leader="none" w:pos="250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19"/>
          <w:szCs w:val="19"/>
          <w:u w:val="single" w:color="auto"/>
          <w:color w:val="auto"/>
        </w:rPr>
        <w:t>Description</w:t>
      </w:r>
    </w:p>
    <w:p>
      <w:pPr>
        <w:spacing w:after="0" w:line="215" w:lineRule="exact"/>
        <w:rPr>
          <w:sz w:val="20"/>
          <w:szCs w:val="20"/>
          <w:color w:val="auto"/>
        </w:rPr>
      </w:pPr>
    </w:p>
    <w:p>
      <w:pPr>
        <w:ind w:left="17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November 2, 2010, of Wynn Resorts, Limited.</w:t>
      </w:r>
    </w:p>
    <w:p>
      <w:pPr>
        <w:spacing w:after="0" w:line="233" w:lineRule="exact"/>
        <w:rPr>
          <w:sz w:val="20"/>
          <w:szCs w:val="20"/>
          <w:color w:val="auto"/>
        </w:rPr>
      </w:pPr>
    </w:p>
    <w:p>
      <w:pPr>
        <w:ind w:left="1760"/>
        <w:spacing w:after="0"/>
        <w:tabs>
          <w:tab w:leader="none" w:pos="2500" w:val="left"/>
        </w:tabs>
        <w:rPr>
          <w:sz w:val="20"/>
          <w:szCs w:val="20"/>
          <w:color w:val="auto"/>
        </w:rPr>
      </w:pPr>
      <w:r>
        <w:rPr>
          <w:rFonts w:ascii="Arial" w:cs="Arial" w:eastAsia="Arial" w:hAnsi="Arial"/>
          <w:sz w:val="22"/>
          <w:szCs w:val="22"/>
          <w:color w:val="auto"/>
        </w:rPr>
        <w:t>99.2</w:t>
      </w:r>
      <w:r>
        <w:rPr>
          <w:sz w:val="20"/>
          <w:szCs w:val="20"/>
          <w:color w:val="auto"/>
        </w:rPr>
        <w:tab/>
      </w:r>
      <w:r>
        <w:rPr>
          <w:rFonts w:ascii="Arial" w:cs="Arial" w:eastAsia="Arial" w:hAnsi="Arial"/>
          <w:sz w:val="19"/>
          <w:szCs w:val="19"/>
          <w:color w:val="auto"/>
        </w:rPr>
        <w:t>Press release, dated November 2,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November 2, 2010</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36195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Matt Maddox</w:t>
      </w:r>
    </w:p>
    <w:p>
      <w:pPr>
        <w:spacing w:after="0" w:line="81"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600075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November 2, 2010</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WYNN LAS VEGAS, LLC</w:t>
      </w:r>
    </w:p>
    <w:p>
      <w:pPr>
        <w:spacing w:after="0" w:line="378"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20"/>
          <w:szCs w:val="20"/>
          <w:color w:val="auto"/>
        </w:rPr>
        <w:t>By:</w:t>
        <w:tab/>
        <w:t>Wynn Resorts Holdings, LLC, its sole member</w:t>
      </w:r>
    </w:p>
    <w:p>
      <w:pPr>
        <w:spacing w:after="0" w:line="378"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20"/>
          <w:szCs w:val="20"/>
          <w:color w:val="auto"/>
        </w:rPr>
        <w:t>By:</w:t>
        <w:tab/>
        <w:t>Wynn Resorts, Limited, its sole member</w:t>
      </w:r>
    </w:p>
    <w:p>
      <w:pPr>
        <w:spacing w:after="0" w:line="378"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36195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Matt Maddox</w:t>
      </w:r>
    </w:p>
    <w:p>
      <w:pPr>
        <w:spacing w:after="0" w:line="81"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Third Quarter Results</w:t>
      </w:r>
    </w:p>
    <w:p>
      <w:pPr>
        <w:spacing w:after="0" w:line="2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LAS VEGAS, November 2, 2010 (BUSINESS WIRE) -- Wynn Resorts, Limited (Nasdaq: WYNN) today reported financial results for the third quarter ended September 30, 2010.</w:t>
      </w:r>
    </w:p>
    <w:p>
      <w:pPr>
        <w:spacing w:after="0" w:line="22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Net revenues for the third quarter of 2010 were $1.0 billion, compared to $773.1 million in the third quarter of 2009, driven by a 49.7% increase in net revenues at Wynn Macau. Adjusted property EBITDA (1) increased $76.3 million to $274.5 million for the third quarter of 2010, compared to $198.2 million in the 2009 quarter.</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 US GAAP (Generally Accepted Accounting Principles) basis, net loss attributable to Wynn Resorts for the third quarter of 2010 was $33.5 million, or ($ 0.27) per diluted share, compared to a net income attributable to Wynn Resorts of $34.2 million, or $0.28 per diluted share in the third quarter of 2009. The decline was primarily attributable to a loss on extinguishment of debt of $64.2 million. Adjusted net income in the third quarter of 2010 was $48.7 million, or $ 0.39 per diluted share (adjusted EPS)(2) compared to an adjusted net income of $39.9 million, or $0.33 per diluted share in the third quarter of 2009.</w:t>
      </w:r>
    </w:p>
    <w:p>
      <w:pPr>
        <w:spacing w:after="0" w:line="23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Wynn Resorts also announced today that its Board of Directors has approved a cash dividend of $ 8 per share on its outstanding common stock. This dividend will be payable on December 7, 2010, to stockholders of record on November 23, 2010. The stock will begin to trade ex-dividend on November 19,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Third Quarter Results</w:t>
      </w:r>
    </w:p>
    <w:p>
      <w:pPr>
        <w:spacing w:after="0" w:line="26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the third quarter of 2010 net revenues were $671.4 million compared to $448.5 million in the third quarter of 2009. EBITDA in the September 2010 quarter was $198.0 million, up 54.5% from $128.2 million in the third quarter of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are segregated into two distinct reporting categories, the VIP segment and the mass market segment.</w:t>
      </w:r>
    </w:p>
    <w:p>
      <w:pPr>
        <w:spacing w:after="0" w:line="239"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Table games turnover in the VIP segment was $21.7 billion for the 2010 quarter, a 53.9% increase from $14.1 billion in the third quarter of 2009. VIP table games win as a percentage of turnover (calculated before discounts and commissions) for the quarter was 2.88%, within the expected range of 2.7% to 3.0% and slightly higher than the 2.84% experienced in the third quarter of 2009.</w:t>
      </w:r>
    </w:p>
    <w:p>
      <w:pPr>
        <w:spacing w:after="0" w:line="23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Table games drop in the mass market category was $605.1 million during the period, a 20.6% increase from $501.8 million in the third quarter of 2009. Mass market table games win percentage (calculated before discounts) of 22.8% was above our expected range of 19% to 21% and above the 20.8% generated in the 2009 quarter.</w:t>
      </w:r>
    </w:p>
    <w:p>
      <w:pPr>
        <w:spacing w:after="0" w:line="23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Slot machine handle increased 49.0% to $1.1 billion as compared to the prior year quarter. Win per unit per day was 47.4% higher at $538, compared to $365 in the third quarter 2009.</w:t>
      </w:r>
    </w:p>
    <w:p>
      <w:pPr>
        <w:spacing w:after="0" w:line="2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Encore at Wynn Macau, with its intimate atmosphere and higher-limit tables, has been very well received by Wynn customers and has greatly contributed to the growth in revenues at Wynn Macau.</w:t>
      </w:r>
    </w:p>
    <w:p>
      <w:pPr>
        <w:spacing w:after="0" w:line="224"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Wynn Macau achieved an Average Daily Rate (ADR) of $287 for the third quarter of 2010, compared to $263 in the 2009 quarter. The property’s occupancy was 87.6%, compared to 89.2% during the prior year period as we added 414 rooms and villas with the opening of Encore on April 21, 2010. Revenue per available room (REVPAR) was $251 in the 2010 quarter, 7.0% above 2009 levels of $235.</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non-gaming revenues at Wynn Macau increased 66.0% during the quarter to $77.5 million, driven primarily by hotel and retail revenues which were up 81.3% and 69.4%, respectively. Room revenues increased as a result of the addition of the Encore rooms and retail revenues benefited from strong same-store sales growth and the addition of three new outlets at Encore.</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Including Encore, we currently have 461 tables (233 VIP tables, 217 mass market tables and 11 poker tables) and 1,130 slot machines at Wynn Macau.</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November 2 (Hong Kong time), the Wynn Macau, Limited Board of Directors approved a HK$0.76 per share dividend. This dividend will be payable on December 3, 2010, to stockholders of record on November 22, 2010. In addition, the Board of Wynn Macau, Limited determined the Company will consider paying recurring dividends, with a target yield of 1-3% annually, after a review of the then current financial results during each year and having regard to the terms of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18"/>
          <w:szCs w:val="18"/>
          <w:color w:val="auto"/>
        </w:rPr>
        <w:t>financing documents that Wynn Macau, Limited is party to. The Board of Directors has determined that a target yield of 1-3% annually, will allow Wynn Macau, Limited to maintain ample liquidity to achieve its Cotai growth strategy.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Third Quarter Results</w:t>
      </w:r>
    </w:p>
    <w:p>
      <w:pPr>
        <w:spacing w:after="0" w:line="26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 the third quarter ended September 30, 2010, net revenues for our Las Vegas operations were $334.5 million, 3.1% higher than in the third quarter of 2009. Property EBITDA of $ 76.5 million (with a 22.9% EBITDA margin on net revenue) was up 9.3% versus the $70.0 million generated in the comparable period in 2009, primarily due to higher non-gaming revenues.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third quarter of 2010 were $ 138.4 million, down 3.9% from the third quarter of 2009. Table games drop was $545.1 million, compared to drop of $518.1 million in the 2009 quarter and table games win percentage of 22.8% was within the property’s expected range of 21% to 24% and below the 23.7% reported in the 2009 quarter. Slot machine handle of $690.6 million was 18.8% below the comparable period of 2009, however net slot win was down only 3.4%.</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$239.4 million, a 6.3% increase from the third quarter of 2009, driven primarily by higher revenues from our nightclub operations and the recently opened Encore Beach Club and Surrender nightclub.</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Room revenues were down 1.7% to $75.6 million during the quarter, versus $76.9 million in the third quarter of 2009. Even though Average Daily Rate (ADR) was flat at $210 and occupancy increased from 83.9% to 87.8%, we had 6.2% fewer room nights available for sale during the quarter due to our remodel of the rooms at Wynn Las Vegas. This room remodel is expected to be completed in the second quarter of 2011.</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15.5% to $111.8 million in the quarter as we opened the new Encore Beach Club and Surrender nightclub in May 2010. Retail revenues were $20.7 million in the quarter, 1.8% below last year’s levels. Entertainment revenues increased 9.2% to $18.1 million from the third quarter of 2009 primarily due to the Garth Brooks performances (started in December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expense was $60.3 million for the third quarter of 2010. Depreciation and amortization expense was $99.3 million during the quarter compared to $101.9 million for the three months ended September 30, 2009. Depreciation decreased modestly even with the opening of Encore at Wynn Macau (in April 2010) and the Beach Club at Wynn Las Vegas (in May 2010) as Wynn Las Vegas’ depreciation decreased as a result of assets with a 5 year life being fully depreciated as of April 2010.</w:t>
      </w: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Corporate expense and other was $25.5 million (including approximately $6.8 million of stock based compensation) in the third quarter of 2010, a $9.7 million increase primarily due to higher bonus accruals and development expenses.</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Property charges and other for the quarter ended September 30, 2010 were $17.5 million including a $14.9 million payment associated with a Wynn Las Vegas nightclub management contract termination payment.</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August 2010, Wynn Las Vegas issued $1.32 billion of 7 3/4% First Mortgage Notes due 2020, concurrently tendered for and redeemed all of its 2014 Notes and amended its credit facilities. In connection with this transaction, we recorded a loss on extinguishment of debt of $ 64.2 million including the tender consideration, the call premium and the related write offs of the unamortized debt issue costs and original issue discount. During the quarter we also extended the majority of the Wynn Las Vegas bank debt to 2015, amended the bank covenants by reducing the interest coverage test and eliminating the leverage ratio test.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Our total cash balances at September 30, 2010 were $1.9 billion. Total debt outstanding at the end of the quarter was $3.2 billion, including approximately $2.6 billion of Wynn Las Vegas debt and $552 million of Wynn Macau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after paying the $8 cash dividend, will have approximately $1.0 billion in cash and $3.4 billion in debt.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ind w:right="160"/>
        <w:spacing w:after="0" w:line="246" w:lineRule="auto"/>
        <w:rPr>
          <w:sz w:val="20"/>
          <w:szCs w:val="20"/>
          <w:color w:val="auto"/>
        </w:rPr>
      </w:pPr>
      <w:r>
        <w:rPr>
          <w:rFonts w:ascii="Arial" w:cs="Arial" w:eastAsia="Arial" w:hAnsi="Arial"/>
          <w:sz w:val="18"/>
          <w:szCs w:val="18"/>
          <w:color w:val="auto"/>
        </w:rPr>
        <w:t>Capital expenditures during the third quarter of 2010, net of changes in construction payables and retention, totaled approximately $40 million primarily related to the Wynn Las Vegas room remodel.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Tuesday, November 2, 2010 at 1:30 p.m. PT (4:30 p.m.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 ber 31, 2009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company&amp; #8217;s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 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7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to adjusted net income attributable to Wynn Resorts, and (ii) operating income (loss) to adjusted property EBITDA and adjusted property EBITDA to net income (loss) attributable to Wynn Resorts.</w:t>
      </w:r>
    </w:p>
    <w:p>
      <w:pPr>
        <w:spacing w:after="0" w:line="230" w:lineRule="exact"/>
        <w:rPr>
          <w:sz w:val="20"/>
          <w:szCs w:val="20"/>
          <w:color w:val="auto"/>
        </w:rPr>
      </w:pPr>
    </w:p>
    <w:p>
      <w:pPr>
        <w:jc w:val="both"/>
        <w:ind w:firstLine="8"/>
        <w:spacing w:after="0" w:line="236"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(loss) before pre-opening costs, (gain) loss on extinguishment of debt/exchange offer, change in swap fair value, property charges and other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Casino</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765,391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565,072</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2,246,184</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1,615,071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101,550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91,181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294,985</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284,772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129,432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109,152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368,596</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330,293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255,808</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204,104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ind w:left="220"/>
              <w:spacing w:after="0" w:line="196" w:lineRule="exact"/>
              <w:rPr>
                <w:sz w:val="20"/>
                <w:szCs w:val="20"/>
                <w:color w:val="auto"/>
              </w:rPr>
            </w:pPr>
            <w:r>
              <w:rPr>
                <w:rFonts w:ascii="Arial" w:cs="Arial" w:eastAsia="Arial" w:hAnsi="Arial"/>
                <w:sz w:val="18"/>
                <w:szCs w:val="18"/>
                <w:color w:val="auto"/>
              </w:rPr>
              <w:t>Gross revenues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1,082,318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836,905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3,165,573</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2,434,240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promotional allowances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(76,369)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(63,834)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(218,063)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Net revenues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1,005,949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773,071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2,947,510</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2,236,282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Casino</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500,303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360,595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1,467,499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1,060,190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Rooms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30,572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28,259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93,363</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82,706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72,221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63,980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206,754</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189,702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50,062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43,639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147,819</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119,682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103,030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88,987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285,699</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263,829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Provision for doubtful accounts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859</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14,729</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9,071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99,341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101,907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305,259</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306,106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22,374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460"/>
              <w:spacing w:after="0" w:line="202" w:lineRule="exact"/>
              <w:rPr>
                <w:sz w:val="20"/>
                <w:szCs w:val="20"/>
                <w:color w:val="auto"/>
              </w:rPr>
            </w:pPr>
            <w:r>
              <w:rPr>
                <w:rFonts w:ascii="Arial" w:cs="Arial" w:eastAsia="Arial" w:hAnsi="Arial"/>
                <w:sz w:val="18"/>
                <w:szCs w:val="18"/>
                <w:color w:val="auto"/>
              </w:rPr>
              <w:t>Total operating costs and expenses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874,000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693,572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2,552,567</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2,046,836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131,949</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79,499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394,943</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189,446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1,812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(60,341)</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(50,140)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(163,200)</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Decrease in swap fair value</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(5,629)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(64,215)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(67,367)</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(1,141)</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(446)</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(124,984)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(55,118)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(234,212)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(137,959)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6,965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24,381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160,731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benefit for income taxes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(9,019)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(16,009)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(2,054)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34,210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144,722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98,837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(33,508)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34,210</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45,885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(loss) per common share: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420"/>
              <w:spacing w:after="0" w:line="202" w:lineRule="exact"/>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(0.27)</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0.28</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0.37</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122,771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122,200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122,569</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122,771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122,610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123,564</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w:t>
      </w:r>
    </w:p>
    <w:p>
      <w:pPr>
        <w:jc w:val="center"/>
        <w:spacing w:after="0" w:line="234" w:lineRule="auto"/>
        <w:rPr>
          <w:sz w:val="20"/>
          <w:szCs w:val="20"/>
          <w:color w:val="auto"/>
        </w:rPr>
      </w:pPr>
      <w:r>
        <w:rPr>
          <w:rFonts w:ascii="Arial" w:cs="Arial" w:eastAsia="Arial" w:hAnsi="Arial"/>
          <w:sz w:val="18"/>
          <w:szCs w:val="18"/>
          <w:color w:val="auto"/>
        </w:rPr>
        <w:t>TO ADJUSTED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(33,508)</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34,210</w:t>
            </w: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45,885</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280"/>
              <w:spacing w:after="0" w:line="202" w:lineRule="exact"/>
              <w:rPr>
                <w:sz w:val="20"/>
                <w:szCs w:val="20"/>
                <w:color w:val="auto"/>
              </w:rPr>
            </w:pPr>
            <w:r>
              <w:rPr>
                <w:rFonts w:ascii="Arial" w:cs="Arial" w:eastAsia="Arial" w:hAnsi="Arial"/>
                <w:sz w:val="18"/>
                <w:szCs w:val="18"/>
                <w:color w:val="auto"/>
              </w:rPr>
              <w:t>Pre-opening costs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64,215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67,367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280"/>
              <w:spacing w:after="0" w:line="202" w:lineRule="exact"/>
              <w:rPr>
                <w:sz w:val="20"/>
                <w:szCs w:val="20"/>
                <w:color w:val="auto"/>
              </w:rPr>
            </w:pPr>
            <w:r>
              <w:rPr>
                <w:rFonts w:ascii="Arial" w:cs="Arial" w:eastAsia="Arial" w:hAnsi="Arial"/>
                <w:sz w:val="18"/>
                <w:szCs w:val="18"/>
                <w:color w:val="auto"/>
              </w:rPr>
              <w:t>Decrease in swap fair value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17,527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22,374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280"/>
              <w:spacing w:after="0" w:line="202" w:lineRule="exact"/>
              <w:rPr>
                <w:sz w:val="20"/>
                <w:szCs w:val="20"/>
                <w:color w:val="auto"/>
              </w:rPr>
            </w:pPr>
            <w:r>
              <w:rPr>
                <w:rFonts w:ascii="Arial" w:cs="Arial" w:eastAsia="Arial" w:hAnsi="Arial"/>
                <w:sz w:val="18"/>
                <w:szCs w:val="18"/>
                <w:color w:val="auto"/>
              </w:rPr>
              <w:t>Adjustment for income taxes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Adjustment for noncontrolling interest</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Adjusted net income attributable to Wynn Resorts, Limited (2)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48,667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39,932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147,361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net income attributable to Wynn Resorts, Limited per diluted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w:t>
            </w:r>
          </w:p>
        </w:tc>
        <w:tc>
          <w:tcPr>
            <w:tcW w:w="5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0.33</w:t>
            </w:r>
          </w:p>
        </w:tc>
        <w:tc>
          <w:tcPr>
            <w:tcW w:w="3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1.19</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2010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Las Vegas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(16,195)</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124,745</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23,399</w:t>
            </w:r>
          </w:p>
        </w:tc>
        <w:tc>
          <w:tcPr>
            <w:tcW w:w="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63,330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35,406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16,552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27,047</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(32,067)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8,686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1,149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76,521</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198,008</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2009</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Las Vegas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(20,886)</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83,228</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17,157</w:t>
            </w:r>
          </w:p>
        </w:tc>
        <w:tc>
          <w:tcPr>
            <w:tcW w:w="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77,811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23,351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17,797</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(22,611)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1,603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70,042</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128,174</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3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274,529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Pre-opening costs</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(99,341)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Property charges and other</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(17,527)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Corporate expenses and other</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(18,760)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Stock-based compensation</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Interest income</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(60,341)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Decrease in swap fair value</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(64,215)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 (provision) for income taxes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(loss) attributable to Wynn Resorts, Limited</w:t>
            </w:r>
          </w:p>
        </w:tc>
        <w:tc>
          <w:tcPr>
            <w:tcW w:w="3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(33,508)</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34,210</w:t>
            </w: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518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right"/>
              <w:ind w:right="297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Nine Months Ended September 30, 2010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Las Vegas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(67,902)</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389,927</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72,918</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7,018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209,839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93,283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305,259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3,922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Management and royalty fees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78,762</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(93,343)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expense and other</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19,321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3,613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201,952</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595,846</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797,798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Nine Months Ended September 30, 2009</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Las Vegas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(87,616)</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225,614</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51,448</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233,680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70,184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306,106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220"/>
              <w:spacing w:after="0" w:line="202" w:lineRule="exact"/>
              <w:rPr>
                <w:sz w:val="20"/>
                <w:szCs w:val="20"/>
                <w:color w:val="auto"/>
              </w:rPr>
            </w:pPr>
            <w:r>
              <w:rPr>
                <w:rFonts w:ascii="Arial" w:cs="Arial" w:eastAsia="Arial" w:hAnsi="Arial"/>
                <w:sz w:val="18"/>
                <w:szCs w:val="18"/>
                <w:color w:val="auto"/>
              </w:rPr>
              <w:t>Management and royalty fees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13,871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51,258</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(65,129)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expense and other</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15,318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6,492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3,762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189,399</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359,990</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549,389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2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797,798</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(305,259)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(306,106)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(22,374)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Corporate expenses and other</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(44,812)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(20,721)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(163,200)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(160,861)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Decrease in swap fair value</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(loss) on extinguishment of debt/exchange offer</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(67,367)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income taxes</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144,722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98,837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Wynn Resorts, Limited</w:t>
            </w:r>
          </w:p>
        </w:tc>
        <w:tc>
          <w:tcPr>
            <w:tcW w:w="2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45,885</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460" w:type="dxa"/>
            <w:vAlign w:val="bottom"/>
            <w:gridSpan w:val="2"/>
          </w:tcPr>
          <w:p>
            <w:pPr>
              <w:jc w:val="right"/>
              <w:ind w:right="50"/>
              <w:spacing w:after="0" w:line="173" w:lineRule="exact"/>
              <w:rPr>
                <w:sz w:val="20"/>
                <w:szCs w:val="20"/>
                <w:color w:val="auto"/>
              </w:rPr>
            </w:pPr>
            <w:r>
              <w:rPr>
                <w:rFonts w:ascii="Arial" w:cs="Arial" w:eastAsia="Arial" w:hAnsi="Arial"/>
                <w:sz w:val="18"/>
                <w:szCs w:val="18"/>
                <w:b w:val="1"/>
                <w:bCs w:val="1"/>
                <w:color w:val="auto"/>
              </w:rPr>
              <w:t>September 30,</w:t>
            </w:r>
          </w:p>
        </w:tc>
        <w:tc>
          <w:tcPr>
            <w:tcW w:w="1420" w:type="dxa"/>
            <w:vAlign w:val="bottom"/>
            <w:gridSpan w:val="2"/>
          </w:tcPr>
          <w:p>
            <w:pPr>
              <w:jc w:val="right"/>
              <w:ind w:right="50"/>
              <w:spacing w:after="0" w:line="173" w:lineRule="exact"/>
              <w:rPr>
                <w:sz w:val="20"/>
                <w:szCs w:val="20"/>
                <w:color w:val="auto"/>
              </w:rPr>
            </w:pPr>
            <w:r>
              <w:rPr>
                <w:rFonts w:ascii="Arial" w:cs="Arial" w:eastAsia="Arial" w:hAnsi="Arial"/>
                <w:sz w:val="18"/>
                <w:szCs w:val="18"/>
                <w:b w:val="1"/>
                <w:bCs w:val="1"/>
                <w:color w:val="auto"/>
              </w:rPr>
              <w:t>September 30,</w:t>
            </w:r>
          </w:p>
        </w:tc>
        <w:tc>
          <w:tcPr>
            <w:tcW w:w="1440" w:type="dxa"/>
            <w:vAlign w:val="bottom"/>
            <w:gridSpan w:val="2"/>
          </w:tcPr>
          <w:p>
            <w:pPr>
              <w:jc w:val="right"/>
              <w:ind w:right="70"/>
              <w:spacing w:after="0" w:line="173" w:lineRule="exact"/>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jc w:val="right"/>
              <w:ind w:right="10"/>
              <w:spacing w:after="0" w:line="173" w:lineRule="exact"/>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Las Vegas operations: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Occupancy %</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87.8%</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83.9%</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$5,695</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$5,801</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$5,617</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Table Win %</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Average number of table games</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9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Average number of slot machines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2,664</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2,768</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2,670</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Macau:</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8"/>
                <w:szCs w:val="18"/>
                <w:color w:val="auto"/>
              </w:rPr>
              <w:t>Occupancy %</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87.6%</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89.2%</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$17,940</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$15,077</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$19,059</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64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538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Average number of table games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640"/>
              <w:spacing w:after="0"/>
              <w:rPr>
                <w:sz w:val="20"/>
                <w:szCs w:val="20"/>
                <w:color w:val="auto"/>
              </w:rPr>
            </w:pPr>
            <w:r>
              <w:rPr>
                <w:rFonts w:ascii="Arial" w:cs="Arial" w:eastAsia="Arial" w:hAnsi="Arial"/>
                <w:sz w:val="18"/>
                <w:szCs w:val="18"/>
                <w:color w:val="auto"/>
              </w:rPr>
              <w:t>Average number of slot machines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1,182</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1,124</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1,181</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calculated as gross slot win minus progressive accruals and free play.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420"/>
          </w:cols>
          <w:pgMar w:left="240" w:top="50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Wynn Resorts Declares $8 Cash Dividend</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LAS VEGAS, November 2, 2010 (BUSINESS WIRE) -- Wynn Resorts, Limited (Nasdaq: WYNN), announced today that its Board of Directors declared a cash dividend of $8.00 per share on its outstanding common stock. This dividend will be payable on December 7, 2010, to stockholders of record on November 23, 2010. The stock will begin to trade ex-dividend on November 19,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This release contains forward-looking statements regarding payment of certain cash dividends by the Company. Such forward-looking information involves important risks and uncertainties that could significantly affect payment by the Company of the cash dividends.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payment by the Company of the cash dividends is included in the Company's Annual Report on Form 10-K for the year ended December 31, 2009 and the Company's other periodic reports filed with the Securities and Exchange Commission. The Com 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2019-12-10T22:07:38Z</dcterms:created>
  <dcterms:modified xsi:type="dcterms:W3CDTF">2019-12-10T22:07:38Z</dcterms:modified>
</cp:coreProperties>
</file>