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340995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255270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158750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00" w:hanging="665"/>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w:t>
      </w:r>
    </w:p>
    <w:p>
      <w:pPr>
        <w:spacing w:after="0" w:line="14" w:lineRule="exact"/>
        <w:rPr>
          <w:sz w:val="24"/>
          <w:szCs w:val="24"/>
          <w:color w:val="auto"/>
        </w:rPr>
      </w:pPr>
    </w:p>
    <w:p>
      <w:pPr>
        <w:ind w:left="700"/>
        <w:spacing w:after="0"/>
        <w:rPr>
          <w:sz w:val="20"/>
          <w:szCs w:val="20"/>
          <w:color w:val="auto"/>
        </w:rPr>
      </w:pPr>
      <w:r>
        <w:rPr>
          <w:rFonts w:ascii="Arial" w:cs="Arial" w:eastAsia="Arial" w:hAnsi="Arial"/>
          <w:sz w:val="22"/>
          <w:szCs w:val="22"/>
          <w:b w:val="1"/>
          <w:bCs w:val="1"/>
          <w:color w:val="auto"/>
        </w:rPr>
        <w:t>ACT OF 1934</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6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00" w:right="1040" w:hanging="665"/>
        <w:spacing w:after="0" w:line="248"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-8255</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180340</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3940" w:type="dxa"/>
            <w:vAlign w:val="bottom"/>
          </w:tcPr>
          <w:p>
            <w:pPr>
              <w:jc w:val="center"/>
              <w:ind w:right="19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20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88-0494875</w:t>
            </w:r>
          </w:p>
        </w:tc>
      </w:tr>
      <w:tr>
        <w:trPr>
          <w:trHeight w:val="180"/>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3"/>
              </w:rPr>
              <w:t>(State or other jurisdiction of</w:t>
            </w:r>
          </w:p>
        </w:tc>
        <w:tc>
          <w:tcPr>
            <w:tcW w:w="320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1982"/>
              <w:spacing w:after="0"/>
              <w:rPr>
                <w:sz w:val="20"/>
                <w:szCs w:val="20"/>
                <w:color w:val="auto"/>
              </w:rPr>
            </w:pPr>
            <w:r>
              <w:rPr>
                <w:rFonts w:ascii="Arial" w:cs="Arial" w:eastAsia="Arial" w:hAnsi="Arial"/>
                <w:sz w:val="14"/>
                <w:szCs w:val="14"/>
                <w:b w:val="1"/>
                <w:bCs w:val="1"/>
                <w:color w:val="auto"/>
                <w:w w:val="94"/>
              </w:rPr>
              <w:t>incorporation or organization)</w:t>
            </w:r>
          </w:p>
        </w:tc>
        <w:tc>
          <w:tcPr>
            <w:tcW w:w="3200" w:type="dxa"/>
            <w:vAlign w:val="bottom"/>
          </w:tcPr>
          <w:p>
            <w:pPr>
              <w:jc w:val="center"/>
              <w:ind w:left="1982"/>
              <w:spacing w:after="0"/>
              <w:rPr>
                <w:sz w:val="20"/>
                <w:szCs w:val="20"/>
                <w:color w:val="auto"/>
              </w:rPr>
            </w:pPr>
            <w:r>
              <w:rPr>
                <w:rFonts w:ascii="Arial" w:cs="Arial" w:eastAsia="Arial" w:hAnsi="Arial"/>
                <w:sz w:val="14"/>
                <w:szCs w:val="14"/>
                <w:b w:val="1"/>
                <w:bCs w:val="1"/>
                <w:color w:val="auto"/>
                <w:w w:val="96"/>
              </w:rPr>
              <w:t>Identification No.)</w:t>
            </w:r>
          </w:p>
        </w:tc>
      </w:tr>
    </w:tbl>
    <w:p>
      <w:pPr>
        <w:jc w:val="center"/>
        <w:ind w:right="-39"/>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(702) 770-7555</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6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-127635</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98"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2"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387" w:right="279"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700" w:space="720"/>
            <w:col w:w="2620" w:space="720"/>
            <w:col w:w="3060" w:space="720"/>
            <w:col w:w="840"/>
          </w:cols>
          <w:pgMar w:left="240" w:top="387" w:right="27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2700" w:space="720"/>
            <w:col w:w="2620" w:space="720"/>
            <w:col w:w="3060" w:space="720"/>
            <w:col w:w="840"/>
          </w:cols>
          <w:pgMar w:left="240" w:top="387" w:right="27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63" w:lineRule="exact"/>
        <w:rPr>
          <w:sz w:val="24"/>
          <w:szCs w:val="24"/>
          <w:color w:val="auto"/>
        </w:rPr>
      </w:pPr>
    </w:p>
    <w:p>
      <w:pPr>
        <w:sectPr>
          <w:pgSz w:w="11900" w:h="16838" w:orient="portrait"/>
          <w:cols w:equalWidth="0" w:num="4">
            <w:col w:w="8620" w:space="220"/>
            <w:col w:w="260" w:space="100"/>
            <w:col w:w="160" w:space="220"/>
            <w:col w:w="1800"/>
          </w:cols>
          <w:pgMar w:left="240" w:top="387" w:right="279" w:bottom="1440" w:gutter="0" w:footer="0" w:header="0"/>
          <w:type w:val="continuous"/>
        </w:sectPr>
      </w:pPr>
    </w:p>
    <w:p>
      <w:pPr>
        <w:ind w:left="4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Wynn Resorts Holdings, LLC owns all of the membership interests of the Registrant as of November 7,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177800</wp:posOffset>
            </wp:positionV>
            <wp:extent cx="2169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right="360" w:firstLine="432"/>
        <w:spacing w:after="0" w:line="277" w:lineRule="auto"/>
        <w:rPr>
          <w:sz w:val="20"/>
          <w:szCs w:val="20"/>
          <w:color w:val="auto"/>
        </w:rPr>
      </w:pPr>
      <w:r>
        <w:rPr>
          <w:rFonts w:ascii="Arial" w:cs="Arial" w:eastAsia="Arial" w:hAnsi="Arial"/>
          <w:sz w:val="18"/>
          <w:szCs w:val="18"/>
          <w:color w:val="auto"/>
        </w:rPr>
        <w:t>The Registrant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151765</wp:posOffset>
            </wp:positionV>
            <wp:extent cx="68776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66040</wp:posOffset>
            </wp:positionV>
            <wp:extent cx="6877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380"/>
          </w:cols>
          <w:pgMar w:left="240" w:top="387" w:right="27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13"/>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 September 30, 2014 (unaudited) and December 31, 2013</w:t>
              </w:r>
            </w:hyperlink>
          </w:p>
        </w:tc>
        <w:tc>
          <w:tcPr>
            <w:tcW w:w="21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4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Comprehensive Income (Loss) (unaudited) – Three and nine months ended</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September 30, 2014 and 2013</w:t>
              </w:r>
            </w:hyperlink>
          </w:p>
        </w:tc>
        <w:tc>
          <w:tcPr>
            <w:tcW w:w="1080" w:type="dxa"/>
            <w:vAlign w:val="bottom"/>
            <w:gridSpan w:val="2"/>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4</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340" w:type="dxa"/>
            <w:vAlign w:val="bottom"/>
            <w:gridSpan w:val="12"/>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Cash Flows (unaudited) – Nine months ended September 30, 2014 and 2013</w:t>
              </w:r>
            </w:hyperlink>
          </w:p>
        </w:tc>
        <w:tc>
          <w:tcPr>
            <w:tcW w:w="18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0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Condensed Consolidated Financial Statements (unaudited)</w:t>
              </w:r>
            </w:hyperlink>
          </w:p>
        </w:tc>
        <w:tc>
          <w:tcPr>
            <w:tcW w:w="180" w:type="dxa"/>
            <w:vAlign w:val="bottom"/>
            <w:gridSpan w:val="2"/>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6</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3240" w:type="dxa"/>
            <w:vAlign w:val="bottom"/>
            <w:gridSpan w:val="4"/>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6">
              <w:r>
                <w:rPr>
                  <w:rFonts w:ascii="Arial" w:cs="Arial" w:eastAsia="Arial" w:hAnsi="Arial"/>
                  <w:sz w:val="18"/>
                  <w:szCs w:val="18"/>
                  <w:color w:val="0000EE"/>
                  <w:w w:val="79"/>
                </w:rPr>
                <w:t>16</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5340" w:type="dxa"/>
            <w:vAlign w:val="bottom"/>
            <w:gridSpan w:val="6"/>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7920" w:type="dxa"/>
            <w:vAlign w:val="bottom"/>
            <w:gridSpan w:val="9"/>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412"/>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9700" w:type="dxa"/>
            <w:vAlign w:val="bottom"/>
            <w:gridSpan w:val="13"/>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700" w:type="dxa"/>
            <w:vAlign w:val="bottom"/>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0"/>
        </w:trPr>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700" w:type="dxa"/>
            <w:vAlign w:val="bottom"/>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340" w:type="dxa"/>
            <w:vAlign w:val="bottom"/>
            <w:tcBorders>
              <w:top w:val="single" w:sz="8" w:color="0000EE"/>
            </w:tcBorders>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5360" w:type="dxa"/>
            <w:vAlign w:val="bottom"/>
            <w:gridSpan w:val="7"/>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28</w:t>
              </w:r>
            </w:hyperlink>
          </w:p>
        </w:tc>
      </w:tr>
      <w:tr>
        <w:trPr>
          <w:trHeight w:val="372"/>
        </w:trPr>
        <w:tc>
          <w:tcPr>
            <w:tcW w:w="340" w:type="dxa"/>
            <w:vAlign w:val="bottom"/>
          </w:tcPr>
          <w:p>
            <w:pPr>
              <w:spacing w:after="0"/>
              <w:rPr>
                <w:sz w:val="24"/>
                <w:szCs w:val="24"/>
                <w:color w:val="auto"/>
              </w:rPr>
            </w:pPr>
          </w:p>
        </w:tc>
        <w:tc>
          <w:tcPr>
            <w:tcW w:w="1140" w:type="dxa"/>
            <w:vAlign w:val="bottom"/>
            <w:gridSpan w:val="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w:t>
              </w:r>
            </w:hyperlink>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29</w:t>
              </w:r>
            </w:hyperlink>
          </w:p>
        </w:tc>
      </w:tr>
      <w:tr>
        <w:trPr>
          <w:trHeight w:val="507"/>
        </w:trPr>
        <w:tc>
          <w:tcPr>
            <w:tcW w:w="34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340" w:type="dxa"/>
            <w:vAlign w:val="bottom"/>
            <w:gridSpan w:val="6"/>
          </w:tcPr>
          <w:p>
            <w:pPr>
              <w:ind w:left="41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2556510</wp:posOffset>
            </wp:positionH>
            <wp:positionV relativeFrom="paragraph">
              <wp:posOffset>-2820670</wp:posOffset>
            </wp:positionV>
            <wp:extent cx="28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00"/>
          </w:cols>
          <w:pgMar w:left="240" w:top="279"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69"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CONDENSED CONSOLIDATED BALANCE SHEETS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(unaudited)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38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347,728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231,156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168,734</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46,209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49,326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28,422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552,526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477,638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2,940,769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3,032,884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Deposits and other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28,830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25,502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3,559,065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3,576,648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8340" w:type="dxa"/>
            <w:vAlign w:val="bottom"/>
            <w:tcBorders>
              <w:bottom w:val="single" w:sz="8" w:color="CCEEFF"/>
            </w:tcBorders>
            <w:shd w:val="clear" w:color="auto" w:fill="CCEEFF"/>
          </w:tcPr>
          <w:p>
            <w:pPr>
              <w:ind w:left="3580"/>
              <w:spacing w:after="0" w:line="196" w:lineRule="exact"/>
              <w:rPr>
                <w:sz w:val="20"/>
                <w:szCs w:val="20"/>
                <w:color w:val="auto"/>
              </w:rPr>
            </w:pPr>
            <w:r>
              <w:rPr>
                <w:rFonts w:ascii="Arial" w:cs="Arial" w:eastAsia="Arial" w:hAnsi="Arial"/>
                <w:sz w:val="18"/>
                <w:szCs w:val="18"/>
                <w:b w:val="1"/>
                <w:bCs w:val="1"/>
                <w:color w:val="auto"/>
              </w:rPr>
              <w:t>LIABILITIES AND MEMBER’S EQUITY (DEFICIT)</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39,188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deposits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98,915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Gaming taxes payable</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12,884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48,706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33,702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59,316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21,308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Due to affiliates,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13,910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10,155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294,143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3,062,352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3,131,626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to affiliates,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170,066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3,524,820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3,599,449</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8)</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Member’s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Contributed capital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1,197,690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1,198,532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(1,163,445)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(1,221,333)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member’s equity (deficit)</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34,245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member’s equity (deficit)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3,559,065</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3,576,648</w:t>
            </w:r>
          </w:p>
        </w:tc>
        <w:tc>
          <w:tcPr>
            <w:tcW w:w="0" w:type="dxa"/>
            <w:vAlign w:val="bottom"/>
          </w:tcPr>
          <w:p>
            <w:pPr>
              <w:spacing w:after="0"/>
              <w:rPr>
                <w:sz w:val="1"/>
                <w:szCs w:val="1"/>
                <w:color w:val="auto"/>
              </w:rPr>
            </w:pPr>
          </w:p>
        </w:tc>
      </w:tr>
      <w:tr>
        <w:trPr>
          <w:trHeight w:val="378"/>
        </w:trPr>
        <w:tc>
          <w:tcPr>
            <w:tcW w:w="83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vMerge w:val="continue"/>
            <w:shd w:val="clear" w:color="auto" w:fill="CCEEFF"/>
          </w:tcPr>
          <w:p>
            <w:pPr>
              <w:spacing w:after="0"/>
              <w:rPr>
                <w:sz w:val="24"/>
                <w:szCs w:val="24"/>
                <w:color w:val="auto"/>
              </w:rPr>
            </w:pPr>
          </w:p>
        </w:tc>
        <w:tc>
          <w:tcPr>
            <w:tcW w:w="1300" w:type="dxa"/>
            <w:vAlign w:val="bottom"/>
            <w:tcBorders>
              <w:bottom w:val="single" w:sz="8" w:color="CCEEFF"/>
            </w:tcBorders>
            <w:vMerge w:val="continue"/>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vMerge w:val="continue"/>
            <w:shd w:val="clear" w:color="auto" w:fill="CCEEFF"/>
          </w:tcPr>
          <w:p>
            <w:pPr>
              <w:spacing w:after="0"/>
              <w:rPr>
                <w:sz w:val="24"/>
                <w:szCs w:val="24"/>
                <w:color w:val="auto"/>
              </w:rPr>
            </w:pPr>
          </w:p>
        </w:tc>
        <w:tc>
          <w:tcPr>
            <w:tcW w:w="1260" w:type="dxa"/>
            <w:vAlign w:val="bottom"/>
            <w:tcBorders>
              <w:bottom w:val="single" w:sz="8" w:color="CCEEFF"/>
            </w:tcBorders>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279"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9"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178,623</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161,580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516,436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480,465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102,544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287,789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136,437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128,995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400,573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390,965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170,563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163,077</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477,046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444,489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1,401,099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1,322,296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(51,760)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(141,187)</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428,145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392,729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1,260,858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1,181,109</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77,648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78,083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232,476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229,752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98,025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87,445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80,812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253,117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241,792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93,802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68,910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60,985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193,180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182,329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Management fees</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6,424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5,892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17,720</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45,148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185,425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10,095</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358,213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363,630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1,041,988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1,062,040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69,932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29,099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218,870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119,069</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(169,856)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(26,578)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(54,265)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(56,408)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(196,147)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57,888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(77,078)</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9"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57,888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(77,078)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133,864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185,425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and write-off of deferred financing costs and other</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6,459</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26,578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3,100</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from changes in: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Receivables,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41,560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6,815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 and prepaid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(25,792)</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Due to affiliates, net</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11,001</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228,955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139,998</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(41,996)</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Deposits and purchase of 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Due to affiliates, net</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8,601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13,181</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assets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(31,190)</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Principal payments on long-term debt</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(275,755)</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Restricted cash for redemption of notes payable</w:t>
            </w:r>
          </w:p>
        </w:tc>
        <w:tc>
          <w:tcPr>
            <w:tcW w:w="30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(243,038)</w:t>
            </w: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first mortgage notes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Payments of financing costs</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(23,956)</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(42,749)</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66,059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Balance, beginning of period</w:t>
            </w:r>
          </w:p>
        </w:tc>
        <w:tc>
          <w:tcPr>
            <w:tcW w:w="3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231,156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148,415</w:t>
            </w:r>
          </w:p>
        </w:tc>
      </w:tr>
      <w:tr>
        <w:trPr>
          <w:trHeight w:val="27"/>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end of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347,728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214,474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9"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CONDENSED CONSOLIDATED FINANCIAL STATEMENTS (Unaudited)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Wynn Las Vegas, LLC, a Nevada limited liability company, was organized primarily to construct and operate Wynn Las Vegas | Encore (“Wynn Las Vegas”), a fully integrated destination casino resort on the “Strip” in Las Vegas, Nevada.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w:t>
      </w:r>
    </w:p>
    <w:p>
      <w:pPr>
        <w:spacing w:after="0" w:line="171"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Wynn Las Vegas Capital Corp. (“Wynn Capital”) is a wholly owned subsidiary of the Company organized solely for the purpose of obtaining financing for Wynn Las Vegas. Wynn Capital is authorized to issue 2,000 shares of common stock, par value $0.01. At September 30, 2014, the Company owned the one share that was issued and outstanding. Wynn Capital has neither any significant net assets nor has had any operating activity. Its sole function is to serve as the co-issuer of the mortgage notes. Wynn Las Vegas, LLC and Wynn Capital together are hereinafter referred to as the “Issuers”.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2014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Cash and cash equivalents are comprised of highly liquid investments with original maturities of three months or less. Cash equivalents are carried at cost, which approximates fair value.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2014 and December 31, 2013, approximately 78% and 82%,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to their carrying amount, which approximates fair value. The allowance is estimated based on historical collection patterns and current collection trends. In addition, the estimate reflects specific review of customer accounts as well as management's experience with collection trends in the casino industry and current economic and business conditions. During the nine months ended September 30, 2014, the Company recorded an adjustment to its reserve estimates for casino accounts receivable based on results of historical collection patterns and current collection trends. This adjustment benefited operating income and net income by $4.6 million for the nine months ended September 30, 2014.</w:t>
      </w:r>
    </w:p>
    <w:p>
      <w:pPr>
        <w:spacing w:after="0" w:line="1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During the nine months ended September 30, 2013, the Company recorded a similar adjustment which benefited operating income and net loss by $12.2 million.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includes rental income which is recognized on a time proportion basis over the lease term.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58"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revenues; consequently, the Company’s casino revenues are reduced by discounts and points earned in the player’s club loyalty program.</w:t>
      </w:r>
    </w:p>
    <w:p>
      <w:pPr>
        <w:spacing w:after="0" w:line="1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such amounts are then deducted as promotional allowances. The estimated cost of providing such promotional allowances is primarily included in casino expenses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32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40" w:type="dxa"/>
            <w:vAlign w:val="bottom"/>
            <w:tcBorders>
              <w:bottom w:val="single" w:sz="8" w:color="CCEEFF"/>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28,225</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17,114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49,648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46,804</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9,162</w:t>
            </w:r>
          </w:p>
        </w:tc>
      </w:tr>
      <w:tr>
        <w:trPr>
          <w:trHeight w:val="237"/>
        </w:trPr>
        <w:tc>
          <w:tcPr>
            <w:tcW w:w="5040" w:type="dxa"/>
            <w:vAlign w:val="bottom"/>
          </w:tcPr>
          <w:p>
            <w:pPr>
              <w:spacing w:after="0"/>
              <w:rPr>
                <w:sz w:val="20"/>
                <w:szCs w:val="20"/>
                <w:color w:val="auto"/>
              </w:rPr>
            </w:pPr>
          </w:p>
        </w:tc>
        <w:tc>
          <w:tcPr>
            <w:tcW w:w="98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0"/>
              </w:rPr>
              <w:t>29,606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30,955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84,341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84,191</w:t>
            </w:r>
          </w:p>
        </w:tc>
      </w:tr>
      <w:tr>
        <w:trPr>
          <w:trHeight w:val="27"/>
        </w:trPr>
        <w:tc>
          <w:tcPr>
            <w:tcW w:w="50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200" w:firstLine="432"/>
        <w:spacing w:after="0" w:line="327" w:lineRule="auto"/>
        <w:rPr>
          <w:sz w:val="20"/>
          <w:szCs w:val="20"/>
          <w:color w:val="auto"/>
        </w:rPr>
      </w:pPr>
      <w:r>
        <w:rPr>
          <w:rFonts w:ascii="Arial" w:cs="Arial" w:eastAsia="Arial" w:hAnsi="Arial"/>
          <w:sz w:val="15"/>
          <w:szCs w:val="15"/>
          <w:color w:val="auto"/>
        </w:rPr>
        <w:t>The Company is subject to taxes based on gross gaming revenue in the jurisdictions in which it operates, subject to applicable jurisdictional adjustments. These gaming taxes are an assessment on the Company’s gaming revenue and are recorded as casino expense in the accompanying Condensed Consolidated Statements of Comprehensive Income (Loss). These taxes totaled $12.8 million and $11.2 million for the three months ended September 30, 2014 and 2013, respectively. For the nine months ended September 30, 2014 and 2013, these taxes totaled $37.2 million and $34.6 million, respectively.</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The Company accounts for stock-based compensation related to equity shares of Wynn Resorts granted to its employees by recognizing the costs of the employee services received in exchange for the equity award instrument based on the grant date fair value of the awards over the service period. For the nine months ended September 30, 2014 and 2013, the Company recorded $2.8 million and $6.6 million, respectively, in stock-based compensation with a corresponding increase to contributed capital on our Condensed Consolidated Balance Sheets.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August 2014, the Financial Accounting Standards Board ("FASB") issued an accounting standards update that requires management to assess an entity’s ability to continue as a going concern and to provide related footnote disclosures in certain circumstances. Substantial doubt about an entity's ability to continue as a going concern exists when relevant conditions and events, consolidated in the aggregate, indicate that it is probable that an entity will be unable to meet its obligations as they become due within one year after the date that the financial statements are issued. Currently, there is no guidance in U.S. GAAP for management's responsibility to perform an evaluation. Under the update, management's evaluation is to be performed when preparing financial statements for each annual and interim reporting period and based on relevant conditions and events that are known and reasonably knowable at the date that the financial statements are issued. The Company will adopt this standard effective January 1, 2017. The Company is currently assessing the impact the adoption of this standard will have on its consolidated financial statements.</w:t>
      </w:r>
    </w:p>
    <w:p>
      <w:pPr>
        <w:spacing w:after="0" w:line="179" w:lineRule="exact"/>
        <w:rPr>
          <w:sz w:val="20"/>
          <w:szCs w:val="20"/>
          <w:color w:val="auto"/>
        </w:rPr>
      </w:pPr>
    </w:p>
    <w:p>
      <w:pPr>
        <w:ind w:right="220" w:firstLine="432"/>
        <w:spacing w:after="0" w:line="293" w:lineRule="auto"/>
        <w:rPr>
          <w:sz w:val="20"/>
          <w:szCs w:val="20"/>
          <w:color w:val="auto"/>
        </w:rPr>
      </w:pPr>
      <w:r>
        <w:rPr>
          <w:rFonts w:ascii="Arial" w:cs="Arial" w:eastAsia="Arial" w:hAnsi="Arial"/>
          <w:sz w:val="16"/>
          <w:szCs w:val="16"/>
          <w:color w:val="auto"/>
        </w:rPr>
        <w:t>In June 2014, the FASB issued an accounting standards update that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 or periods for which the requisite service has already been rendered. The effective date for this update is for the annual and interim periods beginning after December 15, 2015. Early application is permitted. The Company does not anticipate that the adoption of this standard will have a material impact on its consolidated financial statements.</w:t>
      </w:r>
    </w:p>
    <w:p>
      <w:pPr>
        <w:spacing w:after="0" w:line="165" w:lineRule="exact"/>
        <w:rPr>
          <w:sz w:val="20"/>
          <w:szCs w:val="20"/>
          <w:color w:val="auto"/>
        </w:rPr>
      </w:pPr>
    </w:p>
    <w:p>
      <w:pPr>
        <w:ind w:right="60" w:firstLine="432"/>
        <w:spacing w:after="0" w:line="289" w:lineRule="auto"/>
        <w:rPr>
          <w:sz w:val="20"/>
          <w:szCs w:val="20"/>
          <w:color w:val="auto"/>
        </w:rPr>
      </w:pPr>
      <w:r>
        <w:rPr>
          <w:rFonts w:ascii="Arial" w:cs="Arial" w:eastAsia="Arial" w:hAnsi="Arial"/>
          <w:sz w:val="16"/>
          <w:szCs w:val="16"/>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The effective date for this update is for the annual and interim periods beginning after December 15, 2016. Early application is not permitted. The Company will adopt this standard effective January 1, 2017. The Company is currently assessing the impact the adoption of this standard will have on its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Receivables,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Receivables, net consisted of the following (in thousands):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4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142,153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190,199</w:t>
            </w:r>
          </w:p>
        </w:tc>
        <w:tc>
          <w:tcPr>
            <w:tcW w:w="0" w:type="dxa"/>
            <w:vAlign w:val="bottom"/>
          </w:tcPr>
          <w:p>
            <w:pPr>
              <w:spacing w:after="0"/>
              <w:rPr>
                <w:sz w:val="1"/>
                <w:szCs w:val="1"/>
                <w:color w:val="auto"/>
              </w:rPr>
            </w:pPr>
          </w:p>
        </w:tc>
      </w:tr>
      <w:tr>
        <w:trPr>
          <w:trHeight w:val="243"/>
        </w:trPr>
        <w:tc>
          <w:tcPr>
            <w:tcW w:w="4220" w:type="dxa"/>
            <w:vAlign w:val="bottom"/>
          </w:tcPr>
          <w:p>
            <w:pPr>
              <w:ind w:left="40"/>
              <w:spacing w:after="0"/>
              <w:rPr>
                <w:sz w:val="20"/>
                <w:szCs w:val="20"/>
                <w:color w:val="auto"/>
              </w:rPr>
            </w:pPr>
            <w:r>
              <w:rPr>
                <w:rFonts w:ascii="Arial" w:cs="Arial" w:eastAsia="Arial" w:hAnsi="Arial"/>
                <w:sz w:val="18"/>
                <w:szCs w:val="18"/>
                <w:color w:val="auto"/>
              </w:rPr>
              <w:t>Hotel</w:t>
            </w:r>
          </w:p>
        </w:tc>
        <w:tc>
          <w:tcPr>
            <w:tcW w:w="4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12,468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4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16,089</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172,835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221,588</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4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(52,854)</w:t>
            </w: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122,319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168,734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120" w:type="dxa"/>
            <w:vAlign w:val="bottom"/>
            <w:vMerge w:val="restart"/>
          </w:tcPr>
          <w:p>
            <w:pPr>
              <w:jc w:val="right"/>
              <w:ind w:right="249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1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2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623,741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623,744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2,631,354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2,633,106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1,386,357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1,368,014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4,692,370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4,673,847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(1,751,601)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(1,640,963)</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2,940,769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3,032,884</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5 - Long-Term Debt</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Long-term debt consisted of the following (in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24"/>
                <w:szCs w:val="24"/>
                <w:color w:val="auto"/>
              </w:rPr>
            </w:pPr>
          </w:p>
        </w:tc>
        <w:tc>
          <w:tcPr>
            <w:tcW w:w="1260" w:type="dxa"/>
            <w:vAlign w:val="bottom"/>
          </w:tcPr>
          <w:p>
            <w:pPr>
              <w:jc w:val="center"/>
              <w:ind w:right="17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1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7 7/8% First Mortgage Notes, due May 1, 2020, net of original issue discount of $1,708 at September 30, 2014</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$1,884 at December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345,302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350,126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7 3/4% First Mortgage Notes, due August 15, 2020</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1,256,600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1,320,000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 3/8% First Mortgage Notes, due March 15, 2022</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4 1/4% Senior Notes, due May 30, 2023</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Payable to Affiliate</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3,063,402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3,132,676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3,062,352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3,131,626</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7 7/8% Wynn Las Vegas First Mortgage Notes due 2020</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During the nine months ended September 30, 2014, Wynn Las Vegas, LLC repurchased and canceled $5.0 million in principal plus interest of its 7 7/8% first mortgage notes due May 1, 2020 through the open market. The Company incurred $0.5 million in expenses associated with the premium paid for the repurchases and unamortized deferred financing costs and original issue discount included in loss on extinguishment of debt in the accompanying Condensed Consolidated Statements of Comprehensive Income (Loss).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7 3/4% Wynn Las Vegas First Mortgage Notes due 2020</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During the nine months ended September 30, 2014, the Company repurchased and canceled $63.4 million in principal plus interest of its 7 3/4% first mortgage notes due 2020 through the open market. The Company incurred $6.9 million in expenses associated with the premium paid for the repurchase and unamortized deferred financing costs included in loss on extinguishment of debt in the accompanying Condensed Consolidated Statements of Comprehensive Income (Loss).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2014, management believes the Company was in compliance with all debt covenants.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Long Term Debt</w:t>
      </w:r>
    </w:p>
    <w:p>
      <w:pPr>
        <w:spacing w:after="0" w:line="22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estimated fair value of the Company's long-term debt as of September 30, 2014 and December 31, 2013 was approximately $3.2 billion and $3.3 billion, respectively, compared to its carrying value of $3.1 billion and $3.1 billion, respectively. The estimated fair value of the Company's long-term debt is based on recent trades, if available, and indicative pricing from market information (level 2 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Related Party Transactions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Amounts Due to Affiliates, net</w:t>
      </w:r>
    </w:p>
    <w:p>
      <w:pPr>
        <w:spacing w:after="0" w:line="22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of September 30, 2014, the Company’s current due to affiliates, net of $13.9 million was comprised of construction related payables and corporate allocations. The long-term due to affiliates, net consisted of management fees of $189.0 million.</w:t>
      </w:r>
    </w:p>
    <w:p>
      <w:pPr>
        <w:spacing w:after="0" w:line="170"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As of December 31, 2013, the Company’s current due to affiliates, net of $10.2 million was comprised of construction related payables and corporate allocations. The long-term due to affiliates, net was management fees of $170.1 million.</w:t>
      </w:r>
    </w:p>
    <w:p>
      <w:pPr>
        <w:spacing w:after="0" w:line="170"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The Company periodically settles amounts due affiliates with cash receipts and payments, except for the management fee. The management fee is equal to 1.5% of net revenues and payable upon meeting certain leverage ratios specified in the documents governing the first mortgage notes indentures.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Corporate Allocations</w:t>
      </w:r>
    </w:p>
    <w:p>
      <w:pPr>
        <w:spacing w:after="0" w:line="225"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6"/>
          <w:szCs w:val="16"/>
          <w:color w:val="auto"/>
        </w:rPr>
        <w:t>The accompanying Condensed Consolidated Statements of Comprehensive Income (Loss)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with Wynn Resorts on a periodic basis as discussed in “Amounts Due to Affiliates, net” above. For the three months ended September 30, 2014 and 2013,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 million and $5.9 million, respectively, were charged to the Company for such corporate allocations. For the nine months ended September 30, 2014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2013, $25.4 million and $19.2 million, respectively, were charged to the Company for such corporate allocations.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Villa Lease</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Mr. Wynn currently leases from the Company a villa which serves as Mr. Wynn’s personal residence. The restated lease agreement and amendments (“SW Lease”) were approved by the Audit Committee of the Board of Directors of Wynn Resorts. Pursuant to the SW Lease, Mr. Wynn pays the Company annual rent of $525,000 for the villa, which amount was determined to be the fair market value of the accommodations based on a third-party appraisal. In addition, pursuant to the SW Lease, the Company pays for all capital improvements to the villa. The rental value for the villa will be re-determined every two years during the term of the SW Lease by the Audit Committee, with the current rent rate effective through February 28, 2015. Certain services for, and maintenance of, the villa are included in the annual rent.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its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Golf Course Lease</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On September 18, 2012, the Company distributed to Wynn Resorts, Limited, the Wynn Las Vegas golf course land and the related water rights.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30 days prior to the expiration of any monthly period. The combined rental value for both the golf course land and the water rights is $598,000 per month.</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Las Vegas Jet, LLC</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September 30, 2014, the Company distributed its equity interest of $3.6 million in Las Vegas Jet, LLC, a wholly owned subsidiary, to Wynn Resorts, Limited. The distribution resulted in a reduction to our contributed capital on our Condensed Consolidated Balance Sheets. Las Vegas Jet, LLC provides pilot and other aviation services with respect to three aircraft, one owned by a wholly owned subsidiary of the Company, and two owned by wholly owned subsidiaries of Wynn Resorts, Limited.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Charges and Other</w:t>
      </w:r>
    </w:p>
    <w:p>
      <w:pPr>
        <w:spacing w:after="0" w:line="22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Property charges and other were minimal for the three and nine months ended September 30, 2014 and for the three months ended September 30, 2013. Property charges and other for the nine months ended September 30, 2013 was $10.1 million, which primarily consisted of fees paid in connection with the termination of a contract and miscellaneous renovations and abandonments at our resort.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The Company and its affiliates are involved in litigation in addition to the actions noted below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the Aruze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Capital.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188" w:lineRule="exact"/>
        <w:rPr>
          <w:sz w:val="20"/>
          <w:szCs w:val="20"/>
          <w:color w:val="auto"/>
        </w:rPr>
      </w:pPr>
    </w:p>
    <w:p>
      <w:pPr>
        <w:ind w:right="120" w:firstLine="432"/>
        <w:spacing w:after="0" w:line="284" w:lineRule="auto"/>
        <w:rPr>
          <w:sz w:val="20"/>
          <w:szCs w:val="20"/>
          <w:color w:val="auto"/>
        </w:rPr>
      </w:pPr>
      <w:r>
        <w:rPr>
          <w:rFonts w:ascii="Arial" w:cs="Arial" w:eastAsia="Arial" w:hAnsi="Arial"/>
          <w:sz w:val="16"/>
          <w:szCs w:val="16"/>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Wynn Resorts engaged an independent financial adviser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w:t>
      </w:r>
    </w:p>
    <w:p>
      <w:pPr>
        <w:spacing w:after="0" w:line="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194"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8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the Wynn Resorts’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Stephen A. Wynn and did not independently and objectively evaluate the Okada Parties’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Stephen A. Wynn, and Elaine Wynn (the “Stockholders Agreement”).</w:t>
      </w:r>
    </w:p>
    <w:p>
      <w:pPr>
        <w:spacing w:after="0" w:line="193"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On June 19, 2012, Elaine Wynn asserted a cross claim against Stephen A. Wynn and Aruze seeking a declaration that (1) any and all of Elaine Wynn’s duties under the Stockholders Agreement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indentures for Wynn Las Vegas, LLC's 7 7/8% first mortgage notes due 2020, 7 3/4% first mortgage notes due 2020 (together, the "2020 Indentures") and the indenture for Wynn Las Vegas, LLC's 4 1/4% Senior Notes due 2023 (the "2023 Indenture," and, together with the 2020 Indentures, the "Indentures") provide that if Stephen A. Wynn, together with certain related parties, in the aggregate beneficially owns a lesser percentage of the outstanding common stock of Wynn Resorts than are beneficially owned by any other person, a change of control will have occurred. The indentures for Wynn Las Vegas, LLC's 5 3/8% first mortgage notes due 2022 (the "2022 Indenture") provide that if any event constitutes a "change of control" under the 2020 Indentures, it will constitute a change of control under the 2022 Indenture. If Elaine Wynn prevails in her cross claim, Stephen A. Wynn would not beneficially own or control Elaine Wynn’s shares and a change in control may result under the Company’s debt documents. Under the 2020 Indentures and the 2022 Indenture, the occurrence of a change of control requires that Wynn Resorts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Under the 2023 Indenture, if a change of control occurs and within 60 days after that occurrence the 4 1/4% Senior Notes due 2023 are rated below investment grade by both rating agencies that rate such notes, Wynn Resorts is required to make an offer to each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7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 November 26, 2013, the Okada Parties filed their fourth amended Counterclaim, and Wynn Resorts filed an answer to that pleading on December 16, 2013.</w:t>
      </w:r>
    </w:p>
    <w:p>
      <w:pPr>
        <w:spacing w:after="0" w:line="179" w:lineRule="exact"/>
        <w:rPr>
          <w:sz w:val="20"/>
          <w:szCs w:val="20"/>
          <w:color w:val="auto"/>
        </w:rPr>
      </w:pPr>
    </w:p>
    <w:p>
      <w:pPr>
        <w:ind w:right="100" w:firstLine="432"/>
        <w:spacing w:after="0" w:line="272" w:lineRule="auto"/>
        <w:rPr>
          <w:sz w:val="20"/>
          <w:szCs w:val="20"/>
          <w:color w:val="auto"/>
        </w:rPr>
      </w:pPr>
      <w:r>
        <w:rPr>
          <w:rFonts w:ascii="Arial" w:cs="Arial" w:eastAsia="Arial" w:hAnsi="Arial"/>
          <w:sz w:val="17"/>
          <w:szCs w:val="17"/>
          <w:color w:val="auto"/>
        </w:rPr>
        <w:t>On each of February 14, 2013 and February 13, 2014, Wynn Resorts issued a check to Aruze in the amount of $38.7 million, representing the interest payments due on the Redemption Note at those times. However, those checks were not cashed. The parties engaged in discussions regarding the terms of an escrow agreement, in accordance with a prior court order. However,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w:t>
      </w:r>
    </w:p>
    <w:p>
      <w:pPr>
        <w:spacing w:after="0" w:line="15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 On September 22, 2014, the court entered a new stipulation between the parties for discovery schedule with closing on August 1, 2016.</w:t>
      </w:r>
    </w:p>
    <w:p>
      <w:pPr>
        <w:spacing w:after="0" w:line="180"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On September 16, 2014, Aruze filed a motion for partial summary judgment related to its counterclaim alleging Wynn Resorts' directors violated the terms of the Articles by failing to pay Aruze fair value for the redeemed shares. At a hearing held on October 21, 2014, the court denied Aruze's motion.</w:t>
      </w:r>
    </w:p>
    <w:p>
      <w:pPr>
        <w:spacing w:after="0" w:line="124"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On October 10, 2014, the Okada Parties filed a motion for partial judgment on the pleadings principally to seek dismissal of certain breach of fiduciary claims against Mr. Okada included in Wynn Resorts' Complaint. The Wynn Parties filed their opposition on October 27, 2014, and the Okada Parties were required to file their reply on November 5, 2014. A court hearing regarding this motion is set for November 13, 2014.</w:t>
      </w:r>
    </w:p>
    <w:p>
      <w:pPr>
        <w:spacing w:after="0" w:line="16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Wynn Resorts will continue to vigorously pursue its claims against the Okada Parties, and Wynn Resorts and the Wynn Parties will continue to vigorously defend against the counterclaims asserted against them. Wynn Resorts’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On October 28, 2014, the Wynn Parties received a copy of the brief that the Okada Japan Parties had filed to explain why they believe the Supreme Court of Japan should hear the case. The Wynn Parties plan to file a reply brief by November 27, 2014.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 (3) stayed the claims asserted by Wynn Resorts against Mr. Okada pending the resolution of the Redemption Action.</w:t>
      </w:r>
    </w:p>
    <w:p>
      <w:pPr>
        <w:spacing w:after="0" w:line="16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this action or the range of reasonably possible loss, if any.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previously disclosed donation to the University of Macau. Wynn Resorts has not received any target letter or subpoena in connection with such an investigation. Wynn Resorts intends to cooperate fully with the government in response to any inquiry related to the donation to the University of Macau.</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right="20" w:firstLine="8"/>
        <w:spacing w:after="0" w:line="285"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injunctive relief; and (4) unjust enrichment. The claims were against Wynn Resorts and all of Wynn Resorts’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and (c) redeeming Aruze’s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Wynn Resorts and the directors filed their motion to dismiss the amended complaint on May 23, 2013. On March 13, 2014, the federal court granted the motion to dismiss and entered judgment in favor of Wynn Resorts and directors and against the Federal Plaintiffs without prejudice. On April 10, 2014, the Federal Plaintiffs filed a notice of appeal to the United States Court of Appeals for the Ninth Circuit. The Federal Plaintiffs' opening brief was filed on September 19, 2014, and the Company's response brief is due December 18, 2014.</w:t>
      </w:r>
    </w:p>
    <w:p>
      <w:pPr>
        <w:spacing w:after="0" w:line="171"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have also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w:t>
      </w:r>
    </w:p>
    <w:p>
      <w:pPr>
        <w:ind w:firstLine="8"/>
        <w:spacing w:after="0" w:line="267"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mismanagement; and (4) unjust enrichment. The claims are against Wynn Resorts and all of Wynn Resorts’ directors during the applicable period, including Mr. Okada, as well as Wynn Resorts’ Chief Financial Officer who signed financial disclosures filed with the SEC during the applicable periods.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8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November 5, 2014, the Company distributed $74.9 million in cash to Wynn Resorts, Limited.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2013. Unless the context otherwise requires, all references herein to the “Company,” “we,” “us” or “our,” or similar terms, refer to Wynn Las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Vegas, LLC, a Nevada limited liability company and its consolidated subsidiaries. This discussion and analysis contains forward-looking statements. Please refer to the section below entitled “Special Note Regarding Forward-Looking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 Encore (“Wynn Las Vegas”), a fully integrated destination casino resort in Las Vegas, Nevada. Wynn Las Vegas, located at the intersection of the Las Vegas Strip and Sands Avenue, occupies approximately 215 acres of land (of which approximately 140 acres comprise the Wynn Las Vegas golf course) fronting the Las Vegas Strip, and utilizes approximately 18 additional acres across Sands Avenue, a portion of which is improved with an employee parking garage, and approximately 5 acres adjacent to the golf course on which an office building is located. We lease 140 acres where the golf course is located, along with related water rights, from Wynn Resorts.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Las Vegas resort complex features:</w:t>
      </w:r>
    </w:p>
    <w:p>
      <w:pPr>
        <w:spacing w:after="0" w:line="279" w:lineRule="exact"/>
        <w:rPr>
          <w:sz w:val="20"/>
          <w:szCs w:val="20"/>
          <w:color w:val="auto"/>
        </w:rPr>
      </w:pPr>
    </w:p>
    <w:p>
      <w:pPr>
        <w:ind w:left="900" w:right="2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including private gaming salons, a sky casino, a poker room, and a race and sports book;</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guest rooms, suites and villas;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284,000 square feet of meeting and convention space;</w:t>
      </w:r>
    </w:p>
    <w:p>
      <w:pPr>
        <w:spacing w:after="0" w:line="117" w:lineRule="exact"/>
        <w:rPr>
          <w:rFonts w:ascii="Arial" w:cs="Arial" w:eastAsia="Arial" w:hAnsi="Arial"/>
          <w:sz w:val="18"/>
          <w:szCs w:val="18"/>
          <w:color w:val="auto"/>
        </w:rPr>
      </w:pPr>
    </w:p>
    <w:p>
      <w:pPr>
        <w:jc w:val="both"/>
        <w:ind w:left="900" w:right="42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 including stores and boutiques by Alexander McQueen, Brioni, Cartier, Chanel, Chloé, Chopard, Dior, Givenchy, Graff, Hermes, IWC Schaffhausen, Jaeger LeCoultre, Loro Piana, Louis Vuitton, Manolo Blahnik, Nicholas Kirkwood, Oscar de la Renta, Piaget, Rolex, Vertu and others;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Recreation and leisure facilities, including an 18-hole golf course, swimming pools, private cabanas and two full service spas and salons;</w:t>
      </w:r>
    </w:p>
    <w:p>
      <w:pPr>
        <w:spacing w:after="0" w:line="128" w:lineRule="exact"/>
        <w:rPr>
          <w:rFonts w:ascii="Arial" w:cs="Arial" w:eastAsia="Arial" w:hAnsi="Arial"/>
          <w:sz w:val="17"/>
          <w:szCs w:val="17"/>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showrooms; and</w:t>
      </w:r>
    </w:p>
    <w:p>
      <w:pPr>
        <w:spacing w:after="0" w:line="117"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Construction and Future Development</w:t>
      </w:r>
    </w:p>
    <w:p>
      <w:pPr>
        <w:spacing w:after="0" w:line="22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 response to our evaluation of our property and the reactions of our guests, we have made and expect to continue to remodel and make enhancements and refinements to our resort complex.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jc w:val="both"/>
        <w:ind w:right="480" w:firstLine="432"/>
        <w:spacing w:after="0" w:line="342" w:lineRule="auto"/>
        <w:rPr>
          <w:sz w:val="20"/>
          <w:szCs w:val="20"/>
          <w:color w:val="auto"/>
        </w:rPr>
      </w:pPr>
      <w:r>
        <w:rPr>
          <w:rFonts w:ascii="Arial" w:cs="Arial" w:eastAsia="Arial" w:hAnsi="Arial"/>
          <w:sz w:val="16"/>
          <w:szCs w:val="16"/>
          <w:color w:val="auto"/>
        </w:rPr>
        <w:t>Certain key operating statistics specific to the gaming industry are included in our discussions of the Company’s operational performance for the periods in which Condensed Consolidated Statements of Comprehensive Income (Loss) are presented. Below are definitions of the statistics discussed:</w:t>
      </w:r>
    </w:p>
    <w:p>
      <w:pPr>
        <w:spacing w:after="0" w:line="205"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including promotional allowances (less service charges, if any) by total rooms occupied including complimentary rooms.</w:t>
      </w:r>
    </w:p>
    <w:p>
      <w:pPr>
        <w:spacing w:after="0" w:line="3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including promotional allowances (less service charges, if any) by total rooms available.</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79" w:right="2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Third quarter 2014 results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1140" w:type="dxa"/>
            <w:vAlign w:val="bottom"/>
          </w:tcPr>
          <w:p>
            <w:pPr>
              <w:spacing w:after="0"/>
              <w:rPr>
                <w:sz w:val="16"/>
                <w:szCs w:val="16"/>
                <w:color w:val="auto"/>
              </w:rPr>
            </w:pPr>
          </w:p>
        </w:tc>
      </w:tr>
      <w:tr>
        <w:trPr>
          <w:trHeight w:val="203"/>
        </w:trPr>
        <w:tc>
          <w:tcPr>
            <w:tcW w:w="40" w:type="dxa"/>
            <w:vAlign w:val="bottom"/>
          </w:tcPr>
          <w:p>
            <w:pPr>
              <w:spacing w:after="0"/>
              <w:rPr>
                <w:sz w:val="17"/>
                <w:szCs w:val="17"/>
                <w:color w:val="auto"/>
              </w:rPr>
            </w:pPr>
          </w:p>
        </w:tc>
        <w:tc>
          <w:tcPr>
            <w:tcW w:w="102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87"/>
              </w:rPr>
              <w:t>(in thousands)</w:t>
            </w:r>
          </w:p>
        </w:tc>
        <w:tc>
          <w:tcPr>
            <w:tcW w:w="20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 Change</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7"/>
              </w:rPr>
              <w:t>Percent Change</w:t>
            </w:r>
          </w:p>
        </w:tc>
      </w:tr>
      <w:tr>
        <w:trPr>
          <w:trHeight w:val="48"/>
        </w:trPr>
        <w:tc>
          <w:tcPr>
            <w:tcW w:w="4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20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3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428,145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392,729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1,260,858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1,181,109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3100" w:type="dxa"/>
            <w:vAlign w:val="bottom"/>
            <w:gridSpan w:val="3"/>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15,667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(27,309)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57,888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(77,078)</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175.1</w:t>
            </w:r>
          </w:p>
        </w:tc>
      </w:tr>
      <w:tr>
        <w:trPr>
          <w:trHeight w:val="27"/>
        </w:trPr>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1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133,250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106,515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403,962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362,529</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During the three months ended September 30, 2014 net income was $15.7 million compared to a net loss of $27.3 million for the same period of 2013. The change was driven by a 9.0% increase in net revenues and operating margin improvement mainly resulting from a 26.9% reduction in depreciation and amortization expense.</w:t>
      </w:r>
    </w:p>
    <w:p>
      <w:pPr>
        <w:spacing w:after="0" w:line="181" w:lineRule="exact"/>
        <w:rPr>
          <w:sz w:val="20"/>
          <w:szCs w:val="20"/>
          <w:color w:val="auto"/>
        </w:rPr>
      </w:pPr>
    </w:p>
    <w:p>
      <w:pPr>
        <w:jc w:val="both"/>
        <w:ind w:right="140" w:firstLine="432"/>
        <w:spacing w:after="0" w:line="312" w:lineRule="auto"/>
        <w:rPr>
          <w:sz w:val="20"/>
          <w:szCs w:val="20"/>
          <w:color w:val="auto"/>
        </w:rPr>
      </w:pPr>
      <w:r>
        <w:rPr>
          <w:rFonts w:ascii="Arial" w:cs="Arial" w:eastAsia="Arial" w:hAnsi="Arial"/>
          <w:sz w:val="16"/>
          <w:szCs w:val="16"/>
          <w:color w:val="auto"/>
        </w:rPr>
        <w:t>During the nine months ended September 30, 2014 net income was $57.9 million compared to a net loss of $77.1 million for the same period of 2013. The change was primarily attributable to increases of 7.5% in casino revenues and 8.9% in room revenues, operating margin improvement which was driven by a 27.8% reduction in depreciation and amortization expense and the impact from financing activities in the prior year on our non-operating expenses.</w:t>
      </w:r>
    </w:p>
    <w:p>
      <w:pPr>
        <w:spacing w:after="0" w:line="14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Our net revenue performance for the quarter drove an increase of 25.1% in Adjusted Property EBITDA to $133.3 million for the three months ended September 30, 2014.</w:t>
      </w:r>
    </w:p>
    <w:p>
      <w:pPr>
        <w:spacing w:after="0" w:line="17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our resort. We currently rely solely upon the operations of Wynn Las Vegas for our operating cash flow. Concentration of our cash flows to Wynn Las Vegas exposes us to certain risks that competitors, whose operations are more diversified, may be better able to control. In addition to the concentration of operations in a single resort complex, many of our customers are premium gaming customers who wager on credit, thus exposing us to increased credit risk. High-end gaming also increases the potential for variability in our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2014 compared to the three months ended September 30, 2013.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less promotional allowances. The following table presents net revenues from our casino revenues and non-casino revenues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1020" w:type="dxa"/>
            <w:vAlign w:val="bottom"/>
          </w:tcPr>
          <w:p>
            <w:pPr>
              <w:jc w:val="right"/>
              <w:ind w:right="20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178,623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161,580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249,522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231,149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57"/>
        </w:trPr>
        <w:tc>
          <w:tcPr>
            <w:tcW w:w="72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428,145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392,729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percentage of our net revenues from non-casino revenues were 58.3% for the three months ended September 30, 2014 compared to 58.9% for the same period of 2013. Casino revenues were 41.7% of total net revenues for the three months ended September 30, 2014 compared to 41.1% of total net revenues for the same period of 2013.</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Casino revenues increased 10.5% to $178.6 million for the three months ended September 30, 2014, up from $161.6 million in the same period of 2013, primarily due to a 3.1 percentage point increase in table games win percentage partially offset by a decrease in table games volume with drop decreasing 5.2% year-over-year.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9"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(in thousands except for win per unit per day and average number of table games and slots).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178,623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161,580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table games</w:t>
            </w:r>
          </w:p>
        </w:tc>
        <w:tc>
          <w:tcPr>
            <w:tcW w:w="32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Drop</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640,941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676,287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164,932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152,842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12,090</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games win %</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7,619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7,031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21"/>
                <w:szCs w:val="21"/>
                <w:color w:val="auto"/>
              </w:rPr>
            </w:pP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1,935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788,131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733,540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54,591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3"/>
              <w:spacing w:after="0"/>
              <w:rPr>
                <w:sz w:val="20"/>
                <w:szCs w:val="20"/>
                <w:color w:val="auto"/>
              </w:rPr>
            </w:pPr>
            <w:r>
              <w:rPr>
                <w:rFonts w:ascii="Arial" w:cs="Arial" w:eastAsia="Arial" w:hAnsi="Arial"/>
                <w:sz w:val="18"/>
                <w:szCs w:val="18"/>
                <w:color w:val="auto"/>
              </w:rPr>
              <w:t>47,446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45,848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Non-casino revenues increased 7.9%, or $18.4 million, to $249.5 million for the three months ended September 30, 2014, up from $231.1 million for the same period of 2013, primarily from a 5.8% increase in food and beverage revenues, 7.2% increase in room revenues and a 2.0% increase in entertainment, retail and other revenues.</w:t>
      </w:r>
    </w:p>
    <w:p>
      <w:pPr>
        <w:spacing w:after="0" w:line="181"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Room revenues increased 7.2%, or $6.9 million, to $102.5 million for the three months ended September 30, 2014, up from $95.7 million for the same period of 2013, driven by a 6.8% increase in ADR from $250 to $267 and an occupancy increase of 1.4 percentage points.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(a)</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(in thousands)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102,544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95,662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Occupancy</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REVPAR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6"/>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Food and beverage revenues increased 5.8%, or $7.4 million, to $136.4 million for the three months ended September 30, 2014 compared to $129.0 million for the same period of 2013, mainly due to an increase in revenues at our nightclubs and restaurants.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Operating costs and expenses decreased 1.5%, or $5.4 million, to $358.2 million for the three months ended September 30, 2014 compared to $363.6 million for the same period of 2013.</w:t>
      </w:r>
    </w:p>
    <w:p>
      <w:pPr>
        <w:spacing w:after="0" w:line="170" w:lineRule="exact"/>
        <w:rPr>
          <w:sz w:val="20"/>
          <w:szCs w:val="20"/>
          <w:color w:val="auto"/>
        </w:rPr>
      </w:pPr>
    </w:p>
    <w:p>
      <w:pPr>
        <w:ind w:right="140" w:firstLine="432"/>
        <w:spacing w:after="0" w:line="308" w:lineRule="auto"/>
        <w:rPr>
          <w:sz w:val="20"/>
          <w:szCs w:val="20"/>
          <w:color w:val="auto"/>
        </w:rPr>
      </w:pPr>
      <w:r>
        <w:rPr>
          <w:rFonts w:ascii="Arial" w:cs="Arial" w:eastAsia="Arial" w:hAnsi="Arial"/>
          <w:sz w:val="17"/>
          <w:szCs w:val="17"/>
          <w:color w:val="auto"/>
        </w:rPr>
        <w:t>Casino expenses were relatively flat with $77.6 million for the three months ended September 30, 2014 compared to $78.1 million for the same period of 2013 primarily due to an increase in gross gaming taxes offset by a reduction in the cost of complementaries and other casino expenses.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9"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Rooms expense increased 17.2%, or $5.6 million, to $38.5 million for the three months ended September 30, 2014 from $32.8 million for the same period of 2013 due to certain room expenses incurred to maintain a premium guest experience and expenses associated with the increase in occupancy over the prior year.</w:t>
      </w:r>
    </w:p>
    <w:p>
      <w:pPr>
        <w:spacing w:after="0" w:line="181"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Food and beverage expense increased 8.2%, or $6.6 million, to $87.4 million for the three months ended September 30, 2014, from $80.8 million for the same period of 2013. The increase in food and beverage expense is primarily a result of higher costs in the current period for entertainment at our nightclubs.</w:t>
      </w:r>
    </w:p>
    <w:p>
      <w:pPr>
        <w:spacing w:after="0" w:line="181" w:lineRule="exact"/>
        <w:rPr>
          <w:sz w:val="20"/>
          <w:szCs w:val="20"/>
          <w:color w:val="auto"/>
        </w:rPr>
      </w:pPr>
    </w:p>
    <w:p>
      <w:pPr>
        <w:ind w:right="400" w:firstLine="432"/>
        <w:spacing w:after="0" w:line="308" w:lineRule="auto"/>
        <w:rPr>
          <w:sz w:val="20"/>
          <w:szCs w:val="20"/>
          <w:color w:val="auto"/>
        </w:rPr>
      </w:pPr>
      <w:r>
        <w:rPr>
          <w:rFonts w:ascii="Arial" w:cs="Arial" w:eastAsia="Arial" w:hAnsi="Arial"/>
          <w:sz w:val="17"/>
          <w:szCs w:val="17"/>
          <w:color w:val="auto"/>
        </w:rPr>
        <w:t>General and administrative expense increased 13.0%, or $7.9 million, to $68.9 million for the three months ended September 30, 2014, from $61.0 million for the same period of 2013 primarily attributable to an increase in corporate allocations, payroll related expenses and advertising.</w:t>
      </w:r>
    </w:p>
    <w:p>
      <w:pPr>
        <w:spacing w:after="0" w:line="147"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Provision for doubtful accounts decreased 73.6%, or $6.5 million, to $2.3 million for the three months ended September 30, 2014, from $8.9 million for the same period of 2013. The decrease is a result of increased casino accounts receivables collections compared to the same period in the prior year.</w:t>
      </w:r>
    </w:p>
    <w:p>
      <w:pPr>
        <w:spacing w:after="0" w:line="124"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Depreciation and amortization expense decreased 26.9%, or $16.6 million, to $45.1 million for the three months ended September 30, 2014 from $61.7 million for the same period of 2013. This decrease was primarily due to certain Encore assets with a five year useful life becoming fully depreciated.</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Interest expense decreased 9.9%, or $5.6 million, to $50.9 million for the three months ended September 30, 2014, compared to $56.5 million for the three months ended September 30, 2013. During 2013, we completed a principal repayment of $500 million 7 7/8% first mortgage notes through a cash tender offer and redemption of untendered notes and issued $500 million 4 1/4% senior notes. These financing activities resulted in a lower weighted average interest rate for the three months ended September 30, 2014 compared to same period of 2013.</w:t>
      </w:r>
    </w:p>
    <w:p>
      <w:pPr>
        <w:spacing w:after="0" w:line="187"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We incurred a loss of $3.6 million on the extinguishment of debt for the three months ended September 30, 2014. During the three months ended September 30, 2014, the loss was for the premium paid on the purchase of our first mortgage notes due in 2020 through open market transactions and the write-off of related unamortized deferred financing costs. We incurred no loss from the extinguishment of debt for the three months ended September 30, 2013.</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2014 compared to the nine months ended September 30, 2013.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casino revenues and non-casino revenues (in thousands).</w:t>
      </w:r>
    </w:p>
    <w:p>
      <w:pPr>
        <w:spacing w:after="0" w:line="230"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19640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516,436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480,465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744,422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700,644</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1,260,858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1,181,109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32"/>
        <w:spacing w:after="0" w:line="264" w:lineRule="auto"/>
        <w:rPr>
          <w:sz w:val="20"/>
          <w:szCs w:val="20"/>
          <w:color w:val="auto"/>
        </w:rPr>
      </w:pPr>
      <w:r>
        <w:rPr>
          <w:rFonts w:ascii="Arial" w:cs="Arial" w:eastAsia="Arial" w:hAnsi="Arial"/>
          <w:sz w:val="18"/>
          <w:szCs w:val="18"/>
          <w:color w:val="auto"/>
        </w:rPr>
        <w:t>The percentage of our net revenues from non-casino revenues was 59.0% for the nine months ended September 30, 2014 compared to 59.3% for the same period of 2013. Casino revenues were 41.0% of total net revenues for the nine months ended September 30, 2014 compared to 40.7% of total net revenues for the same period of 2013.</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Casino revenues increased 7.5% to $516.4 million for the nine months ended September 30, 2014, up from $480.5 million in the same period of 2013 primarily driven by an increase in table games volume with drop increasing 1.3% year-over-year. Also contributing to the increase in casino revenues was an increase in slot revenues. Slot machine handle increased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9"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despite a 10.9% reduction in our average number of slot machines with an increase in slot machine win per unit per day of 17.5% from $234 to $275.</w:t>
      </w:r>
    </w:p>
    <w:p>
      <w:pPr>
        <w:spacing w:after="0" w:line="23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(in thousands except for win per unit per day and average number of table games and slots).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516,436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480,465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table games</w:t>
            </w:r>
          </w:p>
        </w:tc>
        <w:tc>
          <w:tcPr>
            <w:tcW w:w="34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Drop</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1,917,424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1,893,227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24,197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470,720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449,414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21,306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Table games win %</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7,396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7,027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2,238,798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2,142,738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139,078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132,821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6,257</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Non-casino revenues increased 6.2%, or $43.8 million, to $744.4 million for the nine months ended September 30, 2014, from $700.6 million for the same period of 2013 primarily from a 8.9% increase in room revenues, a 2.5% increase in food and beverage revenues and a 4.6% increase in entertainment, retail and other revenues.</w:t>
      </w:r>
    </w:p>
    <w:p>
      <w:pPr>
        <w:spacing w:after="0" w:line="181"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Room revenues increased 8.9%, or $25.7 million, to $313.5 million for the nine months ended September 30, 2014, from $287.8 million for the same period of 2013 driven by a 6.2% increase in ADR and an occupancy increase of 2.6 percentage points from 85.9% to 88.5%.</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 revenues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 September 30,</w:t>
            </w:r>
          </w:p>
        </w:tc>
        <w:tc>
          <w:tcPr>
            <w:tcW w:w="1240" w:type="dxa"/>
            <w:vAlign w:val="bottom"/>
          </w:tcPr>
          <w:p>
            <w:pPr>
              <w:spacing w:after="0"/>
              <w:rPr>
                <w:sz w:val="16"/>
                <w:szCs w:val="16"/>
                <w:color w:val="auto"/>
              </w:rPr>
            </w:pPr>
          </w:p>
        </w:tc>
      </w:tr>
      <w:tr>
        <w:trPr>
          <w:trHeight w:val="264"/>
        </w:trPr>
        <w:tc>
          <w:tcPr>
            <w:tcW w:w="686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(a)</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 revenues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313,527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287,789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REVPAR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6"/>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0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Food and beverage revenues increased 2.5%, or $9.6 million, to $400.6 million for the nine months ended September 30, 2014 compared to $391.0 million for the same period of 2013 primarily due to an increase in revenues from our restaurants.</w:t>
      </w:r>
    </w:p>
    <w:p>
      <w:pPr>
        <w:spacing w:after="0" w:line="17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Entertainment, retail and other revenues increased 4.6%, or $7.5 million, to $170.6 million for the nine months ended September 30, 2014 compared to $163.1 million for the same period of 2013 as a result of increased revenues in retail and other resort services.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Operating costs and expenses decreased 1.9%, or $20.1 million, to $1,042.0 million for the nine months ended September 30, 2014, from $1,062.0 million for the same period of 2013. The reduction in our operating costs and expenses was mainly a result of decreases in our depreciation and amortization expense and property charges and other, primarily offset by increases in all other operating cost line items.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9"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Casino expense increased 1.2%, or $2.7 million, to $232.5 million for the nine months ended September 30, 2014, from $229.8 million for the same period of 2013, primarily due to an increase in gaming tax and other expenses associated with the revenue increase.</w:t>
      </w:r>
    </w:p>
    <w:p>
      <w:pPr>
        <w:spacing w:after="0" w:line="17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Room expense increased 11.0%, or $10.8 million, to $108.8 million for the nine months ended September 30, 2014 from $98.0 million for the same period of 2013. The increase in room expense was driven primarily by the increase in occupancy over the prior year.</w:t>
      </w:r>
    </w:p>
    <w:p>
      <w:pPr>
        <w:spacing w:after="0" w:line="170"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Food and beverage expense increased 4.7%, or $11.3 million, to $253.1 million for the nine months ended September 30, 2014, from $241.8 million for the same period of 2013. The increase in food and beverage expenses is primarily a result of higher costs in the current period for entertainment at our nightclubs.</w:t>
      </w:r>
    </w:p>
    <w:p>
      <w:pPr>
        <w:spacing w:after="0" w:line="181"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color w:val="auto"/>
        </w:rPr>
        <w:t>General and administrative expense increased 6.0%, or $10.9 million, to $193.2 million for the nine months ended September 30, 2014, up from $182.3 million for the same period of 2013 primarily attributable to an increase in corporate allocations, payroll related expenses and other administrative expenses.</w:t>
      </w:r>
    </w:p>
    <w:p>
      <w:pPr>
        <w:spacing w:after="0" w:line="12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Provision for doubtful accounts increased 56.1%, or $1.7 million, to $4.8 million for the nine months ended September 30, 2014, from $3.1 million for the same period of 2013. The increase is a result of recorded adjustments to our reserve estimates for casino accounts receivable in the prior year based upon historical collection patterns.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Depreciation and amortization decreased 27.8%, or $51.6 million, to $133.9 million for the nine months ended September 30, 2014 from $185.4 million for the same period of 2013. This significant decrease was primarily due to certain Encore assets with a five year useful life becoming fully depreciated at the end of 2013.</w:t>
      </w:r>
    </w:p>
    <w:p>
      <w:pPr>
        <w:spacing w:after="0" w:line="181" w:lineRule="exact"/>
        <w:rPr>
          <w:sz w:val="20"/>
          <w:szCs w:val="20"/>
          <w:color w:val="auto"/>
        </w:rPr>
      </w:pPr>
    </w:p>
    <w:p>
      <w:pPr>
        <w:jc w:val="both"/>
        <w:ind w:right="460" w:firstLine="432"/>
        <w:spacing w:after="0" w:line="264" w:lineRule="auto"/>
        <w:rPr>
          <w:sz w:val="20"/>
          <w:szCs w:val="20"/>
          <w:color w:val="auto"/>
        </w:rPr>
      </w:pPr>
      <w:r>
        <w:rPr>
          <w:rFonts w:ascii="Arial" w:cs="Arial" w:eastAsia="Arial" w:hAnsi="Arial"/>
          <w:sz w:val="18"/>
          <w:szCs w:val="18"/>
          <w:color w:val="auto"/>
        </w:rPr>
        <w:t>Property charges and other were minimal for the nine months ended September 30, 2014 compared to $10.1 million for the same period in 2013. Property charges and other for the nine months ended September 30, 2013 were for fees associated with the termination of a contract and miscellaneous renovations and abandonments at our resort.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Interest expense decreased 9.3%, or $15.8 million, to $154.1 million for the nine months ended September 30, 2014, compared to $169.9 million for the nine months ended September 30, 2013. During 2013, we completed a principal repayment of $500 million 7 7/8% first mortgage notes through a cash tender offer and redemption of untendered notes and issued $500 million 4 1/4% senior notes. These financing activities resulted in a lower weighted average interest rate for the nine months ended September 30, 2014 compared to same period of 2013.</w:t>
      </w:r>
    </w:p>
    <w:p>
      <w:pPr>
        <w:spacing w:after="0" w:line="18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incurred a loss of $7.4 million on the extinguishment of debt for the nine months ended September 30, 2014, compared to a loss of $26.6 million for the same period of 2013. During the nine months ended September 30, 2014, the loss was for the premium paid on the purchase of our first mortgage notes due in 2020 through open market transactions and the write-off of related unamortized deferred financing costs and original issue discount. During the nine months ended September 30, 2013, the loss was primarily the result of the premium paid in the cash tender offer of our first mortgage notes due in 2017 and the write-off of related unamortized deferred financing costs and original issue discount.</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9" w:right="2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We use Adjusted Property EBITDA to manage the operating results of our resort. Adjusted Property EBITDA is earnings before interest, taxes, depreciation, amortization, pre-opening costs, property charges and other, corporate expenses and other, intercompany golf course and water rights leases, stock-based compensation,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resort and comparison with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or calculation of Adjusted Property EBITDA may be different from the calculation methods used by other companies, therefore, comparability may be limited.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of Adjusted Property EBITDA to net income (loss) (in thousands):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0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133,250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106,515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403,962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362,529</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Other operating costs and expenses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5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133,864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185,425</w:t>
            </w:r>
          </w:p>
        </w:tc>
      </w:tr>
      <w:tr>
        <w:trPr>
          <w:trHeight w:val="243"/>
        </w:trPr>
        <w:tc>
          <w:tcPr>
            <w:tcW w:w="5080" w:type="dxa"/>
            <w:vAlign w:val="bottom"/>
          </w:tcPr>
          <w:p>
            <w:pPr>
              <w:ind w:left="36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10,095</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Corporate expenses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41,311</w:t>
            </w:r>
          </w:p>
        </w:tc>
      </w:tr>
      <w:tr>
        <w:trPr>
          <w:trHeight w:val="243"/>
        </w:trPr>
        <w:tc>
          <w:tcPr>
            <w:tcW w:w="50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6,629</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63,318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185,092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243,460</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69,932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29,099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218,870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119,069</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and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69</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(169,856)</w:t>
            </w:r>
          </w:p>
        </w:tc>
      </w:tr>
      <w:tr>
        <w:trPr>
          <w:trHeight w:val="243"/>
        </w:trPr>
        <w:tc>
          <w:tcPr>
            <w:tcW w:w="508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(26,578)</w:t>
            </w:r>
          </w:p>
        </w:tc>
      </w:tr>
      <w:tr>
        <w:trPr>
          <w:trHeight w:val="27"/>
        </w:trPr>
        <w:tc>
          <w:tcPr>
            <w:tcW w:w="5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in income from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w:t>
            </w:r>
          </w:p>
        </w:tc>
      </w:tr>
      <w:tr>
        <w:trPr>
          <w:trHeight w:val="237"/>
        </w:trPr>
        <w:tc>
          <w:tcPr>
            <w:tcW w:w="5080" w:type="dxa"/>
            <w:vAlign w:val="bottom"/>
          </w:tcPr>
          <w:p>
            <w:pPr>
              <w:ind w:left="70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(196,147)</w:t>
            </w:r>
          </w:p>
        </w:tc>
      </w:tr>
      <w:tr>
        <w:trPr>
          <w:trHeight w:val="27"/>
        </w:trPr>
        <w:tc>
          <w:tcPr>
            <w:tcW w:w="5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15,667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(77,078)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360"/>
          </w:cols>
          <w:pgMar w:left="240" w:top="279" w:right="29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225"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operating cash flows primarily consist of our operating income generated by our resort (excluding depreciation and amortization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6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Net cash provided by operations for the nine months ended September 30, 2014, was $229.0 million compared to $140.0 million for the nine months ended September 30, 2013. During the nine months ended September 30, 2014, the increase in our cash provided by operations was primarily from increased operating income that was driven by stronger operating results in the casino department.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420" w:firstLine="432"/>
        <w:spacing w:after="0" w:line="342" w:lineRule="auto"/>
        <w:rPr>
          <w:sz w:val="20"/>
          <w:szCs w:val="20"/>
          <w:color w:val="auto"/>
        </w:rPr>
      </w:pPr>
      <w:r>
        <w:rPr>
          <w:rFonts w:ascii="Arial" w:cs="Arial" w:eastAsia="Arial" w:hAnsi="Arial"/>
          <w:sz w:val="16"/>
          <w:szCs w:val="16"/>
          <w:color w:val="auto"/>
        </w:rPr>
        <w:t>Net cash used in investing activities for the nine months ended September 30, 2014 was $36.4 million compared to $31.2 million used in investing activities for the same period in 2013. The majority of cash used in both years was for capital expenditures related to general property maintenance.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20" w:firstLine="432"/>
        <w:spacing w:after="0" w:line="279" w:lineRule="auto"/>
        <w:rPr>
          <w:sz w:val="20"/>
          <w:szCs w:val="20"/>
          <w:color w:val="auto"/>
        </w:rPr>
      </w:pPr>
      <w:r>
        <w:rPr>
          <w:rFonts w:ascii="Arial" w:cs="Arial" w:eastAsia="Arial" w:hAnsi="Arial"/>
          <w:sz w:val="17"/>
          <w:szCs w:val="17"/>
          <w:color w:val="auto"/>
        </w:rPr>
        <w:t>Net cash used in financing activities was $76.0 million for the nine months ended September 30, 2014 primarily attributable to the repurchase of $68.4 million in principal plus interest of our first mortgage notes through open market transactions. Net cash used in financing activities of $42.7 million for the nine months ended September 30, 2013 was primarily for principal payments of $275.8 million on long-term debt and the restriction of $243.0 million for purposes of redeeming first mortgage notes, offset by proceeds of $500.0 million from the issuance of senior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At September 30, 2014, we had $347.7 million of cash and cash equivalents available for use without restriction, including for operations, debt service and extinguishment, new development activities, enhancements to our property and general corporate purposes. On November 5, 2014, we distributed $74.9 million in cash to Wynn Resorts, Limited as permitted by our indentures. We require a certain amount of cash on hand for operations. We anticipate such funds, together with any additional borrowings and cash generated from operations, will satisfy our liquidity needs over the next twelve months.</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right="100" w:firstLine="432"/>
        <w:spacing w:after="0" w:line="342" w:lineRule="auto"/>
        <w:rPr>
          <w:sz w:val="20"/>
          <w:szCs w:val="20"/>
          <w:color w:val="auto"/>
        </w:rPr>
      </w:pPr>
      <w:r>
        <w:rPr>
          <w:rFonts w:ascii="Arial" w:cs="Arial" w:eastAsia="Arial" w:hAnsi="Arial"/>
          <w:sz w:val="16"/>
          <w:szCs w:val="16"/>
          <w:color w:val="auto"/>
        </w:rPr>
        <w:t>We have not entered into any transactions with special purpose entities nor do we engage in any derivatives. We do not have any retained or contingent interest in assets transferred to an unconsolidated entity. At September 30, 2014, we had unsecured outstanding letters of credit totaling $16.7 million.</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There have been no material changes outside the ordinary course of our business during the nine months ended September 30, 2014 to our contractual obligations or off balance sheet arrangements as disclosed in our Annual Report on Form 10-K for the year ended December 31, 2013, except as discussed above under “Financing Activities.”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9"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147"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1 - "Financial Statements", Note 8 "Commitments and Contingencies".</w:t>
      </w:r>
    </w:p>
    <w:p>
      <w:pPr>
        <w:spacing w:after="0" w:line="18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 Any repurchases might be made using a variety of methods, which may include open market purchases, privately negotiated transactions, or by any combination of those methods, in compliance with applicable securities laws and regulations.</w:t>
      </w:r>
    </w:p>
    <w:p>
      <w:pPr>
        <w:spacing w:after="0" w:line="15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right="40"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2013. There has been no material change to these policies for the nine months ended September 30, 2014.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and other factors we describe from time to time in our periodic filings with the SEC, such as:</w:t>
      </w:r>
    </w:p>
    <w:p>
      <w:pPr>
        <w:spacing w:after="0" w:line="262"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volatility and weakness in world-wide credit and financial markets and from governmental intervention in the financial markets;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Wynn Resorts, Limited;</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end enforce gaming debts;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9"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334"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 of environmental regulation;</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the impact of a natural disaster may have on the travel and leisure industry; and</w:t>
      </w:r>
    </w:p>
    <w:p>
      <w:pPr>
        <w:spacing w:after="0" w:line="90" w:lineRule="exact"/>
        <w:rPr>
          <w:rFonts w:ascii="Arial" w:cs="Arial" w:eastAsia="Arial" w:hAnsi="Arial"/>
          <w:sz w:val="18"/>
          <w:szCs w:val="18"/>
          <w:color w:val="auto"/>
        </w:rPr>
      </w:pP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225"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September 30, 2014, our long-term debt was essentially based on fixed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ind w:firstLine="413"/>
        <w:spacing w:after="0" w:line="340" w:lineRule="auto"/>
        <w:tabs>
          <w:tab w:leader="none" w:pos="848"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principal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principal executive officer and principal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principal executive officer and principal financial officer, as appropriate to allow timely decisions regarding required disclosure.</w:t>
      </w:r>
    </w:p>
    <w:p>
      <w:pPr>
        <w:spacing w:after="0" w:line="171" w:lineRule="exact"/>
        <w:rPr>
          <w:rFonts w:ascii="Arial" w:cs="Arial" w:eastAsia="Arial" w:hAnsi="Arial"/>
          <w:sz w:val="16"/>
          <w:szCs w:val="16"/>
          <w:color w:val="auto"/>
        </w:rPr>
      </w:pPr>
    </w:p>
    <w:p>
      <w:pPr>
        <w:jc w:val="both"/>
        <w:ind w:right="240" w:firstLine="413"/>
        <w:spacing w:after="0" w:line="311" w:lineRule="auto"/>
        <w:tabs>
          <w:tab w:leader="none" w:pos="858"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were no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quarter to which this report relates that materially affected, or are reasonably likely to materially affect, the Company’s internal control over financial reporting.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9" w:right="2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 description of our risk factors can be found in Item 1A of our Annual Report on Form 10-K for the year ended December 31, 2013. There were no material changes to those risk factors during the nine months ended September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279" w:right="41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jc w:val="right"/>
              <w:ind w:right="114"/>
              <w:spacing w:after="0"/>
              <w:rPr>
                <w:sz w:val="20"/>
                <w:szCs w:val="20"/>
                <w:color w:val="auto"/>
              </w:rPr>
            </w:pPr>
            <w:r>
              <w:rPr>
                <w:rFonts w:ascii="Arial" w:cs="Arial" w:eastAsia="Arial" w:hAnsi="Arial"/>
                <w:sz w:val="18"/>
                <w:szCs w:val="18"/>
                <w:color w:val="auto"/>
              </w:rPr>
              <w:t>(a)</w:t>
            </w:r>
          </w:p>
        </w:tc>
        <w:tc>
          <w:tcPr>
            <w:tcW w:w="10480" w:type="dxa"/>
            <w:vAlign w:val="bottom"/>
            <w:gridSpan w:val="3"/>
          </w:tcPr>
          <w:p>
            <w:pPr>
              <w:ind w:left="40"/>
              <w:spacing w:after="0"/>
              <w:rPr>
                <w:sz w:val="20"/>
                <w:szCs w:val="20"/>
                <w:color w:val="auto"/>
              </w:rPr>
            </w:pPr>
            <w:r>
              <w:rPr>
                <w:rFonts w:ascii="Arial" w:cs="Arial" w:eastAsia="Arial" w:hAnsi="Arial"/>
                <w:sz w:val="18"/>
                <w:szCs w:val="18"/>
                <w:color w:val="auto"/>
              </w:rPr>
              <w:t>Exhibits</w:t>
            </w:r>
          </w:p>
        </w:tc>
        <w:tc>
          <w:tcPr>
            <w:tcW w:w="0" w:type="dxa"/>
            <w:vAlign w:val="bottom"/>
          </w:tcPr>
          <w:p>
            <w:pPr>
              <w:spacing w:after="0"/>
              <w:rPr>
                <w:sz w:val="1"/>
                <w:szCs w:val="1"/>
                <w:color w:val="auto"/>
              </w:rPr>
            </w:pPr>
          </w:p>
        </w:tc>
      </w:tr>
      <w:tr>
        <w:trPr>
          <w:trHeight w:val="554"/>
        </w:trPr>
        <w:tc>
          <w:tcPr>
            <w:tcW w:w="8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860" w:type="dxa"/>
            <w:vAlign w:val="bottom"/>
            <w:gridSpan w:val="2"/>
          </w:tcPr>
          <w:p>
            <w:pPr>
              <w:ind w:left="5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12"/>
        </w:trPr>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rPr>
              <w:t>Exhibit</w:t>
            </w:r>
          </w:p>
        </w:tc>
        <w:tc>
          <w:tcPr>
            <w:tcW w:w="3620" w:type="dxa"/>
            <w:vAlign w:val="bottom"/>
          </w:tcPr>
          <w:p>
            <w:pPr>
              <w:spacing w:after="0"/>
              <w:rPr>
                <w:sz w:val="24"/>
                <w:szCs w:val="24"/>
                <w:color w:val="auto"/>
              </w:rPr>
            </w:pPr>
          </w:p>
        </w:tc>
        <w:tc>
          <w:tcPr>
            <w:tcW w:w="6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820" w:type="dxa"/>
            <w:vAlign w:val="bottom"/>
          </w:tcPr>
          <w:p>
            <w:pPr>
              <w:jc w:val="right"/>
              <w:ind w:right="214"/>
              <w:spacing w:after="0" w:line="158" w:lineRule="exact"/>
              <w:rPr>
                <w:sz w:val="20"/>
                <w:szCs w:val="20"/>
                <w:color w:val="auto"/>
              </w:rPr>
            </w:pPr>
            <w:r>
              <w:rPr>
                <w:rFonts w:ascii="Arial" w:cs="Arial" w:eastAsia="Arial" w:hAnsi="Arial"/>
                <w:sz w:val="14"/>
                <w:szCs w:val="14"/>
                <w:b w:val="1"/>
                <w:bCs w:val="1"/>
                <w:color w:val="auto"/>
              </w:rPr>
              <w:t>No.</w:t>
            </w:r>
          </w:p>
        </w:tc>
        <w:tc>
          <w:tcPr>
            <w:tcW w:w="3620" w:type="dxa"/>
            <w:vAlign w:val="bottom"/>
          </w:tcPr>
          <w:p>
            <w:pPr>
              <w:spacing w:after="0"/>
              <w:rPr>
                <w:sz w:val="13"/>
                <w:szCs w:val="13"/>
                <w:color w:val="auto"/>
              </w:rPr>
            </w:pPr>
          </w:p>
        </w:tc>
        <w:tc>
          <w:tcPr>
            <w:tcW w:w="6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10480" w:type="dxa"/>
            <w:vAlign w:val="bottom"/>
            <w:gridSpan w:val="3"/>
          </w:tcPr>
          <w:p>
            <w:pPr>
              <w:ind w:left="940"/>
              <w:spacing w:after="0"/>
              <w:rPr>
                <w:sz w:val="20"/>
                <w:szCs w:val="20"/>
                <w:color w:val="auto"/>
              </w:rPr>
            </w:pPr>
            <w:r>
              <w:rPr>
                <w:rFonts w:ascii="Arial" w:cs="Arial" w:eastAsia="Arial" w:hAnsi="Arial"/>
                <w:sz w:val="18"/>
                <w:szCs w:val="18"/>
                <w:color w:val="auto"/>
              </w:rPr>
              <w:t>Third Amended and Restated Articles of Organization of Wynn Las Vegas, LLC.</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480" w:type="dxa"/>
            <w:vAlign w:val="bottom"/>
            <w:gridSpan w:val="3"/>
          </w:tcPr>
          <w:p>
            <w:pPr>
              <w:ind w:left="940"/>
              <w:spacing w:after="0"/>
              <w:rPr>
                <w:sz w:val="20"/>
                <w:szCs w:val="20"/>
                <w:color w:val="auto"/>
              </w:rPr>
            </w:pPr>
            <w:r>
              <w:rPr>
                <w:rFonts w:ascii="Arial" w:cs="Arial" w:eastAsia="Arial" w:hAnsi="Arial"/>
                <w:sz w:val="18"/>
                <w:szCs w:val="18"/>
                <w:color w:val="auto"/>
              </w:rPr>
              <w:t>Second Amended and Restated Operating Agreement of Wynn Las Vegas, LLC. (1)</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1048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Executive Officer of Periodic Report Pursuant to Rule 13a – 14(a) and Rule 15d – 14(a).</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10480" w:type="dxa"/>
            <w:vAlign w:val="bottom"/>
            <w:gridSpan w:val="3"/>
          </w:tcPr>
          <w:p>
            <w:pPr>
              <w:ind w:left="940"/>
              <w:spacing w:after="0"/>
              <w:rPr>
                <w:sz w:val="20"/>
                <w:szCs w:val="20"/>
                <w:color w:val="auto"/>
              </w:rPr>
            </w:pPr>
            <w:r>
              <w:rPr>
                <w:rFonts w:ascii="Arial" w:cs="Arial" w:eastAsia="Arial" w:hAnsi="Arial"/>
                <w:sz w:val="18"/>
                <w:szCs w:val="18"/>
                <w:color w:val="auto"/>
              </w:rPr>
              <w:t>Certification of Principal Financial Officer of Periodic Report Pursuant to Rule 13a – 14(a) and Rule 15d – 14(a).</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0480" w:type="dxa"/>
            <w:vAlign w:val="bottom"/>
            <w:gridSpan w:val="3"/>
          </w:tcPr>
          <w:p>
            <w:pPr>
              <w:ind w:left="940"/>
              <w:spacing w:after="0"/>
              <w:rPr>
                <w:sz w:val="20"/>
                <w:szCs w:val="20"/>
                <w:color w:val="auto"/>
              </w:rPr>
            </w:pPr>
            <w:r>
              <w:rPr>
                <w:rFonts w:ascii="Arial" w:cs="Arial" w:eastAsia="Arial" w:hAnsi="Arial"/>
                <w:sz w:val="18"/>
                <w:szCs w:val="18"/>
                <w:color w:val="auto"/>
              </w:rPr>
              <w:t>Certification of CEO and CFO Pursuant to 18 U.S.C. Section 1350.</w:t>
            </w:r>
          </w:p>
        </w:tc>
        <w:tc>
          <w:tcPr>
            <w:tcW w:w="0" w:type="dxa"/>
            <w:vAlign w:val="bottom"/>
          </w:tcPr>
          <w:p>
            <w:pPr>
              <w:spacing w:after="0"/>
              <w:rPr>
                <w:sz w:val="1"/>
                <w:szCs w:val="1"/>
                <w:color w:val="auto"/>
              </w:rPr>
            </w:pPr>
          </w:p>
        </w:tc>
      </w:tr>
      <w:tr>
        <w:trPr>
          <w:trHeight w:val="377"/>
        </w:trPr>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10480" w:type="dxa"/>
            <w:vAlign w:val="bottom"/>
            <w:gridSpan w:val="3"/>
          </w:tcPr>
          <w:p>
            <w:pPr>
              <w:ind w:left="940"/>
              <w:spacing w:after="0"/>
              <w:rPr>
                <w:sz w:val="20"/>
                <w:szCs w:val="20"/>
                <w:color w:val="auto"/>
              </w:rPr>
            </w:pPr>
            <w:r>
              <w:rPr>
                <w:rFonts w:ascii="Arial" w:cs="Arial" w:eastAsia="Arial" w:hAnsi="Arial"/>
                <w:sz w:val="18"/>
                <w:szCs w:val="18"/>
                <w:color w:val="auto"/>
                <w:w w:val="91"/>
              </w:rPr>
              <w:t>The following financial information from the Company’s Quarterly Report on Form 10-Q for the quarter ended September 30, 2014,</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10480" w:type="dxa"/>
            <w:vAlign w:val="bottom"/>
            <w:gridSpan w:val="3"/>
          </w:tcPr>
          <w:p>
            <w:pPr>
              <w:ind w:left="940"/>
              <w:spacing w:after="0"/>
              <w:rPr>
                <w:sz w:val="20"/>
                <w:szCs w:val="20"/>
                <w:color w:val="auto"/>
              </w:rPr>
            </w:pPr>
            <w:r>
              <w:rPr>
                <w:rFonts w:ascii="Arial" w:cs="Arial" w:eastAsia="Arial" w:hAnsi="Arial"/>
                <w:sz w:val="18"/>
                <w:szCs w:val="18"/>
                <w:color w:val="auto"/>
                <w:w w:val="97"/>
              </w:rPr>
              <w:t>filed with the SEC on November 7, 2014 formatted in Extensible Business Reporting Language (XBRL): (i) the Condensed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10480" w:type="dxa"/>
            <w:vAlign w:val="bottom"/>
            <w:gridSpan w:val="3"/>
          </w:tcPr>
          <w:p>
            <w:pPr>
              <w:ind w:left="940"/>
              <w:spacing w:after="0"/>
              <w:rPr>
                <w:sz w:val="20"/>
                <w:szCs w:val="20"/>
                <w:color w:val="auto"/>
              </w:rPr>
            </w:pPr>
            <w:r>
              <w:rPr>
                <w:rFonts w:ascii="Arial" w:cs="Arial" w:eastAsia="Arial" w:hAnsi="Arial"/>
                <w:sz w:val="18"/>
                <w:szCs w:val="18"/>
                <w:color w:val="auto"/>
                <w:w w:val="91"/>
              </w:rPr>
              <w:t>Consolidated Statements of Comprehensive Income (Loss) for the three and nine months ended September 30, 2014 and 2013, (ii)</w:t>
            </w:r>
          </w:p>
        </w:tc>
        <w:tc>
          <w:tcPr>
            <w:tcW w:w="0" w:type="dxa"/>
            <w:vAlign w:val="bottom"/>
          </w:tcPr>
          <w:p>
            <w:pPr>
              <w:spacing w:after="0"/>
              <w:rPr>
                <w:sz w:val="1"/>
                <w:szCs w:val="1"/>
                <w:color w:val="auto"/>
              </w:rPr>
            </w:pPr>
          </w:p>
        </w:tc>
      </w:tr>
    </w:tbl>
    <w:p>
      <w:pPr>
        <w:jc w:val="both"/>
        <w:ind w:left="1760" w:right="400"/>
        <w:spacing w:after="0" w:line="255" w:lineRule="auto"/>
        <w:rPr>
          <w:sz w:val="20"/>
          <w:szCs w:val="20"/>
          <w:color w:val="auto"/>
        </w:rPr>
      </w:pPr>
      <w:r>
        <w:rPr>
          <w:rFonts w:ascii="Arial" w:cs="Arial" w:eastAsia="Arial" w:hAnsi="Arial"/>
          <w:sz w:val="18"/>
          <w:szCs w:val="18"/>
          <w:color w:val="auto"/>
        </w:rPr>
        <w:t>the Condensed Consolidated Balance Sheets at September 30, 2014 and December 31, 2013, (iii) the Condensed Consolidated Statements of Cash Flows for the nine months ended September 30, 2014 and 2013, and (iv)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54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7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right="320" w:hanging="652"/>
        <w:spacing w:after="0" w:line="27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279" w:right="3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1">
        <w:r>
          <w:rPr>
            <w:rFonts w:ascii="Arial" w:cs="Arial" w:eastAsia="Arial" w:hAnsi="Arial"/>
            <w:sz w:val="14"/>
            <w:szCs w:val="14"/>
            <w:b w:val="1"/>
            <w:bCs w:val="1"/>
            <w:u w:val="single" w:color="auto"/>
            <w:color w:val="0000EE"/>
          </w:rPr>
          <w:t>Table of Contents</w:t>
        </w:r>
      </w:hyperlink>
    </w:p>
    <w:p>
      <w:pPr>
        <w:spacing w:after="0" w:line="249"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6800"/>
        <w:spacing w:after="0"/>
        <w:rPr>
          <w:sz w:val="20"/>
          <w:szCs w:val="20"/>
          <w:color w:val="auto"/>
        </w:rPr>
      </w:pPr>
      <w:r>
        <w:rPr>
          <w:rFonts w:ascii="Arial" w:cs="Arial" w:eastAsia="Arial" w:hAnsi="Arial"/>
          <w:sz w:val="18"/>
          <w:szCs w:val="18"/>
          <w:b w:val="1"/>
          <w:bCs w:val="1"/>
          <w:color w:val="auto"/>
        </w:rPr>
        <w:t>WYNN LAS VEGAS, LLC</w:t>
      </w:r>
    </w:p>
    <w:p>
      <w:pPr>
        <w:spacing w:after="0" w:line="391" w:lineRule="exact"/>
        <w:rPr>
          <w:sz w:val="20"/>
          <w:szCs w:val="20"/>
          <w:color w:val="auto"/>
        </w:rPr>
      </w:pPr>
    </w:p>
    <w:p>
      <w:pPr>
        <w:ind w:left="40"/>
        <w:spacing w:after="0"/>
        <w:tabs>
          <w:tab w:leader="none" w:pos="6080" w:val="left"/>
          <w:tab w:leader="none" w:pos="6640" w:val="left"/>
        </w:tabs>
        <w:rPr>
          <w:sz w:val="20"/>
          <w:szCs w:val="20"/>
          <w:color w:val="auto"/>
        </w:rPr>
      </w:pPr>
      <w:r>
        <w:rPr>
          <w:rFonts w:ascii="Arial" w:cs="Arial" w:eastAsia="Arial" w:hAnsi="Arial"/>
          <w:sz w:val="18"/>
          <w:szCs w:val="18"/>
          <w:color w:val="auto"/>
        </w:rPr>
        <w:t>Dated: November 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Scott Peterson</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80"/>
          </w:cols>
          <w:pgMar w:left="240" w:top="279" w:right="8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 ARTICLES OF ORGANIZATION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Nevada Revised Statutes Sections 86.221 and 86.226, the undersigned does hereby declare and certify that:</w:t>
      </w:r>
    </w:p>
    <w:p>
      <w:pPr>
        <w:spacing w:after="0" w:line="252" w:lineRule="exact"/>
        <w:rPr>
          <w:sz w:val="20"/>
          <w:szCs w:val="20"/>
          <w:color w:val="auto"/>
        </w:rPr>
      </w:pPr>
    </w:p>
    <w:p>
      <w:pPr>
        <w:ind w:left="1440" w:hanging="784"/>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of the limited liability company is Wynn Las Vegas, LLC.</w:t>
      </w:r>
    </w:p>
    <w:p>
      <w:pPr>
        <w:spacing w:after="0" w:line="265" w:lineRule="exact"/>
        <w:rPr>
          <w:rFonts w:ascii="Arial" w:cs="Arial" w:eastAsia="Arial" w:hAnsi="Arial"/>
          <w:sz w:val="18"/>
          <w:szCs w:val="18"/>
          <w:color w:val="auto"/>
        </w:rPr>
      </w:pPr>
    </w:p>
    <w:p>
      <w:pPr>
        <w:ind w:left="1440" w:hanging="784"/>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managed by its sole member.</w:t>
      </w:r>
    </w:p>
    <w:p>
      <w:pPr>
        <w:spacing w:after="0" w:line="265" w:lineRule="exact"/>
        <w:rPr>
          <w:rFonts w:ascii="Arial" w:cs="Arial" w:eastAsia="Arial" w:hAnsi="Arial"/>
          <w:sz w:val="18"/>
          <w:szCs w:val="18"/>
          <w:color w:val="auto"/>
        </w:rPr>
      </w:pPr>
    </w:p>
    <w:p>
      <w:pPr>
        <w:ind w:left="1440" w:hanging="784"/>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articles of organization of the limited liability company are hereby amended and restated in their entirety as follows: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ARTICLES OF ORGANIZATION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LAS VEGAS, LLC</w:t>
      </w:r>
    </w:p>
    <w:p>
      <w:pPr>
        <w:spacing w:after="0" w:line="238" w:lineRule="exact"/>
        <w:rPr>
          <w:sz w:val="20"/>
          <w:szCs w:val="20"/>
          <w:color w:val="auto"/>
        </w:rPr>
      </w:pPr>
    </w:p>
    <w:p>
      <w:pPr>
        <w:ind w:left="4620"/>
        <w:spacing w:after="0"/>
        <w:rPr>
          <w:sz w:val="20"/>
          <w:szCs w:val="20"/>
          <w:color w:val="auto"/>
        </w:rPr>
      </w:pPr>
      <w:r>
        <w:rPr>
          <w:rFonts w:ascii="Arial" w:cs="Arial" w:eastAsia="Arial" w:hAnsi="Arial"/>
          <w:sz w:val="18"/>
          <w:szCs w:val="18"/>
          <w:u w:val="single" w:color="auto"/>
          <w:color w:val="auto"/>
        </w:rPr>
        <w:t>ARTICLE I</w:t>
      </w:r>
    </w:p>
    <w:p>
      <w:pPr>
        <w:spacing w:after="0" w:line="50"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company is Wynn Las Vegas, LLC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ARTICLE II</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REGISTERED OFFICE AND REGISTERED AGENT</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may, from time to time, in the manner provided by law, change the registered agent and the registered office of the Company within the State of Nevada. The Company may also maintain an office or offices for the conduct of its business, either within or without the State of Nevada.</w:t>
      </w:r>
    </w:p>
    <w:p>
      <w:pPr>
        <w:spacing w:after="0" w:line="124"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ARTICLE III</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MANAGEMENT</w:t>
      </w:r>
    </w:p>
    <w:p>
      <w:pPr>
        <w:spacing w:after="0" w:line="21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management of the Company shall be vested in its member(s) in the manner prescribed by the Company’s operating agreement, and if at any time the Company has no operating agreement, in the manner prescribed by Nevada Revised Statutes (“</w:t>
      </w:r>
      <w:r>
        <w:rPr>
          <w:rFonts w:ascii="Arial" w:cs="Arial" w:eastAsia="Arial" w:hAnsi="Arial"/>
          <w:sz w:val="18"/>
          <w:szCs w:val="18"/>
          <w:u w:val="single" w:color="auto"/>
          <w:color w:val="auto"/>
        </w:rPr>
        <w:t>NRS</w:t>
      </w:r>
      <w:r>
        <w:rPr>
          <w:rFonts w:ascii="Arial" w:cs="Arial" w:eastAsia="Arial" w:hAnsi="Arial"/>
          <w:sz w:val="18"/>
          <w:szCs w:val="18"/>
          <w:color w:val="auto"/>
        </w:rPr>
        <w:t>”) 86.291. The Company shall not have a manager (as defined in NRS 86.071).</w:t>
      </w:r>
    </w:p>
    <w:p>
      <w:pPr>
        <w:spacing w:after="0" w:line="181"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ARTICLE IV</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INDEMNIFICATION AND PAYMENT OF EXPENSES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any other rights of indemnification permitted by the laws of the State of Nevada as may be provided for by the Company in these articles of organization, the Company’s operating agreement or any other agreement, the expenses of any member incurred in defending a civil, criminal, administrative or investigative action, suit or proceeding arising by reason of the fact that such member is or was a member of the Company, must be paid by the Company, or through insurance purchased and maintained by the Company or through other financial arrangements made by the Company as permitted by the laws of the State of Nevada, as such expenses are incurred and in advance of the final disposition of the action, suit or proceeding, upon receipt of an unsecured undertaking by or on behalf of such member to repay the amount if it is ultimately determined by a court of competent jurisdiction that such member is not entitled to be indemnified by the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1" w:right="239" w:bottom="1440" w:gutter="0" w:footer="0" w:header="0"/>
        </w:sectPr>
      </w:pPr>
    </w:p>
    <w:bookmarkStart w:id="30" w:name="page31"/>
    <w:bookmarkEnd w:id="30"/>
    <w:p>
      <w:pPr>
        <w:jc w:val="both"/>
        <w:spacing w:after="0" w:line="308" w:lineRule="auto"/>
        <w:rPr>
          <w:sz w:val="20"/>
          <w:szCs w:val="20"/>
          <w:color w:val="auto"/>
        </w:rPr>
      </w:pPr>
      <w:r>
        <w:rPr>
          <w:rFonts w:ascii="Arial" w:cs="Arial" w:eastAsia="Arial" w:hAnsi="Arial"/>
          <w:sz w:val="17"/>
          <w:szCs w:val="17"/>
          <w:color w:val="auto"/>
        </w:rPr>
        <w:t xml:space="preserve">Company. Any repeal or modification of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approved by the member(s) of the Company shall be prospective only. In the event of any conflict between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any other article of the Company’s articles of organization, the terms and provisions of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control.</w:t>
      </w:r>
    </w:p>
    <w:p>
      <w:pPr>
        <w:spacing w:after="0" w:line="147"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ARTICLE V</w:t>
      </w:r>
    </w:p>
    <w:p>
      <w:pPr>
        <w:spacing w:after="0" w:line="23"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SPECIAL PROVISION REGARDING DISTRIBUTIONS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Notwithstanding anything to the contrary in these articles of organization or any operating agreement of the Company, the Company is hereby specifically permitted to make any distribution that otherwise would be prohibited by NRS 86.343(1)(b).</w:t>
      </w:r>
    </w:p>
    <w:p>
      <w:pPr>
        <w:spacing w:after="0" w:line="170" w:lineRule="exact"/>
        <w:rPr>
          <w:sz w:val="20"/>
          <w:szCs w:val="20"/>
          <w:color w:val="auto"/>
        </w:rPr>
      </w:pPr>
    </w:p>
    <w:p>
      <w:pPr>
        <w:ind w:left="5100"/>
        <w:spacing w:after="0"/>
        <w:rPr>
          <w:sz w:val="20"/>
          <w:szCs w:val="20"/>
          <w:color w:val="auto"/>
        </w:rPr>
      </w:pPr>
      <w:r>
        <w:rPr>
          <w:rFonts w:ascii="Arial" w:cs="Arial" w:eastAsia="Arial" w:hAnsi="Arial"/>
          <w:sz w:val="18"/>
          <w:szCs w:val="18"/>
          <w:u w:val="single" w:color="auto"/>
          <w:color w:val="auto"/>
        </w:rPr>
        <w:t>ARTICLE VI</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COMPLIANCE WITH NEVADA GAMING LAWS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 The purposes of and business to be conducted by the Company, in addition to those purposes set forth in the Company’s operating agreement, include owning, operating, managing and conducting gaming in hotel/casinos in Clark County, Nevada. Subject to the Company’s operating agreement, the Company may also engage in any other lawful act or activity for which limited liability companies may be formed under the laws of the State of Nevada.</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2. The purported sale, assignment, transfer, pledge, grant or exercise of an option to purchase or other disposition of any interest in the Company is ineffective unless and until approved by the Nevada Gaming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If at any time the Commission finds that a member of the Company is unsuitable to hold an interest in the Company, the Commission shall immediately notify the Company of that fact and the Company shall, within ten (10) days from the date that it receives the notice from the Commission, return to the unsuitable member the amount of his, her or its capital account as reflected on the books of the Company or such member shall dispose of such interest as provided by the gaming laws and regulations of the State of Nevada. Beginning on the date when the Commission serves notice of a determination of unsuitability, pursuant to applicable law, it is unlawful for the unsuitable member: (i) to receive any dividend or interest or any payment or distribution of any kind, including any share of the distribution of profits or cash or any other property of, or payments upon dissolution of the Company, other than a return of capital; (ii) to exercise directly or through a proxy, trustee or nominee, any voting right conferred by such interest; (iii) to participate in the management of the business and affairs of the Company; or (iv) to receive any remuneration in any form from the Company or from any company holding a gaming license, for services rendered or otherwise. Any member that is found unsuitable by the Commission shall return all evidence of any ownership in the Company to the Company, and the unsuitable member shall cease to have any direct or indirect interest in the Company.</w:t>
      </w:r>
    </w:p>
    <w:p>
      <w:pPr>
        <w:spacing w:after="0" w:line="180" w:lineRule="exact"/>
        <w:rPr>
          <w:sz w:val="20"/>
          <w:szCs w:val="20"/>
          <w:color w:val="auto"/>
        </w:rPr>
      </w:pPr>
    </w:p>
    <w:p>
      <w:pPr>
        <w:ind w:left="5000"/>
        <w:spacing w:after="0"/>
        <w:tabs>
          <w:tab w:leader="none" w:pos="5420" w:val="left"/>
          <w:tab w:leader="none" w:pos="5880" w:val="left"/>
          <w:tab w:leader="none" w:pos="6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undersigned sole member of the Company has executed these Third Amended and Restated Articles of Organization of Wynn Las Vegas, LLC as of November 5, 2014.</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WYNN RESORTS HOLDINGS, LLC</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pacing w:after="0" w:line="227" w:lineRule="exact"/>
        <w:rPr>
          <w:sz w:val="20"/>
          <w:szCs w:val="20"/>
          <w:color w:val="auto"/>
        </w:rPr>
      </w:pPr>
    </w:p>
    <w:p>
      <w:pPr>
        <w:ind w:left="454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Kim Sinatra</w:t>
      </w:r>
    </w:p>
    <w:p>
      <w:pPr>
        <w:spacing w:after="0" w:line="23" w:lineRule="exact"/>
        <w:rPr>
          <w:sz w:val="20"/>
          <w:szCs w:val="20"/>
          <w:color w:val="auto"/>
        </w:rPr>
      </w:pPr>
    </w:p>
    <w:p>
      <w:pPr>
        <w:ind w:left="4960"/>
        <w:spacing w:after="0"/>
        <w:tabs>
          <w:tab w:leader="none" w:pos="5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Kim Sinatra</w:t>
      </w:r>
    </w:p>
    <w:p>
      <w:pPr>
        <w:spacing w:after="0" w:line="9" w:lineRule="exact"/>
        <w:rPr>
          <w:sz w:val="20"/>
          <w:szCs w:val="20"/>
          <w:color w:val="auto"/>
        </w:rPr>
      </w:pPr>
    </w:p>
    <w:p>
      <w:pPr>
        <w:ind w:left="4960"/>
        <w:spacing w:after="0"/>
        <w:tabs>
          <w:tab w:leader="none" w:pos="5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 and Secretary</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17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Maurice Wooden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Scott Peterson, certify that:</w:t>
      </w:r>
    </w:p>
    <w:p>
      <w:pPr>
        <w:spacing w:after="0" w:line="171"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171"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652"/>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460" w:right="140" w:hanging="480"/>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460" w:right="60" w:hanging="480"/>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460" w:right="220" w:hanging="480"/>
        <w:spacing w:after="0" w:line="342"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460" w:right="220" w:hanging="480"/>
        <w:spacing w:after="0" w:line="264"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460" w:right="460" w:hanging="480"/>
        <w:spacing w:after="0" w:line="342" w:lineRule="auto"/>
        <w:tabs>
          <w:tab w:leader="none" w:pos="14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460" w:right="160" w:hanging="480"/>
        <w:spacing w:after="0" w:line="277" w:lineRule="auto"/>
        <w:tabs>
          <w:tab w:leader="none" w:pos="14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2014</w:t>
      </w:r>
    </w:p>
    <w:p>
      <w:pPr>
        <w:spacing w:after="0" w:line="1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Scott Peterson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September 30, 2014 as filed with the Securities and Exchange Commission on the date hereof (the “Report”), Maurice Wooden, as President of the Company and Scott Peterson,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192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220"/>
              <w:spacing w:after="0"/>
              <w:rPr>
                <w:sz w:val="20"/>
                <w:szCs w:val="20"/>
                <w:color w:val="auto"/>
              </w:rPr>
            </w:pPr>
            <w:r>
              <w:rPr>
                <w:rFonts w:ascii="Arial" w:cs="Arial" w:eastAsia="Arial" w:hAnsi="Arial"/>
                <w:sz w:val="18"/>
                <w:szCs w:val="18"/>
                <w:color w:val="auto"/>
              </w:rPr>
              <w:t>Maurice Wooden</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220"/>
              <w:spacing w:after="0"/>
              <w:rPr>
                <w:sz w:val="20"/>
                <w:szCs w:val="20"/>
                <w:color w:val="auto"/>
              </w:rPr>
            </w:pPr>
            <w:r>
              <w:rPr>
                <w:rFonts w:ascii="Arial" w:cs="Arial" w:eastAsia="Arial" w:hAnsi="Arial"/>
                <w:sz w:val="18"/>
                <w:szCs w:val="18"/>
                <w:color w:val="auto"/>
              </w:rPr>
              <w:t>President</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220"/>
              <w:spacing w:after="0"/>
              <w:rPr>
                <w:sz w:val="20"/>
                <w:szCs w:val="20"/>
                <w:color w:val="auto"/>
              </w:rPr>
            </w:pPr>
            <w:r>
              <w:rPr>
                <w:rFonts w:ascii="Arial" w:cs="Arial" w:eastAsia="Arial" w:hAnsi="Arial"/>
                <w:sz w:val="18"/>
                <w:szCs w:val="18"/>
                <w:color w:val="auto"/>
              </w:rPr>
              <w:t>November 7, 2014</w:t>
            </w:r>
          </w:p>
        </w:tc>
      </w:tr>
      <w:tr>
        <w:trPr>
          <w:trHeight w:val="405"/>
        </w:trPr>
        <w:tc>
          <w:tcPr>
            <w:tcW w:w="6180" w:type="dxa"/>
            <w:vAlign w:val="bottom"/>
            <w:gridSpan w:val="2"/>
          </w:tcPr>
          <w:p>
            <w:pPr>
              <w:ind w:left="500"/>
              <w:spacing w:after="0"/>
              <w:rPr>
                <w:sz w:val="20"/>
                <w:szCs w:val="20"/>
                <w:color w:val="auto"/>
              </w:rPr>
            </w:pPr>
            <w:r>
              <w:rPr>
                <w:rFonts w:ascii="Arial" w:cs="Arial" w:eastAsia="Arial" w:hAnsi="Arial"/>
                <w:sz w:val="18"/>
                <w:szCs w:val="18"/>
                <w:color w:val="auto"/>
              </w:rPr>
              <w:t>/s/ Scott Peterson</w:t>
            </w:r>
          </w:p>
        </w:tc>
      </w:tr>
      <w:tr>
        <w:trPr>
          <w:trHeight w:val="27"/>
        </w:trPr>
        <w:tc>
          <w:tcPr>
            <w:tcW w:w="7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7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220"/>
              <w:spacing w:after="0"/>
              <w:rPr>
                <w:sz w:val="20"/>
                <w:szCs w:val="20"/>
                <w:color w:val="auto"/>
              </w:rPr>
            </w:pPr>
            <w:r>
              <w:rPr>
                <w:rFonts w:ascii="Arial" w:cs="Arial" w:eastAsia="Arial" w:hAnsi="Arial"/>
                <w:sz w:val="18"/>
                <w:szCs w:val="18"/>
                <w:color w:val="auto"/>
              </w:rPr>
              <w:t>Scott Peterson</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740" w:type="dxa"/>
            <w:vAlign w:val="bottom"/>
          </w:tcPr>
          <w:p>
            <w:pPr>
              <w:spacing w:after="0"/>
              <w:rPr>
                <w:sz w:val="23"/>
                <w:szCs w:val="23"/>
                <w:color w:val="auto"/>
              </w:rPr>
            </w:pPr>
          </w:p>
        </w:tc>
        <w:tc>
          <w:tcPr>
            <w:tcW w:w="544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7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220"/>
              <w:spacing w:after="0"/>
              <w:rPr>
                <w:sz w:val="20"/>
                <w:szCs w:val="20"/>
                <w:color w:val="auto"/>
              </w:rPr>
            </w:pPr>
            <w:r>
              <w:rPr>
                <w:rFonts w:ascii="Arial" w:cs="Arial" w:eastAsia="Arial" w:hAnsi="Arial"/>
                <w:sz w:val="18"/>
                <w:szCs w:val="18"/>
                <w:color w:val="auto"/>
              </w:rPr>
              <w:t>November 7, 2014</w:t>
            </w:r>
          </w:p>
        </w:tc>
      </w:tr>
    </w:tbl>
    <w:p>
      <w:pPr>
        <w:spacing w:after="0" w:line="17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3"/>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2019-12-07T04:19:49Z</dcterms:created>
  <dcterms:modified xsi:type="dcterms:W3CDTF">2019-12-07T04:19:49Z</dcterms:modified>
</cp:coreProperties>
</file>