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313055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178435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4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(State or other jurisdiction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4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820" w:type="dxa"/>
            <w:vAlign w:val="bottom"/>
          </w:tcPr>
          <w:p>
            <w:pPr>
              <w:ind w:left="34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80" w:type="dxa"/>
            <w:vAlign w:val="bottom"/>
          </w:tcPr>
          <w:p>
            <w:pPr>
              <w:spacing w:after="0"/>
              <w:rPr>
                <w:sz w:val="18"/>
                <w:szCs w:val="18"/>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40" w:type="dxa"/>
            <w:vAlign w:val="bottom"/>
          </w:tcPr>
          <w:p>
            <w:pPr>
              <w:spacing w:after="0"/>
              <w:rPr>
                <w:sz w:val="18"/>
                <w:szCs w:val="18"/>
                <w:color w:val="auto"/>
              </w:rPr>
            </w:pP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46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Common stock, par value $0.01</w:t>
            </w: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91"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7"/>
          <w:szCs w:val="17"/>
          <w:color w:val="auto"/>
        </w:rPr>
        <w:t>On April 7, 2020, Wynn Resorts, Limited ("Wynn Resorts”) announced today the pricing and upsizing by Wynn Resorts Finance, LLC and its subsidiary Wynn Resorts Capital Corp., each an indirect wholly-owned subsidiary of Wynn Resorts, of $600 million aggregate principal amount of 7.75% Senior Notes due 2025 (the “Notes”), which is attached hereto as Exhibit 99.1, and incorporated into this Item 8.01 by reference.</w:t>
      </w:r>
    </w:p>
    <w:p>
      <w:pPr>
        <w:spacing w:after="0" w:line="192" w:lineRule="exact"/>
        <w:rPr>
          <w:sz w:val="20"/>
          <w:szCs w:val="20"/>
          <w:color w:val="auto"/>
        </w:rPr>
      </w:pPr>
    </w:p>
    <w:p>
      <w:pPr>
        <w:jc w:val="both"/>
        <w:ind w:firstLine="406"/>
        <w:spacing w:after="0" w:line="301" w:lineRule="auto"/>
        <w:rPr>
          <w:sz w:val="20"/>
          <w:szCs w:val="20"/>
          <w:color w:val="auto"/>
        </w:rPr>
      </w:pPr>
      <w:r>
        <w:rPr>
          <w:rFonts w:ascii="Arial" w:cs="Arial" w:eastAsia="Arial" w:hAnsi="Arial"/>
          <w:sz w:val="16"/>
          <w:szCs w:val="16"/>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6"/>
        <w:spacing w:after="0" w:line="257" w:lineRule="auto"/>
        <w:rPr>
          <w:sz w:val="20"/>
          <w:szCs w:val="20"/>
          <w:color w:val="auto"/>
        </w:rPr>
      </w:pPr>
      <w:r>
        <w:rPr>
          <w:rFonts w:ascii="Arial" w:cs="Arial" w:eastAsia="Arial" w:hAnsi="Arial"/>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265"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580" w:hanging="53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60" w:type="dxa"/>
            <w:vAlign w:val="bottom"/>
          </w:tcPr>
          <w:p>
            <w:pPr>
              <w:spacing w:after="0"/>
              <w:rPr>
                <w:sz w:val="14"/>
                <w:szCs w:val="14"/>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986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Wynn Resorts, Limited dated April 7, 2020.</w:t>
              </w:r>
            </w:hyperlink>
          </w:p>
        </w:tc>
      </w:tr>
      <w:tr>
        <w:trPr>
          <w:trHeight w:val="27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3"/>
                <w:szCs w:val="23"/>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62"/>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April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Wynn Resorts Announces Pricing and Upsizing of Private Offering of $600 million Aggregate Principal Amount of Wynn Resorts Finance 7.75% Senior Notes due 2025</w:t>
      </w:r>
    </w:p>
    <w:p>
      <w:pPr>
        <w:spacing w:after="0" w:line="193" w:lineRule="exact"/>
        <w:rPr>
          <w:sz w:val="20"/>
          <w:szCs w:val="20"/>
          <w:color w:val="auto"/>
        </w:rPr>
      </w:pPr>
    </w:p>
    <w:p>
      <w:pPr>
        <w:jc w:val="both"/>
        <w:ind w:firstLine="406"/>
        <w:spacing w:after="0" w:line="257" w:lineRule="auto"/>
        <w:rPr>
          <w:sz w:val="20"/>
          <w:szCs w:val="20"/>
          <w:color w:val="auto"/>
        </w:rPr>
      </w:pPr>
      <w:r>
        <w:rPr>
          <w:rFonts w:ascii="Arial" w:cs="Arial" w:eastAsia="Arial" w:hAnsi="Arial"/>
          <w:sz w:val="18"/>
          <w:szCs w:val="18"/>
          <w:color w:val="auto"/>
        </w:rPr>
        <w:t>LAS VEGAS, April 7, 2020 (BUSINESS WIRE) — Wynn Resorts, Limited (“Wynn Resorts”) (NASDAQ: WYNN) announced today the pricing by Wynn Resorts Finance, LLC (“Wynn Resorts Finance”) and its subsidiary Wynn Resorts Capital Corp. (“Wynn Resorts Capital” and, together with Wynn Resorts Finance, the “Issuers”), each an indirect wholly-owned subsidiary of Wynn Resorts, of $600 million aggregate principal amount of 7.75% Senior Notes due 2025 (the “Notes”) in a private offering. The aggregate principal amount of Notes to be issued in the offering was increased to $600 million from the previously announced $350 million.</w:t>
      </w:r>
    </w:p>
    <w:p>
      <w:pPr>
        <w:spacing w:after="0" w:line="215" w:lineRule="exact"/>
        <w:rPr>
          <w:sz w:val="20"/>
          <w:szCs w:val="20"/>
          <w:color w:val="auto"/>
        </w:rPr>
      </w:pPr>
    </w:p>
    <w:p>
      <w:pPr>
        <w:jc w:val="both"/>
        <w:ind w:firstLine="406"/>
        <w:spacing w:after="0" w:line="291" w:lineRule="auto"/>
        <w:rPr>
          <w:sz w:val="20"/>
          <w:szCs w:val="20"/>
          <w:color w:val="auto"/>
        </w:rPr>
      </w:pPr>
      <w:r>
        <w:rPr>
          <w:rFonts w:ascii="Arial" w:cs="Arial" w:eastAsia="Arial" w:hAnsi="Arial"/>
          <w:sz w:val="16"/>
          <w:szCs w:val="16"/>
          <w:color w:val="auto"/>
        </w:rPr>
        <w:t>The Notes will be guaranteed by all of Wynn Resorts Finance’s other domestic subsidiaries (collectively, the “Guarantors”) that guarantee Wynn Resorts Finance’s existing Senior Notes due 2029 (the “2029 Notes”), including Wynn Las Vegas, LLC (“Wynn Las Vegas”) and each of its subsidiaries that guarantees the existing senior notes issued by Wynn Las Vegas (the “Existing WLV Notes”). The Notes and guarantees will be senior unsecured obligations of the Issuers and the Guarantors and will rank equal in right of payment with all existing and future liabilities of the Issuers and such Guarantors that are not subordinated, including their obligations under the 2029 Notes and, with respect to Wynn Las Vegas and certain of its subsidiaries, their obligations under the Existing WLV Notes. The Notes and guarantees will be effectively subordinated to all of the Issuers’ and the Guarantors’ existing and future secured debt (to the extent of the collateral securing such debt), including the existing senior secured credit facilities.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Wynn Resorts Finance plans to use the net proceeds from the offering for general corporate purposes and to pay related fees and expenses.</w:t>
      </w:r>
    </w:p>
    <w:p>
      <w:pPr>
        <w:spacing w:after="0" w:line="264"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19"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6"/>
        <w:spacing w:after="0" w:line="253" w:lineRule="auto"/>
        <w:rPr>
          <w:sz w:val="20"/>
          <w:szCs w:val="20"/>
          <w:color w:val="auto"/>
        </w:rPr>
      </w:pPr>
      <w:r>
        <w:rPr>
          <w:rFonts w:ascii="Arial" w:cs="Arial" w:eastAsia="Arial" w:hAnsi="Arial"/>
          <w:sz w:val="18"/>
          <w:szCs w:val="18"/>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Wynn Resorts’ financial results is included in Wynn Resorts’ Annual Report on Form 10-K for the year ended December 31, 2019 and Wynn Resorts’ other periodic reports filed with the Securities and Exchange Commission. Neither Wynn Resorts nor the Issuers are under any obligation to (and expressly disclaim any such obligation to) update their forward-looking statements as a result of new information, future events or otherwise, except as required by law.</w:t>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234" w:lineRule="auto"/>
        <w:rPr>
          <w:sz w:val="20"/>
          <w:szCs w:val="20"/>
          <w:color w:val="auto"/>
        </w:rPr>
      </w:pPr>
      <w:r>
        <w:rPr>
          <w:rFonts w:ascii="Arial" w:cs="Arial" w:eastAsia="Arial" w:hAnsi="Arial"/>
          <w:sz w:val="18"/>
          <w:szCs w:val="18"/>
          <w:color w:val="auto"/>
        </w:rPr>
        <w:t>702-770-7000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2020-04-07T16:17:34Z</dcterms:created>
  <dcterms:modified xsi:type="dcterms:W3CDTF">2020-04-07T16:17:34Z</dcterms:modified>
</cp:coreProperties>
</file>