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8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18, 2002</w:t>
      </w:r>
    </w:p>
    <w:p>
      <w:pPr>
        <w:spacing w:after="0" w:line="2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333-98369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spacing w:after="0" w:line="237"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Wynn Las Vegas, LLC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7990</w:t>
            </w:r>
          </w:p>
        </w:tc>
        <w:tc>
          <w:tcPr>
            <w:tcW w:w="2440" w:type="dxa"/>
            <w:vAlign w:val="bottom"/>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w w:val="97"/>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Times New Roman" w:cs="Times New Roman" w:eastAsia="Times New Roman" w:hAnsi="Times New Roman"/>
                <w:sz w:val="14"/>
                <w:szCs w:val="14"/>
                <w:color w:val="auto"/>
                <w:w w:val="96"/>
              </w:rPr>
              <w:t>(State or other jurisdiction</w:t>
            </w:r>
          </w:p>
        </w:tc>
        <w:tc>
          <w:tcPr>
            <w:tcW w:w="38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w w:val="96"/>
              </w:rPr>
              <w:t>(Primary Standard Industrial</w:t>
            </w:r>
          </w:p>
        </w:tc>
        <w:tc>
          <w:tcPr>
            <w:tcW w:w="2440" w:type="dxa"/>
            <w:vAlign w:val="bottom"/>
          </w:tcPr>
          <w:p>
            <w:pPr>
              <w:jc w:val="center"/>
              <w:ind w:left="113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2840" w:type="dxa"/>
            <w:vAlign w:val="bottom"/>
          </w:tcPr>
          <w:p>
            <w:pPr>
              <w:jc w:val="center"/>
              <w:ind w:right="992"/>
              <w:spacing w:after="0"/>
              <w:rPr>
                <w:sz w:val="20"/>
                <w:szCs w:val="20"/>
                <w:color w:val="auto"/>
              </w:rPr>
            </w:pPr>
            <w:r>
              <w:rPr>
                <w:rFonts w:ascii="Times New Roman" w:cs="Times New Roman" w:eastAsia="Times New Roman" w:hAnsi="Times New Roman"/>
                <w:sz w:val="14"/>
                <w:szCs w:val="14"/>
                <w:color w:val="auto"/>
                <w:w w:val="96"/>
              </w:rPr>
              <w:t>of incorporation or organization)</w:t>
            </w: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6"/>
              </w:rPr>
              <w:t>Classification Code Number)</w:t>
            </w:r>
          </w:p>
        </w:tc>
        <w:tc>
          <w:tcPr>
            <w:tcW w:w="2440" w:type="dxa"/>
            <w:vAlign w:val="bottom"/>
          </w:tcPr>
          <w:p>
            <w:pPr>
              <w:jc w:val="center"/>
              <w:ind w:left="1132"/>
              <w:spacing w:after="0"/>
              <w:rPr>
                <w:sz w:val="20"/>
                <w:szCs w:val="20"/>
                <w:color w:val="auto"/>
              </w:rPr>
            </w:pPr>
            <w:r>
              <w:rPr>
                <w:rFonts w:ascii="Times New Roman" w:cs="Times New Roman" w:eastAsia="Times New Roman" w:hAnsi="Times New Roman"/>
                <w:sz w:val="14"/>
                <w:szCs w:val="14"/>
                <w:color w:val="auto"/>
                <w:w w:val="95"/>
              </w:rPr>
              <w:t>Identification Number)</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Wynn Las Vegas Capital Corp.</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7990</w:t>
            </w:r>
          </w:p>
        </w:tc>
        <w:tc>
          <w:tcPr>
            <w:tcW w:w="2440" w:type="dxa"/>
            <w:vAlign w:val="bottom"/>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w w:val="97"/>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Times New Roman" w:cs="Times New Roman" w:eastAsia="Times New Roman" w:hAnsi="Times New Roman"/>
                <w:sz w:val="14"/>
                <w:szCs w:val="14"/>
                <w:color w:val="auto"/>
                <w:w w:val="96"/>
              </w:rPr>
              <w:t>(State or other jurisdiction</w:t>
            </w:r>
          </w:p>
        </w:tc>
        <w:tc>
          <w:tcPr>
            <w:tcW w:w="38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w w:val="96"/>
              </w:rPr>
              <w:t>(Primary Standard Industrial</w:t>
            </w:r>
          </w:p>
        </w:tc>
        <w:tc>
          <w:tcPr>
            <w:tcW w:w="2440" w:type="dxa"/>
            <w:vAlign w:val="bottom"/>
          </w:tcPr>
          <w:p>
            <w:pPr>
              <w:jc w:val="center"/>
              <w:ind w:left="113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2840" w:type="dxa"/>
            <w:vAlign w:val="bottom"/>
          </w:tcPr>
          <w:p>
            <w:pPr>
              <w:jc w:val="center"/>
              <w:ind w:right="992"/>
              <w:spacing w:after="0"/>
              <w:rPr>
                <w:sz w:val="20"/>
                <w:szCs w:val="20"/>
                <w:color w:val="auto"/>
              </w:rPr>
            </w:pPr>
            <w:r>
              <w:rPr>
                <w:rFonts w:ascii="Times New Roman" w:cs="Times New Roman" w:eastAsia="Times New Roman" w:hAnsi="Times New Roman"/>
                <w:sz w:val="14"/>
                <w:szCs w:val="14"/>
                <w:color w:val="auto"/>
                <w:w w:val="96"/>
              </w:rPr>
              <w:t>of incorporation or organization)</w:t>
            </w: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6"/>
              </w:rPr>
              <w:t>Classification Code Number)</w:t>
            </w:r>
          </w:p>
        </w:tc>
        <w:tc>
          <w:tcPr>
            <w:tcW w:w="2440" w:type="dxa"/>
            <w:vAlign w:val="bottom"/>
          </w:tcPr>
          <w:p>
            <w:pPr>
              <w:jc w:val="center"/>
              <w:ind w:left="1132"/>
              <w:spacing w:after="0"/>
              <w:rPr>
                <w:sz w:val="20"/>
                <w:szCs w:val="20"/>
                <w:color w:val="auto"/>
              </w:rPr>
            </w:pPr>
            <w:r>
              <w:rPr>
                <w:rFonts w:ascii="Times New Roman" w:cs="Times New Roman" w:eastAsia="Times New Roman" w:hAnsi="Times New Roman"/>
                <w:sz w:val="14"/>
                <w:szCs w:val="14"/>
                <w:color w:val="auto"/>
                <w:w w:val="95"/>
              </w:rPr>
              <w:t>Identification Number)</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and Other Registrants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3145 Las Vegas Boulevard South</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Las Vegas, Nevada 89109</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(702) 733-4444</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Ronald J. Kramer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Wynn Resorts, Limited</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President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3145 Las Vegas Boulevard South</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Las Vegas, Nevada 89109</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(702) 733-4444</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5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35"/>
        </w:trPr>
        <w:tc>
          <w:tcPr>
            <w:tcW w:w="28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6"/>
              </w:rPr>
              <w:t>C. Kevin McGeehan, Esq.</w:t>
            </w:r>
          </w:p>
        </w:tc>
        <w:tc>
          <w:tcPr>
            <w:tcW w:w="5120" w:type="dxa"/>
            <w:vAlign w:val="bottom"/>
          </w:tcPr>
          <w:p>
            <w:pPr>
              <w:jc w:val="center"/>
              <w:ind w:left="3172"/>
              <w:spacing w:after="0"/>
              <w:rPr>
                <w:sz w:val="20"/>
                <w:szCs w:val="20"/>
                <w:color w:val="auto"/>
              </w:rPr>
            </w:pPr>
            <w:r>
              <w:rPr>
                <w:rFonts w:ascii="Times New Roman" w:cs="Times New Roman" w:eastAsia="Times New Roman" w:hAnsi="Times New Roman"/>
                <w:sz w:val="14"/>
                <w:szCs w:val="14"/>
                <w:b w:val="1"/>
                <w:bCs w:val="1"/>
                <w:color w:val="auto"/>
                <w:w w:val="95"/>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Ashok W. Mukhey, Esq.</w:t>
            </w:r>
          </w:p>
        </w:tc>
        <w:tc>
          <w:tcPr>
            <w:tcW w:w="5120" w:type="dxa"/>
            <w:vAlign w:val="bottom"/>
          </w:tcPr>
          <w:p>
            <w:pPr>
              <w:jc w:val="center"/>
              <w:ind w:left="3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1800 Avenue of the Stars, Suite 900</w:t>
            </w:r>
          </w:p>
        </w:tc>
        <w:tc>
          <w:tcPr>
            <w:tcW w:w="5120" w:type="dxa"/>
            <w:vAlign w:val="bottom"/>
          </w:tcPr>
          <w:p>
            <w:pPr>
              <w:jc w:val="center"/>
              <w:ind w:left="31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 Angeles, CA 90067-4276</w:t>
            </w:r>
          </w:p>
        </w:tc>
        <w:tc>
          <w:tcPr>
            <w:tcW w:w="5120" w:type="dxa"/>
            <w:vAlign w:val="bottom"/>
          </w:tcPr>
          <w:p>
            <w:pPr>
              <w:jc w:val="center"/>
              <w:ind w:left="3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(213) 485-1234</w:t>
            </w:r>
          </w:p>
        </w:tc>
      </w:tr>
      <w:tr>
        <w:trPr>
          <w:trHeight w:val="178"/>
        </w:trPr>
        <w:tc>
          <w:tcPr>
            <w:tcW w:w="288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5"/>
              </w:rPr>
              <w:t>(310) 277-1010</w:t>
            </w:r>
          </w:p>
        </w:tc>
        <w:tc>
          <w:tcPr>
            <w:tcW w:w="5120" w:type="dxa"/>
            <w:vAlign w:val="bottom"/>
          </w:tcPr>
          <w:p>
            <w:pPr>
              <w:spacing w:after="0"/>
              <w:rPr>
                <w:sz w:val="15"/>
                <w:szCs w:val="15"/>
                <w:color w:val="auto"/>
              </w:rPr>
            </w:pPr>
          </w:p>
        </w:tc>
      </w:tr>
    </w:tbl>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Times New Roman" w:cs="Times New Roman" w:eastAsia="Times New Roman" w:hAnsi="Times New Roman"/>
          <w:sz w:val="14"/>
          <w:szCs w:val="14"/>
          <w:b w:val="1"/>
          <w:bCs w:val="1"/>
          <w:color w:val="auto"/>
        </w:rPr>
        <w:t>o</w:t>
      </w:r>
    </w:p>
    <w:p>
      <w:pPr>
        <w:spacing w:after="0" w:line="208" w:lineRule="exact"/>
        <w:rPr>
          <w:sz w:val="24"/>
          <w:szCs w:val="24"/>
          <w:color w:val="auto"/>
        </w:rPr>
      </w:pPr>
    </w:p>
    <w:p>
      <w:pPr>
        <w:ind w:right="1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190" w:lineRule="exact"/>
        <w:rPr>
          <w:sz w:val="24"/>
          <w:szCs w:val="24"/>
          <w:color w:val="auto"/>
        </w:rPr>
      </w:pPr>
    </w:p>
    <w:p>
      <w:pPr>
        <w:ind w:right="2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-16510</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0" w:lineRule="exact"/>
        <w:rPr>
          <w:sz w:val="24"/>
          <w:szCs w:val="24"/>
          <w:color w:val="auto"/>
        </w:rPr>
      </w:pPr>
    </w:p>
    <w:p>
      <w:pPr>
        <w:ind w:right="2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-16510</wp:posOffset>
            </wp:positionV>
            <wp:extent cx="1393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6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under the Securities Act, check the following box.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1540" w:type="dxa"/>
        <w:tblCellMar>
          <w:top w:w="0" w:type="dxa"/>
          <w:left w:w="0" w:type="dxa"/>
          <w:bottom w:w="0" w:type="dxa"/>
          <w:right w:w="0" w:type="dxa"/>
        </w:tblCellMar>
      </w:tblPr>
      <w:tr>
        <w:trPr>
          <w:trHeight w:val="161"/>
        </w:trPr>
        <w:tc>
          <w:tcPr>
            <w:tcW w:w="2540" w:type="dxa"/>
            <w:vAlign w:val="bottom"/>
          </w:tcPr>
          <w:p>
            <w:pPr>
              <w:jc w:val="center"/>
              <w:ind w:right="952"/>
              <w:spacing w:after="0"/>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w w:val="95"/>
              </w:rPr>
              <w:t>Amount to be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Proposed</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24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49"/>
        </w:trPr>
        <w:tc>
          <w:tcPr>
            <w:tcW w:w="2540" w:type="dxa"/>
            <w:vAlign w:val="bottom"/>
          </w:tcPr>
          <w:p>
            <w:pPr>
              <w:jc w:val="center"/>
              <w:ind w:right="9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2340" w:type="dxa"/>
            <w:vAlign w:val="bottom"/>
          </w:tcPr>
          <w:p>
            <w:pPr>
              <w:jc w:val="center"/>
              <w:ind w:left="4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Registered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240" w:type="dxa"/>
            <w:vAlign w:val="bottom"/>
          </w:tcPr>
          <w:p>
            <w:pPr>
              <w:jc w:val="center"/>
              <w:ind w:left="4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Registration</w:t>
            </w:r>
          </w:p>
        </w:tc>
      </w:tr>
      <w:tr>
        <w:trPr>
          <w:trHeight w:val="178"/>
        </w:trPr>
        <w:tc>
          <w:tcPr>
            <w:tcW w:w="25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24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w w:val="96"/>
              </w:rPr>
              <w:t>Fee(2)</w:t>
            </w:r>
          </w:p>
        </w:tc>
      </w:tr>
    </w:tbl>
    <w:p>
      <w:pPr>
        <w:sectPr>
          <w:pgSz w:w="11900" w:h="16838" w:orient="portrait"/>
          <w:cols w:equalWidth="0" w:num="1">
            <w:col w:w="11420"/>
          </w:cols>
          <w:pgMar w:left="240" w:top="463" w:right="239" w:bottom="0" w:gutter="0" w:footer="0" w:header="0"/>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7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Offering</w:t>
            </w:r>
          </w:p>
        </w:tc>
        <w:tc>
          <w:tcPr>
            <w:tcW w:w="1580" w:type="dxa"/>
            <w:vAlign w:val="bottom"/>
          </w:tcPr>
          <w:p>
            <w:pPr>
              <w:spacing w:after="0"/>
              <w:rPr>
                <w:sz w:val="13"/>
                <w:szCs w:val="13"/>
                <w:color w:val="auto"/>
              </w:rPr>
            </w:pPr>
          </w:p>
        </w:tc>
      </w:tr>
      <w:tr>
        <w:trPr>
          <w:trHeight w:val="178"/>
        </w:trPr>
        <w:tc>
          <w:tcPr>
            <w:tcW w:w="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Share(1)</w:t>
            </w:r>
          </w:p>
        </w:tc>
        <w:tc>
          <w:tcPr>
            <w:tcW w:w="17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1580" w:type="dxa"/>
            <w:vAlign w:val="bottom"/>
          </w:tcPr>
          <w:p>
            <w:pPr>
              <w:spacing w:after="0"/>
              <w:rPr>
                <w:sz w:val="15"/>
                <w:szCs w:val="15"/>
                <w:color w:val="auto"/>
              </w:rPr>
            </w:pPr>
          </w:p>
        </w:tc>
      </w:tr>
      <w:tr>
        <w:trPr>
          <w:trHeight w:val="105"/>
        </w:trPr>
        <w:tc>
          <w:tcPr>
            <w:tcW w:w="4080" w:type="dxa"/>
            <w:vAlign w:val="bottom"/>
            <w:tcBorders>
              <w:bottom w:val="single" w:sz="8" w:color="808080"/>
            </w:tcBorders>
            <w:gridSpan w:val="2"/>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105"/>
        </w:trPr>
        <w:tc>
          <w:tcPr>
            <w:tcW w:w="9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49"/>
        </w:trPr>
        <w:tc>
          <w:tcPr>
            <w:tcW w:w="40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Second Mortgage Notes due 2010</w:t>
            </w:r>
          </w:p>
        </w:tc>
        <w:tc>
          <w:tcPr>
            <w:tcW w:w="2260" w:type="dxa"/>
            <w:vAlign w:val="bottom"/>
            <w:shd w:val="clear" w:color="auto" w:fill="CCEEFF"/>
          </w:tcPr>
          <w:p>
            <w:pPr>
              <w:jc w:val="right"/>
              <w:ind w:right="392"/>
              <w:spacing w:after="0" w:line="149" w:lineRule="exact"/>
              <w:rPr>
                <w:sz w:val="20"/>
                <w:szCs w:val="20"/>
                <w:color w:val="auto"/>
              </w:rPr>
            </w:pPr>
            <w:r>
              <w:rPr>
                <w:rFonts w:ascii="Times New Roman" w:cs="Times New Roman" w:eastAsia="Times New Roman" w:hAnsi="Times New Roman"/>
                <w:sz w:val="14"/>
                <w:szCs w:val="14"/>
                <w:color w:val="auto"/>
              </w:rPr>
              <w:t>$350,000,000</w:t>
            </w:r>
          </w:p>
        </w:tc>
        <w:tc>
          <w:tcPr>
            <w:tcW w:w="1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740" w:type="dxa"/>
            <w:vAlign w:val="bottom"/>
            <w:shd w:val="clear" w:color="auto" w:fill="CCEEFF"/>
          </w:tcPr>
          <w:p>
            <w:pPr>
              <w:jc w:val="right"/>
              <w:ind w:right="472"/>
              <w:spacing w:after="0" w:line="149" w:lineRule="exact"/>
              <w:rPr>
                <w:sz w:val="20"/>
                <w:szCs w:val="20"/>
                <w:color w:val="auto"/>
              </w:rPr>
            </w:pPr>
            <w:r>
              <w:rPr>
                <w:rFonts w:ascii="Times New Roman" w:cs="Times New Roman" w:eastAsia="Times New Roman" w:hAnsi="Times New Roman"/>
                <w:sz w:val="14"/>
                <w:szCs w:val="14"/>
                <w:color w:val="auto"/>
              </w:rPr>
              <w:t>$350,000,000</w:t>
            </w:r>
          </w:p>
        </w:tc>
        <w:tc>
          <w:tcPr>
            <w:tcW w:w="1580" w:type="dxa"/>
            <w:vAlign w:val="bottom"/>
            <w:shd w:val="clear" w:color="auto" w:fill="CCEEFF"/>
          </w:tcPr>
          <w:p>
            <w:pPr>
              <w:jc w:val="right"/>
              <w:ind w:right="512"/>
              <w:spacing w:after="0" w:line="149" w:lineRule="exact"/>
              <w:rPr>
                <w:sz w:val="20"/>
                <w:szCs w:val="20"/>
                <w:color w:val="auto"/>
              </w:rPr>
            </w:pPr>
            <w:r>
              <w:rPr>
                <w:rFonts w:ascii="Times New Roman" w:cs="Times New Roman" w:eastAsia="Times New Roman" w:hAnsi="Times New Roman"/>
                <w:sz w:val="14"/>
                <w:szCs w:val="14"/>
                <w:color w:val="auto"/>
              </w:rPr>
              <w:t>$32,200</w:t>
            </w:r>
          </w:p>
        </w:tc>
      </w:tr>
      <w:tr>
        <w:trPr>
          <w:trHeight w:val="118"/>
        </w:trPr>
        <w:tc>
          <w:tcPr>
            <w:tcW w:w="9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Guarantees of</w:t>
            </w:r>
          </w:p>
        </w:tc>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Second Mortgage Notes due 2010</w:t>
            </w:r>
          </w:p>
        </w:tc>
        <w:tc>
          <w:tcPr>
            <w:tcW w:w="22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$350,000,000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None</w:t>
            </w:r>
          </w:p>
        </w:tc>
        <w:tc>
          <w:tcPr>
            <w:tcW w:w="17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2"/>
              </w:rPr>
              <w:t>None</w:t>
            </w:r>
          </w:p>
        </w:tc>
        <w:tc>
          <w:tcPr>
            <w:tcW w:w="158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$0</w:t>
            </w:r>
          </w:p>
        </w:tc>
      </w:tr>
      <w:tr>
        <w:trPr>
          <w:trHeight w:val="105"/>
        </w:trPr>
        <w:tc>
          <w:tcPr>
            <w:tcW w:w="90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Fee previously paid.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firstLine="270"/>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Registrants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State or Other</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Identification</w:t>
            </w:r>
          </w:p>
        </w:tc>
        <w:tc>
          <w:tcPr>
            <w:tcW w:w="0" w:type="dxa"/>
            <w:vAlign w:val="bottom"/>
          </w:tcPr>
          <w:p>
            <w:pPr>
              <w:spacing w:after="0"/>
              <w:rPr>
                <w:sz w:val="1"/>
                <w:szCs w:val="1"/>
                <w:color w:val="auto"/>
              </w:rPr>
            </w:pPr>
          </w:p>
        </w:tc>
      </w:tr>
      <w:tr>
        <w:trPr>
          <w:trHeight w:val="178"/>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-1129030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-1129030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-1129030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-1129030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-1129030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4040"/>
        </w:rPr>
        <w:t>Subject to Completion, Dated September 18, 2002</w:t>
      </w:r>
    </w:p>
    <w:p>
      <w:pPr>
        <w:spacing w:after="0" w:line="22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$350,000,000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Wynn Las Vegas,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Wynn Las Vegas Capital Corp.</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 Second Mortgage Notes due 2010</w:t>
      </w:r>
    </w:p>
    <w:p>
      <w:pPr>
        <w:sectPr>
          <w:pgSz w:w="11900" w:h="16843" w:orient="portrait"/>
          <w:cols w:equalWidth="0" w:num="1">
            <w:col w:w="11420"/>
          </w:cols>
          <w:pgMar w:left="240" w:top="110" w:right="239" w:bottom="0" w:gutter="0" w:footer="0" w:header="0"/>
        </w:sectPr>
      </w:pP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Wynn Las Vegas, LLC and Wynn Las Vegas Capital Corp. are offering $350 million aggregate principal amount of on and of each year, beginning , 2003. The second mortgage notes will mature 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360" w:hanging="519"/>
        <w:spacing w:after="0" w:line="241" w:lineRule="auto"/>
        <w:rPr>
          <w:sz w:val="20"/>
          <w:szCs w:val="20"/>
          <w:color w:val="auto"/>
        </w:rPr>
      </w:pPr>
      <w:r>
        <w:rPr>
          <w:rFonts w:ascii="Times New Roman" w:cs="Times New Roman" w:eastAsia="Times New Roman" w:hAnsi="Times New Roman"/>
          <w:sz w:val="14"/>
          <w:szCs w:val="14"/>
          <w:color w:val="auto"/>
        </w:rPr>
        <w:t>% second mortgage notes due 2010. We will pay interest on the second mortgage notes , 2010.</w:t>
      </w:r>
    </w:p>
    <w:p>
      <w:pPr>
        <w:spacing w:after="0" w:line="190" w:lineRule="exact"/>
        <w:rPr>
          <w:sz w:val="20"/>
          <w:szCs w:val="20"/>
          <w:color w:val="auto"/>
        </w:rPr>
      </w:pPr>
    </w:p>
    <w:p>
      <w:pPr>
        <w:sectPr>
          <w:pgSz w:w="11900" w:h="16843" w:orient="portrait"/>
          <w:cols w:equalWidth="0" w:num="2">
            <w:col w:w="6220" w:space="660"/>
            <w:col w:w="4540"/>
          </w:cols>
          <w:pgMar w:left="240" w:top="110" w:right="239" w:bottom="0" w:gutter="0" w:footer="0" w:header="0"/>
          <w:type w:val="continuous"/>
        </w:sectPr>
      </w:pPr>
    </w:p>
    <w:p>
      <w:pPr>
        <w:spacing w:after="0"/>
        <w:tabs>
          <w:tab w:leader="none" w:pos="3960" w:val="left"/>
          <w:tab w:leader="none" w:pos="8320" w:val="left"/>
        </w:tabs>
        <w:rPr>
          <w:sz w:val="20"/>
          <w:szCs w:val="20"/>
          <w:color w:val="auto"/>
        </w:rPr>
      </w:pPr>
      <w:r>
        <w:rPr>
          <w:rFonts w:ascii="Times New Roman" w:cs="Times New Roman" w:eastAsia="Times New Roman" w:hAnsi="Times New Roman"/>
          <w:sz w:val="14"/>
          <w:szCs w:val="14"/>
          <w:color w:val="auto"/>
        </w:rPr>
        <w:t>We may redeem the second mortgage notes at any time on or after</w:t>
      </w:r>
      <w:r>
        <w:rPr>
          <w:sz w:val="20"/>
          <w:szCs w:val="20"/>
          <w:color w:val="auto"/>
        </w:rPr>
        <w:tab/>
      </w:r>
      <w:r>
        <w:rPr>
          <w:rFonts w:ascii="Times New Roman" w:cs="Times New Roman" w:eastAsia="Times New Roman" w:hAnsi="Times New Roman"/>
          <w:sz w:val="14"/>
          <w:szCs w:val="14"/>
          <w:color w:val="auto"/>
        </w:rPr>
        <w:t>, 2006 at a premium decreasing ratably to zero. In addition, until</w:t>
      </w:r>
      <w:r>
        <w:rPr>
          <w:sz w:val="20"/>
          <w:szCs w:val="20"/>
          <w:color w:val="auto"/>
        </w:rPr>
        <w:tab/>
      </w:r>
      <w:r>
        <w:rPr>
          <w:rFonts w:ascii="Times New Roman" w:cs="Times New Roman" w:eastAsia="Times New Roman" w:hAnsi="Times New Roman"/>
          <w:sz w:val="12"/>
          <w:szCs w:val="12"/>
          <w:color w:val="auto"/>
        </w:rPr>
        <w:t>, 2005, we may redeem up to 35% of the second</w:t>
      </w:r>
    </w:p>
    <w:p>
      <w:pPr>
        <w:sectPr>
          <w:pgSz w:w="11900" w:h="16843" w:orient="portrait"/>
          <w:cols w:equalWidth="0" w:num="1">
            <w:col w:w="11420"/>
          </w:cols>
          <w:pgMar w:left="240" w:top="110" w:right="239" w:bottom="0" w:gutter="0" w:footer="0" w:header="0"/>
          <w:type w:val="continuous"/>
        </w:sectPr>
      </w:pPr>
    </w:p>
    <w:p>
      <w:pPr>
        <w:spacing w:after="0" w:line="13" w:lineRule="exact"/>
        <w:rPr>
          <w:sz w:val="20"/>
          <w:szCs w:val="20"/>
          <w:color w:val="auto"/>
        </w:rPr>
      </w:pPr>
    </w:p>
    <w:p>
      <w:pPr>
        <w:jc w:val="both"/>
        <w:ind w:right="300"/>
        <w:spacing w:after="0" w:line="221" w:lineRule="auto"/>
        <w:rPr>
          <w:sz w:val="20"/>
          <w:szCs w:val="20"/>
          <w:color w:val="auto"/>
        </w:rPr>
      </w:pPr>
      <w:r>
        <w:rPr>
          <w:rFonts w:ascii="Times New Roman" w:cs="Times New Roman" w:eastAsia="Times New Roman" w:hAnsi="Times New Roman"/>
          <w:sz w:val="14"/>
          <w:szCs w:val="14"/>
          <w:color w:val="auto"/>
        </w:rPr>
        <w:t>mortgage notes with the net proceeds of one or more qualified equity offerings. If we undergo a change of control we must offer to repurchase the notes. If we sell certain assets or suffer an event of loss, we must offer to repurchase the notes if we do not use the proceeds as required. The second mortgage notes may also be subject to redemption requirements imposed by gaming laws and regulations of gaming authorities in Nevada.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second mortgage notes generally will be secured by:</w:t>
      </w:r>
    </w:p>
    <w:p>
      <w:pPr>
        <w:spacing w:after="0" w:line="13"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a first priority lien on the proceeds of this offering; and</w:t>
      </w:r>
    </w:p>
    <w:p>
      <w:pPr>
        <w:spacing w:after="0" w:line="54" w:lineRule="exact"/>
        <w:rPr>
          <w:rFonts w:ascii="Times New Roman" w:cs="Times New Roman" w:eastAsia="Times New Roman" w:hAnsi="Times New Roman"/>
          <w:sz w:val="27"/>
          <w:szCs w:val="27"/>
          <w:color w:val="auto"/>
          <w:vertAlign w:val="subscript"/>
        </w:rPr>
      </w:pPr>
    </w:p>
    <w:p>
      <w:pPr>
        <w:ind w:left="1080" w:hanging="532"/>
        <w:spacing w:after="0" w:line="187" w:lineRule="auto"/>
        <w:tabs>
          <w:tab w:leader="none" w:pos="1080" w:val="left"/>
        </w:tabs>
        <w:numPr>
          <w:ilvl w:val="0"/>
          <w:numId w:val="2"/>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second priority liens on substantially all of our other existing and future assets, other than certain furniture, fixtures and equipment.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The second mortgage notes will be jointly and severally guaranteed by Valvino Lamore, LLC, our indirect parent, and certain of Valvino's subsidiaries. The guarantees will be secured by second priority liens on substantially all of the guarantors' existing and future assets.</w:t>
      </w:r>
    </w:p>
    <w:p>
      <w:pPr>
        <w:spacing w:after="0" w:line="19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Concurrent with the issuance of the second mortgage notes, we expect to enter into $1.0 billion of credit facilities, which will be secured by first priority liens on substantially all of our existing and future assets, other than the proceeds of this offering and certain furniture, fixtures and equipment. We also expect to enter into a $178.5 million furniture, fixtures and equipment loan facility, which will be secured by first priority liens on specified items of furniture, fixtures, and equipment.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second mortgage notes and guarantees will:</w:t>
      </w:r>
    </w:p>
    <w:p>
      <w:pPr>
        <w:spacing w:after="0" w:line="27"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rank senior in right of payment to any future subordinated indebtedness we or the guarantors may incur;</w:t>
      </w:r>
    </w:p>
    <w:p>
      <w:pPr>
        <w:spacing w:after="0" w:line="40" w:lineRule="exact"/>
        <w:rPr>
          <w:rFonts w:ascii="Times New Roman" w:cs="Times New Roman" w:eastAsia="Times New Roman" w:hAnsi="Times New Roman"/>
          <w:sz w:val="27"/>
          <w:szCs w:val="27"/>
          <w:color w:val="auto"/>
          <w:vertAlign w:val="subscript"/>
        </w:rPr>
      </w:pPr>
    </w:p>
    <w:p>
      <w:pPr>
        <w:ind w:left="1080" w:hanging="532"/>
        <w:spacing w:after="0" w:line="183" w:lineRule="auto"/>
        <w:tabs>
          <w:tab w:leader="none" w:pos="1080" w:val="left"/>
        </w:tabs>
        <w:numPr>
          <w:ilvl w:val="0"/>
          <w:numId w:val="3"/>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be effectively senior to our and the guarantors' existing and future unsecured indebtedness and other liabilities; and</w:t>
      </w:r>
    </w:p>
    <w:p>
      <w:pPr>
        <w:spacing w:after="0" w:line="69" w:lineRule="exact"/>
        <w:rPr>
          <w:rFonts w:ascii="Times New Roman" w:cs="Times New Roman" w:eastAsia="Times New Roman" w:hAnsi="Times New Roman"/>
          <w:sz w:val="23"/>
          <w:szCs w:val="23"/>
          <w:color w:val="auto"/>
          <w:vertAlign w:val="subscript"/>
        </w:rPr>
      </w:pPr>
    </w:p>
    <w:p>
      <w:pPr>
        <w:ind w:left="1080" w:right="200" w:hanging="532"/>
        <w:spacing w:after="0" w:line="187" w:lineRule="auto"/>
        <w:tabs>
          <w:tab w:leader="none" w:pos="1080" w:val="left"/>
        </w:tabs>
        <w:numPr>
          <w:ilvl w:val="0"/>
          <w:numId w:val="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be effectively subordinated to our and the guarantors' obligations under our $1.0 billion credit facilities and our $178.5 million furniture, fixtures and equipment loan facility, because those facilities will be secured by higher priority liens on our assets.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Intercreditor agreements with the holders of our other secured indebtedness will impose restrictions on payment and enforcement of the second mortgage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Concurrent with this offering, Wynn Resorts, Limited, our ultimate parent, is offering shares of common stock in an initial public offering expected to raise approximately $445 million in gross proceeds.</w:t>
      </w:r>
    </w:p>
    <w:p>
      <w:pPr>
        <w:sectPr>
          <w:pgSz w:w="11900" w:h="16843" w:orient="portrait"/>
          <w:cols w:equalWidth="0" w:num="1">
            <w:col w:w="11420"/>
          </w:cols>
          <w:pgMar w:left="240" w:top="110" w:right="239" w:bottom="0" w:gutter="0" w:footer="0" w:header="0"/>
          <w:type w:val="continuous"/>
        </w:sectPr>
      </w:pPr>
    </w:p>
    <w:bookmarkStart w:id="2" w:name="page3"/>
    <w:bookmarkEnd w:id="2"/>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the second mortgage notes involves a high degree of risk. See "Risk Factors" beginning on page 17.</w:t>
      </w:r>
    </w:p>
    <w:p>
      <w:pPr>
        <w:spacing w:after="0" w:line="22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tcPr>
          <w:p>
            <w:pPr>
              <w:ind w:left="720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36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36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w:t>
            </w:r>
          </w:p>
        </w:tc>
        <w:tc>
          <w:tcPr>
            <w:tcW w:w="3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Proceeds, before expenses, to Wynn Las Vegas, LLC and Wynn Las Vegas Capital Corp.</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365"/>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public offering price set forth above does not include accrued interest, if any. Interest on the second mortgage notes will accrue from</w:t>
            </w:r>
          </w:p>
        </w:tc>
        <w:tc>
          <w:tcPr>
            <w:tcW w:w="36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2002.</w:t>
            </w:r>
          </w:p>
        </w:tc>
      </w:tr>
    </w:tbl>
    <w:p>
      <w:pPr>
        <w:spacing w:after="0" w:line="190"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4"/>
          <w:szCs w:val="14"/>
          <w:color w:val="auto"/>
        </w:rPr>
        <w:t>Stephen A. Wynn, a principal stockholder and the Chairman of the Board and Chief Executive Officer of Wynn Resorts, Limited, has expressed an interest in purchasing the second mortgage notes in an aggregate principal amount currently anticipated to be $ million directly from us at the price being offered to the public. The underwriters will not receive any underwriting discounts or commissions on any second mortgage notes purchased by Mr.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Deutsche Bank Securities</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Banc of America</w:t>
            </w:r>
          </w:p>
        </w:tc>
        <w:tc>
          <w:tcPr>
            <w:tcW w:w="3220" w:type="dxa"/>
            <w:vAlign w:val="bottom"/>
            <w:gridSpan w:val="2"/>
          </w:tcPr>
          <w:p>
            <w:pPr>
              <w:ind w:left="540"/>
              <w:spacing w:after="0"/>
              <w:rPr>
                <w:sz w:val="20"/>
                <w:szCs w:val="20"/>
                <w:color w:val="auto"/>
              </w:rPr>
            </w:pPr>
            <w:r>
              <w:rPr>
                <w:rFonts w:ascii="Times New Roman" w:cs="Times New Roman" w:eastAsia="Times New Roman" w:hAnsi="Times New Roman"/>
                <w:sz w:val="22"/>
                <w:szCs w:val="22"/>
                <w:b w:val="1"/>
                <w:bCs w:val="1"/>
                <w:color w:val="auto"/>
              </w:rPr>
              <w:t>Bear, Stearns &amp; Co. Inc.</w:t>
            </w: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Dresdner Kleinwort</w:t>
            </w:r>
          </w:p>
        </w:tc>
      </w:tr>
      <w:tr>
        <w:trPr>
          <w:trHeight w:val="287"/>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Securities LLC</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Wasserstein</w:t>
            </w:r>
          </w:p>
        </w:tc>
      </w:tr>
      <w:tr>
        <w:trPr>
          <w:trHeight w:val="106"/>
        </w:trPr>
        <w:tc>
          <w:tcPr>
            <w:tcW w:w="1700" w:type="dxa"/>
            <w:vAlign w:val="bottom"/>
          </w:tcPr>
          <w:p>
            <w:pPr>
              <w:spacing w:after="0"/>
              <w:rPr>
                <w:sz w:val="9"/>
                <w:szCs w:val="9"/>
                <w:color w:val="auto"/>
              </w:rPr>
            </w:pPr>
          </w:p>
        </w:tc>
        <w:tc>
          <w:tcPr>
            <w:tcW w:w="32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880" w:type="dxa"/>
            <w:vAlign w:val="bottom"/>
            <w:gridSpan w:val="2"/>
          </w:tcPr>
          <w:p>
            <w:pPr>
              <w:spacing w:after="0"/>
              <w:rPr>
                <w:sz w:val="9"/>
                <w:szCs w:val="9"/>
                <w:color w:val="auto"/>
              </w:rPr>
            </w:pPr>
          </w:p>
        </w:tc>
      </w:tr>
      <w:tr>
        <w:trPr>
          <w:trHeight w:val="360"/>
        </w:trPr>
        <w:tc>
          <w:tcPr>
            <w:tcW w:w="1700" w:type="dxa"/>
            <w:vAlign w:val="bottom"/>
          </w:tcPr>
          <w:p>
            <w:pPr>
              <w:spacing w:after="0"/>
              <w:rPr>
                <w:sz w:val="24"/>
                <w:szCs w:val="24"/>
                <w:color w:val="auto"/>
              </w:rPr>
            </w:pPr>
          </w:p>
        </w:tc>
        <w:tc>
          <w:tcPr>
            <w:tcW w:w="390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Fleet Securities, Inc.</w:t>
            </w:r>
          </w:p>
        </w:tc>
        <w:tc>
          <w:tcPr>
            <w:tcW w:w="940" w:type="dxa"/>
            <w:vAlign w:val="bottom"/>
          </w:tcPr>
          <w:p>
            <w:pPr>
              <w:spacing w:after="0"/>
              <w:rPr>
                <w:sz w:val="24"/>
                <w:szCs w:val="24"/>
                <w:color w:val="auto"/>
              </w:rPr>
            </w:pP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22"/>
                <w:szCs w:val="22"/>
                <w:b w:val="1"/>
                <w:bCs w:val="1"/>
                <w:color w:val="auto"/>
              </w:rPr>
              <w:t>Scotia Capital</w:t>
            </w:r>
          </w:p>
        </w:tc>
      </w:tr>
      <w:tr>
        <w:trPr>
          <w:trHeight w:val="366"/>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 2002.</w:t>
            </w: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170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-622935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-622935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ARTWORK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[Artists' renderings of Le Rêve]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 Rêve site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jc w:val="both"/>
        <w:ind w:right="3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16 before making an investment decision.</w:t>
      </w:r>
    </w:p>
    <w:p>
      <w:pPr>
        <w:spacing w:after="0" w:line="197"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second mortgage notes will be jointly issued by Wynn Las Vegas, LLC, a Nevada limited liability company, and its wholly owned subsidiary, Wynn Las Vegas Capital Corp., a Nevada corporation, referred to as Wynn Capital. The second mortgage notes will be guaranteed by our indirect parent, Valvino Lamore, LLC, a Nevada limited liability company, and certain of Valvino's subsidiaries designated as restricted entities. In September 2002, all of the members of Valvino contributed their membership interests in Valvino to our ultimate parent, Wynn Resorts, Limited, a Nevada corporation, and Valvino became a wholly owned subsidiary of Wynn Resorts.</w:t>
      </w:r>
    </w:p>
    <w:p>
      <w:pPr>
        <w:spacing w:after="0" w:line="215" w:lineRule="exact"/>
        <w:rPr>
          <w:sz w:val="20"/>
          <w:szCs w:val="20"/>
          <w:color w:val="auto"/>
        </w:rPr>
      </w:pPr>
    </w:p>
    <w:p>
      <w:pPr>
        <w:ind w:right="40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"we," "our" and "us," as used in this prospectus, mean, collectively, Wynn Las Vegas, Valvino and its subsidiaries that are guaranteeing the second mortgage notes. References to any other entity mean that entity without any subsidiaries. References to the restricted entities or the restricted group mean Valvino, Wynn Resorts Holdings, LLC, Wynn Design &amp; Development, LLC, World Travel, LLC, Las Vegas Jet, LLC, Desert Inn Improvement Co. and Palo, LLC.</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348"/>
        <w:spacing w:after="0" w:line="291" w:lineRule="auto"/>
        <w:rPr>
          <w:sz w:val="20"/>
          <w:szCs w:val="20"/>
          <w:color w:val="auto"/>
        </w:rPr>
      </w:pPr>
      <w:r>
        <w:rPr>
          <w:rFonts w:ascii="Times New Roman" w:cs="Times New Roman" w:eastAsia="Times New Roman" w:hAnsi="Times New Roman"/>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Le Rêve land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establishments, an exclusive on-site 18-hole championship golf course and a new water-based entertainment production. We have scheduled groundbreaking to occur in September 2002, with an opening to the general public scheduled for March 2005.</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 Rêve is the concept of Stephen A. Wynn, one of Wynn Resorts' principal stockholders and its Chairman of the Board and Chief Executive Officer.</w:t>
      </w:r>
    </w:p>
    <w:p>
      <w:pPr>
        <w:spacing w:after="0" w:line="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80" w:right="280" w:hanging="532"/>
        <w:spacing w:after="0" w:line="26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Showcase the "Wynn Brand." </w:t>
      </w:r>
      <w:r>
        <w:rPr>
          <w:rFonts w:ascii="Times New Roman" w:cs="Times New Roman" w:eastAsia="Times New Roman" w:hAnsi="Times New Roman"/>
          <w:sz w:val="18"/>
          <w:szCs w:val="18"/>
          <w:color w:val="auto"/>
        </w:rPr>
        <w:t>We believe that Mr. Wynn is widely viewed as the premier designer, developer and operator of destination casino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resorts in Las Vegas, and that Le Rêve will represent a natural extension of the concepts Mr. Wynn has utilized in developing other major destination casino resorts.</w:t>
      </w:r>
    </w:p>
    <w:p>
      <w:pPr>
        <w:sectPr>
          <w:pgSz w:w="11900" w:h="16862" w:orient="portrait"/>
          <w:cols w:equalWidth="0" w:num="1">
            <w:col w:w="11420"/>
          </w:cols>
          <w:pgMar w:left="240" w:top="123" w:right="239" w:bottom="0" w:gutter="0" w:footer="0" w:header="0"/>
        </w:sectPr>
      </w:pPr>
    </w:p>
    <w:bookmarkStart w:id="3" w:name="page4"/>
    <w:bookmarkEnd w:id="3"/>
    <w:p>
      <w:pPr>
        <w:ind w:left="540" w:hanging="532"/>
        <w:spacing w:after="0" w:line="312" w:lineRule="auto"/>
        <w:tabs>
          <w:tab w:leader="none" w:pos="5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Create a "Must-Visit" Destination Casino Resort on the Las Vegas Strip</w:t>
      </w:r>
      <w:r>
        <w:rPr>
          <w:rFonts w:ascii="Times New Roman" w:cs="Times New Roman" w:eastAsia="Times New Roman" w:hAnsi="Times New Roman"/>
          <w:sz w:val="16"/>
          <w:szCs w:val="16"/>
          <w:color w:val="auto"/>
        </w:rPr>
        <w:t>. Rather than focusing on a highly themed experience like many other hotel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3" w:lineRule="exact"/>
        <w:rPr>
          <w:rFonts w:ascii="Times New Roman" w:cs="Times New Roman" w:eastAsia="Times New Roman" w:hAnsi="Times New Roman"/>
          <w:sz w:val="16"/>
          <w:szCs w:val="16"/>
          <w:color w:val="auto"/>
        </w:rPr>
      </w:pPr>
    </w:p>
    <w:p>
      <w:pPr>
        <w:ind w:left="540" w:right="240" w:hanging="532"/>
        <w:spacing w:after="0" w:line="264"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the First New Major Hotel Casino Resort on the Las Vegas Strip in Almost Five Years</w:t>
      </w:r>
      <w:r>
        <w:rPr>
          <w:rFonts w:ascii="Times New Roman" w:cs="Times New Roman" w:eastAsia="Times New Roman" w:hAnsi="Times New Roman"/>
          <w:sz w:val="18"/>
          <w:szCs w:val="18"/>
          <w:color w:val="auto"/>
        </w:rPr>
        <w:t>. We believe that, at the time of Le Rêve's planned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 in March 2005, it will have been almost five years since a major new hotel casino resort opened on the Las Vegas Strip. As a result, we expect that there will be a high level of customer anticipation for Le Rêve.</w:t>
      </w:r>
    </w:p>
    <w:p>
      <w:pPr>
        <w:spacing w:after="0" w:line="194" w:lineRule="exact"/>
        <w:rPr>
          <w:rFonts w:ascii="Times New Roman" w:cs="Times New Roman" w:eastAsia="Times New Roman" w:hAnsi="Times New Roman"/>
          <w:sz w:val="18"/>
          <w:szCs w:val="18"/>
          <w:color w:val="auto"/>
        </w:rPr>
      </w:pPr>
    </w:p>
    <w:p>
      <w:pPr>
        <w:ind w:left="540" w:right="40" w:hanging="532"/>
        <w:spacing w:after="0" w:line="264"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an Experience at Le Rêve of the Highest Standard of Luxury in an Atmosphere of Casual Elegance. </w:t>
      </w:r>
      <w:r>
        <w:rPr>
          <w:rFonts w:ascii="Times New Roman" w:cs="Times New Roman" w:eastAsia="Times New Roman" w:hAnsi="Times New Roman"/>
          <w:sz w:val="18"/>
          <w:szCs w:val="18"/>
          <w:color w:val="auto"/>
        </w:rPr>
        <w:t>We will seek to attract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2,700 richly furnished, spacious guest rooms and suites;</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casually elegant casino featuring an estimated 136 table games and 2,000 slot machines, a distinctive baccarat salon and private high-limit gaming rooms;</w:t>
      </w:r>
    </w:p>
    <w:p>
      <w:pPr>
        <w:spacing w:after="0" w:line="187"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18-hole championship golf course on the premises of Le Rêve;</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water-based entertainment production developed by Franco Dragone, the creative force behind Bellagio's production of "O" and Treasure Island at The Mirage's production of "Mystère;"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on-site, full-service Ferrari and Maserati dealership;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art gallery displaying works from the private art collection of Mr. Wynn and his wife, Elaine Wynn.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9" w:lineRule="exact"/>
        <w:rPr>
          <w:rFonts w:ascii="Times New Roman" w:cs="Times New Roman" w:eastAsia="Times New Roman" w:hAnsi="Times New Roman"/>
          <w:sz w:val="18"/>
          <w:szCs w:val="18"/>
          <w:color w:val="auto"/>
        </w:rPr>
      </w:pPr>
    </w:p>
    <w:p>
      <w:pPr>
        <w:ind w:left="540" w:right="380" w:hanging="532"/>
        <w:spacing w:after="0" w:line="27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Generate Substantial Revenue from Le Rêve's Non-Gaming Amenities</w:t>
      </w:r>
      <w:r>
        <w:rPr>
          <w:rFonts w:ascii="Times New Roman" w:cs="Times New Roman" w:eastAsia="Times New Roman" w:hAnsi="Times New Roman"/>
          <w:sz w:val="18"/>
          <w:szCs w:val="18"/>
          <w:color w:val="auto"/>
        </w:rPr>
        <w:t>. We expect Le Rêve's superior non-gaming amenities outlined above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substantial portion of its overall revenue.</w:t>
      </w:r>
    </w:p>
    <w:p>
      <w:pPr>
        <w:spacing w:after="0" w:line="183" w:lineRule="exact"/>
        <w:rPr>
          <w:rFonts w:ascii="Times New Roman" w:cs="Times New Roman" w:eastAsia="Times New Roman" w:hAnsi="Times New Roman"/>
          <w:sz w:val="18"/>
          <w:szCs w:val="18"/>
          <w:color w:val="auto"/>
        </w:rPr>
      </w:pPr>
    </w:p>
    <w:p>
      <w:pPr>
        <w:ind w:left="540" w:right="40" w:hanging="532"/>
        <w:spacing w:after="0" w:line="259"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Capitalize on the Attractive Location of Le Rêve. </w:t>
      </w:r>
      <w:r>
        <w:rPr>
          <w:rFonts w:ascii="Times New Roman" w:cs="Times New Roman" w:eastAsia="Times New Roman" w:hAnsi="Times New Roman"/>
          <w:sz w:val="18"/>
          <w:szCs w:val="18"/>
          <w:color w:val="auto"/>
        </w:rPr>
        <w:t>Le Rêve will be located on the Las Vegas Strip at the northeast corner of the intersection of Las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w:t>
      </w:r>
    </w:p>
    <w:p>
      <w:pPr>
        <w:spacing w:after="0" w:line="188" w:lineRule="exact"/>
        <w:rPr>
          <w:rFonts w:ascii="Times New Roman" w:cs="Times New Roman" w:eastAsia="Times New Roman" w:hAnsi="Times New Roman"/>
          <w:sz w:val="18"/>
          <w:szCs w:val="18"/>
          <w:color w:val="auto"/>
        </w:rPr>
      </w:pPr>
    </w:p>
    <w:p>
      <w:pPr>
        <w:ind w:left="540" w:right="14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substantial renovation and expansion, and we anticipate that Le Rêve will be connected to the mall by a pedestrian bridge.</w:t>
      </w:r>
    </w:p>
    <w:p>
      <w:pPr>
        <w:spacing w:after="0" w:line="162" w:lineRule="exact"/>
        <w:rPr>
          <w:rFonts w:ascii="Times New Roman" w:cs="Times New Roman" w:eastAsia="Times New Roman" w:hAnsi="Times New Roman"/>
          <w:sz w:val="18"/>
          <w:szCs w:val="18"/>
          <w:color w:val="auto"/>
        </w:rPr>
      </w:pPr>
    </w:p>
    <w:p>
      <w:pPr>
        <w:ind w:left="540" w:right="460" w:hanging="532"/>
        <w:spacing w:after="0" w:line="27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Capitalize on Our Experienced Management Team</w:t>
      </w:r>
      <w:r>
        <w:rPr>
          <w:rFonts w:ascii="Times New Roman" w:cs="Times New Roman" w:eastAsia="Times New Roman" w:hAnsi="Times New Roman"/>
          <w:sz w:val="18"/>
          <w:szCs w:val="18"/>
          <w:color w:val="auto"/>
        </w:rPr>
        <w:t>. Mr. Wynn is designing Le Rêve, bringing to the project his experience as the designer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Bellagio, The Mirage and</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Treasure Island at the Mirage. Many of the other people on the design team worked with Mr. Wynn at Mirage Resorts to develop Bellagio.</w:t>
      </w:r>
    </w:p>
    <w:p>
      <w:pPr>
        <w:spacing w:after="0" w:line="250" w:lineRule="exact"/>
        <w:rPr>
          <w:sz w:val="20"/>
          <w:szCs w:val="20"/>
          <w:color w:val="auto"/>
        </w:rPr>
      </w:pPr>
    </w:p>
    <w:p>
      <w:pPr>
        <w:ind w:left="540" w:right="160" w:hanging="532"/>
        <w:spacing w:after="0" w:line="25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Carefully Manage Construction Costs and Risks</w:t>
      </w:r>
      <w:r>
        <w:rPr>
          <w:rFonts w:ascii="Times New Roman" w:cs="Times New Roman" w:eastAsia="Times New Roman" w:hAnsi="Times New Roman"/>
          <w:sz w:val="18"/>
          <w:szCs w:val="18"/>
          <w:color w:val="auto"/>
        </w:rPr>
        <w:t>. Marnell Corrao Associates, Inc., referred to as Marnell Corrao, will be the builder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contractor performance and payment bond;</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Inc., of Marnell Corrao's full performance under the construction contract until final payment under that contract;</w:t>
      </w:r>
    </w:p>
    <w:p>
      <w:pPr>
        <w:spacing w:after="0" w:line="187"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reserve account of Wynn Las Vegas holding $30 million of the proceeds of Wynn Resorts' initial public offering;</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80"/>
          </w:cols>
          <w:pgMar w:left="780" w:top="380" w:right="239" w:bottom="0" w:gutter="0" w:footer="0" w:header="0"/>
        </w:sectPr>
      </w:pPr>
    </w:p>
    <w:bookmarkStart w:id="4" w:name="page5"/>
    <w:bookmarkEnd w:id="4"/>
    <w:p>
      <w:pPr>
        <w:ind w:left="1620"/>
        <w:spacing w:after="0"/>
        <w:rPr>
          <w:sz w:val="20"/>
          <w:szCs w:val="20"/>
          <w:color w:val="auto"/>
        </w:rPr>
      </w:pPr>
      <w:r>
        <w:rPr>
          <w:rFonts w:ascii="Times New Roman" w:cs="Times New Roman" w:eastAsia="Times New Roman" w:hAnsi="Times New Roman"/>
          <w:sz w:val="18"/>
          <w:szCs w:val="18"/>
          <w:color w:val="auto"/>
        </w:rPr>
        <w:t>an owner's contingency of approximately $34.3 million included in the design and construction budget; and</w:t>
      </w:r>
    </w:p>
    <w:p>
      <w:pPr>
        <w:spacing w:after="0" w:line="239" w:lineRule="exact"/>
        <w:rPr>
          <w:sz w:val="20"/>
          <w:szCs w:val="20"/>
          <w:color w:val="auto"/>
        </w:rPr>
      </w:pPr>
    </w:p>
    <w:p>
      <w:pPr>
        <w:ind w:left="1620" w:right="220" w:hanging="532"/>
        <w:spacing w:after="0" w:line="275"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remaining availability of approximately $43 million under Wynn Las Vegas' revolving credit facility that may be used to pay interest under the credit facilities and the second mortgage notes and other financing fees if completion is delayed.</w:t>
      </w:r>
    </w:p>
    <w:p>
      <w:pPr>
        <w:spacing w:after="0" w:line="174" w:lineRule="exact"/>
        <w:rPr>
          <w:sz w:val="20"/>
          <w:szCs w:val="20"/>
          <w:color w:val="auto"/>
        </w:rPr>
      </w:pPr>
    </w:p>
    <w:p>
      <w:pPr>
        <w:jc w:val="both"/>
        <w:ind w:left="540" w:right="60"/>
        <w:spacing w:after="0" w:line="262" w:lineRule="auto"/>
        <w:rPr>
          <w:sz w:val="20"/>
          <w:szCs w:val="20"/>
          <w:color w:val="auto"/>
        </w:rPr>
      </w:pPr>
      <w:r>
        <w:rPr>
          <w:rFonts w:ascii="Times New Roman" w:cs="Times New Roman" w:eastAsia="Times New Roman" w:hAnsi="Times New Roman"/>
          <w:sz w:val="18"/>
          <w:szCs w:val="18"/>
          <w:color w:val="auto"/>
        </w:rPr>
        <w:t>We will enter into a disbursement agreement with the agents under the credit facilities and the FF&amp;E facility and the second mortgage note trustee which will govern the sequence of funding and will require us to satisfy specified conditions before we may use the proceeds of our debt instruments and certain of the other sources described below to fund Le Rêve construction costs.</w:t>
      </w:r>
    </w:p>
    <w:p>
      <w:pPr>
        <w:spacing w:after="0" w:line="211" w:lineRule="exact"/>
        <w:rPr>
          <w:sz w:val="20"/>
          <w:szCs w:val="20"/>
          <w:color w:val="auto"/>
        </w:rPr>
      </w:pPr>
    </w:p>
    <w:p>
      <w:pPr>
        <w:ind w:left="1080" w:hanging="532"/>
        <w:spacing w:after="0" w:line="25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Benefit from the Significant Equity Investment. </w:t>
      </w:r>
      <w:r>
        <w:rPr>
          <w:rFonts w:ascii="Times New Roman" w:cs="Times New Roman" w:eastAsia="Times New Roman" w:hAnsi="Times New Roman"/>
          <w:sz w:val="18"/>
          <w:szCs w:val="18"/>
          <w:color w:val="auto"/>
        </w:rPr>
        <w:t>We will have a significant cash equity capitalization for the development of Le Rêve.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through the completion of Le Rêve, we expect to have received a total of approximately $926 million in cash equity contributions, which represents approximately 38% of the total estimated project costs. The $926 million derives from equity contributions from the prior members of Valvino and $363.5 million of the net proceeds of the concurrent initial public offering by Wynn Resorts. To date, Mr. Wynn has personally invested approximately $175 million in cash equity, which demonstrates his commitment to the Le Rêve project.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Financing Transactions</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Wynn Capital are indirect subsidiaries of Wynn Resorts. Concurrent with this offering, Wynn Resorts is offering shares of its common stock in an initial public offering expected to raise approximately $445 million in gross proceeds. Wynn Resorts will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contribute approximately $363.5 million of its initial public offering net proceeds and a portion of its existing cash on hand to Wynn Las Vegas. We intend to use</w:t>
      </w:r>
    </w:p>
    <w:p>
      <w:pPr>
        <w:spacing w:after="0" w:line="262"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contributions from Wynn Resorts,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this offering,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of approximately $707.1 million under a $750 million revolving credit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under a delay draw term loan facility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 million under a loan facility secured by certain furniture, fixtures and equipment,</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to fund Le Rêve's project costs. We have obtained commitments for the revolving credit facility, and the delay draw term loan facility and also have entered into an engagement letter for the furniture, fixtures and equipment facility, which is currently being syndicated. We sometimes refer to the revolving credit facility and the delay draw term loan facility as the credit facilities and to the furniture, fixtures and equipment facility as the FF&amp;E facility. Consummation of this offering is conditioned on consummation of the offering of Wynn Resorts' common stock and on Wynn Las Vegas entering into the agreements governing the credit facilities and FF&amp;E facility.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7" w:lineRule="exact"/>
        <w:rPr>
          <w:sz w:val="20"/>
          <w:szCs w:val="20"/>
          <w:color w:val="auto"/>
        </w:rPr>
      </w:pPr>
    </w:p>
    <w:p>
      <w:pPr>
        <w:ind w:right="80" w:firstLine="348"/>
        <w:spacing w:after="0" w:line="293" w:lineRule="auto"/>
        <w:rPr>
          <w:sz w:val="20"/>
          <w:szCs w:val="20"/>
          <w:color w:val="auto"/>
        </w:rPr>
      </w:pPr>
      <w:r>
        <w:rPr>
          <w:rFonts w:ascii="Times New Roman" w:cs="Times New Roman" w:eastAsia="Times New Roman" w:hAnsi="Times New Roman"/>
          <w:sz w:val="16"/>
          <w:szCs w:val="16"/>
          <w:color w:val="auto"/>
        </w:rPr>
        <w:t>The following chart illustrates the organizational structure of our principal operations.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guarantors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but not subject to their covenants, if it incurs, or becomes a guarantor on, other indebtedness.</w:t>
      </w:r>
    </w:p>
    <w:p>
      <w:pPr>
        <w:spacing w:after="0" w:line="165"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Wynn Resorts (Macau) S.A., a majority-owned indirect subsidiary of Wynn Resorts referred to as Wynn Macau,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 assets of Wynn Macau and other Macau-related subsidiaries will not serve as collateral for our Le Rêve indebtedness.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485255" cy="5816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5255" cy="581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140" w:hanging="532"/>
        <w:spacing w:after="0" w:line="189" w:lineRule="auto"/>
        <w:tabs>
          <w:tab w:leader="none" w:pos="540" w:val="left"/>
        </w:tabs>
        <w:numPr>
          <w:ilvl w:val="0"/>
          <w:numId w:val="1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Party Transactions—Stockholders Agreement."</w:t>
      </w:r>
    </w:p>
    <w:p>
      <w:pPr>
        <w:ind w:left="540" w:hanging="532"/>
        <w:spacing w:after="0" w:line="198" w:lineRule="auto"/>
        <w:tabs>
          <w:tab w:leader="none" w:pos="540" w:val="left"/>
        </w:tabs>
        <w:numPr>
          <w:ilvl w:val="0"/>
          <w:numId w:val="10"/>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Consists of shares held by Baron Asset Fund on behalf of the Baron Asset Fund Series and the Baron Growth Fund Series.</w:t>
      </w:r>
    </w:p>
    <w:p>
      <w:pPr>
        <w:spacing w:after="0" w:line="69" w:lineRule="exact"/>
        <w:rPr>
          <w:rFonts w:ascii="Times New Roman" w:cs="Times New Roman" w:eastAsia="Times New Roman" w:hAnsi="Times New Roman"/>
          <w:sz w:val="27"/>
          <w:szCs w:val="27"/>
          <w:color w:val="auto"/>
          <w:vertAlign w:val="subscript"/>
        </w:rPr>
      </w:pPr>
    </w:p>
    <w:p>
      <w:pPr>
        <w:ind w:left="540" w:right="140" w:hanging="532"/>
        <w:spacing w:after="0" w:line="187" w:lineRule="auto"/>
        <w:tabs>
          <w:tab w:leader="none" w:pos="540" w:val="left"/>
        </w:tabs>
        <w:numPr>
          <w:ilvl w:val="0"/>
          <w:numId w:val="1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Following the completion of this offering and the offering of Wynn Resorts common stock, Wynn Resorts intends to grant awards of restricted stock initially to six employees and to Franco Dragone, the creator of the new entertainment production at Le Rêve. The restricted stock will vest at specified times.</w:t>
      </w:r>
    </w:p>
    <w:p>
      <w:pPr>
        <w:spacing w:after="0" w:line="69" w:lineRule="exact"/>
        <w:rPr>
          <w:rFonts w:ascii="Times New Roman" w:cs="Times New Roman" w:eastAsia="Times New Roman" w:hAnsi="Times New Roman"/>
          <w:sz w:val="24"/>
          <w:szCs w:val="24"/>
          <w:color w:val="auto"/>
          <w:vertAlign w:val="subscript"/>
        </w:rPr>
      </w:pPr>
    </w:p>
    <w:p>
      <w:pPr>
        <w:ind w:left="540" w:hanging="532"/>
        <w:spacing w:after="0" w:line="187" w:lineRule="auto"/>
        <w:tabs>
          <w:tab w:leader="none" w:pos="540" w:val="left"/>
        </w:tabs>
        <w:numPr>
          <w:ilvl w:val="0"/>
          <w:numId w:val="1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Based on the number of shares proposed to be issued in Wynn Resorts' initial public offering, excluding any shares that may be issued pursuant to the exercise of the underwriters' over-allotment option in Wynn Resorts' initial public offering.</w:t>
      </w:r>
    </w:p>
    <w:p>
      <w:pPr>
        <w:spacing w:after="0" w:line="82" w:lineRule="exact"/>
        <w:rPr>
          <w:rFonts w:ascii="Times New Roman" w:cs="Times New Roman" w:eastAsia="Times New Roman" w:hAnsi="Times New Roman"/>
          <w:sz w:val="24"/>
          <w:szCs w:val="24"/>
          <w:color w:val="auto"/>
          <w:vertAlign w:val="subscript"/>
        </w:rPr>
      </w:pPr>
    </w:p>
    <w:p>
      <w:pPr>
        <w:ind w:left="540" w:right="360" w:hanging="532"/>
        <w:spacing w:after="0"/>
        <w:tabs>
          <w:tab w:leader="none" w:pos="540" w:val="left"/>
        </w:tabs>
        <w:numPr>
          <w:ilvl w:val="0"/>
          <w:numId w:val="1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The shaded area shows the entities that will be issuers or other restricted entities (except Desert Inn Improvement Co.) with respect to the second mortgage notes and borrowers or other restricted entities with</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40" w:right="40"/>
        <w:spacing w:after="0" w:line="241" w:lineRule="auto"/>
        <w:rPr>
          <w:sz w:val="20"/>
          <w:szCs w:val="20"/>
          <w:color w:val="auto"/>
        </w:rPr>
      </w:pPr>
      <w:r>
        <w:rPr>
          <w:rFonts w:ascii="Times New Roman" w:cs="Times New Roman" w:eastAsia="Times New Roman" w:hAnsi="Times New Roman"/>
          <w:sz w:val="14"/>
          <w:szCs w:val="14"/>
          <w:color w:val="auto"/>
        </w:rPr>
        <w:t>respect to the revolving credit facility, delay draw term loan facility and FF&amp;E facility. These entities will also be the guarantors under these debt facilities. Wynn Resorts' subsidiaries that will develop the Macau opportunity will not be issuers, borrowers, guarantors or restricted entities with respect to the financing of Le Rêve, including the second mortgage notes.</w:t>
      </w:r>
    </w:p>
    <w:p>
      <w:pPr>
        <w:spacing w:after="0" w:line="136" w:lineRule="exact"/>
        <w:rPr>
          <w:sz w:val="20"/>
          <w:szCs w:val="20"/>
          <w:color w:val="auto"/>
        </w:rPr>
      </w:pPr>
    </w:p>
    <w:p>
      <w:pPr>
        <w:ind w:left="540" w:right="220" w:hanging="532"/>
        <w:spacing w:after="0" w:line="187" w:lineRule="auto"/>
        <w:tabs>
          <w:tab w:leader="none" w:pos="54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Includes a number of wholly owned and partially owned entities. Once certain minority investors formally acquire their interests in Wynn Resorts' Macau-related entities, Wynn Resorts will own an approximately 82.5% economic interest in, and will effectively control approximately 90% of the vote of, Wynn Macau indirectly through various subsidiaries.</w:t>
      </w:r>
    </w:p>
    <w:p>
      <w:pPr>
        <w:ind w:left="540" w:hanging="532"/>
        <w:spacing w:after="0" w:line="187" w:lineRule="auto"/>
        <w:tabs>
          <w:tab w:leader="none" w:pos="540" w:val="left"/>
        </w:tabs>
        <w:numPr>
          <w:ilvl w:val="0"/>
          <w:numId w:val="11"/>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a number of wholly owned subsidiary limited liability companies. These entities include Rambas Marketing Co., LLC, Toasty, LLC and WorldWide Wynn, LLC.</w:t>
      </w:r>
    </w:p>
    <w:p>
      <w:pPr>
        <w:spacing w:after="0" w:line="83" w:lineRule="exact"/>
        <w:rPr>
          <w:rFonts w:ascii="Times New Roman" w:cs="Times New Roman" w:eastAsia="Times New Roman" w:hAnsi="Times New Roman"/>
          <w:sz w:val="27"/>
          <w:szCs w:val="27"/>
          <w:color w:val="auto"/>
          <w:vertAlign w:val="subscript"/>
        </w:rPr>
      </w:pPr>
    </w:p>
    <w:p>
      <w:pPr>
        <w:ind w:left="540" w:right="180" w:hanging="532"/>
        <w:spacing w:after="0" w:line="187" w:lineRule="auto"/>
        <w:tabs>
          <w:tab w:leader="none" w:pos="54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Desert Inn Improvement Co. will not be a guarantor or restricted entity under these debt facilities. However, if it obtains the approval of the Public Utilities Commission of Nevada, it will pledge the water rights it holds to the lenders and the second mortgage note holders.</w:t>
      </w:r>
    </w:p>
    <w:p>
      <w:pPr>
        <w:spacing w:after="0" w:line="69" w:lineRule="exact"/>
        <w:rPr>
          <w:rFonts w:ascii="Times New Roman" w:cs="Times New Roman" w:eastAsia="Times New Roman" w:hAnsi="Times New Roman"/>
          <w:sz w:val="24"/>
          <w:szCs w:val="24"/>
          <w:color w:val="auto"/>
          <w:vertAlign w:val="subscript"/>
        </w:rPr>
      </w:pPr>
    </w:p>
    <w:p>
      <w:pPr>
        <w:ind w:left="540" w:right="20" w:hanging="532"/>
        <w:spacing w:after="0" w:line="187" w:lineRule="auto"/>
        <w:tabs>
          <w:tab w:leader="none" w:pos="54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69" w:lineRule="exact"/>
        <w:rPr>
          <w:rFonts w:ascii="Times New Roman" w:cs="Times New Roman" w:eastAsia="Times New Roman" w:hAnsi="Times New Roman"/>
          <w:sz w:val="24"/>
          <w:szCs w:val="24"/>
          <w:color w:val="auto"/>
          <w:vertAlign w:val="subscript"/>
        </w:rPr>
      </w:pPr>
    </w:p>
    <w:p>
      <w:pPr>
        <w:ind w:left="540" w:right="100" w:hanging="532"/>
        <w:spacing w:after="0" w:line="189" w:lineRule="auto"/>
        <w:tabs>
          <w:tab w:leader="none" w:pos="540" w:val="left"/>
        </w:tabs>
        <w:numPr>
          <w:ilvl w:val="0"/>
          <w:numId w:val="11"/>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Wynn Resorts will contribute $50 million of the net proceeds of its initial public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on Issuers</w:t>
      </w:r>
    </w:p>
    <w:p>
      <w:pPr>
        <w:spacing w:after="0" w:line="227"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Wynn Las Vegas and Wynn Capital are indirect wholly owned subsidiaries of Wynn Resorts. The principal executive offices of Wynn Las Vegas and Wynn Capital are located at 3145 Las Vegas Boulevard South, Las Vegas, Nevada 89109. The telephone number of Wynn Las Vegas and Wynn Capital is (702) 733-4444.</w:t>
      </w:r>
    </w:p>
    <w:p>
      <w:pPr>
        <w:sectPr>
          <w:pgSz w:w="11900" w:h="16838" w:orient="portrait"/>
          <w:cols w:equalWidth="0" w:num="1">
            <w:col w:w="11400"/>
          </w:cols>
          <w:pgMar w:left="240" w:top="1440" w:right="259" w:bottom="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1440" w:right="259" w:bottom="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second mortgage notes. Certain of the terms and conditions described below are subject to important limitations and exceptions. Please see "Description of the Second Mortgage Notes" for a more detailed description of the terms and conditions of the second mortgage notes.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Issuers</w:t>
            </w:r>
          </w:p>
        </w:tc>
        <w:tc>
          <w:tcPr>
            <w:tcW w:w="86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Wynn Las Vegas and Wynn Capital. Wynn Las Vegas is constructing and will own and operate</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96"/>
              </w:rPr>
              <w:t>Le Rêve. Wynn Capital is a wholly owned subsidiary of Wynn Las Vegas that was incorporated solely</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98"/>
              </w:rPr>
              <w:t>to serve as a co-issuer of the notes in order to facilitate this offering. Wynn Capital will not have any</w:t>
            </w:r>
          </w:p>
        </w:tc>
      </w:tr>
      <w:tr>
        <w:trPr>
          <w:trHeight w:val="230"/>
        </w:trPr>
        <w:tc>
          <w:tcPr>
            <w:tcW w:w="2760" w:type="dxa"/>
            <w:vAlign w:val="bottom"/>
            <w:shd w:val="clear" w:color="auto" w:fill="CCEEFF"/>
          </w:tcPr>
          <w:p>
            <w:pPr>
              <w:spacing w:after="0"/>
              <w:rPr>
                <w:sz w:val="20"/>
                <w:szCs w:val="20"/>
                <w:color w:val="auto"/>
              </w:rPr>
            </w:pPr>
          </w:p>
        </w:tc>
        <w:tc>
          <w:tcPr>
            <w:tcW w:w="86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operations or material assets and will not have any revenues.</w:t>
            </w:r>
          </w:p>
        </w:tc>
      </w:tr>
      <w:tr>
        <w:trPr>
          <w:trHeight w:val="4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8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$350 million aggregate principal amount of  % second mortgage notes due 2010.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352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 2010.</w:t>
            </w:r>
          </w:p>
        </w:tc>
        <w:tc>
          <w:tcPr>
            <w:tcW w:w="8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4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 per year (calculated using a 360-day year).</w:t>
            </w:r>
          </w:p>
        </w:tc>
        <w:tc>
          <w:tcPr>
            <w:tcW w:w="2480" w:type="dxa"/>
            <w:vAlign w:val="bottom"/>
          </w:tcPr>
          <w:p>
            <w:pPr>
              <w:spacing w:after="0"/>
              <w:rPr>
                <w:sz w:val="24"/>
                <w:szCs w:val="24"/>
                <w:color w:val="auto"/>
              </w:rPr>
            </w:pPr>
          </w:p>
        </w:tc>
      </w:tr>
      <w:tr>
        <w:trPr>
          <w:trHeight w:val="41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352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on</w:t>
            </w:r>
          </w:p>
        </w:tc>
        <w:tc>
          <w:tcPr>
            <w:tcW w:w="2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 2003. Interest will accrue</w:t>
            </w:r>
          </w:p>
        </w:tc>
      </w:tr>
      <w:tr>
        <w:trPr>
          <w:trHeight w:val="230"/>
        </w:trPr>
        <w:tc>
          <w:tcPr>
            <w:tcW w:w="2940" w:type="dxa"/>
            <w:vAlign w:val="bottom"/>
            <w:shd w:val="clear" w:color="auto" w:fill="CCEEFF"/>
          </w:tcPr>
          <w:p>
            <w:pPr>
              <w:spacing w:after="0"/>
              <w:rPr>
                <w:sz w:val="20"/>
                <w:szCs w:val="20"/>
                <w:color w:val="auto"/>
              </w:rPr>
            </w:pPr>
          </w:p>
        </w:tc>
        <w:tc>
          <w:tcPr>
            <w:tcW w:w="60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from the issue date of the second mortgage notes.</w:t>
            </w:r>
          </w:p>
        </w:tc>
        <w:tc>
          <w:tcPr>
            <w:tcW w:w="2480" w:type="dxa"/>
            <w:vAlign w:val="bottom"/>
            <w:shd w:val="clear" w:color="auto" w:fill="CCEEFF"/>
          </w:tcPr>
          <w:p>
            <w:pPr>
              <w:spacing w:after="0"/>
              <w:rPr>
                <w:sz w:val="20"/>
                <w:szCs w:val="20"/>
                <w:color w:val="auto"/>
              </w:rPr>
            </w:pPr>
          </w:p>
        </w:tc>
      </w:tr>
      <w:tr>
        <w:trPr>
          <w:trHeight w:val="41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84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w w:val="99"/>
              </w:rPr>
              <w:t>Valvino and certain of its subsidiaries will guarantee the second mortgage notes. Wynn Resorts will</w:t>
            </w:r>
          </w:p>
        </w:tc>
      </w:tr>
      <w:tr>
        <w:trPr>
          <w:trHeight w:val="216"/>
        </w:trPr>
        <w:tc>
          <w:tcPr>
            <w:tcW w:w="2940" w:type="dxa"/>
            <w:vAlign w:val="bottom"/>
          </w:tcPr>
          <w:p>
            <w:pPr>
              <w:spacing w:after="0"/>
              <w:rPr>
                <w:sz w:val="18"/>
                <w:szCs w:val="18"/>
                <w:color w:val="auto"/>
              </w:rPr>
            </w:pPr>
          </w:p>
        </w:tc>
        <w:tc>
          <w:tcPr>
            <w:tcW w:w="84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not guarantee the second mortgage notes unless Wynn Resorts either incurs or guarantees certain</w:t>
            </w:r>
          </w:p>
        </w:tc>
      </w:tr>
      <w:tr>
        <w:trPr>
          <w:trHeight w:val="216"/>
        </w:trPr>
        <w:tc>
          <w:tcPr>
            <w:tcW w:w="2940" w:type="dxa"/>
            <w:vAlign w:val="bottom"/>
          </w:tcPr>
          <w:p>
            <w:pPr>
              <w:spacing w:after="0"/>
              <w:rPr>
                <w:sz w:val="18"/>
                <w:szCs w:val="18"/>
                <w:color w:val="auto"/>
              </w:rPr>
            </w:pPr>
          </w:p>
        </w:tc>
        <w:tc>
          <w:tcPr>
            <w:tcW w:w="84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w w:val="98"/>
              </w:rPr>
              <w:t>indebtedness in excess of $10.0 million in the aggregate. In that case, Wynn Resorts will be required</w:t>
            </w:r>
          </w:p>
        </w:tc>
      </w:tr>
      <w:tr>
        <w:trPr>
          <w:trHeight w:val="229"/>
        </w:trPr>
        <w:tc>
          <w:tcPr>
            <w:tcW w:w="2940" w:type="dxa"/>
            <w:vAlign w:val="bottom"/>
          </w:tcPr>
          <w:p>
            <w:pPr>
              <w:spacing w:after="0"/>
              <w:rPr>
                <w:sz w:val="19"/>
                <w:szCs w:val="19"/>
                <w:color w:val="auto"/>
              </w:rPr>
            </w:pPr>
          </w:p>
        </w:tc>
        <w:tc>
          <w:tcPr>
            <w:tcW w:w="84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w w:val="97"/>
              </w:rPr>
              <w:t>to guarantee the second mortgage notes. The guarantees may be released under certain circumstances.</w:t>
            </w:r>
          </w:p>
        </w:tc>
      </w:tr>
      <w:tr>
        <w:trPr>
          <w:trHeight w:val="41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8480" w:type="dxa"/>
            <w:vAlign w:val="bottom"/>
            <w:gridSpan w:val="4"/>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7"/>
              </w:rPr>
              <w:t>To the extent permitted by gaming and other applicable laws, and subject to specified permitted liens,</w:t>
            </w:r>
          </w:p>
        </w:tc>
      </w:tr>
      <w:tr>
        <w:trPr>
          <w:trHeight w:val="230"/>
        </w:trPr>
        <w:tc>
          <w:tcPr>
            <w:tcW w:w="2940" w:type="dxa"/>
            <w:vAlign w:val="bottom"/>
            <w:shd w:val="clear" w:color="auto" w:fill="CCEEFF"/>
          </w:tcPr>
          <w:p>
            <w:pPr>
              <w:spacing w:after="0"/>
              <w:rPr>
                <w:sz w:val="20"/>
                <w:szCs w:val="20"/>
                <w:color w:val="auto"/>
              </w:rPr>
            </w:pPr>
          </w:p>
        </w:tc>
        <w:tc>
          <w:tcPr>
            <w:tcW w:w="60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the second mortgage notes will be secured by:</w:t>
            </w:r>
          </w:p>
        </w:tc>
        <w:tc>
          <w:tcPr>
            <w:tcW w:w="24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4800" w:right="200" w:hanging="359"/>
        <w:spacing w:after="0" w:line="339" w:lineRule="auto"/>
        <w:tabs>
          <w:tab w:leader="none" w:pos="4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first priority lien on the net proceeds of this offering, which will be deposited in a secured account pending release to fund disbursement requests under the disbursement agreement;</w:t>
      </w:r>
    </w:p>
    <w:p>
      <w:pPr>
        <w:spacing w:after="0" w:line="128" w:lineRule="exact"/>
        <w:rPr>
          <w:rFonts w:ascii="Times New Roman" w:cs="Times New Roman" w:eastAsia="Times New Roman" w:hAnsi="Times New Roman"/>
          <w:sz w:val="16"/>
          <w:szCs w:val="16"/>
          <w:color w:val="auto"/>
        </w:rPr>
      </w:pPr>
    </w:p>
    <w:p>
      <w:pPr>
        <w:ind w:left="4800" w:right="140" w:hanging="359"/>
        <w:spacing w:after="0" w:line="258" w:lineRule="auto"/>
        <w:tabs>
          <w:tab w:leader="none" w:pos="4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lien on substantially all of the other existing and future assets of Wynn Las Vegas, including the land on which Le Rêve is to be constructed, all improvements constructed as part of the Le Rêve project, certain personal property (other than certain furniture, fixtures and equipment) and certain material agreements;</w:t>
      </w:r>
    </w:p>
    <w:p>
      <w:pPr>
        <w:spacing w:after="0" w:line="190" w:lineRule="exact"/>
        <w:rPr>
          <w:rFonts w:ascii="Times New Roman" w:cs="Times New Roman" w:eastAsia="Times New Roman" w:hAnsi="Times New Roman"/>
          <w:sz w:val="18"/>
          <w:szCs w:val="18"/>
          <w:color w:val="auto"/>
        </w:rPr>
      </w:pPr>
    </w:p>
    <w:p>
      <w:pPr>
        <w:ind w:left="4800" w:right="320" w:hanging="359"/>
        <w:spacing w:after="0" w:line="275" w:lineRule="auto"/>
        <w:tabs>
          <w:tab w:leader="none" w:pos="4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lien on the $50.0 million to be deposited into the completion guarantor's completion guarantee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685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28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r>
        <w:trPr>
          <w:trHeight w:val="105"/>
        </w:trPr>
        <w:tc>
          <w:tcPr>
            <w:tcW w:w="28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760" w:type="dxa"/>
            <w:vAlign w:val="bottom"/>
          </w:tcPr>
          <w:p>
            <w:pPr>
              <w:spacing w:after="0"/>
              <w:rPr>
                <w:sz w:val="9"/>
                <w:szCs w:val="9"/>
                <w:color w:val="auto"/>
              </w:rPr>
            </w:pPr>
          </w:p>
        </w:tc>
      </w:tr>
      <w:tr>
        <w:trPr>
          <w:trHeight w:val="418"/>
        </w:trPr>
        <w:tc>
          <w:tcPr>
            <w:tcW w:w="2860" w:type="dxa"/>
            <w:vAlign w:val="bottom"/>
            <w:shd w:val="clear" w:color="auto" w:fill="CCEEFF"/>
          </w:tcPr>
          <w:p>
            <w:pPr>
              <w:spacing w:after="0"/>
              <w:rPr>
                <w:sz w:val="24"/>
                <w:szCs w:val="24"/>
                <w:color w:val="auto"/>
              </w:rPr>
            </w:pPr>
          </w:p>
        </w:tc>
        <w:tc>
          <w:tcPr>
            <w:tcW w:w="18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second priority lien on the $30.0 million to be deposited into Wynn Las Vegas' liquidity</w:t>
            </w:r>
          </w:p>
        </w:tc>
      </w:tr>
      <w:tr>
        <w:trPr>
          <w:trHeight w:val="230"/>
        </w:trPr>
        <w:tc>
          <w:tcPr>
            <w:tcW w:w="28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account; and</w:t>
            </w:r>
          </w:p>
        </w:tc>
      </w:tr>
      <w:tr>
        <w:trPr>
          <w:trHeight w:val="418"/>
        </w:trPr>
        <w:tc>
          <w:tcPr>
            <w:tcW w:w="286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a third priority lien on the FF&amp;E collateral, consisting of specified items of furniture, fixtures</w:t>
            </w:r>
          </w:p>
        </w:tc>
      </w:tr>
      <w:tr>
        <w:trPr>
          <w:trHeight w:val="229"/>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equipment that are also collateral for our FF&amp;E facility and our credit agreement.</w:t>
            </w:r>
          </w:p>
        </w:tc>
      </w:tr>
      <w:tr>
        <w:trPr>
          <w:trHeight w:val="419"/>
        </w:trPr>
        <w:tc>
          <w:tcPr>
            <w:tcW w:w="2860" w:type="dxa"/>
            <w:vAlign w:val="bottom"/>
            <w:shd w:val="clear" w:color="auto" w:fill="CCEEFF"/>
          </w:tcPr>
          <w:p>
            <w:pPr>
              <w:spacing w:after="0"/>
              <w:rPr>
                <w:sz w:val="24"/>
                <w:szCs w:val="24"/>
                <w:color w:val="auto"/>
              </w:rPr>
            </w:pP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The guarantors' obligations under the guarantees, to the extent permitted by gaming and other</w:t>
            </w:r>
          </w:p>
        </w:tc>
      </w:tr>
      <w:tr>
        <w:trPr>
          <w:trHeight w:val="230"/>
        </w:trPr>
        <w:tc>
          <w:tcPr>
            <w:tcW w:w="2860" w:type="dxa"/>
            <w:vAlign w:val="bottom"/>
            <w:shd w:val="clear" w:color="auto" w:fill="CCEEFF"/>
          </w:tcPr>
          <w:p>
            <w:pPr>
              <w:spacing w:after="0"/>
              <w:rPr>
                <w:sz w:val="20"/>
                <w:szCs w:val="20"/>
                <w:color w:val="auto"/>
              </w:rPr>
            </w:pP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applicable laws, will be secured by:</w:t>
            </w:r>
          </w:p>
        </w:tc>
      </w:tr>
      <w:tr>
        <w:trPr>
          <w:trHeight w:val="418"/>
        </w:trPr>
        <w:tc>
          <w:tcPr>
            <w:tcW w:w="286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 second priority lien on substantially all of the existing and future assets (other than certain</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aircraft assets) of the guarantors, including the golf course land, the 20 acre parcel of land</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fronting Las Vegas Boulevard next to the Le Rêve site, to which we sometimes refer as the</w:t>
            </w:r>
          </w:p>
        </w:tc>
      </w:tr>
      <w:tr>
        <w:trPr>
          <w:trHeight w:val="216"/>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Phase II land, water rights for the golf course land and Le Rêve's water entertainment</w:t>
            </w:r>
          </w:p>
        </w:tc>
      </w:tr>
      <w:tr>
        <w:trPr>
          <w:trHeight w:val="229"/>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features, and certain specified material agreements; and</w:t>
            </w:r>
          </w:p>
        </w:tc>
      </w:tr>
      <w:tr>
        <w:trPr>
          <w:trHeight w:val="419"/>
        </w:trPr>
        <w:tc>
          <w:tcPr>
            <w:tcW w:w="2860" w:type="dxa"/>
            <w:vAlign w:val="bottom"/>
            <w:shd w:val="clear" w:color="auto" w:fill="CCEEFF"/>
          </w:tcPr>
          <w:p>
            <w:pPr>
              <w:spacing w:after="0"/>
              <w:rPr>
                <w:sz w:val="24"/>
                <w:szCs w:val="24"/>
                <w:color w:val="auto"/>
              </w:rPr>
            </w:pPr>
          </w:p>
        </w:tc>
        <w:tc>
          <w:tcPr>
            <w:tcW w:w="18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 second priority pledge of the equity interests held by the guarantors in any of their existing</w:t>
            </w:r>
          </w:p>
        </w:tc>
      </w:tr>
      <w:tr>
        <w:trPr>
          <w:trHeight w:val="230"/>
        </w:trPr>
        <w:tc>
          <w:tcPr>
            <w:tcW w:w="28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 future subsidiaries, including the equity interests of Wynn Las Vegas.</w:t>
            </w:r>
          </w:p>
        </w:tc>
      </w:tr>
      <w:tr>
        <w:trPr>
          <w:trHeight w:val="431"/>
        </w:trPr>
        <w:tc>
          <w:tcPr>
            <w:tcW w:w="2860" w:type="dxa"/>
            <w:vAlign w:val="bottom"/>
          </w:tcPr>
          <w:p>
            <w:pPr>
              <w:spacing w:after="0"/>
              <w:rPr>
                <w:sz w:val="24"/>
                <w:szCs w:val="24"/>
                <w:color w:val="auto"/>
              </w:rPr>
            </w:pPr>
          </w:p>
        </w:tc>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The guarantees will not be secured by the aircraft assets.</w:t>
            </w:r>
          </w:p>
        </w:tc>
      </w:tr>
      <w:tr>
        <w:trPr>
          <w:trHeight w:val="419"/>
        </w:trPr>
        <w:tc>
          <w:tcPr>
            <w:tcW w:w="2860" w:type="dxa"/>
            <w:vAlign w:val="bottom"/>
            <w:shd w:val="clear" w:color="auto" w:fill="CCEEFF"/>
          </w:tcPr>
          <w:p>
            <w:pPr>
              <w:spacing w:after="0"/>
              <w:rPr>
                <w:sz w:val="24"/>
                <w:szCs w:val="24"/>
                <w:color w:val="auto"/>
              </w:rPr>
            </w:pP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In the event that Wynn Resorts becomes a guarantor by issuing a parent guarantee, that guarantee</w:t>
            </w:r>
          </w:p>
        </w:tc>
      </w:tr>
      <w:tr>
        <w:trPr>
          <w:trHeight w:val="216"/>
        </w:trPr>
        <w:tc>
          <w:tcPr>
            <w:tcW w:w="28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8"/>
              </w:rPr>
              <w:t>may be unsecured, or may be secured by a security interest in all or specified existing or future assets</w:t>
            </w:r>
          </w:p>
        </w:tc>
      </w:tr>
      <w:tr>
        <w:trPr>
          <w:trHeight w:val="230"/>
        </w:trPr>
        <w:tc>
          <w:tcPr>
            <w:tcW w:w="2860" w:type="dxa"/>
            <w:vAlign w:val="bottom"/>
            <w:shd w:val="clear" w:color="auto" w:fill="CCEEFF"/>
          </w:tcPr>
          <w:p>
            <w:pPr>
              <w:spacing w:after="0"/>
              <w:rPr>
                <w:sz w:val="20"/>
                <w:szCs w:val="20"/>
                <w:color w:val="auto"/>
              </w:rPr>
            </w:pP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of Wynn Resorts.</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Release of Collateral</w:t>
            </w:r>
          </w:p>
        </w:tc>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w w:val="98"/>
              </w:rPr>
              <w:t>The second mortgage note holders' security interests in all or certain portions of the golf course land,</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and related collateral (including water rights), and in all of the Phase II land may be released under</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w w:val="98"/>
              </w:rPr>
              <w:t>certain circumstances. Upon any such release of those security interests, the disposition or transfer of</w:t>
            </w:r>
          </w:p>
        </w:tc>
      </w:tr>
      <w:tr>
        <w:trPr>
          <w:trHeight w:val="229"/>
        </w:trPr>
        <w:tc>
          <w:tcPr>
            <w:tcW w:w="2860" w:type="dxa"/>
            <w:vAlign w:val="bottom"/>
          </w:tcPr>
          <w:p>
            <w:pPr>
              <w:spacing w:after="0"/>
              <w:rPr>
                <w:sz w:val="19"/>
                <w:szCs w:val="19"/>
                <w:color w:val="auto"/>
              </w:rPr>
            </w:pPr>
          </w:p>
        </w:tc>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such assets will no longer be subject to any of the restrictive covenants in the indenture.</w:t>
            </w:r>
          </w:p>
        </w:tc>
      </w:tr>
      <w:tr>
        <w:trPr>
          <w:trHeight w:val="43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Ranking</w:t>
            </w:r>
          </w:p>
        </w:tc>
        <w:tc>
          <w:tcPr>
            <w:tcW w:w="85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The second mortgage notes will be general obligations of the issuers and will: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-4334510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-4334510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0" w:gutter="0" w:footer="0" w:header="0"/>
        </w:sectPr>
      </w:pPr>
    </w:p>
    <w:bookmarkStart w:id="7" w:name="page8"/>
    <w:bookmarkEnd w:id="7"/>
    <w:p>
      <w:pPr>
        <w:ind w:left="4800" w:right="120" w:hanging="359"/>
        <w:spacing w:after="0" w:line="275" w:lineRule="auto"/>
        <w:tabs>
          <w:tab w:leader="none" w:pos="4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any future subordinated indebtedness we or the guarantors may incur,</w:t>
      </w:r>
    </w:p>
    <w:p>
      <w:pPr>
        <w:spacing w:after="0" w:line="173" w:lineRule="exact"/>
        <w:rPr>
          <w:rFonts w:ascii="Times New Roman" w:cs="Times New Roman" w:eastAsia="Times New Roman" w:hAnsi="Times New Roman"/>
          <w:sz w:val="18"/>
          <w:szCs w:val="18"/>
          <w:color w:val="auto"/>
        </w:rPr>
      </w:pPr>
    </w:p>
    <w:p>
      <w:pPr>
        <w:ind w:left="4800" w:right="280" w:hanging="359"/>
        <w:spacing w:after="0" w:line="275" w:lineRule="auto"/>
        <w:tabs>
          <w:tab w:leader="none" w:pos="4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senior to our and the guarantors' existing and future unsecured indebtedness and other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548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right="40" w:hanging="359"/>
        <w:spacing w:after="0" w:line="262" w:lineRule="auto"/>
        <w:tabs>
          <w:tab w:leader="none" w:pos="4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our and the guarantors' obligations under our $1.0 billion credit facilities and our $178.5 million furniture, fixtures and equipment loan facility, which are secured by higher priority liens on our assets.</w:t>
      </w:r>
    </w:p>
    <w:p>
      <w:pPr>
        <w:spacing w:after="0" w:line="186" w:lineRule="exact"/>
        <w:rPr>
          <w:sz w:val="20"/>
          <w:szCs w:val="20"/>
          <w:color w:val="auto"/>
        </w:rPr>
      </w:pPr>
    </w:p>
    <w:p>
      <w:pPr>
        <w:ind w:left="4240" w:right="240"/>
        <w:spacing w:after="0" w:line="256" w:lineRule="auto"/>
        <w:rPr>
          <w:sz w:val="20"/>
          <w:szCs w:val="20"/>
          <w:color w:val="auto"/>
        </w:rPr>
      </w:pPr>
      <w:r>
        <w:rPr>
          <w:rFonts w:ascii="Times New Roman" w:cs="Times New Roman" w:eastAsia="Times New Roman" w:hAnsi="Times New Roman"/>
          <w:sz w:val="18"/>
          <w:szCs w:val="18"/>
          <w:color w:val="auto"/>
        </w:rPr>
        <w:t>Concurrent with the issuance of the second mortgage notes, we expect to enter into $1 billion of credit facilities, which will be secured by first priority liens on substantially all of our existing and future assets, other than the proceeds of this offering. We also expect to enter into a $178.5 million furniture, fixtures and equipment loan facility, which will be secured by first priority liens on specified items of 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The guarantees of the second mortgage notes will be secured obligations of the guarantors and will:</w:t>
      </w:r>
    </w:p>
    <w:p>
      <w:pPr>
        <w:spacing w:after="0" w:line="225" w:lineRule="exact"/>
        <w:rPr>
          <w:sz w:val="20"/>
          <w:szCs w:val="20"/>
          <w:color w:val="auto"/>
        </w:rPr>
      </w:pPr>
    </w:p>
    <w:p>
      <w:pPr>
        <w:ind w:left="4800" w:right="120" w:hanging="359"/>
        <w:spacing w:after="0" w:line="275" w:lineRule="auto"/>
        <w:tabs>
          <w:tab w:leader="none" w:pos="4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any future subordinated indebtedness we or the guarantors may incur;</w:t>
      </w:r>
    </w:p>
    <w:p>
      <w:pPr>
        <w:spacing w:after="0" w:line="173" w:lineRule="exact"/>
        <w:rPr>
          <w:rFonts w:ascii="Times New Roman" w:cs="Times New Roman" w:eastAsia="Times New Roman" w:hAnsi="Times New Roman"/>
          <w:sz w:val="18"/>
          <w:szCs w:val="18"/>
          <w:color w:val="auto"/>
        </w:rPr>
      </w:pPr>
    </w:p>
    <w:p>
      <w:pPr>
        <w:ind w:left="4800" w:right="280" w:hanging="359"/>
        <w:spacing w:after="0" w:line="275" w:lineRule="auto"/>
        <w:tabs>
          <w:tab w:leader="none" w:pos="4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senior to our and the guarantors' existing and future unsecured indebtedness and other liabilities; and</w:t>
      </w:r>
    </w:p>
    <w:p>
      <w:pPr>
        <w:spacing w:after="0" w:line="173" w:lineRule="exact"/>
        <w:rPr>
          <w:rFonts w:ascii="Times New Roman" w:cs="Times New Roman" w:eastAsia="Times New Roman" w:hAnsi="Times New Roman"/>
          <w:sz w:val="18"/>
          <w:szCs w:val="18"/>
          <w:color w:val="auto"/>
        </w:rPr>
      </w:pPr>
    </w:p>
    <w:p>
      <w:pPr>
        <w:ind w:left="4800" w:right="200" w:hanging="359"/>
        <w:spacing w:after="0" w:line="262" w:lineRule="auto"/>
        <w:tabs>
          <w:tab w:leader="none" w:pos="4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our and the guarantors' obligations under our credit facilities, our furniture, fixture and equipment loan facility, and any of our and the guarantors' future indebtedness that is secured with higher priority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-969645</wp:posOffset>
            </wp:positionV>
            <wp:extent cx="72466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685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66" w:lineRule="exact"/>
        <w:rPr>
          <w:sz w:val="20"/>
          <w:szCs w:val="20"/>
          <w:color w:val="auto"/>
        </w:rPr>
      </w:pPr>
    </w:p>
    <w:p>
      <w:pPr>
        <w:ind w:left="4240" w:hanging="4240"/>
        <w:spacing w:after="0" w:line="258" w:lineRule="auto"/>
        <w:tabs>
          <w:tab w:leader="none" w:pos="4220" w:val="left"/>
        </w:tabs>
        <w:rPr>
          <w:sz w:val="20"/>
          <w:szCs w:val="20"/>
          <w:color w:val="auto"/>
        </w:rPr>
      </w:pPr>
      <w:r>
        <w:rPr>
          <w:rFonts w:ascii="Times New Roman" w:cs="Times New Roman" w:eastAsia="Times New Roman" w:hAnsi="Times New Roman"/>
          <w:sz w:val="18"/>
          <w:szCs w:val="18"/>
          <w:color w:val="auto"/>
        </w:rPr>
        <w:t>Optional Redemption After Qualified Equity Offerings</w:t>
      </w:r>
      <w:r>
        <w:rPr>
          <w:sz w:val="20"/>
          <w:szCs w:val="20"/>
          <w:color w:val="auto"/>
        </w:rPr>
        <w:tab/>
      </w:r>
      <w:r>
        <w:rPr>
          <w:rFonts w:ascii="Times New Roman" w:cs="Times New Roman" w:eastAsia="Times New Roman" w:hAnsi="Times New Roman"/>
          <w:sz w:val="18"/>
          <w:szCs w:val="18"/>
          <w:color w:val="auto"/>
        </w:rPr>
        <w:t>At any time prior to , 2005 the issuers may, on one or more occasions redeem up to 35% of the outstanding second mortgage notes at a redemption price of %, plus accrued and unpaid interest, with the net cash proceeds of one or more qualified equity offerings of Wynn Resorts that are contributed to us, as long as, among other things:</w:t>
      </w:r>
    </w:p>
    <w:p>
      <w:pPr>
        <w:spacing w:after="0" w:line="190" w:lineRule="exact"/>
        <w:rPr>
          <w:sz w:val="20"/>
          <w:szCs w:val="20"/>
          <w:color w:val="auto"/>
        </w:rPr>
      </w:pPr>
    </w:p>
    <w:p>
      <w:pPr>
        <w:ind w:left="4800" w:right="260" w:hanging="359"/>
        <w:spacing w:after="0" w:line="275" w:lineRule="auto"/>
        <w:tabs>
          <w:tab w:leader="none" w:pos="4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the second mortgage notes within 60 days of the closing of the qualified equity offering; and</w:t>
      </w:r>
    </w:p>
    <w:p>
      <w:pPr>
        <w:spacing w:after="0" w:line="173" w:lineRule="exact"/>
        <w:rPr>
          <w:rFonts w:ascii="Times New Roman" w:cs="Times New Roman" w:eastAsia="Times New Roman" w:hAnsi="Times New Roman"/>
          <w:sz w:val="18"/>
          <w:szCs w:val="18"/>
          <w:color w:val="auto"/>
        </w:rPr>
      </w:pPr>
    </w:p>
    <w:p>
      <w:pPr>
        <w:ind w:left="4800" w:right="300" w:hanging="359"/>
        <w:spacing w:after="0" w:line="275" w:lineRule="auto"/>
        <w:tabs>
          <w:tab w:leader="none" w:pos="4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of the aggregate principal amount of second mortgage notes originally issued remains outstanding (excluding notes held by Wynn Resorts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8"/>
              </w:rPr>
              <w:t>Except in connection with a qualified equity offering of Wynn Resorts, the issuers cannot redeem the</w:t>
            </w:r>
          </w:p>
        </w:tc>
      </w:tr>
      <w:tr>
        <w:trPr>
          <w:trHeight w:val="216"/>
        </w:trPr>
        <w:tc>
          <w:tcPr>
            <w:tcW w:w="322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second mortgage notes until</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 2006. Thereafter, the issuers may redeem some or all of the second</w:t>
            </w:r>
          </w:p>
        </w:tc>
      </w:tr>
      <w:tr>
        <w:trPr>
          <w:trHeight w:val="229"/>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mortgage notes at a premium declining ratably to zero, plus accrued interest.</w:t>
            </w:r>
          </w:p>
        </w:tc>
      </w:tr>
      <w:tr>
        <w:trPr>
          <w:trHeight w:val="460"/>
        </w:trPr>
        <w:tc>
          <w:tcPr>
            <w:tcW w:w="3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r>
      <w:tr>
        <w:trPr>
          <w:trHeight w:val="430"/>
        </w:trPr>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9</w:t>
            </w:r>
          </w:p>
        </w:tc>
        <w:tc>
          <w:tcPr>
            <w:tcW w:w="5020" w:type="dxa"/>
            <w:vAlign w:val="bottom"/>
          </w:tcPr>
          <w:p>
            <w:pPr>
              <w:spacing w:after="0"/>
              <w:rPr>
                <w:sz w:val="24"/>
                <w:szCs w:val="24"/>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gridSpan w:val="3"/>
          </w:tcPr>
          <w:p>
            <w:pPr>
              <w:spacing w:after="0"/>
              <w:rPr>
                <w:sz w:val="19"/>
                <w:szCs w:val="19"/>
                <w:color w:val="auto"/>
              </w:rPr>
            </w:pPr>
          </w:p>
        </w:tc>
      </w:tr>
      <w:tr>
        <w:trPr>
          <w:trHeight w:val="105"/>
        </w:trPr>
        <w:tc>
          <w:tcPr>
            <w:tcW w:w="3220" w:type="dxa"/>
            <w:vAlign w:val="bottom"/>
          </w:tcPr>
          <w:p>
            <w:pPr>
              <w:spacing w:after="0"/>
              <w:rPr>
                <w:sz w:val="9"/>
                <w:szCs w:val="9"/>
                <w:color w:val="auto"/>
              </w:rPr>
            </w:pPr>
          </w:p>
        </w:tc>
        <w:tc>
          <w:tcPr>
            <w:tcW w:w="8200" w:type="dxa"/>
            <w:vAlign w:val="bottom"/>
            <w:gridSpan w:val="3"/>
          </w:tcPr>
          <w:p>
            <w:pPr>
              <w:spacing w:after="0"/>
              <w:rPr>
                <w:sz w:val="9"/>
                <w:szCs w:val="9"/>
                <w:color w:val="auto"/>
              </w:rPr>
            </w:pPr>
          </w:p>
        </w:tc>
      </w:tr>
      <w:tr>
        <w:trPr>
          <w:trHeight w:val="41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Redemption</w:t>
            </w:r>
          </w:p>
        </w:tc>
        <w:tc>
          <w:tcPr>
            <w:tcW w:w="8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8"/>
              </w:rPr>
              <w:t>The second mortgage notes will be subject to redemption requirements imposed by gaming laws and</w:t>
            </w:r>
          </w:p>
        </w:tc>
      </w:tr>
      <w:tr>
        <w:trPr>
          <w:trHeight w:val="230"/>
        </w:trPr>
        <w:tc>
          <w:tcPr>
            <w:tcW w:w="3220" w:type="dxa"/>
            <w:vAlign w:val="bottom"/>
            <w:shd w:val="clear" w:color="auto" w:fill="CCEEFF"/>
          </w:tcPr>
          <w:p>
            <w:pPr>
              <w:spacing w:after="0"/>
              <w:rPr>
                <w:sz w:val="20"/>
                <w:szCs w:val="20"/>
                <w:color w:val="auto"/>
              </w:rPr>
            </w:pPr>
          </w:p>
        </w:tc>
        <w:tc>
          <w:tcPr>
            <w:tcW w:w="8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regulations of gaming authorities in Nevada or other jurisdictions.</w:t>
            </w:r>
          </w:p>
        </w:tc>
      </w:tr>
      <w:tr>
        <w:trPr>
          <w:trHeight w:val="4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7"/>
              </w:rPr>
              <w:t>If a change in control occurs, we must offer to repurchase the second mortgage notes at 101% of their</w:t>
            </w:r>
          </w:p>
        </w:tc>
      </w:tr>
      <w:tr>
        <w:trPr>
          <w:trHeight w:val="229"/>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face amount, plus accrued interest.</w:t>
            </w:r>
          </w:p>
        </w:tc>
      </w:tr>
      <w:tr>
        <w:trPr>
          <w:trHeight w:val="419"/>
        </w:trPr>
        <w:tc>
          <w:tcPr>
            <w:tcW w:w="3220" w:type="dxa"/>
            <w:vAlign w:val="bottom"/>
            <w:shd w:val="clear" w:color="auto" w:fill="CCEEFF"/>
          </w:tcPr>
          <w:p>
            <w:pPr>
              <w:spacing w:after="0"/>
              <w:rPr>
                <w:sz w:val="24"/>
                <w:szCs w:val="24"/>
                <w:color w:val="auto"/>
              </w:rPr>
            </w:pPr>
          </w:p>
        </w:tc>
        <w:tc>
          <w:tcPr>
            <w:tcW w:w="8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We might not be able to pay you the required price for the second mortgage notes you present for</w:t>
            </w:r>
          </w:p>
        </w:tc>
      </w:tr>
      <w:tr>
        <w:trPr>
          <w:trHeight w:val="230"/>
        </w:trPr>
        <w:tc>
          <w:tcPr>
            <w:tcW w:w="3220" w:type="dxa"/>
            <w:vAlign w:val="bottom"/>
            <w:shd w:val="clear" w:color="auto" w:fill="CCEEFF"/>
          </w:tcPr>
          <w:p>
            <w:pPr>
              <w:spacing w:after="0"/>
              <w:rPr>
                <w:sz w:val="20"/>
                <w:szCs w:val="20"/>
                <w:color w:val="auto"/>
              </w:rPr>
            </w:pPr>
          </w:p>
        </w:tc>
        <w:tc>
          <w:tcPr>
            <w:tcW w:w="8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repurchase at the time of a change of control, because:</w:t>
            </w:r>
          </w:p>
        </w:tc>
      </w:tr>
      <w:tr>
        <w:trPr>
          <w:trHeight w:val="431"/>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 might not have enough funds at that time; or</w:t>
            </w:r>
          </w:p>
        </w:tc>
      </w:tr>
      <w:tr>
        <w:trPr>
          <w:trHeight w:val="433"/>
        </w:trPr>
        <w:tc>
          <w:tcPr>
            <w:tcW w:w="3220" w:type="dxa"/>
            <w:vAlign w:val="bottom"/>
            <w:shd w:val="clear" w:color="auto" w:fill="CCEEFF"/>
          </w:tcPr>
          <w:p>
            <w:pPr>
              <w:spacing w:after="0"/>
              <w:rPr>
                <w:sz w:val="24"/>
                <w:szCs w:val="24"/>
                <w:color w:val="auto"/>
              </w:rPr>
            </w:pP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terms of our credit facilities, FF&amp;E facility or other debt prevent us from paying.</w:t>
            </w:r>
          </w:p>
        </w:tc>
      </w:tr>
      <w:tr>
        <w:trPr>
          <w:trHeight w:val="4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Asset Sales and Events of Loss</w:t>
            </w: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If we or the restricted entities sell certain assets or experience certain events of loss following the</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final completion date of Le Rêve, we may be required to offer to repurchase the second mortgage</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notes with any remaining net cash proceeds after satisfying our senior debt and other obligations if</w:t>
            </w:r>
          </w:p>
        </w:tc>
      </w:tr>
      <w:tr>
        <w:trPr>
          <w:trHeight w:val="229"/>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we do not use the proceeds as required.</w:t>
            </w:r>
          </w:p>
        </w:tc>
      </w:tr>
      <w:tr>
        <w:trPr>
          <w:trHeight w:val="4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Indenture Provisions</w:t>
            </w:r>
          </w:p>
        </w:tc>
        <w:tc>
          <w:tcPr>
            <w:tcW w:w="82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The indenture governing the second mortgage notes will contain covenants restricting our and the</w:t>
            </w:r>
          </w:p>
        </w:tc>
      </w:tr>
      <w:tr>
        <w:trPr>
          <w:trHeight w:val="230"/>
        </w:trPr>
        <w:tc>
          <w:tcPr>
            <w:tcW w:w="32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restricted entities' ability to:</w:t>
            </w:r>
          </w:p>
        </w:tc>
        <w:tc>
          <w:tcPr>
            <w:tcW w:w="50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-2962275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-2962275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8" w:name="page9"/>
    <w:bookmarkEnd w:id="8"/>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 dividends or distributions on capital stock or repurchase capital stock;</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incur additional debt;</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make investments;</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create liens on assets to secure debt;</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 into transactions with affiliates;</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 stock of subsidiaries;</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 into sale-leaseback transactions;</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engage in other businesses;</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or consolidate with another company;</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and sell assets;</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 preferred stock;</w:t>
            </w:r>
          </w:p>
        </w:tc>
      </w:tr>
      <w:tr>
        <w:trPr>
          <w:trHeight w:val="433"/>
        </w:trPr>
        <w:tc>
          <w:tcPr>
            <w:tcW w:w="3020" w:type="dxa"/>
            <w:vAlign w:val="bottom"/>
            <w:shd w:val="clear" w:color="auto" w:fill="CCEEFF"/>
          </w:tcPr>
          <w:p>
            <w:pPr>
              <w:spacing w:after="0"/>
              <w:rPr>
                <w:sz w:val="24"/>
                <w:szCs w:val="24"/>
                <w:color w:val="auto"/>
              </w:rPr>
            </w:pP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create dividend and other payment restrictions affecting subsidiaries; and</w:t>
            </w:r>
          </w:p>
        </w:tc>
      </w:tr>
      <w:tr>
        <w:trPr>
          <w:trHeight w:val="431"/>
        </w:trPr>
        <w:tc>
          <w:tcPr>
            <w:tcW w:w="302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 restricted and unrestricted subsidiaries.</w:t>
            </w:r>
          </w:p>
        </w:tc>
      </w:tr>
      <w:tr>
        <w:trPr>
          <w:trHeight w:val="433"/>
        </w:trPr>
        <w:tc>
          <w:tcPr>
            <w:tcW w:w="3020" w:type="dxa"/>
            <w:vAlign w:val="bottom"/>
            <w:shd w:val="clear" w:color="auto" w:fill="CCEEFF"/>
          </w:tcPr>
          <w:p>
            <w:pPr>
              <w:spacing w:after="0"/>
              <w:rPr>
                <w:sz w:val="24"/>
                <w:szCs w:val="24"/>
                <w:color w:val="auto"/>
              </w:rPr>
            </w:pPr>
          </w:p>
        </w:tc>
        <w:tc>
          <w:tcPr>
            <w:tcW w:w="84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The indenture will also contain certain covenants restricting the activities of Wynn Capital.</w:t>
            </w:r>
          </w:p>
        </w:tc>
      </w:tr>
      <w:tr>
        <w:trPr>
          <w:trHeight w:val="889"/>
        </w:trPr>
        <w:tc>
          <w:tcPr>
            <w:tcW w:w="3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3020" w:type="dxa"/>
            <w:vAlign w:val="bottom"/>
            <w:tcBorders>
              <w:bottom w:val="single" w:sz="8" w:color="808080"/>
            </w:tcBorders>
          </w:tcPr>
          <w:p>
            <w:pPr>
              <w:spacing w:after="0"/>
              <w:rPr>
                <w:sz w:val="19"/>
                <w:szCs w:val="19"/>
                <w:color w:val="auto"/>
              </w:rPr>
            </w:pPr>
          </w:p>
        </w:tc>
        <w:tc>
          <w:tcPr>
            <w:tcW w:w="8400" w:type="dxa"/>
            <w:vAlign w:val="bottom"/>
            <w:tcBorders>
              <w:bottom w:val="single" w:sz="8" w:color="808080"/>
            </w:tcBorders>
            <w:gridSpan w:val="2"/>
          </w:tcPr>
          <w:p>
            <w:pPr>
              <w:spacing w:after="0"/>
              <w:rPr>
                <w:sz w:val="19"/>
                <w:szCs w:val="19"/>
                <w:color w:val="auto"/>
              </w:rPr>
            </w:pPr>
          </w:p>
        </w:tc>
      </w:tr>
      <w:tr>
        <w:trPr>
          <w:trHeight w:val="5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Disbursement Agreement</w:t>
            </w:r>
          </w:p>
        </w:tc>
        <w:tc>
          <w:tcPr>
            <w:tcW w:w="84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8"/>
              </w:rPr>
              <w:t>We will enter into a disbursement agreement with the trustee, representatives of the lenders under the</w:t>
            </w:r>
          </w:p>
        </w:tc>
      </w:tr>
      <w:tr>
        <w:trPr>
          <w:trHeight w:val="216"/>
        </w:trPr>
        <w:tc>
          <w:tcPr>
            <w:tcW w:w="3020" w:type="dxa"/>
            <w:vAlign w:val="bottom"/>
          </w:tcPr>
          <w:p>
            <w:pPr>
              <w:spacing w:after="0"/>
              <w:rPr>
                <w:sz w:val="18"/>
                <w:szCs w:val="18"/>
                <w:color w:val="auto"/>
              </w:rPr>
            </w:pPr>
          </w:p>
        </w:tc>
        <w:tc>
          <w:tcPr>
            <w:tcW w:w="84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credit facilities and the FF&amp;E facility and a disbursement agent that will establish the conditions to</w:t>
            </w:r>
          </w:p>
        </w:tc>
      </w:tr>
      <w:tr>
        <w:trPr>
          <w:trHeight w:val="228"/>
        </w:trPr>
        <w:tc>
          <w:tcPr>
            <w:tcW w:w="3020" w:type="dxa"/>
            <w:vAlign w:val="bottom"/>
          </w:tcPr>
          <w:p>
            <w:pPr>
              <w:spacing w:after="0"/>
              <w:rPr>
                <w:sz w:val="19"/>
                <w:szCs w:val="19"/>
                <w:color w:val="auto"/>
              </w:rPr>
            </w:pPr>
          </w:p>
        </w:tc>
        <w:tc>
          <w:tcPr>
            <w:tcW w:w="84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and sequencing of funding of, the equity contributions held by us from Wynn Resorts, borrowings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-628650</wp:posOffset>
            </wp:positionV>
            <wp:extent cx="7250430" cy="904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904875"/>
                    </a:xfrm>
                    <a:prstGeom prst="rect">
                      <a:avLst/>
                    </a:prstGeom>
                    <a:noFill/>
                  </pic:spPr>
                </pic:pic>
              </a:graphicData>
            </a:graphic>
          </wp:anchor>
        </w:drawing>
      </w:r>
    </w:p>
    <w:p>
      <w:pPr>
        <w:ind w:left="4240" w:right="60"/>
        <w:spacing w:after="0" w:line="261" w:lineRule="auto"/>
        <w:rPr>
          <w:sz w:val="20"/>
          <w:szCs w:val="20"/>
          <w:color w:val="auto"/>
        </w:rPr>
      </w:pPr>
      <w:r>
        <w:rPr>
          <w:rFonts w:ascii="Times New Roman" w:cs="Times New Roman" w:eastAsia="Times New Roman" w:hAnsi="Times New Roman"/>
          <w:sz w:val="18"/>
          <w:szCs w:val="18"/>
          <w:color w:val="auto"/>
        </w:rPr>
        <w:t>under the credit facilities and FF&amp;E facility and disbursements of funds from the account holding the proceeds of the second mortgage notes.</w:t>
      </w:r>
    </w:p>
    <w:p>
      <w:pPr>
        <w:spacing w:after="0" w:line="186" w:lineRule="exact"/>
        <w:rPr>
          <w:sz w:val="20"/>
          <w:szCs w:val="20"/>
          <w:color w:val="auto"/>
        </w:rPr>
      </w:pPr>
    </w:p>
    <w:p>
      <w:pPr>
        <w:ind w:left="4240" w:right="140"/>
        <w:spacing w:after="0" w:line="255" w:lineRule="auto"/>
        <w:rPr>
          <w:sz w:val="20"/>
          <w:szCs w:val="20"/>
          <w:color w:val="auto"/>
        </w:rPr>
      </w:pPr>
      <w:r>
        <w:rPr>
          <w:rFonts w:ascii="Times New Roman" w:cs="Times New Roman" w:eastAsia="Times New Roman" w:hAnsi="Times New Roman"/>
          <w:sz w:val="18"/>
          <w:szCs w:val="18"/>
          <w:color w:val="auto"/>
        </w:rPr>
        <w:t>Under the disbursement agreement, it will be a condition to disbursement of the proceeds of this offering that we first use a substantial portion of the cash equity contributions, other than the equity contributions that will be segregated into the completion guarantee account and the liquidity reserve account, to fund construction of the Le Rêve project. In turn, it is a condition to disbursement of borrowings under the credit facilities and the FF&amp;E facility that we first use the proceeds of this offering before we are permitted to borrow under those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23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73" w:lineRule="exact"/>
        <w:rPr>
          <w:sz w:val="20"/>
          <w:szCs w:val="20"/>
          <w:color w:val="auto"/>
        </w:rPr>
      </w:pPr>
    </w:p>
    <w:p>
      <w:pPr>
        <w:ind w:left="4240"/>
        <w:spacing w:after="0" w:line="256" w:lineRule="auto"/>
        <w:rPr>
          <w:sz w:val="20"/>
          <w:szCs w:val="20"/>
          <w:color w:val="auto"/>
        </w:rPr>
      </w:pPr>
      <w:r>
        <w:rPr>
          <w:rFonts w:ascii="Times New Roman" w:cs="Times New Roman" w:eastAsia="Times New Roman" w:hAnsi="Times New Roman"/>
          <w:sz w:val="18"/>
          <w:szCs w:val="18"/>
          <w:color w:val="auto"/>
        </w:rPr>
        <w:t>The disbursement agreement will also set forth procedures for approving construction change orders and amendments to the construction budget and schedule. Inspection &amp; Valuation International, Inc. will act as independent construction consultant on behalf of the lenders under the disbursement agreement and will be required to approve certain portions of each request by Wynn Las Vegas for the disbursement of funds.</w:t>
      </w:r>
    </w:p>
    <w:p>
      <w:pPr>
        <w:sectPr>
          <w:pgSz w:w="11900" w:h="16898" w:orient="portrait"/>
          <w:cols w:equalWidth="0" w:num="1">
            <w:col w:w="11420"/>
          </w:cols>
          <w:pgMar w:left="240" w:top="125" w:right="239" w:bottom="0" w:gutter="0" w:footer="0" w:header="0"/>
        </w:sectPr>
      </w:pPr>
    </w:p>
    <w:p>
      <w:pPr>
        <w:spacing w:after="0" w:line="19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Intercreditor Agreement with Credit Agreement Lenders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Representatives of the lenders under the credit facilities and the trustee will enter into a project lenders intercreditor agreement that will govern the relations between the holders of the second mortgage notes and the lenders under the credit facilities. The project lenders intercreditor agreement will reflect the fact that the lenders under the credit facilities will have a first priority security interest in substantially all of the assets of Wynn Las Vegas and the restricted entities (other than certain furnitures, fixtures and equipment) and the second mortgage note holders will have a second priority security interest in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95" w:lineRule="exact"/>
        <w:rPr>
          <w:sz w:val="20"/>
          <w:szCs w:val="20"/>
          <w:color w:val="auto"/>
        </w:rPr>
      </w:pPr>
    </w:p>
    <w:p>
      <w:pPr>
        <w:sectPr>
          <w:pgSz w:w="11900" w:h="16898" w:orient="portrait"/>
          <w:cols w:equalWidth="0" w:num="2">
            <w:col w:w="3520" w:space="720"/>
            <w:col w:w="7180"/>
          </w:cols>
          <w:pgMar w:left="240" w:top="125" w:right="239" w:bottom="0" w:gutter="0" w:footer="0" w:header="0"/>
          <w:type w:val="continuous"/>
        </w:sectPr>
      </w:pPr>
    </w:p>
    <w:p>
      <w:pPr>
        <w:ind w:left="4240" w:right="160"/>
        <w:spacing w:after="0" w:line="275" w:lineRule="auto"/>
        <w:rPr>
          <w:sz w:val="20"/>
          <w:szCs w:val="20"/>
          <w:color w:val="auto"/>
        </w:rPr>
      </w:pPr>
      <w:r>
        <w:rPr>
          <w:rFonts w:ascii="Times New Roman" w:cs="Times New Roman" w:eastAsia="Times New Roman" w:hAnsi="Times New Roman"/>
          <w:sz w:val="18"/>
          <w:szCs w:val="18"/>
          <w:color w:val="auto"/>
        </w:rPr>
        <w:t>The project lenders intercreditor agreement will provide that, until the indebtedness under the credit facilities has been repaid in full:</w:t>
      </w:r>
    </w:p>
    <w:p>
      <w:pPr>
        <w:spacing w:after="0" w:line="174" w:lineRule="exact"/>
        <w:rPr>
          <w:sz w:val="20"/>
          <w:szCs w:val="20"/>
          <w:color w:val="auto"/>
        </w:rPr>
      </w:pPr>
    </w:p>
    <w:p>
      <w:pPr>
        <w:ind w:left="4800" w:hanging="359"/>
        <w:spacing w:after="0" w:line="301" w:lineRule="auto"/>
        <w:tabs>
          <w:tab w:leader="none" w:pos="4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lenders under the credit facilities will have the exclusive right to exercise remedies against the collateral securing the second mortgage notes and the credit facilities, and to determine the circumstances and manner in which that collateral may be disposed of, subject to the rights of the lenders under the FF&amp;E facility with respect to the FF&amp;E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right="60" w:hanging="359"/>
        <w:spacing w:after="0" w:line="275" w:lineRule="auto"/>
        <w:tabs>
          <w:tab w:leader="none" w:pos="4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under the credit facilities can amend various terms of, and waive defaults under, the security documents, without the consent of the second mortgage noteholders, and</w:t>
      </w:r>
    </w:p>
    <w:p>
      <w:pPr>
        <w:sectPr>
          <w:pgSz w:w="11900" w:h="16898" w:orient="portrait"/>
          <w:cols w:equalWidth="0" w:num="1">
            <w:col w:w="11420"/>
          </w:cols>
          <w:pgMar w:left="240" w:top="125" w:right="239" w:bottom="0" w:gutter="0" w:footer="0" w:header="0"/>
          <w:type w:val="continuous"/>
        </w:sectPr>
      </w:pPr>
    </w:p>
    <w:bookmarkStart w:id="9" w:name="page10"/>
    <w:bookmarkEnd w:id="9"/>
    <w:p>
      <w:pPr>
        <w:spacing w:after="0" w:line="62" w:lineRule="exact"/>
        <w:rPr>
          <w:sz w:val="20"/>
          <w:szCs w:val="20"/>
          <w:color w:val="auto"/>
        </w:rPr>
      </w:pPr>
    </w:p>
    <w:p>
      <w:pPr>
        <w:ind w:left="4800" w:right="200" w:hanging="359"/>
        <w:spacing w:after="0" w:line="262" w:lineRule="auto"/>
        <w:tabs>
          <w:tab w:leader="none" w:pos="4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under the credit facilities has the right to amend the disbursement agreement or to waive any defaults, or conditions to funding, under the disbursement agreement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23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66" w:lineRule="exact"/>
        <w:rPr>
          <w:sz w:val="20"/>
          <w:szCs w:val="20"/>
          <w:color w:val="auto"/>
        </w:rPr>
      </w:pPr>
    </w:p>
    <w:p>
      <w:pPr>
        <w:ind w:left="4240" w:right="20"/>
        <w:spacing w:after="0" w:line="256" w:lineRule="auto"/>
        <w:rPr>
          <w:sz w:val="20"/>
          <w:szCs w:val="20"/>
          <w:color w:val="auto"/>
        </w:rPr>
      </w:pPr>
      <w:r>
        <w:rPr>
          <w:rFonts w:ascii="Times New Roman" w:cs="Times New Roman" w:eastAsia="Times New Roman" w:hAnsi="Times New Roman"/>
          <w:sz w:val="18"/>
          <w:szCs w:val="18"/>
          <w:color w:val="auto"/>
        </w:rPr>
        <w:t>Under the project lenders intercreditor agreement, the note holders cannot vote to accept a plan of reorganization or other restructuring plan, unless lenders holding two-thirds of the outstanding loans under the credit facilities vote in favor of that plan. However, the note holders are not required to vote in favor of a plan that the lenders under the credit facilities approve, and are free to challenge any such plan on fundamental fairness and other grounds.</w:t>
      </w:r>
    </w:p>
    <w:p>
      <w:pPr>
        <w:spacing w:after="0" w:line="193" w:lineRule="exact"/>
        <w:rPr>
          <w:sz w:val="20"/>
          <w:szCs w:val="20"/>
          <w:color w:val="auto"/>
        </w:rPr>
      </w:pPr>
    </w:p>
    <w:p>
      <w:pPr>
        <w:ind w:left="4240" w:right="40"/>
        <w:spacing w:after="0" w:line="256" w:lineRule="auto"/>
        <w:rPr>
          <w:sz w:val="20"/>
          <w:szCs w:val="20"/>
          <w:color w:val="auto"/>
        </w:rPr>
      </w:pPr>
      <w:r>
        <w:rPr>
          <w:rFonts w:ascii="Times New Roman" w:cs="Times New Roman" w:eastAsia="Times New Roman" w:hAnsi="Times New Roman"/>
          <w:sz w:val="18"/>
          <w:szCs w:val="18"/>
          <w:color w:val="auto"/>
        </w:rPr>
        <w:t>The project lenders intercreditor agreement will limit the exercise of remedies by the second mortgage note holders and the lenders against their respective collateral and may prevent timely payment on the second mortgage notes if a default has occurred. Under the project lenders intercreditor agreement, the trustee will have the exclusive right to exercise, or not exercise, remedies against the net proceeds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23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p>
      <w:pPr>
        <w:spacing w:after="0" w:line="19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representative of the lenders under the credit facilities and the trustee for the second mortgage notes, on the one hand, and the representative of the lenders under the FF&amp;E facility, on the other hand, will enter into an FF&amp;E intercreditor agreement that will govern the relations between the credit facilities lenders and the second mortgage note holders, on the one hand, and the lenders under the FF&amp;E facility on the other hand.</w:t>
      </w:r>
    </w:p>
    <w:p>
      <w:pPr>
        <w:spacing w:after="0" w:line="193" w:lineRule="exact"/>
        <w:rPr>
          <w:sz w:val="20"/>
          <w:szCs w:val="20"/>
          <w:color w:val="auto"/>
        </w:rPr>
      </w:pPr>
    </w:p>
    <w:p>
      <w:pPr>
        <w:sectPr>
          <w:pgSz w:w="11900" w:h="16900" w:orient="portrait"/>
          <w:cols w:equalWidth="0" w:num="2">
            <w:col w:w="3520" w:space="720"/>
            <w:col w:w="7180"/>
          </w:cols>
          <w:pgMar w:left="240" w:top="341" w:right="239" w:bottom="0" w:gutter="0" w:footer="0" w:header="0"/>
          <w:type w:val="continuous"/>
        </w:sectPr>
      </w:pPr>
    </w:p>
    <w:p>
      <w:pPr>
        <w:ind w:left="4240" w:right="200"/>
        <w:spacing w:after="0" w:line="256" w:lineRule="auto"/>
        <w:rPr>
          <w:sz w:val="20"/>
          <w:szCs w:val="20"/>
          <w:color w:val="auto"/>
        </w:rPr>
      </w:pPr>
      <w:r>
        <w:rPr>
          <w:rFonts w:ascii="Times New Roman" w:cs="Times New Roman" w:eastAsia="Times New Roman" w:hAnsi="Times New Roman"/>
          <w:sz w:val="18"/>
          <w:szCs w:val="18"/>
          <w:color w:val="auto"/>
        </w:rPr>
        <w:t>The FF&amp;E intercreditor agreement will reflect the fact that the lenders under the FF&amp;E facility will have a first priority security interest in the furniture, fixtures and equipment for Le Rêve that is financed by draws on the FF&amp;E facility, the lenders under the credit facilities will have a second priority security interest in such collateral and the second mortgage note holders will have a third priority security interest in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3360" w:type="dxa"/>
            <w:vAlign w:val="bottom"/>
            <w:shd w:val="clear" w:color="auto" w:fill="CCEEFF"/>
          </w:tcPr>
          <w:p>
            <w:pPr>
              <w:spacing w:after="0"/>
              <w:rPr>
                <w:sz w:val="24"/>
                <w:szCs w:val="24"/>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The lenders under the FF&amp;E facility will have, until repayment in full of the FF&amp;E facility, the</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exclusive right to force a sale of any of the FF&amp;E collateral or otherwise exercise any of the remedies</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available to a secured creditor in connection with the FF&amp;E collateral. The FF&amp;E intercreditor</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agreement will also limit the exercise of remedies by the lenders under the credit facilities and the</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second mortgage note holders against the FF&amp;E collateral and may prevent timely payment on the</w:t>
            </w:r>
          </w:p>
        </w:tc>
      </w:tr>
      <w:tr>
        <w:trPr>
          <w:trHeight w:val="230"/>
        </w:trPr>
        <w:tc>
          <w:tcPr>
            <w:tcW w:w="3360" w:type="dxa"/>
            <w:vAlign w:val="bottom"/>
            <w:shd w:val="clear" w:color="auto" w:fill="CCEEFF"/>
          </w:tcPr>
          <w:p>
            <w:pPr>
              <w:spacing w:after="0"/>
              <w:rPr>
                <w:sz w:val="20"/>
                <w:szCs w:val="20"/>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second mortgage notes if a default has occurred.</w:t>
            </w:r>
          </w:p>
        </w:tc>
      </w:tr>
      <w:tr>
        <w:trPr>
          <w:trHeight w:val="4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$50 Million Completion Guarantee</w:t>
            </w: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One of our wholly owned unrestricted subsidiaries, Wynn Completion Guarantor LLC, a special</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purpose entity sometimes referred to as the completion guarantor, will be providing a $50.0 million</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completion guarantee in favor of the trustee (for the benefit of the holders of the second mortgage</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notes) and the administrative agent (as the representative of the lenders under the credit facilities).</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completion guarantee will, subject to a $50.0 million cap, guarantee completion in full of the</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construction and opening of Le Rêve, including all furniture, fixtures and equipment, the parking</w:t>
            </w:r>
          </w:p>
        </w:tc>
      </w:tr>
      <w:tr>
        <w:trPr>
          <w:trHeight w:val="229"/>
        </w:trPr>
        <w:tc>
          <w:tcPr>
            <w:tcW w:w="3360" w:type="dxa"/>
            <w:vAlign w:val="bottom"/>
          </w:tcPr>
          <w:p>
            <w:pPr>
              <w:spacing w:after="0"/>
              <w:rPr>
                <w:sz w:val="19"/>
                <w:szCs w:val="19"/>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structure, the golf course and the availability of initial working capital.</w:t>
            </w:r>
          </w:p>
        </w:tc>
      </w:tr>
      <w:tr>
        <w:trPr>
          <w:trHeight w:val="419"/>
        </w:trPr>
        <w:tc>
          <w:tcPr>
            <w:tcW w:w="3360" w:type="dxa"/>
            <w:vAlign w:val="bottom"/>
            <w:shd w:val="clear" w:color="auto" w:fill="CCEEFF"/>
          </w:tcPr>
          <w:p>
            <w:pPr>
              <w:spacing w:after="0"/>
              <w:rPr>
                <w:sz w:val="24"/>
                <w:szCs w:val="24"/>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Wynn Resorts will make a capital contribution concurrently with the closing of its initial public</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offering of $50.0 million of the net proceeds of that offering to the completion guarantor to support</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the completion guarantor's obligations under the completion guarantee. These funds will be deposited</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into a collateral account to be held in cash and/or certain permitted securities, and pledged to the</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lenders under the credit facilities on a first priority basis and the holders of the second mortgage notes</w:t>
            </w:r>
          </w:p>
        </w:tc>
      </w:tr>
      <w:tr>
        <w:trPr>
          <w:trHeight w:val="230"/>
        </w:trPr>
        <w:tc>
          <w:tcPr>
            <w:tcW w:w="3360" w:type="dxa"/>
            <w:vAlign w:val="bottom"/>
            <w:shd w:val="clear" w:color="auto" w:fill="CCEEFF"/>
          </w:tcPr>
          <w:p>
            <w:pPr>
              <w:spacing w:after="0"/>
              <w:rPr>
                <w:sz w:val="20"/>
                <w:szCs w:val="20"/>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on a second priority basis.</w:t>
            </w:r>
          </w:p>
        </w:tc>
      </w:tr>
      <w:tr>
        <w:trPr>
          <w:trHeight w:val="418"/>
        </w:trPr>
        <w:tc>
          <w:tcPr>
            <w:tcW w:w="3360" w:type="dxa"/>
            <w:vAlign w:val="bottom"/>
          </w:tcPr>
          <w:p>
            <w:pPr>
              <w:spacing w:after="0"/>
              <w:rPr>
                <w:sz w:val="24"/>
                <w:szCs w:val="24"/>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Pursuant to the disbursement agreement, funds in the completion guarantee account will be available</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to us on a gradual basis to apply to the costs of the project, including for cost overruns, only after fifty</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percent of the Le Rêve construction work has been completed. Upon completion and opening of Le</w:t>
            </w:r>
          </w:p>
        </w:tc>
      </w:tr>
      <w:tr>
        <w:trPr>
          <w:trHeight w:val="216"/>
        </w:trPr>
        <w:tc>
          <w:tcPr>
            <w:tcW w:w="336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Rêve any amounts remaining in the completion guarantee account may be released to us, and at our</w:t>
            </w:r>
          </w:p>
        </w:tc>
      </w:tr>
      <w:tr>
        <w:trPr>
          <w:trHeight w:val="229"/>
        </w:trPr>
        <w:tc>
          <w:tcPr>
            <w:tcW w:w="3360" w:type="dxa"/>
            <w:vAlign w:val="bottom"/>
          </w:tcPr>
          <w:p>
            <w:pPr>
              <w:spacing w:after="0"/>
              <w:rPr>
                <w:sz w:val="19"/>
                <w:szCs w:val="19"/>
                <w:color w:val="auto"/>
              </w:rPr>
            </w:pPr>
          </w:p>
        </w:tc>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direction to our parent, Wynn Resorts.</w:t>
            </w:r>
          </w:p>
        </w:tc>
      </w:tr>
      <w:tr>
        <w:trPr>
          <w:trHeight w:val="4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Liquidity Reserve Account</w:t>
            </w: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Wynn Resorts will, concurrently with the closing of its initial public offering, make a capital</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contribution to us in an amount equal to $30.0 million. We will deposit these funds in the liquidity</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reserve account to be held in cash and/or permitted securities. The lenders under the credit facilities</w:t>
            </w:r>
          </w:p>
        </w:tc>
      </w:tr>
      <w:tr>
        <w:trPr>
          <w:trHeight w:val="216"/>
        </w:trPr>
        <w:tc>
          <w:tcPr>
            <w:tcW w:w="3360" w:type="dxa"/>
            <w:vAlign w:val="bottom"/>
            <w:shd w:val="clear" w:color="auto" w:fill="CCEEFF"/>
          </w:tcPr>
          <w:p>
            <w:pPr>
              <w:spacing w:after="0"/>
              <w:rPr>
                <w:sz w:val="18"/>
                <w:szCs w:val="18"/>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8"/>
              </w:rPr>
              <w:t>will have a first priority lien on this account and the holders of the second mortgage notes will have a</w:t>
            </w:r>
          </w:p>
        </w:tc>
      </w:tr>
      <w:tr>
        <w:trPr>
          <w:trHeight w:val="230"/>
        </w:trPr>
        <w:tc>
          <w:tcPr>
            <w:tcW w:w="3360" w:type="dxa"/>
            <w:vAlign w:val="bottom"/>
            <w:shd w:val="clear" w:color="auto" w:fill="CCEEFF"/>
          </w:tcPr>
          <w:p>
            <w:pPr>
              <w:spacing w:after="0"/>
              <w:rPr>
                <w:sz w:val="20"/>
                <w:szCs w:val="20"/>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second priority lien on this account.</w:t>
            </w:r>
          </w:p>
        </w:tc>
      </w:tr>
      <w:tr>
        <w:trPr>
          <w:trHeight w:val="889"/>
        </w:trPr>
        <w:tc>
          <w:tcPr>
            <w:tcW w:w="3360" w:type="dxa"/>
            <w:vAlign w:val="bottom"/>
          </w:tcPr>
          <w:p>
            <w:pPr>
              <w:spacing w:after="0"/>
              <w:rPr>
                <w:sz w:val="24"/>
                <w:szCs w:val="24"/>
                <w:color w:val="auto"/>
              </w:rPr>
            </w:pPr>
          </w:p>
        </w:tc>
        <w:tc>
          <w:tcPr>
            <w:tcW w:w="80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3360" w:type="dxa"/>
            <w:vAlign w:val="bottom"/>
            <w:tcBorders>
              <w:bottom w:val="single" w:sz="8" w:color="808080"/>
            </w:tcBorders>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r>
      <w:tr>
        <w:trPr>
          <w:trHeight w:val="105"/>
        </w:trPr>
        <w:tc>
          <w:tcPr>
            <w:tcW w:w="3360" w:type="dxa"/>
            <w:vAlign w:val="bottom"/>
          </w:tcPr>
          <w:p>
            <w:pPr>
              <w:spacing w:after="0"/>
              <w:rPr>
                <w:sz w:val="9"/>
                <w:szCs w:val="9"/>
                <w:color w:val="auto"/>
              </w:rPr>
            </w:pPr>
          </w:p>
        </w:tc>
        <w:tc>
          <w:tcPr>
            <w:tcW w:w="8060" w:type="dxa"/>
            <w:vAlign w:val="bottom"/>
          </w:tcPr>
          <w:p>
            <w:pPr>
              <w:spacing w:after="0"/>
              <w:rPr>
                <w:sz w:val="9"/>
                <w:szCs w:val="9"/>
                <w:color w:val="auto"/>
              </w:rPr>
            </w:pPr>
          </w:p>
        </w:tc>
      </w:tr>
      <w:tr>
        <w:trPr>
          <w:trHeight w:val="418"/>
        </w:trPr>
        <w:tc>
          <w:tcPr>
            <w:tcW w:w="3360" w:type="dxa"/>
            <w:vAlign w:val="bottom"/>
            <w:shd w:val="clear" w:color="auto" w:fill="CCEEFF"/>
          </w:tcPr>
          <w:p>
            <w:pPr>
              <w:spacing w:after="0"/>
              <w:rPr>
                <w:sz w:val="24"/>
                <w:szCs w:val="24"/>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Amounts in the liquidity reserve account will be available to us on a gradual basis to apply to the</w:t>
            </w:r>
          </w:p>
        </w:tc>
      </w:tr>
      <w:tr>
        <w:trPr>
          <w:trHeight w:val="228"/>
        </w:trPr>
        <w:tc>
          <w:tcPr>
            <w:tcW w:w="3360" w:type="dxa"/>
            <w:vAlign w:val="bottom"/>
            <w:shd w:val="clear" w:color="auto" w:fill="CCEEFF"/>
          </w:tcPr>
          <w:p>
            <w:pPr>
              <w:spacing w:after="0"/>
              <w:rPr>
                <w:sz w:val="19"/>
                <w:szCs w:val="19"/>
                <w:color w:val="auto"/>
              </w:rPr>
            </w:pPr>
          </w:p>
        </w:tc>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costs of the project, including cost overruns, only after fifty percent of the construction work has been</w:t>
            </w:r>
          </w:p>
        </w:tc>
      </w:tr>
      <w:tr>
        <w:trPr>
          <w:trHeight w:val="32"/>
        </w:trPr>
        <w:tc>
          <w:tcPr>
            <w:tcW w:w="336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-511175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-511175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Limitations on Exercise of Remedies Against Completion Guarantee Account and Liquidity Reserve Account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completed and only after amounts in the completion guarantee account have been exhausted. Following completion of Le Rêve, funds remaining in the liquidity reserve account will be available to meet our debt service needs. Once we have met prescribed cash flow tests for a period of four consecutive calendar quarters after the opening of Le Rêve, any remaining funds will be used to reduce the outstanding balance on our revolving credit facility but without reducing the revolving credit facility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-828040</wp:posOffset>
            </wp:positionV>
            <wp:extent cx="7246620" cy="823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an event of default occurs while amounts are outstanding under the credit facilities, the holders of the second mortgage notes will have limited or no recourse to the funds in the completion guarantee account and the liquidity reserve account because the lenders under the credit facilities would be entitled to payment in full of their obligations before the holders of the second mortgage notes are entitled to payments from any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-5080</wp:posOffset>
            </wp:positionV>
            <wp:extent cx="724662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73"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We intend to use the net proceeds from this offering, along with the borrowings under the credit facilities and FF&amp;E facility and equity contributions from Wynn Resorts, to design, construct, develop, equip and open Le Rêve.</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proceeds of this offering will be deposited in a secured account and will be invested in highly rated securities at our discretion pending disbursement under the disbursement agreement. The trustee under the indenture governing the second mortgage notes, for the benefit of the holders of the second mortgage notes, will have a first priority security interest in the net proceeds held in the secured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-5080</wp:posOffset>
            </wp:positionV>
            <wp:extent cx="72466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60" w:orient="portrait"/>
          <w:cols w:equalWidth="0" w:num="2">
            <w:col w:w="3840" w:space="400"/>
            <w:col w:w="7180"/>
          </w:cols>
          <w:pgMar w:left="240" w:top="125" w:right="239" w:bottom="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3640" w:type="dxa"/>
            <w:vAlign w:val="bottom"/>
            <w:shd w:val="clear" w:color="auto" w:fill="CCEEFF"/>
          </w:tcPr>
          <w:p>
            <w:pPr>
              <w:spacing w:after="0"/>
              <w:rPr>
                <w:sz w:val="24"/>
                <w:szCs w:val="24"/>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The disbursement agreement will require, among other conditions, that a substantial portion of the</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cash equity contribution made by Wynn Resorts be expended on the Le Rêve project before the</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proceeds of this offering are released from the secured account and applied to the project. The</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remaining cash equity contribution will be held in the completion guarantee account and the liquidity</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reserve account. None of the proceeds of this offering of second mortgage notes will be used to fund</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the development or construction of Wynn Macau's casino(s) in Macau. For more information</w:t>
            </w:r>
          </w:p>
        </w:tc>
      </w:tr>
      <w:tr>
        <w:trPr>
          <w:trHeight w:val="216"/>
        </w:trPr>
        <w:tc>
          <w:tcPr>
            <w:tcW w:w="3640" w:type="dxa"/>
            <w:vAlign w:val="bottom"/>
            <w:shd w:val="clear" w:color="auto" w:fill="CCEEFF"/>
          </w:tcPr>
          <w:p>
            <w:pPr>
              <w:spacing w:after="0"/>
              <w:rPr>
                <w:sz w:val="18"/>
                <w:szCs w:val="18"/>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regarding the sources and uses of the financing for the construction of Le Rêve, please see "Use of</w:t>
            </w:r>
          </w:p>
        </w:tc>
      </w:tr>
      <w:tr>
        <w:trPr>
          <w:trHeight w:val="230"/>
        </w:trPr>
        <w:tc>
          <w:tcPr>
            <w:tcW w:w="3640" w:type="dxa"/>
            <w:vAlign w:val="bottom"/>
            <w:shd w:val="clear" w:color="auto" w:fill="CCEEFF"/>
          </w:tcPr>
          <w:p>
            <w:pPr>
              <w:spacing w:after="0"/>
              <w:rPr>
                <w:sz w:val="20"/>
                <w:szCs w:val="20"/>
                <w:color w:val="auto"/>
              </w:rPr>
            </w:pPr>
          </w:p>
        </w:tc>
        <w:tc>
          <w:tcPr>
            <w:tcW w:w="7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Proceeds".</w:t>
            </w:r>
          </w:p>
        </w:tc>
      </w:tr>
      <w:tr>
        <w:trPr>
          <w:trHeight w:val="41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Expression of Interest by Stephen A. Wynn</w:t>
            </w: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Stephen A. Wynn, principal stockholder and Chairman of the Board and Chief Executive Officer of</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Wynn Resorts, has expressed an interest in purchasing second mortgage notes in an aggregate</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principal amount currently anticipated to be $   million directly from us at the price being offered to</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public. The underwriters will not receive any underwriting discounts or commissions on any</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second mortgage notes purchased by Mr. Wynn. Mr. Wynn will not have any voting rights with</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respect to the second mortgages notes that he owns. Wynn Las Vegas and Wynn Capital have agreed</w:t>
            </w:r>
          </w:p>
        </w:tc>
      </w:tr>
      <w:tr>
        <w:trPr>
          <w:trHeight w:val="216"/>
        </w:trPr>
        <w:tc>
          <w:tcPr>
            <w:tcW w:w="3640" w:type="dxa"/>
            <w:vAlign w:val="bottom"/>
          </w:tcPr>
          <w:p>
            <w:pPr>
              <w:spacing w:after="0"/>
              <w:rPr>
                <w:sz w:val="18"/>
                <w:szCs w:val="18"/>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enter into a registration rights agreement with Mr. Wynn covering the resale of any second</w:t>
            </w:r>
          </w:p>
        </w:tc>
      </w:tr>
      <w:tr>
        <w:trPr>
          <w:trHeight w:val="228"/>
        </w:trPr>
        <w:tc>
          <w:tcPr>
            <w:tcW w:w="3640" w:type="dxa"/>
            <w:vAlign w:val="bottom"/>
          </w:tcPr>
          <w:p>
            <w:pPr>
              <w:spacing w:after="0"/>
              <w:rPr>
                <w:sz w:val="19"/>
                <w:szCs w:val="19"/>
                <w:color w:val="auto"/>
              </w:rPr>
            </w:pPr>
          </w:p>
        </w:tc>
        <w:tc>
          <w:tcPr>
            <w:tcW w:w="7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mortgage notes that he owns, including those purchased in this offering.</w:t>
            </w:r>
          </w:p>
        </w:tc>
      </w:tr>
    </w:tbl>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in the second mortgage notes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conditions to the funding of the remaining components of the financing for the Le Rêve project;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costs of Le Rêve are estimates only and actual development costs may be higher than expected;</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maximum price under the Marnell Corrao construction contract may increase, and we would be responsible for the amount of any increase;</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leveraged and future cash flow may not be sufficient to meet our obligations, including the obligations under the second mortgage notes, and we might have difficulty obtaining more financing;</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operating history;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Stephen A. Wynn could significantly harm our business;</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securing the indebtedness under the credit facilities and FF&amp;E facility generally will be senior to the liens securing the second mortgage notes will have a junior lien on a substantial portion of our assets, and will have no liens on certain asset;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intercreditor agreements will limit the ability of the holders of the second mortgage notes to control decisions regarding the collateral and to take enforcement action;</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60" w:orient="portrait"/>
          <w:cols w:equalWidth="0" w:num="1">
            <w:col w:w="11420"/>
          </w:cols>
          <w:pgMar w:left="240" w:top="125" w:right="239" w:bottom="0" w:gutter="0" w:footer="0" w:header="0"/>
          <w:type w:val="continuous"/>
        </w:sectPr>
      </w:pPr>
    </w:p>
    <w:bookmarkStart w:id="11" w:name="page12"/>
    <w:bookmarkEnd w:id="11"/>
    <w:p>
      <w:pPr>
        <w:ind w:left="1080"/>
        <w:spacing w:after="0"/>
        <w:rPr>
          <w:sz w:val="20"/>
          <w:szCs w:val="20"/>
          <w:color w:val="auto"/>
        </w:rPr>
      </w:pPr>
      <w:r>
        <w:rPr>
          <w:rFonts w:ascii="Times New Roman" w:cs="Times New Roman" w:eastAsia="Times New Roman" w:hAnsi="Times New Roman"/>
          <w:sz w:val="18"/>
          <w:szCs w:val="18"/>
          <w:color w:val="auto"/>
        </w:rPr>
        <w:t>Gaming laws will impose additional restrictions on foreclosure;</w:t>
      </w:r>
    </w:p>
    <w:p>
      <w:pPr>
        <w:spacing w:after="0" w:line="239" w:lineRule="exact"/>
        <w:rPr>
          <w:sz w:val="20"/>
          <w:szCs w:val="20"/>
          <w:color w:val="auto"/>
        </w:rPr>
      </w:pPr>
    </w:p>
    <w:p>
      <w:pPr>
        <w:ind w:left="1080" w:right="12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second mortgage notes may lose their liens on the collateral if the lenders under the credit facilities or the lenders under FF&amp;E facility complete a foreclosure on their liens first;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laws may significantly impair your rights to repossess and dispose of collateral securing the second mortgage notes; and</w:t>
      </w:r>
    </w:p>
    <w:p>
      <w:pPr>
        <w:spacing w:after="0" w:line="238"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7" w:lineRule="exact"/>
        <w:rPr>
          <w:sz w:val="20"/>
          <w:szCs w:val="20"/>
          <w:color w:val="auto"/>
        </w:rPr>
      </w:pPr>
    </w:p>
    <w:p>
      <w:pPr>
        <w:ind w:right="20" w:firstLine="348"/>
        <w:spacing w:after="0" w:line="296" w:lineRule="auto"/>
        <w:rPr>
          <w:sz w:val="20"/>
          <w:szCs w:val="20"/>
          <w:color w:val="auto"/>
        </w:rPr>
      </w:pPr>
      <w:r>
        <w:rPr>
          <w:rFonts w:ascii="Times New Roman" w:cs="Times New Roman" w:eastAsia="Times New Roman" w:hAnsi="Times New Roman"/>
          <w:sz w:val="16"/>
          <w:szCs w:val="16"/>
          <w:color w:val="auto"/>
        </w:rPr>
        <w:t>This prospectus does not constitute an offer to sell, or a solicitation of an offer to buy, the notes in any jurisdiction in which it is unlawful to make such offer or solicitation. The law of certain jurisdictions restricts distribution of this prospectus and the offer and sale of the notes. Persons who receive this prospectus or possess any of the notes must inform themselves about and observe any such restrictions. This prospectus may not be used for, or in connection with, any offer to, or solicitation by, anyone in any jurisdiction or circumstances in which such offer or solicitation is not authorized or is unlawful. Neither we nor the underwriters are making any representation to any offeree or purchaser of the notes regarding the legality of investment in the notes by any offeree or purchaser.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and the guarantors of the second mortgage notes may be unable to meet their obligations under the second mortgage notes and you may lose all or part of your investment in the second mortgage notes.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significant conditions to the funding of the remaining portions of the financing for the Le Rêve project.</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Concurrent with the closing of this offering and Wynn Resorts' initial public offering of common stock, we will enter into credit facilities providing for borrowings up to $1 billion and the $178.5 million FF&amp;E facility. The closing of this offering, Wynn Resorts' initial public offering, the credit facilities and the FF&amp;E facility will be conditioned on each other. Wynn Resorts will contribute $363.5 million of the net proceeds of its initial public offering plus a portion of its existing cash to us.</w:t>
      </w:r>
    </w:p>
    <w:p>
      <w:pPr>
        <w:spacing w:after="0" w:line="19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will enter into a disbursement agreement with the agents under the credit facilities and the FF&amp;E facility and the second mortgage note trustee. Under the disbursement agreement, we are required to first use the equity contributions from Wynn Resorts, other than the funds in the completion guarantee account and the liquidity reserve account, to fund the development, construction and pre-opening costs of Le Rêve. When these funds are depleted in approximately ten to twelve months after the closing of this offering, we will be permitted to use the proceeds of the second mortgage notes. We will not be permitted to borrow under the credit facilities or the FF&amp;E facility until we have applied all of the proceeds of this offering, which is expected to be approximately 16 to 19 months after the closing of this offering.</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ability to borrow under the credit facilities and the FF&amp;E facility will be subject to various conditions precedent. As such, all of the proceeds from this offering will have been spent before we know whether the conditions to disbursement of funds under the credit facilities and the FF&amp;E facility will have been satisfied. In addition to other customary conditions to funding for these types of facilities, our ability to draw on the credit facilities and the FF&amp;E facility will be subject to the following conditions:</w:t>
      </w:r>
    </w:p>
    <w:p>
      <w:pPr>
        <w:spacing w:after="0" w:line="204" w:lineRule="exact"/>
        <w:rPr>
          <w:sz w:val="20"/>
          <w:szCs w:val="20"/>
          <w:color w:val="auto"/>
        </w:rPr>
      </w:pPr>
    </w:p>
    <w:p>
      <w:pPr>
        <w:ind w:left="1080" w:right="80" w:hanging="532"/>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Marnell Corrao, the lenders' independent construction consultant, and certain other third parties must certify as to various matters regarding the progress of construction, the conformity with the plans and specifications and that the Le Rêve project will be completed no later than August 31, 2005, subject to certain limited permitted extensions due to force majeure events;</w:t>
      </w:r>
    </w:p>
    <w:p>
      <w:pPr>
        <w:spacing w:after="0" w:line="213"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199"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Public Utilities Commission of Nevada of the grant of liens on our water rights that we intend to use for general irrigation purposes, irrigation of the golf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0"/>
        <w:spacing w:after="0" w:line="275" w:lineRule="auto"/>
        <w:rPr>
          <w:sz w:val="20"/>
          <w:szCs w:val="20"/>
          <w:color w:val="auto"/>
        </w:rPr>
      </w:pPr>
      <w:r>
        <w:rPr>
          <w:rFonts w:ascii="Times New Roman" w:cs="Times New Roman" w:eastAsia="Times New Roman" w:hAnsi="Times New Roman"/>
          <w:sz w:val="18"/>
          <w:szCs w:val="18"/>
          <w:color w:val="auto"/>
        </w:rPr>
        <w:t>course and to supply water for the Le Rêve lake or, if the approval cannot be obtained, an agreement not to grant liens on our water rights to any other creditor;</w:t>
      </w:r>
    </w:p>
    <w:p>
      <w:pPr>
        <w:spacing w:after="0" w:line="187" w:lineRule="exact"/>
        <w:rPr>
          <w:sz w:val="20"/>
          <w:szCs w:val="20"/>
          <w:color w:val="auto"/>
        </w:rPr>
      </w:pPr>
    </w:p>
    <w:p>
      <w:pPr>
        <w:ind w:left="1080" w:right="20" w:hanging="532"/>
        <w:spacing w:after="0" w:line="26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 and</w:t>
      </w:r>
    </w:p>
    <w:p>
      <w:pPr>
        <w:sectPr>
          <w:pgSz w:w="11900" w:h="16838" w:orient="portrait"/>
          <w:cols w:equalWidth="0" w:num="1">
            <w:col w:w="11420"/>
          </w:cols>
          <w:pgMar w:left="240" w:top="125" w:right="239" w:bottom="0" w:gutter="0" w:footer="0" w:header="0"/>
        </w:sectPr>
      </w:pPr>
    </w:p>
    <w:bookmarkStart w:id="12" w:name="page13"/>
    <w:bookmarkEnd w:id="12"/>
    <w:p>
      <w:pPr>
        <w:ind w:left="1080" w:right="12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74"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our lenders under the credit facilities and their consultants and is therefore beyond our control.</w:t>
      </w:r>
    </w:p>
    <w:p>
      <w:pPr>
        <w:spacing w:after="0" w:line="186" w:lineRule="exact"/>
        <w:rPr>
          <w:sz w:val="20"/>
          <w:szCs w:val="20"/>
          <w:color w:val="auto"/>
        </w:rPr>
      </w:pPr>
    </w:p>
    <w:p>
      <w:pPr>
        <w:ind w:right="380" w:firstLine="341"/>
        <w:spacing w:after="0" w:line="262" w:lineRule="auto"/>
        <w:rPr>
          <w:sz w:val="20"/>
          <w:szCs w:val="20"/>
          <w:color w:val="auto"/>
        </w:rPr>
      </w:pPr>
      <w:r>
        <w:rPr>
          <w:rFonts w:ascii="Times New Roman" w:cs="Times New Roman" w:eastAsia="Times New Roman" w:hAnsi="Times New Roman"/>
          <w:sz w:val="18"/>
          <w:szCs w:val="18"/>
          <w:color w:val="auto"/>
        </w:rPr>
        <w:t>Although these conditions must also be satisfied before we may draw funds from the second mortgage notes secured account, lenders under our credit facilities and the FF&amp;E facility will not confirm that, from their perspective, any conditions have been satisfied until we request draws under their respective facilities.</w:t>
      </w:r>
    </w:p>
    <w:p>
      <w:pPr>
        <w:spacing w:after="0" w:line="186" w:lineRule="exact"/>
        <w:rPr>
          <w:sz w:val="20"/>
          <w:szCs w:val="20"/>
          <w:color w:val="auto"/>
        </w:rPr>
      </w:pPr>
    </w:p>
    <w:p>
      <w:pPr>
        <w:ind w:right="80" w:firstLine="341"/>
        <w:spacing w:after="0" w:line="255" w:lineRule="auto"/>
        <w:rPr>
          <w:sz w:val="20"/>
          <w:szCs w:val="20"/>
          <w:color w:val="auto"/>
        </w:rPr>
      </w:pPr>
      <w:r>
        <w:rPr>
          <w:rFonts w:ascii="Times New Roman" w:cs="Times New Roman" w:eastAsia="Times New Roman" w:hAnsi="Times New Roman"/>
          <w:sz w:val="18"/>
          <w:szCs w:val="18"/>
          <w:color w:val="auto"/>
        </w:rPr>
        <w:t>Any failure to satisfy the conditions to drawdowns under the credit facilities or the FF&amp;E facility could severely impact our ability to complete Le Rêve and could arise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effectively would be subordinated to the lenders under these facilities, given that these facilities are secured by liens that are prior to the liens securing the second mortage notes. Neither we nor Wynn Resorts may have access to alternative sources of funds necessary to complete Le Rêve on satisfactory terms or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development costs of Le Rêve are estimates only, and actual development costs may be higher than expected.</w:t>
      </w:r>
    </w:p>
    <w:p>
      <w:pPr>
        <w:spacing w:after="0" w:line="227"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ours which will become due through the estimated commencement date of operations of Le Rêve have been included in our estimate of the total development cost.</w:t>
      </w:r>
    </w:p>
    <w:p>
      <w:pPr>
        <w:spacing w:after="0" w:line="15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owners' contingency, a $50 million completion guarantee and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reserve are only available to us incrementally once the project is halfway completed. If we are unable to use these contingencies or if these contingencies are not sufficient to cover these costs, we may not have the funds required to pay the excess costs. Our inability to pay development costs as they are incurred will negatively affect our ability to complete Le Rêve and thus may significantly impair our business operations and prospects.</w:t>
      </w:r>
    </w:p>
    <w:p>
      <w:pPr>
        <w:spacing w:after="0" w:line="186"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Cost overruns could cause us to be out of "balance" under the disbursement agreement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entered into a guaranteed maximum price construction contract with Marnell Corrao covering approximately $919 million of the budgeted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billion design and construction costs for Le Rêve. We are responsible for cost overruns with respect to the remaining approximately $485 million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billion amounts that are not part of the guaranteed maximum price contract. Excluded from the guaranteed maximum price contract are items such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of construction of the new golf course and the principal parking garage and approximately $303 million in interior design and related furniture, fixtures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equipment. For a detailed breakdown of the items included in the portions of the budget not covered by the guaranteed maximum price construction contract, see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"Business—Construction Schedule and Budget." While we may in the future enter into other agreements that may seek to limit our exposure to construction cost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the actual costs for these items may exceed budgeted costs.</w:t>
      </w:r>
    </w:p>
    <w:p>
      <w:pPr>
        <w:spacing w:after="0" w:line="211"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b w:val="1"/>
          <w:bCs w:val="1"/>
          <w:color w:val="auto"/>
        </w:rPr>
        <w:t>The guaranteed maximum price under the Marnell Corrao construction contract may increase, and we would be responsible for the amount of any increase.</w:t>
      </w:r>
    </w:p>
    <w:p>
      <w:pPr>
        <w:spacing w:after="0" w:line="172"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13"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architect-prepared design documents or deficiencies in the design documents;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requested or directed by us in the scope of the work to be performed pursuant to the construction contract;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us, including delays in completing the drawings and specifications.</w:t>
      </w:r>
    </w:p>
    <w:p>
      <w:pPr>
        <w:sectPr>
          <w:pgSz w:w="11900" w:h="16838" w:orient="portrait"/>
          <w:cols w:equalWidth="0" w:num="1">
            <w:col w:w="11400"/>
          </w:cols>
          <w:pgMar w:left="240" w:top="139" w:right="259" w:bottom="113" w:gutter="0" w:footer="0" w:header="0"/>
        </w:sectPr>
      </w:pPr>
    </w:p>
    <w:bookmarkStart w:id="13" w:name="page14"/>
    <w:bookmarkEnd w:id="13"/>
    <w:p>
      <w:pPr>
        <w:ind w:firstLine="341"/>
        <w:spacing w:after="0" w:line="275" w:lineRule="auto"/>
        <w:rPr>
          <w:sz w:val="20"/>
          <w:szCs w:val="20"/>
          <w:color w:val="auto"/>
        </w:rPr>
      </w:pPr>
      <w:r>
        <w:rPr>
          <w:rFonts w:ascii="Times New Roman" w:cs="Times New Roman" w:eastAsia="Times New Roman" w:hAnsi="Times New Roman"/>
          <w:sz w:val="18"/>
          <w:szCs w:val="18"/>
          <w:color w:val="auto"/>
        </w:rPr>
        <w:t>Although we have determined the overall scope and general design of Le Rêve, not all of the detailed plans and specifications have been finalized. We do not have final plans for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 premises assumptions for the detailed plans to be created. Construction will commence before completion of all drawings and specifications.</w:t>
      </w:r>
    </w:p>
    <w:p>
      <w:pPr>
        <w:spacing w:after="0" w:line="190" w:lineRule="exact"/>
        <w:rPr>
          <w:sz w:val="20"/>
          <w:szCs w:val="20"/>
          <w:color w:val="auto"/>
        </w:rPr>
      </w:pPr>
    </w:p>
    <w:p>
      <w:pPr>
        <w:jc w:val="both"/>
        <w:ind w:right="20" w:firstLine="351"/>
        <w:spacing w:after="0" w:line="296" w:lineRule="auto"/>
        <w:rPr>
          <w:sz w:val="20"/>
          <w:szCs w:val="20"/>
          <w:color w:val="auto"/>
        </w:rPr>
      </w:pPr>
      <w:r>
        <w:rPr>
          <w:rFonts w:ascii="Times New Roman" w:cs="Times New Roman" w:eastAsia="Times New Roman" w:hAnsi="Times New Roman"/>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6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72"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62"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pacing w:after="0" w:line="18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72" w:lineRule="exact"/>
        <w:rPr>
          <w:sz w:val="20"/>
          <w:szCs w:val="20"/>
          <w:color w:val="auto"/>
        </w:rPr>
      </w:pPr>
    </w:p>
    <w:p>
      <w:pPr>
        <w:ind w:right="540" w:firstLine="351"/>
        <w:spacing w:after="0" w:line="339" w:lineRule="auto"/>
        <w:rPr>
          <w:sz w:val="20"/>
          <w:szCs w:val="20"/>
          <w:color w:val="auto"/>
        </w:rPr>
      </w:pPr>
      <w:r>
        <w:rPr>
          <w:rFonts w:ascii="Times New Roman" w:cs="Times New Roman" w:eastAsia="Times New Roman" w:hAnsi="Times New Roman"/>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28" w:lineRule="exact"/>
        <w:rPr>
          <w:sz w:val="20"/>
          <w:szCs w:val="20"/>
          <w:color w:val="auto"/>
        </w:rPr>
      </w:pPr>
    </w:p>
    <w:p>
      <w:pPr>
        <w:ind w:right="120" w:firstLine="341"/>
        <w:spacing w:after="0" w:line="262" w:lineRule="auto"/>
        <w:rPr>
          <w:sz w:val="20"/>
          <w:szCs w:val="20"/>
          <w:color w:val="auto"/>
        </w:rPr>
      </w:pPr>
      <w:r>
        <w:rPr>
          <w:rFonts w:ascii="Times New Roman" w:cs="Times New Roman" w:eastAsia="Times New Roman" w:hAnsi="Times New Roman"/>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86"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in the construction contract with Marnell Corrao for construction of Le Rêve may be unenforceable.</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significant risks associated with major construction projects that may prevent completion of Le Rêve on budget and on schedule.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skilled labor;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and/or geological problems;</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0"/>
          <w:numId w:val="27"/>
        </w:numPr>
        <w:rPr>
          <w:rFonts w:ascii="Times New Roman" w:cs="Times New Roman" w:eastAsia="Times New Roman" w:hAnsi="Times New Roman"/>
          <w:sz w:val="18"/>
          <w:szCs w:val="18"/>
          <w:color w:val="auto"/>
        </w:rPr>
      </w:pPr>
    </w:p>
    <w:p>
      <w:pPr>
        <w:sectPr>
          <w:pgSz w:w="11900" w:h="16838" w:orient="portrait"/>
          <w:cols w:equalWidth="0" w:num="1">
            <w:col w:w="11400"/>
          </w:cols>
          <w:pgMar w:left="240" w:top="125" w:right="259" w:bottom="0" w:gutter="0" w:footer="0" w:header="0"/>
        </w:sectPr>
      </w:pPr>
    </w:p>
    <w:bookmarkStart w:id="14" w:name="page15"/>
    <w:bookmarkEnd w:id="14"/>
    <w:p>
      <w:pPr>
        <w:ind w:left="1080"/>
        <w:spacing w:after="0"/>
        <w:rPr>
          <w:sz w:val="20"/>
          <w:szCs w:val="20"/>
          <w:color w:val="auto"/>
        </w:rPr>
      </w:pPr>
      <w:r>
        <w:rPr>
          <w:rFonts w:ascii="Times New Roman" w:cs="Times New Roman" w:eastAsia="Times New Roman" w:hAnsi="Times New Roman"/>
          <w:sz w:val="18"/>
          <w:szCs w:val="18"/>
          <w:color w:val="auto"/>
        </w:rPr>
        <w:t>work stoppages;</w:t>
      </w:r>
    </w:p>
    <w:p>
      <w:pPr>
        <w:spacing w:after="0" w:line="239"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 increases;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construction equipment.</w:t>
      </w:r>
    </w:p>
    <w:p>
      <w:pPr>
        <w:spacing w:after="0" w:line="225"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74"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339" w:lineRule="auto"/>
        <w:rPr>
          <w:sz w:val="20"/>
          <w:szCs w:val="20"/>
          <w:color w:val="auto"/>
        </w:rPr>
      </w:pPr>
      <w:r>
        <w:rPr>
          <w:rFonts w:ascii="Times New Roman" w:cs="Times New Roman" w:eastAsia="Times New Roman" w:hAnsi="Times New Roman"/>
          <w:sz w:val="16"/>
          <w:szCs w:val="16"/>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Simultaneous construction of Le Rêve and the Macau casino(s) may stretch management time and resources.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Le Rêve is scheduled to open in March 2005, and Wynn Resorts' subsidiary Wynn Macau may pursue development of a permanent casino resort in Macau in the same time period. If both projects are being built simultaneously, members of Wynn Resorts' senior management will be involved in planning and developing both projects. Developing the Macau opportunity simultaneously with Le Rêve may divert management resources from the construction and/or opening of Le Rêve. Management's inability to devote sufficient time and attention to either project may delay the construction or opening of Le Rêve.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Substantial Indebtedness</w:t>
      </w:r>
    </w:p>
    <w:p>
      <w:pPr>
        <w:spacing w:after="0" w:line="22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72"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As we progress toward the completion of the construction of Le Rêve, we will have a substantial amount of debt in relation to our equity, which debt will increase during the construction period. Concurrent with the closing of this offering, we will enter into debt facilities that will result in total outstanding indebtedness of approximately $1.5 billion, including the second mortgage notes, by the time Le Rêve is completed.</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you. For example:</w:t>
      </w:r>
    </w:p>
    <w:p>
      <w:pPr>
        <w:spacing w:after="0" w:line="23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make it more difficult for us to satisfy our obligations with respect to the second mortgage notes;</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complete construction of Le Rêve by August 31, 2005,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 and foreclose upon the assets that serve as collateral,</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judicial foreclosure against us,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 a court to appoint a receiver for us or for substantially all of our assets,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insolvent, to initiate involuntary bankruptcy proceedings against us,</w:t>
      </w:r>
    </w:p>
    <w:p>
      <w:pPr>
        <w:spacing w:after="0" w:line="225" w:lineRule="exact"/>
        <w:rPr>
          <w:sz w:val="20"/>
          <w:szCs w:val="20"/>
          <w:color w:val="auto"/>
        </w:rPr>
      </w:pPr>
    </w:p>
    <w:p>
      <w:pPr>
        <w:ind w:left="1080"/>
        <w:spacing w:after="0" w:line="275" w:lineRule="auto"/>
        <w:rPr>
          <w:sz w:val="20"/>
          <w:szCs w:val="20"/>
          <w:color w:val="auto"/>
        </w:rPr>
      </w:pPr>
      <w:r>
        <w:rPr>
          <w:rFonts w:ascii="Times New Roman" w:cs="Times New Roman" w:eastAsia="Times New Roman" w:hAnsi="Times New Roman"/>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87" w:lineRule="exact"/>
        <w:rPr>
          <w:sz w:val="20"/>
          <w:szCs w:val="20"/>
          <w:color w:val="auto"/>
        </w:rPr>
      </w:pPr>
    </w:p>
    <w:p>
      <w:pPr>
        <w:ind w:left="1080" w:right="8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540" w:hanging="532"/>
        <w:spacing w:after="0" w:line="339" w:lineRule="auto"/>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 Le Rêve is operating, we will be required to use a substantial portion of our cash flow from operations to service and amortize our indebtedness, which will reduce the available cash flow to fund working capital, capital expenditures and other general corporate purposes;</w:t>
      </w:r>
    </w:p>
    <w:p>
      <w:pPr>
        <w:spacing w:after="0" w:line="141" w:lineRule="exact"/>
        <w:rPr>
          <w:rFonts w:ascii="Times New Roman" w:cs="Times New Roman" w:eastAsia="Times New Roman" w:hAnsi="Times New Roman"/>
          <w:sz w:val="16"/>
          <w:szCs w:val="16"/>
          <w:color w:val="auto"/>
        </w:rPr>
      </w:pPr>
    </w:p>
    <w:p>
      <w:pPr>
        <w:ind w:left="1080" w:right="4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respond to changing business and economic conditions and to withstand competitive pressures, which may affect our financial condition;</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5" w:right="259" w:bottom="0" w:gutter="0" w:footer="0" w:header="0"/>
        </w:sectPr>
      </w:pPr>
    </w:p>
    <w:bookmarkStart w:id="15" w:name="page16"/>
    <w:bookmarkEnd w:id="15"/>
    <w:p>
      <w:pPr>
        <w:ind w:left="1080" w:right="500"/>
        <w:spacing w:after="0" w:line="262" w:lineRule="auto"/>
        <w:rPr>
          <w:sz w:val="20"/>
          <w:szCs w:val="20"/>
          <w:color w:val="auto"/>
        </w:rPr>
      </w:pPr>
      <w:r>
        <w:rPr>
          <w:rFonts w:ascii="Times New Roman" w:cs="Times New Roman" w:eastAsia="Times New Roman" w:hAnsi="Times New Roman"/>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200" w:lineRule="exact"/>
        <w:rPr>
          <w:sz w:val="20"/>
          <w:szCs w:val="20"/>
          <w:color w:val="auto"/>
        </w:rPr>
      </w:pPr>
    </w:p>
    <w:p>
      <w:pPr>
        <w:ind w:left="1080" w:right="12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will increase our vulnerability to general adverse economic and industry conditions;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Under the terms of the indenture and our other loan facilities we have the right to incur additional indebtedness, including senior secured indebtedness, which may exacerbate the risks described above.</w:t>
      </w:r>
    </w:p>
    <w:p>
      <w:pPr>
        <w:spacing w:after="0" w:line="172"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b w:val="1"/>
          <w:bCs w:val="1"/>
          <w:color w:val="auto"/>
        </w:rPr>
        <w:t>We may not generate sufficient cash flow to meet our substantial debt service and other obligations, including our obligations under the second mortgage notes.</w:t>
      </w:r>
    </w:p>
    <w:p>
      <w:pPr>
        <w:spacing w:after="0" w:line="172"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Before the opening of Le Rêve, which is expected to occur in March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86" w:lineRule="exact"/>
        <w:rPr>
          <w:sz w:val="20"/>
          <w:szCs w:val="20"/>
          <w:color w:val="auto"/>
        </w:rPr>
      </w:pPr>
    </w:p>
    <w:p>
      <w:pPr>
        <w:jc w:val="both"/>
        <w:ind w:right="20" w:firstLine="341"/>
        <w:spacing w:after="0" w:line="258" w:lineRule="auto"/>
        <w:rPr>
          <w:sz w:val="20"/>
          <w:szCs w:val="20"/>
          <w:color w:val="auto"/>
        </w:rPr>
      </w:pPr>
      <w:r>
        <w:rPr>
          <w:rFonts w:ascii="Times New Roman" w:cs="Times New Roman" w:eastAsia="Times New Roman" w:hAnsi="Times New Roman"/>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204"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services that we provide;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Nevada or the casino industry in particular;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at a reasonable cost;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factors affecting our operations and business.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Some of these factors are beyond our control. Any inability to meet our debt service obligations would have a material adverse effect on us. In addition, future financing documents for the Macau opportunity may contain restrictions or prohibitions on the distribution to Wynn Resorts of any cash flow generated by the casino(s). Any cash flow generated by one or more Macau casinos operated by Wynn Macau will not be generated by entities which are guarantors of our indebtedness. Thus, any cash flow generated by the Macau casinos may not be available to service our debt service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second mortgage notes will have a junior lien on a substantial portion of our assets, and will have no liens on certain assets.</w:t>
      </w:r>
    </w:p>
    <w:p>
      <w:pPr>
        <w:spacing w:after="0" w:line="227"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8"/>
          <w:szCs w:val="18"/>
          <w:color w:val="auto"/>
        </w:rPr>
        <w:t>Although the holders of the second mortgage notes will have a first priority security interest in the net proceeds of this offering, once those proceeds are disbursed pursuant to the disbursement agreement for the construction of the Le Rêve project, they will have only a second priority security interest in the assets comprising the project and a third priority security interest in the furniture fixtures and equipment that are purchased under the FF&amp;E facility.</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holders of the second mortgage notes will not have a security interest in our gaming license because under the Nevada gaming laws it may not be pledged as collateral. In addition, we must seek approval from the Nevada Public Utilities Commission before we may grant any liens in the water rights which would be used for general irrigation purposes, irrigation of the golf course and to supply water for the LêReve lake. We will not have such approval at the time of the closing and may not obtain such approval before we begin disbursing the second mortgage notes proceeds or at all. The credit facilities, the FF&amp;E facility and the second mortgage notes will not be secured by any assets related to Wynn Macau's planned operations in Macau.</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guarantors of the second mortgage notes likely will not be able to contribute to any payments with respect to the second mortgage notes.</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primary purpose of the guarantees is to provide second priority liens on the assets of the guarantors, including the golf course, the Phase II land, and equity interests in their subsidiaries. While the guarantors hold assets that are integral to Le Rêve, they are not expected to have operations that generate significant cash flows. As such, you should not expect Valvino or any of the other guarantors to contribute to any payments of principal, interest or other amounts required to be made on the second mortgage notes.</w:t>
      </w:r>
    </w:p>
    <w:p>
      <w:pPr>
        <w:spacing w:after="0" w:line="18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The credit facilities, the FF&amp;E facility and the indenture governing the second mortgage notes will contain covenants that will restrict our ability to engage in certain transactions and may impair our ability to respond to changing business and economic conditions.</w:t>
      </w:r>
    </w:p>
    <w:p>
      <w:pPr>
        <w:spacing w:after="0" w:line="172"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credit facilities, the FF&amp;E facility and the indenture governing the second mortgage notes will impose operating and financial restrictions on us, Valvino, Wynn Resorts Holdings and specified affiliates designated as restricted entities. The restrictions that will be imposed under these debt instruments will include, among other things, limitations on our ability to:</w:t>
      </w:r>
    </w:p>
    <w:p>
      <w:pPr>
        <w:spacing w:after="0" w:line="200"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capital stock or repurchase capital stock;</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0"/>
          <w:numId w:val="34"/>
        </w:numPr>
        <w:rPr>
          <w:rFonts w:ascii="Times New Roman" w:cs="Times New Roman" w:eastAsia="Times New Roman" w:hAnsi="Times New Roman"/>
          <w:sz w:val="18"/>
          <w:szCs w:val="18"/>
          <w:color w:val="auto"/>
        </w:rPr>
      </w:pPr>
    </w:p>
    <w:p>
      <w:pPr>
        <w:sectPr>
          <w:pgSz w:w="11900" w:h="16838" w:orient="portrait"/>
          <w:cols w:equalWidth="0" w:num="1">
            <w:col w:w="11380"/>
          </w:cols>
          <w:pgMar w:left="240" w:top="125" w:right="279" w:bottom="0" w:gutter="0" w:footer="0" w:header="0"/>
        </w:sectPr>
      </w:pPr>
    </w:p>
    <w:bookmarkStart w:id="16" w:name="page17"/>
    <w:bookmarkEnd w:id="16"/>
    <w:p>
      <w:pPr>
        <w:ind w:left="1080"/>
        <w:spacing w:after="0"/>
        <w:rPr>
          <w:sz w:val="20"/>
          <w:szCs w:val="20"/>
          <w:color w:val="auto"/>
        </w:rPr>
      </w:pPr>
      <w:r>
        <w:rPr>
          <w:rFonts w:ascii="Times New Roman" w:cs="Times New Roman" w:eastAsia="Times New Roman" w:hAnsi="Times New Roman"/>
          <w:sz w:val="18"/>
          <w:szCs w:val="18"/>
          <w:color w:val="auto"/>
        </w:rPr>
        <w:t>incur additional debt;</w:t>
      </w:r>
    </w:p>
    <w:p>
      <w:pPr>
        <w:spacing w:after="0" w:line="23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subsidiaries;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225"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credit facilities will require us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86"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Our ability to comply with these provisions may be affected by general economic conditions, industry conditions, other events beyond our control and delayed completion of Le Rêve. As a result, we cannot assure you that we will be able to comply with these covenants. Our failure to comply with the covenants contained in the credit facilities, the FF&amp;E facility or the indenture governing the second mortgage notes, including failure as a result of events beyond our control, could result in an event of default.</w:t>
      </w:r>
    </w:p>
    <w:p>
      <w:pPr>
        <w:spacing w:after="0" w:line="19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 Risks Related to the Offering and the Second Mortgage Notes—The liens securing the indebtedness under the credit facilities and the FF&amp;E facility generally will be senior to the liens securing the second mortgage notes."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no operating history.</w:t>
      </w:r>
    </w:p>
    <w:p>
      <w:pPr>
        <w:spacing w:after="0" w:line="227" w:lineRule="exact"/>
        <w:rPr>
          <w:sz w:val="20"/>
          <w:szCs w:val="20"/>
          <w:color w:val="auto"/>
        </w:rPr>
      </w:pPr>
    </w:p>
    <w:p>
      <w:pPr>
        <w:jc w:val="both"/>
        <w:ind w:right="480" w:firstLine="348"/>
        <w:spacing w:after="0" w:line="262" w:lineRule="auto"/>
        <w:rPr>
          <w:sz w:val="20"/>
          <w:szCs w:val="20"/>
          <w:color w:val="auto"/>
        </w:rPr>
      </w:pPr>
      <w:r>
        <w:rPr>
          <w:rFonts w:ascii="Times New Roman" w:cs="Times New Roman" w:eastAsia="Times New Roman" w:hAnsi="Times New Roman"/>
          <w:sz w:val="18"/>
          <w:szCs w:val="18"/>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 profitable.</w:t>
      </w:r>
    </w:p>
    <w:p>
      <w:pPr>
        <w:spacing w:after="0" w:line="186"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Our operations will be subject to the significant business, economic, regulatory and competitive uncertainties and contingencies frequently encountered by new businesses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86"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93" w:lineRule="exact"/>
        <w:rPr>
          <w:sz w:val="20"/>
          <w:szCs w:val="20"/>
          <w:color w:val="auto"/>
        </w:rPr>
      </w:pPr>
    </w:p>
    <w:p>
      <w:pPr>
        <w:jc w:val="both"/>
        <w:ind w:right="180" w:firstLine="351"/>
        <w:spacing w:after="0" w:line="339" w:lineRule="auto"/>
        <w:rPr>
          <w:sz w:val="20"/>
          <w:szCs w:val="20"/>
          <w:color w:val="auto"/>
        </w:rPr>
      </w:pPr>
      <w:r>
        <w:rPr>
          <w:rFonts w:ascii="Times New Roman" w:cs="Times New Roman" w:eastAsia="Times New Roman" w:hAnsi="Times New Roman"/>
          <w:sz w:val="16"/>
          <w:szCs w:val="16"/>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w:t>
      </w:r>
    </w:p>
    <w:p>
      <w:pPr>
        <w:sectPr>
          <w:pgSz w:w="11900" w:h="16838" w:orient="portrait"/>
          <w:cols w:equalWidth="0" w:num="1">
            <w:col w:w="11420"/>
          </w:cols>
          <w:pgMar w:left="240" w:top="125" w:right="239" w:bottom="0" w:gutter="0" w:footer="0" w:header="0"/>
        </w:sectPr>
      </w:pPr>
    </w:p>
    <w:bookmarkStart w:id="17" w:name="page18"/>
    <w:bookmarkEnd w:id="17"/>
    <w:p>
      <w:pPr>
        <w:ind w:right="80"/>
        <w:spacing w:after="0" w:line="262" w:lineRule="auto"/>
        <w:rPr>
          <w:sz w:val="20"/>
          <w:szCs w:val="20"/>
          <w:color w:val="auto"/>
        </w:rPr>
      </w:pPr>
      <w:r>
        <w:rPr>
          <w:rFonts w:ascii="Times New Roman" w:cs="Times New Roman" w:eastAsia="Times New Roman" w:hAnsi="Times New Roman"/>
          <w:sz w:val="18"/>
          <w:szCs w:val="18"/>
          <w:color w:val="auto"/>
        </w:rPr>
        <w:t>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Stephen A. Wynn could significantly harm our business.</w:t>
      </w:r>
    </w:p>
    <w:p>
      <w:pPr>
        <w:spacing w:after="0" w:line="22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and skills of Stephen A. Wynn, the Chairman of the Board and Chief Executive Officer and one of the principal stockholders of Wynn Resorts. Wynn Resorts plans to enter into an employment agreement with Mr. Wynn. However, we cannot assure you that Mr. Wynn will remain with us. If Wynn Resorts loses the services of Mr. Wynn or if he is unable to devote sufficient attention to our operations, our business may be significantly impaired. In addition, if Mr. Wynn is no longer employed by us other than as a result of death or disability, it may constitute a change of control that requires us to repay the second mortgage notes and would constitute an event of default under the credit facilities and the FF&amp;E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casino, hotel, convention and other facilities at Le Rêve will face intense competition.</w:t>
      </w:r>
    </w:p>
    <w:p>
      <w:pPr>
        <w:spacing w:after="0" w:line="225"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Las Vegas Casino/Hotel Competition. </w:t>
      </w:r>
      <w:r>
        <w:rPr>
          <w:rFonts w:ascii="Times New Roman" w:cs="Times New Roman" w:eastAsia="Times New Roman" w:hAnsi="Times New Roman"/>
          <w:sz w:val="18"/>
          <w:szCs w:val="18"/>
          <w:color w:val="auto"/>
        </w:rPr>
        <w:t>The casino/hotel industry is highly competitive. Resorts located on or near the Las Vegas Strip compete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 Vegas 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0" w:lineRule="exact"/>
        <w:rPr>
          <w:sz w:val="20"/>
          <w:szCs w:val="20"/>
          <w:color w:val="auto"/>
        </w:rPr>
      </w:pPr>
    </w:p>
    <w:p>
      <w:pPr>
        <w:ind w:right="140" w:firstLine="341"/>
        <w:spacing w:after="0" w:line="310" w:lineRule="auto"/>
        <w:rPr>
          <w:sz w:val="20"/>
          <w:szCs w:val="20"/>
          <w:color w:val="auto"/>
        </w:rPr>
      </w:pPr>
      <w:r>
        <w:rPr>
          <w:rFonts w:ascii="Times New Roman" w:cs="Times New Roman" w:eastAsia="Times New Roman" w:hAnsi="Times New Roman"/>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97"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0" w:lineRule="exact"/>
        <w:rPr>
          <w:sz w:val="20"/>
          <w:szCs w:val="20"/>
          <w:color w:val="auto"/>
        </w:rPr>
      </w:pPr>
    </w:p>
    <w:p>
      <w:pPr>
        <w:jc w:val="both"/>
        <w:ind w:right="160" w:firstLine="341"/>
        <w:spacing w:after="0" w:line="258" w:lineRule="auto"/>
        <w:rPr>
          <w:sz w:val="20"/>
          <w:szCs w:val="20"/>
          <w:color w:val="auto"/>
        </w:rPr>
      </w:pPr>
      <w:r>
        <w:rPr>
          <w:rFonts w:ascii="Times New Roman" w:cs="Times New Roman" w:eastAsia="Times New Roman" w:hAnsi="Times New Roman"/>
          <w:sz w:val="18"/>
          <w:szCs w:val="18"/>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88" w:lineRule="exact"/>
        <w:rPr>
          <w:sz w:val="20"/>
          <w:szCs w:val="20"/>
          <w:color w:val="auto"/>
        </w:rPr>
      </w:pPr>
    </w:p>
    <w:p>
      <w:pPr>
        <w:ind w:right="60" w:firstLine="351"/>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Other Competition for Le Rêve. </w:t>
      </w:r>
      <w:r>
        <w:rPr>
          <w:rFonts w:ascii="Times New Roman" w:cs="Times New Roman" w:eastAsia="Times New Roman" w:hAnsi="Times New Roman"/>
          <w:sz w:val="16"/>
          <w:szCs w:val="16"/>
          <w:color w:val="auto"/>
        </w:rPr>
        <w:t>Le Rêve will also compete, to some extent, with other hotel/casino facilities in Nevada and in Atlantic City, with riverboat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Because we may be entirely dependent upon one property for all of our cash flow, we will be subject to greater risks than a gaming company with more operating properties.</w:t>
      </w:r>
    </w:p>
    <w:p>
      <w:pPr>
        <w:spacing w:after="0" w:line="172"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do not expect to have material assets or operations other than Le Rêve for the foreseeable future. As a result, we likely will be entirely dependent upon Le Rêve for all of our cash flow. The Macau entities are not guarantors of our indebtedness. In addition, the financing documents for the Macau opportunity may contain restrictions or prohibitions on the distribution to Wynn Resorts of any cash flow generated by these projects. Accordingly, cash flow generated by those Macau casino(s) will not be available to service our indebtedness, including our obligations under the second mortgage notes, or support our operations. See "— Risks Related to Our Substantial Indebtedness—We may not generate sufficient cash flow to meet our substantial debt service and other obligations, including our obligations under the second mortgage notes."</w:t>
      </w:r>
    </w:p>
    <w:p>
      <w:pPr>
        <w:sectPr>
          <w:pgSz w:w="11900" w:h="16838" w:orient="portrait"/>
          <w:cols w:equalWidth="0" w:num="1">
            <w:col w:w="11400"/>
          </w:cols>
          <w:pgMar w:left="240" w:top="125" w:right="259" w:bottom="27" w:gutter="0" w:footer="0" w:header="0"/>
        </w:sectPr>
      </w:pPr>
    </w:p>
    <w:bookmarkStart w:id="18" w:name="page19"/>
    <w:bookmarkEnd w:id="18"/>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Given that our operations initially will only focus on one property in Las Vegas, we will be subject to greater degrees of risk than a gaming company with more operating properties. The risks to which we will have a greater degree of exposure include the following:</w:t>
      </w:r>
    </w:p>
    <w:p>
      <w:pPr>
        <w:spacing w:after="0" w:line="187"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non-gaming activities at Le Rêve.</w:t>
      </w:r>
    </w:p>
    <w:p>
      <w:pPr>
        <w:spacing w:after="0" w:line="225"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7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Wynn Resorts' ownership and management of both Le Rêve and a second resort developed on either the 20-acre parcel or the golf course land could negatively impact Le Rêve.</w:t>
      </w:r>
    </w:p>
    <w:p>
      <w:pPr>
        <w:spacing w:after="0" w:line="172"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Wynn Resorts' ownership of both Le Rêve and additional resorts developed on the 20-acre parcel adjacent to the site of Le Rêve and/or the golf course parcel may result in conflicting business goals because, once released from the liens under the credit facilities and second mortgage notes, a Phase II or other project developed on either site would likely be developed through an entity that is not part of the restricted group and could potentially compete with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for the Phase II resort over Le Rêve. In addition, that entity also may choose to allocate certain business opportunities, such as potential restaurant, dining and entertainment tenants or requests for room reservations, to the Phase II resort instead of Le Rêve. Although Wynn Resorts' common ownership of both Le Rêve and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operation of the resorts. In certain circumstances, management may devote more time to the ownership and operational responsibilities of the Phase II resort than those of Le Rêve.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Terrorism and the uncertainty of war, as well as other factors affecting discretionary consumer spending, may harm our operating results.</w:t>
      </w:r>
    </w:p>
    <w:p>
      <w:pPr>
        <w:spacing w:after="0" w:line="227" w:lineRule="exact"/>
        <w:rPr>
          <w:sz w:val="20"/>
          <w:szCs w:val="20"/>
          <w:color w:val="auto"/>
        </w:rPr>
      </w:pPr>
    </w:p>
    <w:p>
      <w:pPr>
        <w:ind w:right="100" w:firstLine="348"/>
        <w:spacing w:after="0" w:line="291" w:lineRule="auto"/>
        <w:rPr>
          <w:sz w:val="20"/>
          <w:szCs w:val="20"/>
          <w:color w:val="auto"/>
        </w:rPr>
      </w:pPr>
      <w:r>
        <w:rPr>
          <w:rFonts w:ascii="Times New Roman" w:cs="Times New Roman" w:eastAsia="Times New Roman" w:hAnsi="Times New Roman"/>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6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0" w:lineRule="exact"/>
        <w:rPr>
          <w:sz w:val="20"/>
          <w:szCs w:val="20"/>
          <w:color w:val="auto"/>
        </w:rPr>
      </w:pPr>
    </w:p>
    <w:p>
      <w:pPr>
        <w:ind w:right="100" w:firstLine="341"/>
        <w:spacing w:after="0" w:line="258" w:lineRule="auto"/>
        <w:rPr>
          <w:sz w:val="20"/>
          <w:szCs w:val="20"/>
          <w:color w:val="auto"/>
        </w:rPr>
      </w:pPr>
      <w:r>
        <w:rPr>
          <w:rFonts w:ascii="Times New Roman" w:cs="Times New Roman" w:eastAsia="Times New Roman" w:hAnsi="Times New Roman"/>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8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7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opening and operation of Le Rêve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92"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Nevada Gaming Commission may, in its discretion, require the holder of any securities we issue, including the second mortgage notes sold pursuant to this prospectus, to</w:t>
      </w:r>
    </w:p>
    <w:p>
      <w:pPr>
        <w:sectPr>
          <w:pgSz w:w="11900" w:h="16838" w:orient="portrait"/>
          <w:cols w:equalWidth="0" w:num="1">
            <w:col w:w="11400"/>
          </w:cols>
          <w:pgMar w:left="240" w:top="125" w:right="25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file applications, be investigated and be found suitable to own Wynn Resorts' securities if it has reason to believe that the security ownership would be inconsistent with the declared policies of the State of Nevada.</w:t>
      </w:r>
    </w:p>
    <w:p>
      <w:pPr>
        <w:spacing w:after="0" w:line="174" w:lineRule="exact"/>
        <w:rPr>
          <w:sz w:val="20"/>
          <w:szCs w:val="20"/>
          <w:color w:val="auto"/>
        </w:rPr>
      </w:pPr>
    </w:p>
    <w:p>
      <w:pPr>
        <w:ind w:right="140" w:firstLine="351"/>
        <w:spacing w:after="0" w:line="293" w:lineRule="auto"/>
        <w:rPr>
          <w:sz w:val="20"/>
          <w:szCs w:val="20"/>
          <w:color w:val="auto"/>
        </w:rPr>
      </w:pPr>
      <w:r>
        <w:rPr>
          <w:rFonts w:ascii="Times New Roman" w:cs="Times New Roman" w:eastAsia="Times New Roman" w:hAnsi="Times New Roman"/>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65"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gaming regulatory issues may arise regarding the licensing of owners of Wynn Resorts which may cause us to incur additional debt.</w:t>
      </w:r>
    </w:p>
    <w:p>
      <w:pPr>
        <w:spacing w:after="0" w:line="227"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Kazuo Okada is the owner of a controlling interest in Aruze Corp., the parent company of Aruze USA, Inc., referred to as Aruze USA, which, immediately before the closing of Wynn Resorts' initial public offering, will own approximately 47.4%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95"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pending proceeding involving Universal Distributing, that decision could adversely affect an application filed by Aruze USA, Aruze Corp., Kazuo Okada or Tomohiro Okada in respect of Wynn Resorts.</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Party Transactions—Stockholders Agreement" and "—Buy-Out of Aruze USA Stock."</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Moreover, if the Nevada Gaming Commission were to determine that Aruze USA is unsuitable to hold a promissory note issued by Wynn Resorts or</w:t>
      </w:r>
    </w:p>
    <w:p>
      <w:pPr>
        <w:spacing w:after="0" w:line="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Wynn, the Nevada Gaming Commission could order Aruze USA or its affiliate to dispose of its voting securities within a prescribed period of time that may not be sufficient.</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1"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If Wynn Macau builds and operates one or more casinos in Macau, certain Nevada gaming laws would apply to its planned gaming activities and associations in Macau.</w:t>
      </w:r>
    </w:p>
    <w:p>
      <w:pPr>
        <w:spacing w:after="0" w:line="172"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Resorts Holdings and Valvino, will be required to comply with certain reporting requirements concerning gaming activities and associations in Macau proposed to be conducted by Wynn Resorts' Macau-related subsidiaries. Wynn Resorts and its licensed Nevada subsidiaries, including Wynn Las Vegas, also will be subject to disciplinary action by the Nevada Gaming Commission if Wynn Resorts' Macau-related subsidiaries:</w:t>
      </w:r>
    </w:p>
    <w:p>
      <w:pPr>
        <w:spacing w:after="0" w:line="206"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Macau laws relating to their Macau gaming operations;</w:t>
      </w:r>
    </w:p>
    <w:p>
      <w:pPr>
        <w:sectPr>
          <w:pgSz w:w="11900" w:h="16838" w:orient="portrait"/>
          <w:cols w:equalWidth="0" w:num="1">
            <w:col w:w="11420"/>
          </w:cols>
          <w:pgMar w:left="240" w:top="125" w:right="239" w:bottom="0" w:gutter="0" w:footer="0" w:header="0"/>
        </w:sectPr>
      </w:pPr>
    </w:p>
    <w:bookmarkStart w:id="20" w:name="page21"/>
    <w:bookmarkEnd w:id="20"/>
    <w:p>
      <w:pPr>
        <w:spacing w:after="0" w:line="15"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the Macau operations in accordance with the standards of honesty and integrity required of Nevada gaming operations;</w:t>
      </w:r>
    </w:p>
    <w:p>
      <w:pPr>
        <w:spacing w:after="0" w:line="252" w:lineRule="exact"/>
        <w:rPr>
          <w:rFonts w:ascii="Times New Roman" w:cs="Times New Roman" w:eastAsia="Times New Roman" w:hAnsi="Times New Roman"/>
          <w:sz w:val="18"/>
          <w:szCs w:val="18"/>
          <w:color w:val="auto"/>
        </w:rPr>
      </w:pPr>
    </w:p>
    <w:p>
      <w:pPr>
        <w:ind w:left="1080" w:right="160" w:hanging="532"/>
        <w:spacing w:after="0" w:line="339" w:lineRule="auto"/>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4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7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will rely on high-end, international customers to whom we may extend credit, and we may not be able to collect gaming receivables from our credit players.</w:t>
      </w:r>
    </w:p>
    <w:p>
      <w:pPr>
        <w:spacing w:after="0" w:line="172"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51"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86"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3"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b w:val="1"/>
          <w:bCs w:val="1"/>
          <w:color w:val="auto"/>
        </w:rPr>
        <w:t>Because we own real property, we are subject to extensive environmental regulation, which creates uncertainty regarding future environmental expenditures and liabilities.</w:t>
      </w:r>
    </w:p>
    <w:p>
      <w:pPr>
        <w:spacing w:after="0" w:line="172" w:lineRule="exact"/>
        <w:rPr>
          <w:sz w:val="20"/>
          <w:szCs w:val="20"/>
          <w:color w:val="auto"/>
        </w:rPr>
      </w:pPr>
    </w:p>
    <w:p>
      <w:pPr>
        <w:ind w:right="460" w:firstLine="348"/>
        <w:spacing w:after="0" w:line="256" w:lineRule="auto"/>
        <w:rPr>
          <w:sz w:val="20"/>
          <w:szCs w:val="20"/>
          <w:color w:val="auto"/>
        </w:rPr>
      </w:pPr>
      <w:r>
        <w:rPr>
          <w:rFonts w:ascii="Times New Roman" w:cs="Times New Roman" w:eastAsia="Times New Roman" w:hAnsi="Times New Roman"/>
          <w:sz w:val="18"/>
          <w:szCs w:val="18"/>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90"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91"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72"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objects by a published deadline. Our application for casino services remains pending, and we expect it to be published for opposition soon.</w:t>
      </w:r>
    </w:p>
    <w:p>
      <w:pPr>
        <w:spacing w:after="0" w:line="190" w:lineRule="exact"/>
        <w:rPr>
          <w:sz w:val="20"/>
          <w:szCs w:val="20"/>
          <w:color w:val="auto"/>
        </w:rPr>
      </w:pPr>
    </w:p>
    <w:p>
      <w:pPr>
        <w:ind w:right="100" w:firstLine="351"/>
        <w:spacing w:after="0" w:line="310" w:lineRule="auto"/>
        <w:rPr>
          <w:sz w:val="20"/>
          <w:szCs w:val="20"/>
          <w:color w:val="auto"/>
        </w:rPr>
      </w:pPr>
      <w:r>
        <w:rPr>
          <w:rFonts w:ascii="Times New Roman" w:cs="Times New Roman" w:eastAsia="Times New Roman" w:hAnsi="Times New Roman"/>
          <w:sz w:val="16"/>
          <w:szCs w:val="16"/>
          <w:color w:val="auto"/>
        </w:rPr>
        <w:t>Even if we are able to obtain registration of the "LE RÊVE" mark for the above described services, such federal registration is not completely dispositive of the right to such service marks. Third parties with prior rights with respect to marks similar to "LE RÊVE" or the English translation "THE DREAM," may nonetheless challenge our use of "LE RÊVE" and seek to overcome the presumptions afforded by the registration. They also could attempt to prevent our use of</w:t>
      </w:r>
    </w:p>
    <w:p>
      <w:pPr>
        <w:sectPr>
          <w:pgSz w:w="11900" w:h="16853" w:orient="portrait"/>
          <w:cols w:equalWidth="0" w:num="1">
            <w:col w:w="11400"/>
          </w:cols>
          <w:pgMar w:left="240" w:top="139" w:right="259" w:bottom="0" w:gutter="0" w:footer="0" w:header="0"/>
        </w:sectPr>
      </w:pPr>
    </w:p>
    <w:bookmarkStart w:id="21" w:name="page22"/>
    <w:bookmarkEnd w:id="21"/>
    <w:p>
      <w:pPr>
        <w:spacing w:after="0" w:line="6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"LE RÊVE" and/or seek monetary damages as a result of our use. Failure to register the mark, or a successful challenge by a third party, could have a material impact on our business or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need to recruit a substantial number of new employees before Le Rêve opens and our employees may seek unionization.</w:t>
      </w:r>
    </w:p>
    <w:p>
      <w:pPr>
        <w:spacing w:after="0" w:line="22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 Wynn Las Vegas' affiliates will be subject to regulatory control by the Public Utilities Commission of Nevada.</w:t>
      </w:r>
    </w:p>
    <w:p>
      <w:pPr>
        <w:spacing w:after="0" w:line="227" w:lineRule="exact"/>
        <w:rPr>
          <w:sz w:val="20"/>
          <w:szCs w:val="20"/>
          <w:color w:val="auto"/>
        </w:rPr>
      </w:pPr>
    </w:p>
    <w:p>
      <w:pPr>
        <w:ind w:right="40" w:firstLine="351"/>
        <w:spacing w:after="0" w:line="290" w:lineRule="auto"/>
        <w:rPr>
          <w:sz w:val="20"/>
          <w:szCs w:val="20"/>
          <w:color w:val="auto"/>
        </w:rPr>
      </w:pPr>
      <w:r>
        <w:rPr>
          <w:rFonts w:ascii="Times New Roman" w:cs="Times New Roman" w:eastAsia="Times New Roman" w:hAnsi="Times New Roman"/>
          <w:sz w:val="16"/>
          <w:szCs w:val="16"/>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The public utility status of Desert Inn Improvement Co. imposes regulatory restrictions on us. For example, if Wynn Resorts decides to make changes to our or its ownership structure, such as in a merger or acquisition 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conducting our business in a manner that might be beneficial to our operations.</w:t>
      </w:r>
    </w:p>
    <w:p>
      <w:pPr>
        <w:spacing w:after="0" w:line="164"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7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92"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downturn in general economic conditions may adversely affect our results of operations.</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Consummation of this offering is conditioned on Wynn Las Vegas entering into an agreement governing the FF&amp;E facility.</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Consummation of this offering, as well as the Wynn Resorts' initial public offering and the closings of the credit facilities, is conditioned on Wynn Las Vegas' entering into an agreement governing the FF&amp;E facility. Wynn Las Vegas has entered into an engagement letter with Bank of America, N.A., Banc of America Leasing &amp; Capital LLC and Deutsche Bank Securities Inc. for a $178.5 million FF&amp;E facility, which is currently being syndicated. While we expect that concurrent with the closing of this offering, Wynn Las Vegas will enter into a definitive agreement governing the FF&amp;E facility, Wynn Las Vegas has not yet obtained a commitment concerning the FF&amp;E facility from the FF&amp;E lender. We cannot assure you that Wynn Las Vegas will be able to obtain a commitment concerning the FF&amp;E facility, or that Wynn Las Vegas will enter into an agreement governing the FF&amp;E facility. In the event that Wynn Las Vegas fails to enter into an agreement governing the FF&amp;E facility or other financing in an amount similar to the contemplated FF&amp;E facility significant conditions to the funding of the financing for the Le Reve project will not be satisfied and none of the closings of this offering, Wynn Resorts' initial public offering or the credit facilities will be possible.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liens securing the indebtedness under the credit facilities and FF&amp;E facility generally will be senior to the liens securing the second mortgage notes.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second mortgage notes will be secured by:</w:t>
      </w:r>
    </w:p>
    <w:p>
      <w:pPr>
        <w:spacing w:after="0" w:line="23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lien on the proceeds of this offering,</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lien on substantially all of our other existing and future assets, subject to regulatory limitations and specified exceptions and</w:t>
      </w:r>
    </w:p>
    <w:p>
      <w:pPr>
        <w:spacing w:after="0" w:line="21" w:lineRule="exact"/>
        <w:rPr>
          <w:rFonts w:ascii="Times New Roman" w:cs="Times New Roman" w:eastAsia="Times New Roman" w:hAnsi="Times New Roman"/>
          <w:sz w:val="18"/>
          <w:szCs w:val="18"/>
          <w:color w:val="auto"/>
        </w:rPr>
      </w:pPr>
    </w:p>
    <w:p>
      <w:pPr>
        <w:spacing w:after="0"/>
        <w:tabs>
          <w:tab w:leader="none" w:pos="0" w:val="left"/>
        </w:tabs>
        <w:numPr>
          <w:ilvl w:val="0"/>
          <w:numId w:val="41"/>
        </w:numPr>
        <w:rPr>
          <w:rFonts w:ascii="Times New Roman" w:cs="Times New Roman" w:eastAsia="Times New Roman" w:hAnsi="Times New Roman"/>
          <w:sz w:val="18"/>
          <w:szCs w:val="18"/>
          <w:color w:val="auto"/>
        </w:rPr>
      </w:pPr>
    </w:p>
    <w:p>
      <w:pPr>
        <w:sectPr>
          <w:pgSz w:w="11900" w:h="16900" w:orient="portrait"/>
          <w:cols w:equalWidth="0" w:num="1">
            <w:col w:w="11420"/>
          </w:cols>
          <w:pgMar w:left="240" w:top="125" w:right="239" w:bottom="0" w:gutter="0" w:footer="0" w:header="0"/>
        </w:sectPr>
      </w:pPr>
    </w:p>
    <w:bookmarkStart w:id="22" w:name="page23"/>
    <w:bookmarkEnd w:id="22"/>
    <w:p>
      <w:pPr>
        <w:ind w:left="1080"/>
        <w:spacing w:after="0"/>
        <w:rPr>
          <w:sz w:val="20"/>
          <w:szCs w:val="20"/>
          <w:color w:val="auto"/>
        </w:rPr>
      </w:pPr>
      <w:r>
        <w:rPr>
          <w:rFonts w:ascii="Times New Roman" w:cs="Times New Roman" w:eastAsia="Times New Roman" w:hAnsi="Times New Roman"/>
          <w:sz w:val="18"/>
          <w:szCs w:val="18"/>
          <w:color w:val="auto"/>
        </w:rPr>
        <w:t>third priority liens on the assets securing our furniture, fixtures and equipment loan facility.</w:t>
      </w:r>
    </w:p>
    <w:p>
      <w:pPr>
        <w:spacing w:after="0" w:line="225" w:lineRule="exact"/>
        <w:rPr>
          <w:sz w:val="20"/>
          <w:szCs w:val="20"/>
          <w:color w:val="auto"/>
        </w:rPr>
      </w:pPr>
    </w:p>
    <w:p>
      <w:pPr>
        <w:ind w:right="480" w:firstLine="348"/>
        <w:spacing w:after="0" w:line="262" w:lineRule="auto"/>
        <w:rPr>
          <w:sz w:val="20"/>
          <w:szCs w:val="20"/>
          <w:color w:val="auto"/>
        </w:rPr>
      </w:pPr>
      <w:r>
        <w:rPr>
          <w:rFonts w:ascii="Times New Roman" w:cs="Times New Roman" w:eastAsia="Times New Roman" w:hAnsi="Times New Roman"/>
          <w:sz w:val="18"/>
          <w:szCs w:val="18"/>
          <w:color w:val="auto"/>
        </w:rPr>
        <w:t>The lenders under our credit facilities will have first priority liens on substantially all of our assets. The lenders under our FF&amp;E facility will have first priority liens on fixtures and equipment that are integral to the operation of Le Rêve, such as elevators, escalators, heating, vacuum and air conditioning equipment and gaming equipment.</w:t>
      </w:r>
    </w:p>
    <w:p>
      <w:pPr>
        <w:spacing w:after="0" w:line="186"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Because Wynn Macau and the Macau-related subsidiaries of Wynn Resorts are owned by Wynn Resorts, which is not a guarantor of the second mortgage notes, the assets consisting of Wynn Resorts' Macau project(s) will not be included in the collateral.</w:t>
      </w:r>
    </w:p>
    <w:p>
      <w:pPr>
        <w:spacing w:after="0" w:line="174"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Because the liens securing the indebtedness under the credit facilities will generally be prior to the liens securing the second mortgage notes, the second mortgage notes will be effectively subordinated to the indebtedness under our $1.0 billion credit facilities. In addition, the liens on the collateral securing our $178.5 million FF&amp;E facility will be prior to the liens securing the credit facilities and the second mortgage notes upon the FF&amp;E collateral. We will also be permitted, under the indenture governing the second mortgage notes to incur additional indebtedness, which may increase the amount of our credit facilities or FF&amp;E facility.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 Security Interests."</w:t>
      </w:r>
    </w:p>
    <w:p>
      <w:pPr>
        <w:spacing w:after="0" w:line="195" w:lineRule="exact"/>
        <w:rPr>
          <w:sz w:val="20"/>
          <w:szCs w:val="20"/>
          <w:color w:val="auto"/>
        </w:rPr>
      </w:pPr>
    </w:p>
    <w:p>
      <w:pPr>
        <w:ind w:right="560" w:firstLine="348"/>
        <w:spacing w:after="0" w:line="275" w:lineRule="auto"/>
        <w:rPr>
          <w:sz w:val="20"/>
          <w:szCs w:val="20"/>
          <w:color w:val="auto"/>
        </w:rPr>
      </w:pPr>
      <w:r>
        <w:rPr>
          <w:rFonts w:ascii="Times New Roman" w:cs="Times New Roman" w:eastAsia="Times New Roman" w:hAnsi="Times New Roman"/>
          <w:sz w:val="18"/>
          <w:szCs w:val="18"/>
          <w:color w:val="auto"/>
        </w:rPr>
        <w:t>The liens granted by the guarantors to secure their guarantees of the credit facilities will also be senior to the liens securing the second mortgage note guarantees, and, therefore, the second mortgage note guarantees will also be effectively subordinated to the guarantees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indebtedness under the credit facilities and all of our guarantors' other senior indebtedness secured by higher priority liens.</w:t>
      </w:r>
    </w:p>
    <w:p>
      <w:pPr>
        <w:spacing w:after="0" w:line="22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If there is a default, the value of the collateral may not be sufficient to repay both the higher priority creditors and the holders of the second mortgage notes.</w:t>
      </w:r>
    </w:p>
    <w:p>
      <w:pPr>
        <w:spacing w:after="0" w:line="172"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of the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93"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At the completion of Le Rêve, we expect to have approximately $707.1 million outstanding under the revolving credit facility, $250 million outstanding under the delay draw term loan facility and $178.5 million outstanding under the FF&amp;E facility. We also expect to have at such time approximately $43 million of borrowing availability under the revolving credit facility. Under the indenture governing the second mortgage notes, we will be permitted to incur additional indebtedness that is secured by first priority liens on the second mortgage note collateral.</w:t>
      </w:r>
    </w:p>
    <w:p>
      <w:pPr>
        <w:spacing w:after="0" w:line="18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72"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trustee under the indenture governing the second mortgage notes will enter into an intercreditor agreement with the lenders under the credit facilities and an intercreditor agreement with the lenders under the FF&amp;E facility. The intercreditor agreements will provide for the allocation of rights among the trustee and these lenders with respect to their respective interests in the collateral and the enforcement of their rights.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208" w:lineRule="exact"/>
        <w:rPr>
          <w:sz w:val="20"/>
          <w:szCs w:val="20"/>
          <w:color w:val="auto"/>
        </w:rPr>
      </w:pPr>
    </w:p>
    <w:p>
      <w:pPr>
        <w:ind w:left="1080" w:hanging="532"/>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agreements will permit the agent under the credit facilities, without consent of the holders of the second mortgage notes, to amend the disbursement agreement or waive any defaults or conditions precedent to funding thereunder in various circumstances; which could result in a reduction of the scope which we are required to build and in funding additional amounts which effectively are senior to the second mortgage notes, in each case, to the detriment of the holders of second mortgage notes;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agreements will give the lenders under the credit facilities the right to determine whether to foreclose on the collateral and the terms of any foreclosure following an event of default under the second mortgage notes or the credit facilities.</w:t>
      </w:r>
    </w:p>
    <w:p>
      <w:pPr>
        <w:spacing w:after="0" w:line="174"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In addition, pursuant to the intercreditor agreements, the trustee will agree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86"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lenders under the FF&amp;E facility will similarly have the right, without the consents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ectPr>
          <w:pgSz w:w="11900" w:h="16838" w:orient="portrait"/>
          <w:cols w:equalWidth="0" w:num="1">
            <w:col w:w="11400"/>
          </w:cols>
          <w:pgMar w:left="240" w:top="125" w:right="259" w:bottom="20" w:gutter="0" w:footer="0" w:header="0"/>
        </w:sectPr>
      </w:pPr>
    </w:p>
    <w:bookmarkStart w:id="23" w:name="page24"/>
    <w:bookmarkEnd w:id="23"/>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both the periodic amounts payable on our secured indebtedness and the amounts secured by claims effectively senior the claims of the second mortgage note holders.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Under the intercreditor agreements, so long as the credit facilities and, the FF&amp;E facility, remain outstanding, the holders of the second mortgage notes will be restrained from exercising their remedies following a default. As such, the lenders under the credit facilities and, the FF&amp;E facility, shall be permitted to exercise their remedies and foreclose their respective liens on the note collateral before holders of the second mortgage notes could enforce their liens. We cannot assure you that any proceeds of foreclosure sales would be sufficient to make any payments on the second mortgage notes after repaying in full the credit facilities and, the FF&amp;E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 laws will impose additional restrictions on foreclosure.</w:t>
      </w:r>
    </w:p>
    <w:p>
      <w:pPr>
        <w:spacing w:after="0" w:line="227"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 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93"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Public Utilities Commission of Nevada will impose additional restrictions on foreclosure.</w:t>
      </w:r>
    </w:p>
    <w:p>
      <w:pPr>
        <w:spacing w:after="0" w:line="227"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72" w:lineRule="exact"/>
        <w:rPr>
          <w:sz w:val="20"/>
          <w:szCs w:val="20"/>
          <w:color w:val="auto"/>
        </w:rPr>
      </w:pPr>
    </w:p>
    <w:p>
      <w:pPr>
        <w:ind w:right="200" w:firstLine="351"/>
        <w:spacing w:after="0" w:line="288" w:lineRule="auto"/>
        <w:rPr>
          <w:sz w:val="20"/>
          <w:szCs w:val="20"/>
          <w:color w:val="auto"/>
        </w:rPr>
      </w:pPr>
      <w:r>
        <w:rPr>
          <w:rFonts w:ascii="Times New Roman" w:cs="Times New Roman" w:eastAsia="Times New Roman" w:hAnsi="Times New Roman"/>
          <w:sz w:val="16"/>
          <w:szCs w:val="16"/>
          <w:color w:val="auto"/>
        </w:rPr>
        <w:t>Pursuant to the intercreditor agreements, the lenders under our credit facilities are permitted to foreclose on the liens securing such facilities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certain additional risks.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have multiple lenders, holders of the second mortgage notes may be disadvantaged by actions taken by one or more of our other lenders.</w:t>
      </w:r>
    </w:p>
    <w:p>
      <w:pPr>
        <w:spacing w:after="0" w:line="227"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Multiple parties will be providing financing for the construction and development of Le Rêve, including the lenders under the credit facilities and under the FF&amp;E facility and the holders of the second mortgage notes. Our lenders will enter into agreements, including the disbursement agreement and the intercreditor agreements, to govern the relationships among them. These agreements may limit the rights of the second mortgage note holders.</w:t>
      </w:r>
    </w:p>
    <w:p>
      <w:pPr>
        <w:spacing w:after="0" w:line="186" w:lineRule="exact"/>
        <w:rPr>
          <w:sz w:val="20"/>
          <w:szCs w:val="20"/>
          <w:color w:val="auto"/>
        </w:rPr>
      </w:pPr>
    </w:p>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will affect, and may impair, the interests of the holders of the second mortgage notes.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Subject to specified conditions, the disbursement agreement will also require each lender to fund its proportionate share of each disbursement. However, we cannot assure you that each lender will always perform its obligations under the disbursement agreement. If any lender fails to fund its share of the amounts to be advanced under the disbursement agreement, we may not have sufficient funds to complete Le Rêve.</w:t>
      </w:r>
    </w:p>
    <w:p>
      <w:pPr>
        <w:spacing w:after="0" w:line="18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Further, given that we are required to expend all of the proceeds of the second mortgage notes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ectPr>
          <w:pgSz w:w="11900" w:h="16838" w:orient="portrait"/>
          <w:cols w:equalWidth="0" w:num="1">
            <w:col w:w="11420"/>
          </w:cols>
          <w:pgMar w:left="240" w:top="125" w:right="239" w:bottom="0" w:gutter="0" w:footer="0" w:header="0"/>
        </w:sectPr>
      </w:pPr>
    </w:p>
    <w:bookmarkStart w:id="24" w:name="page25"/>
    <w:bookmarkEnd w:id="24"/>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addition, financing by multiple lenders with security interests in common collateral or collateral that is interrelated by use or location may increase complexity and reduce flexibility in a debt restructuring of our indebtedness. In particular, the FF&amp;E lenders will have control of assets that are required for the ordinary course operations of Le Rêve. Thus, upon the occurrence of a default under the FF&amp;E facility, the FF&amp;E lenders may be able to prevent Le Rêve from operating. However, the lenders under the FF&amp;E facility will agree in the intercreditor agreement with the lenders under our credit facilities and the holders of the second mortgage notes, subject to specified limitations, upon default under such facility, not to exercise remedies for a period of up to 60 days before completion of Le Rêve or 45 days after completion of Le Rêve. However, we cannot assure you that the lenders under the FF&amp;E facility will respect such obligations or, even if they do respect such obligations, that such standstill period will be sufficient to restructure our indebtedness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fulfill our repurchase obligations with respect to the second mortgage notes upon a change of control.</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If we experience certain specific change of control events, we will be required to offer to repurchase all outstanding second mortgage notes at 101% of the principal amount of the second mortgage notes plus accrued and unpaid interest to the date of repurchase. We cannot assure you that we will have available funds sufficient to pay the change of control purchase price for any or all of the second mortgage notes that might be delivered by holders of the second mortgage notes seeking to accept the change of control offer. Moreover, under the indenture governing the second mortgage notes, certain important corporate events, such as leveraged recapitalizations that would increase the level of our indebtedness, would not constitute a "change of control" and thus would not give rise to any repurchase rights. See "Description of the Second Mortgage Notes—Repurchase at the Option of Holders—Change of Control" and "Description of Other Indebtedness—Credit Facilities."</w:t>
      </w:r>
    </w:p>
    <w:p>
      <w:pPr>
        <w:spacing w:after="0" w:line="195"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In addition, the credit facilities will contain, and any future credit agreement likely will contain, restrictions or prohibitions on our ability to repurchase the second mortgage notes 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the Second Mortgage Notes—Events of Default."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laws may significantly impair your rights to repossess and dispose of collateral securing the second mortgage notes.</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 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90"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use the funds in the second mortgage notes proceeds account as cash collateral if the debtor provided adequate protection for such use by granting replacement liens on other collateral, which might not consist of liquid assets.</w:t>
      </w:r>
    </w:p>
    <w:p>
      <w:pPr>
        <w:spacing w:after="0" w:line="193"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Factors that might bear on the recovery by the holders of the second mortgage notes in these circumstances, among others, would include:</w:t>
      </w:r>
    </w:p>
    <w:p>
      <w:pPr>
        <w:spacing w:after="0" w:line="239" w:lineRule="exact"/>
        <w:rPr>
          <w:sz w:val="20"/>
          <w:szCs w:val="20"/>
          <w:color w:val="auto"/>
        </w:rPr>
      </w:pPr>
    </w:p>
    <w:p>
      <w:pPr>
        <w:ind w:left="1080" w:right="22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with higher priority liens may seek, and perhaps receive, relief from the automatic stay to foreclose their respective liens;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lack of adequate protection of their liens and the collateral securing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mortgage notes as a basis for approving a motion or other relief approved by the lenders under the credit facilities. See "Intercreditor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rights under agreements serving as collateral for the second mortgage notes may be rejected in bankruptcy.</w:t>
      </w:r>
    </w:p>
    <w:p>
      <w:pPr>
        <w:sectPr>
          <w:pgSz w:w="11900" w:h="16838" w:orient="portrait"/>
          <w:cols w:equalWidth="0" w:num="1">
            <w:col w:w="11420"/>
          </w:cols>
          <w:pgMar w:left="240" w:top="125" w:right="239" w:bottom="0" w:gutter="0" w:footer="0" w:header="0"/>
        </w:sectPr>
      </w:pPr>
    </w:p>
    <w:bookmarkStart w:id="25" w:name="page26"/>
    <w:bookmarkEnd w:id="25"/>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 constitutes a lease of real property, the resulting claim of the lessor for damages resulting from termination may be capped pursuant to Section 502(b)(6) of the bankruptcy code.</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you to accept subordinated or other securities in exchange for the second mortgage notes, or substantive consolidation of us with Wynn Resorts in a bankruptcy in which Wynn Resorts was debtor. Regardless of the ultimate disposition of any of these or other motions or claims, we cannot assure you that during litigation of these issues our payments on the second mortgage notes would be paid in full or on time.</w:t>
      </w:r>
    </w:p>
    <w:p>
      <w:pPr>
        <w:spacing w:after="0" w:line="1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72" w:lineRule="exact"/>
        <w:rPr>
          <w:sz w:val="20"/>
          <w:szCs w:val="20"/>
          <w:color w:val="auto"/>
        </w:rPr>
      </w:pPr>
    </w:p>
    <w:p>
      <w:pPr>
        <w:ind w:right="20" w:firstLine="341"/>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we cannot assure you that a bankruptcy court would agree in the event that any of Wynn Resorts, Valvino or any such other affiliates becomes a debtor under the bankruptcy code. If a bankruptcy court concludes that substantive consolidation of Wynn Las Vegas or Wynn Capital with any affiliated party referred to in the first sentence of this paragraph is warranted, the risks described above under "Bankruptcy laws may significantly impair your rights to repossess and dispose of collateral securing the second mortgage notes" would apply as a result of such bankruptcy filing, notwithstanding that Wynn Las Vegas is successfully operating Le Rêve and is able to pay its obligations as they become due. If substantive consolidation is ordered, payments on the second mortgage notes could be delayed or reduced.</w:t>
      </w:r>
    </w:p>
    <w:p>
      <w:pPr>
        <w:spacing w:after="0" w:line="19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If earnings or leverage and ratings tests specified in the second mortgage notes indenture are met, the note holders' liens on some of the real property collateral will be released.</w:t>
      </w:r>
    </w:p>
    <w:p>
      <w:pPr>
        <w:spacing w:after="0" w:line="172"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liens on all of the golf course land and the related water rights will be released after the third anniversary of commencing operations at Le Reve if we achieve a ratio of total debt to earnings before interest, tax, depreciation and amortization of 3.0 to 1.0 or less and if the indebtedness under our credit facilities is rated BB+ or higher by Standard &amp; Poor's and Ba1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higher by Moody's Investors Service both before and after giving effect to the release of those liens.</w:t>
      </w:r>
    </w:p>
    <w:p>
      <w:pPr>
        <w:spacing w:after="0" w:line="225"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security interests in two acres of the golf course land will be released to allow the construction of a home for Mr. Wynn if the purchase price paid by Mr. Wynn is at least equal to the fair market value of that land, the sale proceeds are contributed by Wynn Resorts Holdings to Wynn Las Vegas as a capital contribution, and the construction of Mr. Wynn's home will not interfere with the design, construction, operation or use of the remainder of the golf course land as a golf course.</w:t>
      </w:r>
    </w:p>
    <w:p>
      <w:pPr>
        <w:spacing w:after="0" w:line="190"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Once these security interests are released, the released golf course land will not be available as security for the second mortgage notes. See "—Risks Related to Our Substantial Indebtedness—Our indebtedness will be secured by a substantial portion, but not all, of our assets."</w:t>
      </w:r>
    </w:p>
    <w:p>
      <w:pPr>
        <w:spacing w:after="0" w:line="172" w:lineRule="exact"/>
        <w:rPr>
          <w:sz w:val="20"/>
          <w:szCs w:val="20"/>
          <w:color w:val="auto"/>
        </w:rPr>
      </w:pPr>
    </w:p>
    <w:p>
      <w:pPr>
        <w:ind w:right="520"/>
        <w:spacing w:after="0" w:line="264" w:lineRule="auto"/>
        <w:rPr>
          <w:sz w:val="20"/>
          <w:szCs w:val="20"/>
          <w:color w:val="auto"/>
        </w:rPr>
      </w:pPr>
      <w:r>
        <w:rPr>
          <w:rFonts w:ascii="Times New Roman" w:cs="Times New Roman" w:eastAsia="Times New Roman" w:hAnsi="Times New Roman"/>
          <w:sz w:val="18"/>
          <w:szCs w:val="18"/>
          <w:b w:val="1"/>
          <w:bCs w:val="1"/>
          <w:color w:val="auto"/>
        </w:rPr>
        <w:t>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83"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liens securing the second mortgage notes in the phase II land and in certain portions of the golf course land will be automatically released if the lenders under the credit facilities release their first priority liens on the phase II land or those portions of the golf course land. Although the credit facilities will specify earnings tests that need to be satisfied before the lenders can release their liens in that collateral, the lenders under the credit facilities will be free to amend or waive those tests at any time. The interests of the lenders may be different than those of the second mortgage note holders, and investors should not rely on the lenders to act in the note holders' interests.</w:t>
      </w:r>
    </w:p>
    <w:p>
      <w:pPr>
        <w:spacing w:after="0" w:line="19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72" w:lineRule="exact"/>
        <w:rPr>
          <w:sz w:val="20"/>
          <w:szCs w:val="20"/>
          <w:color w:val="auto"/>
        </w:rPr>
      </w:pPr>
    </w:p>
    <w:p>
      <w:pPr>
        <w:jc w:val="both"/>
        <w:ind w:right="240" w:firstLine="351"/>
        <w:spacing w:after="0" w:line="258" w:lineRule="auto"/>
        <w:rPr>
          <w:sz w:val="20"/>
          <w:szCs w:val="20"/>
          <w:color w:val="auto"/>
        </w:rPr>
      </w:pPr>
      <w:r>
        <w:rPr>
          <w:rFonts w:ascii="Times New Roman" w:cs="Times New Roman" w:eastAsia="Times New Roman" w:hAnsi="Times New Roman"/>
          <w:sz w:val="18"/>
          <w:szCs w:val="18"/>
          <w:color w:val="auto"/>
        </w:rPr>
        <w:t>Our creditors or the creditors of our guarantors could challenge the second mortgage note guarantees and the liens securing those guarantees as fraudulent conveyances or on other grounds. Under the federal bankruptcy law and comparable provisions of state fraudulent transfer laws, the delivery of the guarantees and the grant of the second priority liens securing the guarantees could be avoided as fraudulent transfers if a court determined that the guarantor, at the time it incurred the indebtedness evidenced by its guarantee or granted its lien:</w:t>
      </w:r>
    </w:p>
    <w:p>
      <w:pPr>
        <w:spacing w:after="0" w:line="204"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the guarantee or granted the lien with the intent to hinder, delay or defraud its existing or future creditors; or</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did not receive fair consideration for the delivery of the guarantee and the incurrence of the lien, and if the guarantor: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at the time it delivered the guarantee or granted the lien;</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guarantor's remaining assets constituted unreasonably small capital; 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ectPr>
          <w:pgSz w:w="11900" w:h="16838" w:orient="portrait"/>
          <w:cols w:equalWidth="0" w:num="1">
            <w:col w:w="11420"/>
          </w:cols>
          <w:pgMar w:left="240" w:top="125" w:right="239" w:bottom="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If the guarantees were avoided or limited under fraudulent transfer or other laws, any claim you may make against us for amounts payable on the second mortgage notes would be effectively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90"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87"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of its assets;</w:t>
      </w:r>
    </w:p>
    <w:p>
      <w:pPr>
        <w:spacing w:after="0" w:line="252"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225" w:lineRule="exact"/>
        <w:rPr>
          <w:sz w:val="20"/>
          <w:szCs w:val="20"/>
          <w:color w:val="auto"/>
        </w:rPr>
      </w:pPr>
    </w:p>
    <w:p>
      <w:pPr>
        <w:ind w:right="720" w:firstLine="348"/>
        <w:spacing w:after="0" w:line="275" w:lineRule="auto"/>
        <w:rPr>
          <w:sz w:val="20"/>
          <w:szCs w:val="20"/>
          <w:color w:val="auto"/>
        </w:rPr>
      </w:pPr>
      <w:r>
        <w:rPr>
          <w:rFonts w:ascii="Times New Roman" w:cs="Times New Roman" w:eastAsia="Times New Roman" w:hAnsi="Times New Roman"/>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additional guarantees or liens on collateral provided after the second mortgage notes are issued could also be avoided as preferential transfers.</w:t>
      </w:r>
    </w:p>
    <w:p>
      <w:pPr>
        <w:spacing w:after="0" w:line="227" w:lineRule="exact"/>
        <w:rPr>
          <w:sz w:val="20"/>
          <w:szCs w:val="20"/>
          <w:color w:val="auto"/>
        </w:rPr>
      </w:pPr>
    </w:p>
    <w:p>
      <w:pPr>
        <w:ind w:right="140" w:firstLine="348"/>
        <w:spacing w:after="0" w:line="301" w:lineRule="auto"/>
        <w:rPr>
          <w:sz w:val="20"/>
          <w:szCs w:val="20"/>
          <w:color w:val="auto"/>
        </w:rPr>
      </w:pPr>
      <w:r>
        <w:rPr>
          <w:rFonts w:ascii="Times New Roman" w:cs="Times New Roman" w:eastAsia="Times New Roman" w:hAnsi="Times New Roman"/>
          <w:sz w:val="16"/>
          <w:szCs w:val="16"/>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that we and the existing guarantors acquire after the second mortgage notes are issued. If any new guarantor, or any issuer or guarantor providing new collateral for the second mortgage notes, is insolvent or anticipates insolvency at the time the guarantee or lien is granted, the guarantee or lien, as applicable, could be avoided as a preferential transfer.</w:t>
      </w:r>
    </w:p>
    <w:p>
      <w:pPr>
        <w:spacing w:after="0" w:line="155"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72"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 fund payments in respect of the second mortgage notes. Accordingly, we may not be able to rely on the cash flow or assets of unrestricted subsidiaries to pay any of our indebtedness, including the second mortgage notes.</w:t>
      </w:r>
    </w:p>
    <w:p>
      <w:pPr>
        <w:spacing w:after="0" w:line="188"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The collateral securing the second mortgage notes includes real property and, as a result, holders of the second mortgage notes may be subject to certain environmental risks.</w:t>
      </w:r>
    </w:p>
    <w:p>
      <w:pPr>
        <w:spacing w:after="0" w:line="172"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for the costs of remediating a release of, or preventing a threatened release of, hazardous substances at a mortgaged property. There may be similar risks under state laws or common law theories.</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public market for the second mortgage notes, and we cannot assure you that a market for the second mortgage notes will develop.</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second mortgage notes are a new issue of securities for which there is currently no active trading market. We do not intend to file an application to have the second mortgage notes listed on any securities exchange or included for quotation on any automated dealer quotation system. Although the underwriters have informed us that they intend to make a market in the second mortgage notes as over-the-counter securities that are not traded on an exchange, they have no obligation to do so and may discontinue their market-making activity at any time without notice.</w:t>
      </w:r>
    </w:p>
    <w:p>
      <w:pPr>
        <w:spacing w:after="0" w:line="190"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officers, directors and substantial stockholders of Wynn Resorts may be able to exert significant control over its and our future direction.</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ectPr>
          <w:pgSz w:w="11900" w:h="16838" w:orient="portrait"/>
          <w:cols w:equalWidth="0" w:num="1">
            <w:col w:w="11420"/>
          </w:cols>
          <w:pgMar w:left="240" w:top="125" w:right="239" w:bottom="0" w:gutter="0" w:footer="0" w:header="0"/>
        </w:sectPr>
      </w:pPr>
    </w:p>
    <w:bookmarkStart w:id="27" w:name="page28"/>
    <w:bookmarkEnd w:id="27"/>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After this offering and the offering of Wynn Resorts' common stock,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86" w:lineRule="exact"/>
        <w:rPr>
          <w:sz w:val="20"/>
          <w:szCs w:val="20"/>
          <w:color w:val="auto"/>
        </w:rPr>
      </w:pPr>
    </w:p>
    <w:p>
      <w:pPr>
        <w:jc w:val="both"/>
        <w:ind w:right="340" w:firstLine="351"/>
        <w:spacing w:after="0" w:line="310" w:lineRule="auto"/>
        <w:rPr>
          <w:sz w:val="20"/>
          <w:szCs w:val="20"/>
          <w:color w:val="auto"/>
        </w:rPr>
      </w:pPr>
      <w:r>
        <w:rPr>
          <w:rFonts w:ascii="Times New Roman" w:cs="Times New Roman" w:eastAsia="Times New Roman" w:hAnsi="Times New Roman"/>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voting arrangement, Mr. Wynn will, as a practical matter, control Wynn Resorts' board of directors.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redeem your second mortgage notes due to regulatory considerations, either as required by gaming authorities or in our discretion.</w:t>
      </w:r>
    </w:p>
    <w:p>
      <w:pPr>
        <w:spacing w:after="0" w:line="227"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indenture will grant us the power to redeem the second mortgage notes from a person who owns or controls these second mortgage notes if any governmental gaming authority requires a holder or beneficial owner of second mortgage notes to be licensed, qualified or found suitable under any applicable gaming law and:</w:t>
      </w:r>
    </w:p>
    <w:p>
      <w:pPr>
        <w:spacing w:after="0" w:line="200" w:lineRule="exact"/>
        <w:rPr>
          <w:sz w:val="20"/>
          <w:szCs w:val="20"/>
          <w:color w:val="auto"/>
        </w:rPr>
      </w:pPr>
    </w:p>
    <w:p>
      <w:pPr>
        <w:ind w:left="1080" w:right="10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fails to apply for a license, qualification or finding of suitability within 30 days after being requested to do so (or such lesser period as required by the relevant governmental gaming authority)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determined by a governmental gaming authority to be unsuitable to own or control the second mortgage notes.</w:t>
      </w:r>
    </w:p>
    <w:p>
      <w:pPr>
        <w:spacing w:after="0" w:line="22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Under the foregoing circumstances, under the indenture, we will be able to redeem, and if required by the applicable gaming authority, we must redeem, that person's second mortgage notes to the extent required by the gaming authority or deemed necessary or advisable by us. The redemption price will be, in each case, together with accrued and unpaid interest on the second mortgage note, equal to:</w:t>
      </w:r>
    </w:p>
    <w:p>
      <w:pPr>
        <w:spacing w:after="0" w:line="200"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determined by the governmental gaming authority or</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governmental gaming authority does not determine a price, the lesser of (1) the principal amount of the second mortgage notes and (2) the price that the holder or beneficial owner paid for the second mortgage notes.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3" w:lineRule="exact"/>
        <w:rPr>
          <w:sz w:val="20"/>
          <w:szCs w:val="20"/>
          <w:color w:val="auto"/>
        </w:rPr>
      </w:pPr>
    </w:p>
    <w:p>
      <w:pPr>
        <w:ind w:right="200" w:firstLine="341"/>
        <w:spacing w:after="0" w:line="254"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22"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relating to our business strategy;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relating to our development, construction and operation of Le Rêve;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concerning future operations, margins, profitability, liquidity and capital resources;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plans, including with respect to Wynn Macau's opportunity to develop one or more casinos in Macau.</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200"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entering into a new venture and new construction, including our ability to construct and open Le Rêve on time and on budget;</w:t>
      </w:r>
    </w:p>
    <w:p>
      <w:pPr>
        <w:spacing w:after="0" w:line="248" w:lineRule="exact"/>
        <w:rPr>
          <w:rFonts w:ascii="Times New Roman" w:cs="Times New Roman" w:eastAsia="Times New Roman" w:hAnsi="Times New Roman"/>
          <w:sz w:val="16"/>
          <w:szCs w:val="16"/>
          <w:color w:val="auto"/>
        </w:rPr>
      </w:pPr>
    </w:p>
    <w:p>
      <w:pPr>
        <w:spacing w:after="0"/>
        <w:tabs>
          <w:tab w:leader="none" w:pos="0" w:val="left"/>
        </w:tabs>
        <w:numPr>
          <w:ilvl w:val="0"/>
          <w:numId w:val="50"/>
        </w:numPr>
        <w:rPr>
          <w:rFonts w:ascii="Times New Roman" w:cs="Times New Roman" w:eastAsia="Times New Roman" w:hAnsi="Times New Roman"/>
          <w:sz w:val="18"/>
          <w:szCs w:val="18"/>
          <w:color w:val="auto"/>
        </w:rPr>
      </w:pPr>
    </w:p>
    <w:p>
      <w:pPr>
        <w:sectPr>
          <w:pgSz w:w="11900" w:h="16838" w:orient="portrait"/>
          <w:cols w:equalWidth="0" w:num="1">
            <w:col w:w="11420"/>
          </w:cols>
          <w:pgMar w:left="240" w:top="125" w:right="239" w:bottom="0" w:gutter="0" w:footer="0" w:header="0"/>
        </w:sectPr>
      </w:pPr>
    </w:p>
    <w:bookmarkStart w:id="28" w:name="page29"/>
    <w:bookmarkEnd w:id="28"/>
    <w:p>
      <w:pPr>
        <w:ind w:left="1080"/>
        <w:spacing w:after="0"/>
        <w:rPr>
          <w:sz w:val="20"/>
          <w:szCs w:val="20"/>
          <w:color w:val="auto"/>
        </w:rPr>
      </w:pPr>
      <w:r>
        <w:rPr>
          <w:rFonts w:ascii="Times New Roman" w:cs="Times New Roman" w:eastAsia="Times New Roman" w:hAnsi="Times New Roman"/>
          <w:sz w:val="18"/>
          <w:szCs w:val="18"/>
          <w:color w:val="auto"/>
        </w:rPr>
        <w:t>competition and other planned construction in Las Vegas;</w:t>
      </w:r>
    </w:p>
    <w:p>
      <w:pPr>
        <w:spacing w:after="0" w:line="239"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casino spending and vacationing in hotel casino resorts in Las Vegas;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rates and average room rates in Las Vegas;</w:t>
      </w:r>
    </w:p>
    <w:p>
      <w:pPr>
        <w:spacing w:after="0" w:line="238"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high-end, entertainment-related hotel and destination casino resorts in Las Vegas and changing resort preferences among high-end customers;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economic, credit and capital market conditions;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obligations, including sensitivity to fluctuations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for licenses and approvals under applicable laws and regulations, including gaming laws and regulations;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or expansion of gaming in certain jurisdictions;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of pending litigation or the possibility of new litigation;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Macau's new gaming regulatory framework;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these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any future security alerts and/or terrorist attacks such as the attacks that occurred on September 11, 2001;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700" w:firstLine="348"/>
        <w:spacing w:after="0" w:line="275" w:lineRule="auto"/>
        <w:rPr>
          <w:sz w:val="20"/>
          <w:szCs w:val="20"/>
          <w:color w:val="auto"/>
        </w:rPr>
      </w:pPr>
      <w:r>
        <w:rPr>
          <w:rFonts w:ascii="Times New Roman" w:cs="Times New Roman" w:eastAsia="Times New Roman" w:hAnsi="Times New Roman"/>
          <w:sz w:val="18"/>
          <w:szCs w:val="18"/>
          <w:color w:val="auto"/>
        </w:rPr>
        <w:t>We expect to receive approximately $335.7 million in net proceeds from this offering, after deducting underwriting discounts and commissions and estimated offering expenses.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Concurrent with the consummation of this offering:</w:t>
      </w:r>
    </w:p>
    <w:p>
      <w:pPr>
        <w:spacing w:after="0" w:line="239" w:lineRule="exact"/>
        <w:rPr>
          <w:sz w:val="20"/>
          <w:szCs w:val="20"/>
          <w:color w:val="auto"/>
        </w:rPr>
      </w:pPr>
    </w:p>
    <w:p>
      <w:pPr>
        <w:ind w:left="1080" w:hanging="532"/>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will consummate an initial public offering of its common stock. We expect Wynn Resorts to raise approximately $445 million in gross proceeds for its initial public offering (based on the number of shares and an assumed offering price equal to the mid-point of the price range set forth on the cover of the preliminary prospectus relating thereto). Wynn Resorts will contribute to Wynn Las Vegas that portion of its existing cash plus approximately $363.5 million of the net proceeds from the initial public offering, together with borrowings under our indebtedness, necessary to fund the project costs of Le Rêve. Additionally, if the underwriters for the initial public offering exercise their over-allotment option in full, we expect Wynn Resorts' net proceeds from the over-allotment exercise to be approximately $62 million. Wynn Resorts may, at its option, contribute those funds to us for our use, but is under no obligation to do so; and</w:t>
      </w:r>
    </w:p>
    <w:p>
      <w:pPr>
        <w:spacing w:after="0" w:line="222" w:lineRule="exact"/>
        <w:rPr>
          <w:rFonts w:ascii="Times New Roman" w:cs="Times New Roman" w:eastAsia="Times New Roman" w:hAnsi="Times New Roman"/>
          <w:sz w:val="18"/>
          <w:szCs w:val="18"/>
          <w:color w:val="auto"/>
        </w:rPr>
      </w:pPr>
    </w:p>
    <w:p>
      <w:pPr>
        <w:jc w:val="both"/>
        <w:ind w:left="1080" w:right="20" w:hanging="532"/>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 $750.0 million revolving credit facility, a $250.0 million delay draw term loan facility and a $178.5 million FF&amp;E facility. We have received commitments for the credit facility, and the delay draw term loan facility and have entered into an engagement letter with respect to the FF&amp;E facility, which is currently being syndicated. See "Description of Other Indebtedness."</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equity contributions from Wynn Resorts' initial public offering proceeds and existing cash on hand,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 We expect to begin to request disbursements of the second mortgage note proceeds, subject to satisfaction of the conditions in the disbursement agreement, approximately ten to twelve months after the consummation of this offering.</w:t>
      </w:r>
    </w:p>
    <w:p>
      <w:pPr>
        <w:spacing w:after="0" w:line="19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86"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and "Management's Discussion and Analysis of Financial Condition and Results of Operations."</w:t>
      </w:r>
    </w:p>
    <w:p>
      <w:pPr>
        <w:sectPr>
          <w:pgSz w:w="11900" w:h="16838" w:orient="portrait"/>
          <w:cols w:equalWidth="0" w:num="1">
            <w:col w:w="11400"/>
          </w:cols>
          <w:pgMar w:left="240" w:top="125" w:right="25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net proceeds from this offering will be used to fund the initial phases of construction, including contractor monthly payment applications, design fees and operational payroll.</w:t>
      </w:r>
    </w:p>
    <w:p>
      <w:pPr>
        <w:spacing w:after="0" w:line="174"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estimated sources and uses by Wynn Las Vegas and the guarantor entities, of funds to design, develop, construct, equip and open Le Rêve and for other operations related primarily to the Le Rêve project. The table includes all sources of funds and uses of funds since the inception of Valvino and its subsidiaries. The table assumes that the financing transactions, including this offering, close on September 30, 2002. For purposes of calculating total construction costs, the revolving credit facility balance and interest and commitment fees, this table also includes certain final construction cost payments that we assume will be made after the opening of Le Rêve.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Sources (in millions)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Uses (in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 costs: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 draw term loan facility</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Marnell Corrao contract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FF&amp;E facility</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Interior design, related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mortgage notes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signage and electronic</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contributions (1)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systems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 and engineering fees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Golf course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Parking garage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Government approvals &amp;</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13.8</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capital projects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Construction period utilities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&amp; security</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contingency (4)</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construction costs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and buildings (5)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Owner-acquired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Entertainment production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expenditures (6)</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gridSpan w:val="2"/>
          </w:tcPr>
          <w:p>
            <w:pPr>
              <w:ind w:left="220"/>
              <w:spacing w:after="0" w:line="201" w:lineRule="exact"/>
              <w:rPr>
                <w:sz w:val="20"/>
                <w:szCs w:val="20"/>
                <w:color w:val="auto"/>
              </w:rPr>
            </w:pPr>
            <w:r>
              <w:rPr>
                <w:rFonts w:ascii="Times New Roman" w:cs="Times New Roman" w:eastAsia="Times New Roman" w:hAnsi="Times New Roman"/>
                <w:sz w:val="18"/>
                <w:szCs w:val="18"/>
                <w:color w:val="auto"/>
              </w:rPr>
              <w:t>Aircraft acquisition and loan</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repayment (7)</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commitment fees (8)</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Working capital needs at opening</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Construction completion guarantee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Liquidity reserve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fees and expenses (9)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Sources</w:t>
            </w: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22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Uses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-4627880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-4627880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-4627880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300" w:hanging="532"/>
        <w:spacing w:after="0" w:line="187" w:lineRule="auto"/>
        <w:tabs>
          <w:tab w:leader="none" w:pos="540" w:val="left"/>
        </w:tabs>
        <w:numPr>
          <w:ilvl w:val="0"/>
          <w:numId w:val="5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contributions of (a) approximately $562.3 million of Valvino member net contributions from inception and (b) approximately $363.5 million of the anticipated net proceeds from Wynn Resorts' initial public offering.</w:t>
      </w:r>
    </w:p>
    <w:p>
      <w:pPr>
        <w:spacing w:after="0" w:line="82" w:lineRule="exact"/>
        <w:rPr>
          <w:rFonts w:ascii="Times New Roman" w:cs="Times New Roman" w:eastAsia="Times New Roman" w:hAnsi="Times New Roman"/>
          <w:sz w:val="24"/>
          <w:szCs w:val="24"/>
          <w:color w:val="auto"/>
          <w:vertAlign w:val="subscript"/>
        </w:rPr>
      </w:pPr>
    </w:p>
    <w:p>
      <w:pPr>
        <w:ind w:left="540" w:right="80" w:hanging="532"/>
        <w:spacing w:after="0" w:line="189" w:lineRule="auto"/>
        <w:tabs>
          <w:tab w:leader="none" w:pos="540" w:val="left"/>
        </w:tabs>
        <w:numPr>
          <w:ilvl w:val="0"/>
          <w:numId w:val="54"/>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540" w:right="80" w:hanging="532"/>
        <w:spacing w:after="0" w:line="187" w:lineRule="auto"/>
        <w:tabs>
          <w:tab w:leader="none" w:pos="540" w:val="left"/>
        </w:tabs>
        <w:numPr>
          <w:ilvl w:val="0"/>
          <w:numId w:val="5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Consists of net income from incidental operations, including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69" w:lineRule="exact"/>
        <w:rPr>
          <w:rFonts w:ascii="Times New Roman" w:cs="Times New Roman" w:eastAsia="Times New Roman" w:hAnsi="Times New Roman"/>
          <w:sz w:val="24"/>
          <w:szCs w:val="24"/>
          <w:color w:val="auto"/>
          <w:vertAlign w:val="subscript"/>
        </w:rPr>
      </w:pPr>
    </w:p>
    <w:p>
      <w:pPr>
        <w:ind w:left="540" w:right="500" w:hanging="532"/>
        <w:spacing w:after="0" w:line="187" w:lineRule="auto"/>
        <w:tabs>
          <w:tab w:leader="none" w:pos="540" w:val="left"/>
        </w:tabs>
        <w:numPr>
          <w:ilvl w:val="0"/>
          <w:numId w:val="5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98" w:lineRule="auto"/>
        <w:tabs>
          <w:tab w:leader="none" w:pos="540" w:val="left"/>
        </w:tabs>
        <w:numPr>
          <w:ilvl w:val="0"/>
          <w:numId w:val="5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amounts previously expended to acquire land for the project, including the golf course land, buildings and water rights.</w:t>
      </w:r>
    </w:p>
    <w:p>
      <w:pPr>
        <w:spacing w:after="0" w:line="40"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55"/>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Consists primarily of operating costs of the previous facility at the site before closure of that facility and facility closure expenditures.</w:t>
      </w:r>
    </w:p>
    <w:p>
      <w:pPr>
        <w:spacing w:after="0" w:line="69" w:lineRule="exact"/>
        <w:rPr>
          <w:rFonts w:ascii="Times New Roman" w:cs="Times New Roman" w:eastAsia="Times New Roman" w:hAnsi="Times New Roman"/>
          <w:sz w:val="23"/>
          <w:szCs w:val="23"/>
          <w:color w:val="auto"/>
          <w:vertAlign w:val="subscript"/>
        </w:rPr>
      </w:pPr>
    </w:p>
    <w:p>
      <w:pPr>
        <w:ind w:left="540" w:right="140" w:hanging="532"/>
        <w:spacing w:after="0" w:line="187" w:lineRule="auto"/>
        <w:tabs>
          <w:tab w:leader="none" w:pos="540" w:val="left"/>
        </w:tabs>
        <w:numPr>
          <w:ilvl w:val="0"/>
          <w:numId w:val="5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principal and interest payments on the Bank of America loan anticipated to be made prior to the closing of this offering. Borrowings under the FF&amp;E facility, but not proceeds from this offering, will be used to repay the outstanding balance of this loan.</w:t>
      </w:r>
    </w:p>
    <w:p>
      <w:pPr>
        <w:spacing w:after="0" w:line="84" w:lineRule="exact"/>
        <w:rPr>
          <w:rFonts w:ascii="Times New Roman" w:cs="Times New Roman" w:eastAsia="Times New Roman" w:hAnsi="Times New Roman"/>
          <w:sz w:val="27"/>
          <w:szCs w:val="27"/>
          <w:color w:val="auto"/>
          <w:vertAlign w:val="subscript"/>
        </w:rPr>
      </w:pPr>
    </w:p>
    <w:p>
      <w:pPr>
        <w:ind w:left="540" w:right="300" w:hanging="532"/>
        <w:spacing w:after="0" w:line="189" w:lineRule="auto"/>
        <w:tabs>
          <w:tab w:leader="none" w:pos="540" w:val="left"/>
        </w:tabs>
        <w:numPr>
          <w:ilvl w:val="0"/>
          <w:numId w:val="5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Includes interest expense on the second mortgage notes, and expected interest expense and commitment fees on the revolving credit facility, the delay draw term loan facility and the FF&amp;E facility through the scheduled opening date.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ind w:left="540" w:hanging="532"/>
        <w:spacing w:after="0" w:line="187" w:lineRule="auto"/>
        <w:tabs>
          <w:tab w:leader="none" w:pos="540" w:val="left"/>
        </w:tabs>
        <w:numPr>
          <w:ilvl w:val="0"/>
          <w:numId w:val="5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fees and expenses related to (a) this offering and (b) the revolving credit facility, the delay draw term loan facility and the FF&amp;E facility.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CAPITALIZATION</w:t>
      </w:r>
    </w:p>
    <w:p>
      <w:pPr>
        <w:sectPr>
          <w:pgSz w:w="11900" w:h="16838" w:orient="portrait"/>
          <w:cols w:equalWidth="0" w:num="1">
            <w:col w:w="11420"/>
          </w:cols>
          <w:pgMar w:left="240" w:top="125" w:right="239" w:bottom="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capitalization of Wynn Las Vegas, Wynn Capital and the guarantors of the second mortgage notes as of June 30, 2002:</w:t>
      </w:r>
    </w:p>
    <w:p>
      <w:pPr>
        <w:spacing w:after="0" w:line="239"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36"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on the closing date of this offering to the sale of $350 million in aggregate principal amount of the second mortgage notes in this offering and the expected contributions by Wynn Resorts to Wynn Las Vegas of $363.5 million in net proceeds from Wynn Resorts' initial public offering; and</w:t>
      </w:r>
    </w:p>
    <w:p>
      <w:pPr>
        <w:spacing w:after="0" w:line="1"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once all of the funding under the revolving credit facility, the delay draw term loan, the second mortgage note offering, the FF&amp;E facility and the contributions from Wynn Resorts expected to be necessary for the construction of Le Rêve has occurred. See "Use of Proceeds." We have assumed that approximately $707.1 million of the $750 million revolving credit facility will be drawn for the construction of Le Rêve.</w:t>
      </w:r>
    </w:p>
    <w:p>
      <w:pPr>
        <w:spacing w:after="0" w:line="190" w:lineRule="exact"/>
        <w:rPr>
          <w:sz w:val="20"/>
          <w:szCs w:val="20"/>
          <w:color w:val="auto"/>
        </w:rPr>
      </w:pPr>
    </w:p>
    <w:p>
      <w:pPr>
        <w:ind w:right="100" w:firstLine="345"/>
        <w:spacing w:after="0" w:line="275" w:lineRule="auto"/>
        <w:rPr>
          <w:sz w:val="20"/>
          <w:szCs w:val="20"/>
          <w:color w:val="auto"/>
        </w:rPr>
      </w:pPr>
      <w:r>
        <w:rPr>
          <w:rFonts w:ascii="Times New Roman" w:cs="Times New Roman" w:eastAsia="Times New Roman" w:hAnsi="Times New Roman"/>
          <w:sz w:val="18"/>
          <w:szCs w:val="18"/>
          <w:color w:val="auto"/>
        </w:rPr>
        <w:t>You should read this table in conjunction with "Management's Discussion and Analysis of Financial Condition and Results of Operations" and our financial statements and the accompanying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June 30, 2002</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Pro Forma for the</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Second Mortgage</w:t>
            </w:r>
          </w:p>
        </w:tc>
        <w:tc>
          <w:tcPr>
            <w:tcW w:w="15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Note Offering</w:t>
            </w:r>
          </w:p>
        </w:tc>
        <w:tc>
          <w:tcPr>
            <w:tcW w:w="15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Borrowings Expected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Capital</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 Necessary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5"/>
                <w:szCs w:val="15"/>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Delay draw term loan facility</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FF&amp;E facility(1)</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mortgage notes</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debt(1)(2)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Contributed capital(3)</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 (Excluding Non-Guarantors)(4)</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-3230245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-3230245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-2604135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-2604135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-2604135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-2604135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-2604135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-2604135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-1540510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-1540510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-1540510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-1540510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-1540510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-1540510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-786130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-786130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-786130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-786130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-786130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-786130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-477520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-477520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-477520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-477520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-477520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-477520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500" w:hanging="532"/>
        <w:spacing w:after="0" w:line="235" w:lineRule="auto"/>
        <w:tabs>
          <w:tab w:leader="none" w:pos="540" w:val="left"/>
        </w:tabs>
        <w:numPr>
          <w:ilvl w:val="0"/>
          <w:numId w:val="57"/>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Wynn Las Vegas intends to use approximately $28.5 million of borrowings under the FF&amp;E facility to refinance a loan made by Bank of America, N.A. to World Travel, LLC, a wholly owned subsidiary of Valvino.</w:t>
      </w:r>
    </w:p>
    <w:p>
      <w:pPr>
        <w:ind w:left="540" w:hanging="532"/>
        <w:spacing w:after="0" w:line="183" w:lineRule="auto"/>
        <w:tabs>
          <w:tab w:leader="none" w:pos="540" w:val="left"/>
        </w:tabs>
        <w:numPr>
          <w:ilvl w:val="0"/>
          <w:numId w:val="5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Includes a $28.5 million loan outstanding from World Travel, LLC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w:t>
      </w:r>
    </w:p>
    <w:p>
      <w:pPr>
        <w:spacing w:after="0" w:line="191" w:lineRule="exact"/>
        <w:rPr>
          <w:rFonts w:ascii="Times New Roman" w:cs="Times New Roman" w:eastAsia="Times New Roman" w:hAnsi="Times New Roman"/>
          <w:sz w:val="26"/>
          <w:szCs w:val="26"/>
          <w:color w:val="auto"/>
          <w:vertAlign w:val="subscript"/>
        </w:rPr>
      </w:pPr>
    </w:p>
    <w:p>
      <w:pPr>
        <w:ind w:left="540" w:right="300"/>
        <w:spacing w:after="0" w:line="241" w:lineRule="auto"/>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4"/>
          <w:szCs w:val="14"/>
          <w:color w:val="auto"/>
        </w:rPr>
        <w:t>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ind w:left="540" w:hanging="532"/>
        <w:spacing w:after="0" w:line="189" w:lineRule="auto"/>
        <w:tabs>
          <w:tab w:leader="none" w:pos="540" w:val="left"/>
        </w:tabs>
        <w:numPr>
          <w:ilvl w:val="0"/>
          <w:numId w:val="57"/>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Contributed capital on a pro forma basis includes the expected contributions by Wynn Resorts to Wynn Las Vegas of $363.5 million in net proceeds from Wynn Resorts' initial public offering.</w:t>
      </w:r>
    </w:p>
    <w:p>
      <w:pPr>
        <w:ind w:left="540" w:right="400" w:hanging="532"/>
        <w:spacing w:after="0" w:line="184" w:lineRule="auto"/>
        <w:tabs>
          <w:tab w:leader="none" w:pos="540" w:val="left"/>
        </w:tabs>
        <w:numPr>
          <w:ilvl w:val="0"/>
          <w:numId w:val="5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Excludes members' equity of approximately $20.8 million of the non-guarantor subsidiaries Valvino had as of June 30, 2002, including Wynn Macau. For more information on the non-guarantor entities, see Note 11 to the financial statements included in this prospectus.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PRINCIPAL STOCKHOLDERS OF WYNN RESORTS</w:t>
      </w:r>
    </w:p>
    <w:p>
      <w:pPr>
        <w:spacing w:after="0" w:line="227"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8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A. Wynn. </w:t>
      </w:r>
      <w:r>
        <w:rPr>
          <w:rFonts w:ascii="Times New Roman" w:cs="Times New Roman" w:eastAsia="Times New Roman" w:hAnsi="Times New Roman"/>
          <w:sz w:val="18"/>
          <w:szCs w:val="18"/>
          <w:color w:val="auto"/>
        </w:rPr>
        <w:t>Mr. Wynn has more than thirty years of experience in the gaming, hotel and tourism industries as a designer, developer and operator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hotel casino resorts. From 1973 until 2000, Mr. Wynn served as the Chairman of the Board, President and Chief Executive Officer of Mirage Resorts and its predecessor.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ectPr>
          <w:pgSz w:w="11900" w:h="16838" w:orient="portrait"/>
          <w:cols w:equalWidth="0" w:num="1">
            <w:col w:w="11400"/>
          </w:cols>
          <w:pgMar w:left="240" w:top="125" w:right="259" w:bottom="189" w:gutter="0" w:footer="0" w:header="0"/>
        </w:sectPr>
      </w:pPr>
    </w:p>
    <w:bookmarkStart w:id="31" w:name="page32"/>
    <w:bookmarkEnd w:id="31"/>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86" w:lineRule="exact"/>
        <w:rPr>
          <w:sz w:val="20"/>
          <w:szCs w:val="20"/>
          <w:color w:val="auto"/>
        </w:rPr>
      </w:pPr>
    </w:p>
    <w:p>
      <w:pPr>
        <w:ind w:right="100" w:firstLine="3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Aruze USA. </w:t>
      </w:r>
      <w:r>
        <w:rPr>
          <w:rFonts w:ascii="Times New Roman" w:cs="Times New Roman" w:eastAsia="Times New Roman" w:hAnsi="Times New Roman"/>
          <w:sz w:val="18"/>
          <w:szCs w:val="18"/>
          <w:color w:val="auto"/>
        </w:rPr>
        <w:t>Aruze USA, a Nevada corporation, is a wholly owned subsidiary of Aruze Corp., a Japanese manufacturer of pachislot and pachinko machines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video game software. As of September 16, 2002, Aruze Corp. had a market capitalization of approximately ¥203 billion, or approximately $1.7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Baron Asset Fund. </w:t>
      </w:r>
      <w:r>
        <w:rPr>
          <w:rFonts w:ascii="Times New Roman" w:cs="Times New Roman" w:eastAsia="Times New Roman" w:hAnsi="Times New Roman"/>
          <w:sz w:val="18"/>
          <w:szCs w:val="18"/>
          <w:color w:val="auto"/>
        </w:rPr>
        <w:t>Baron Asset Fund, a Massachusetts business trust, is comprised of four fund series, each of which is a publicly traded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mutual fund managed by 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7" w:lineRule="exact"/>
        <w:rPr>
          <w:sz w:val="20"/>
          <w:szCs w:val="20"/>
          <w:color w:val="auto"/>
        </w:rPr>
      </w:pPr>
    </w:p>
    <w:p>
      <w:pPr>
        <w:ind w:right="180" w:firstLine="348"/>
        <w:spacing w:after="0" w:line="253" w:lineRule="auto"/>
        <w:rPr>
          <w:sz w:val="20"/>
          <w:szCs w:val="20"/>
          <w:color w:val="auto"/>
        </w:rPr>
      </w:pPr>
      <w:r>
        <w:rPr>
          <w:rFonts w:ascii="Times New Roman" w:cs="Times New Roman" w:eastAsia="Times New Roman" w:hAnsi="Times New Roman"/>
          <w:sz w:val="18"/>
          <w:szCs w:val="18"/>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97"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this offering, the current subsidiaries that will not guarantee the second mortgage notes, including Wynn Macau, will be transferred to Wynn Resorts and thus will no longer be subsidiaries of Valvino. Therefore, following this offering, the assets and operations of the restricted group will no longer include those of the non-guarantor entities.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lef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lef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80" w:type="dxa"/>
            <w:vAlign w:val="bottom"/>
            <w:gridSpan w:val="1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Stage</w:t>
            </w: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(70.37)</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December 31, 2000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 2001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gridSpan w:val="5"/>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gridSpan w:val="4"/>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gridSpan w:val="14"/>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Obligations(1)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6"/>
          </w:tcPr>
          <w:p>
            <w:pPr>
              <w:jc w:val="center"/>
              <w:ind w:left="3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40" w:type="dxa"/>
            <w:vAlign w:val="bottom"/>
            <w:gridSpan w:val="11"/>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0" w:type="dxa"/>
            <w:vAlign w:val="bottom"/>
            <w:gridSpan w:val="6"/>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2"/>
              </w:rPr>
              <w:t>2000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Cover Fixed Charges(2)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Deficiency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(9,155)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-3221355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-3221355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-3221355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-3221355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-3221355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-3221355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-3221355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-3221355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-3221355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-3221355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-1772285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-1772285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-1772285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-1772285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-1772285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-1772285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-443230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-443230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-443230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-443230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-443230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8"/>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the current portion of long-term debt.</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58"/>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For the periods presented, earnings were not sufficient to cover fixed charges and, accordingly, such ratios have not been presented.</w:t>
      </w:r>
    </w:p>
    <w:p>
      <w:pPr>
        <w:sectPr>
          <w:pgSz w:w="11900" w:h="16838" w:orient="portrait"/>
          <w:cols w:equalWidth="0" w:num="1">
            <w:col w:w="11520"/>
          </w:cols>
          <w:pgMar w:left="240" w:top="125" w:right="139" w:bottom="0" w:gutter="0" w:footer="0" w:header="0"/>
        </w:sectPr>
      </w:pP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520"/>
          </w:cols>
          <w:pgMar w:left="240" w:top="125" w:right="139" w:bottom="0" w:gutter="0" w:footer="0" w:header="0"/>
          <w:type w:val="continuous"/>
        </w:sectPr>
      </w:pPr>
    </w:p>
    <w:bookmarkStart w:id="32" w:name="page33"/>
    <w:bookmarkEnd w:id="32"/>
    <w:p>
      <w:pPr>
        <w:ind w:left="3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MANAGEMENT'S DISCUSSION AND ANALYSIS OF</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3"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historical financial statements and related notes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We have included the financial statements of Valvino in this prospectus. In September 2002, Wynn Resorts, an entity formed in June 2002, became the parent entity of Valvino when all of the members of Valvino contributed their membership interests to Wynn Resorts. Valvino has had no significant operations to date. In June 2000, Valvino acquired the Desert Inn Resort &amp; Casino assets from Starwood Hotels &amp; Resorts Worldwide, Inc. Valvino ceased operating the Desert Inn Resort &amp; Casino after approximately ten weeks. Valvino has demolished some of the buildings constituting the former Desert Inn Resort &amp; Casino hotel in anticipation of the construction of Le Rêve. The remaining structures have been and will continue to be utilized as offices at least through the completion of Le Rêve. Since Valvino ceased operating the Desert Inn Resort &amp; Casino, our efforts have been devoted principally to the development activities described below with respect to Le Rêve and Wynn Macau's opportunity in Macau. In addition, we continue to operate an art gallery displaying works from The Wynn Collection, which consists of artwork from the personal art collection of Stephen and Elaine Wynn. Until summer 2002, we operated the golf course located on the site of the former Desert Inn Resort &amp; Casino. Valvino's historical operating results will not be indicative of future operating results.</w:t>
      </w:r>
    </w:p>
    <w:p>
      <w:pPr>
        <w:spacing w:after="0" w:line="388" w:lineRule="exact"/>
        <w:rPr>
          <w:sz w:val="20"/>
          <w:szCs w:val="20"/>
          <w:color w:val="auto"/>
        </w:rPr>
      </w:pPr>
    </w:p>
    <w:p>
      <w:pPr>
        <w:jc w:val="both"/>
        <w:ind w:right="100" w:firstLine="341"/>
        <w:spacing w:after="0" w:line="262" w:lineRule="auto"/>
        <w:rPr>
          <w:sz w:val="20"/>
          <w:szCs w:val="20"/>
          <w:color w:val="auto"/>
        </w:rPr>
      </w:pPr>
      <w:r>
        <w:rPr>
          <w:rFonts w:ascii="Times New Roman" w:cs="Times New Roman" w:eastAsia="Times New Roman" w:hAnsi="Times New Roman"/>
          <w:sz w:val="18"/>
          <w:szCs w:val="18"/>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Activities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Valvino was organized in April 2000. Wynn Las Vegas was organized in April 2001 and Wynn Capital was formed in June 2002.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March 2005.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Included in the Registration Statement</w:t>
      </w:r>
    </w:p>
    <w:p>
      <w:pPr>
        <w:spacing w:after="0" w:line="227" w:lineRule="exact"/>
        <w:rPr>
          <w:sz w:val="20"/>
          <w:szCs w:val="20"/>
          <w:color w:val="auto"/>
        </w:rPr>
      </w:pPr>
    </w:p>
    <w:p>
      <w:pPr>
        <w:ind w:right="780" w:firstLine="348"/>
        <w:spacing w:after="0" w:line="275" w:lineRule="auto"/>
        <w:rPr>
          <w:sz w:val="20"/>
          <w:szCs w:val="20"/>
          <w:color w:val="auto"/>
        </w:rPr>
      </w:pPr>
      <w:r>
        <w:rPr>
          <w:rFonts w:ascii="Times New Roman" w:cs="Times New Roman" w:eastAsia="Times New Roman" w:hAnsi="Times New Roman"/>
          <w:sz w:val="18"/>
          <w:szCs w:val="18"/>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60" w:firstLine="348"/>
        <w:spacing w:after="0" w:line="291" w:lineRule="auto"/>
        <w:rPr>
          <w:sz w:val="20"/>
          <w:szCs w:val="20"/>
          <w:color w:val="auto"/>
        </w:rPr>
      </w:pPr>
      <w:r>
        <w:rPr>
          <w:rFonts w:ascii="Times New Roman" w:cs="Times New Roman" w:eastAsia="Times New Roman" w:hAnsi="Times New Roman"/>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67"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$11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3"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93"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87" w:lineRule="exact"/>
        <w:rPr>
          <w:sz w:val="20"/>
          <w:szCs w:val="20"/>
          <w:color w:val="auto"/>
        </w:rPr>
      </w:pPr>
    </w:p>
    <w:p>
      <w:pPr>
        <w:ind w:left="1080" w:right="160" w:hanging="532"/>
        <w:spacing w:after="0" w:line="27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2" w:right="239" w:bottom="0" w:gutter="0" w:footer="0" w:header="0"/>
        </w:sectPr>
      </w:pPr>
    </w:p>
    <w:bookmarkStart w:id="33" w:name="page34"/>
    <w:bookmarkEnd w:id="33"/>
    <w:p>
      <w:pPr>
        <w:jc w:val="both"/>
        <w:ind w:left="1080" w:right="580"/>
        <w:spacing w:after="0" w:line="262" w:lineRule="auto"/>
        <w:rPr>
          <w:sz w:val="20"/>
          <w:szCs w:val="20"/>
          <w:color w:val="auto"/>
        </w:rPr>
      </w:pPr>
      <w:r>
        <w:rPr>
          <w:rFonts w:ascii="Times New Roman" w:cs="Times New Roman" w:eastAsia="Times New Roman" w:hAnsi="Times New Roman"/>
          <w:sz w:val="18"/>
          <w:szCs w:val="18"/>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8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w:t>
      </w:r>
    </w:p>
    <w:p>
      <w:pPr>
        <w:spacing w:after="0" w:line="174" w:lineRule="exact"/>
        <w:rPr>
          <w:sz w:val="20"/>
          <w:szCs w:val="20"/>
          <w:color w:val="auto"/>
        </w:rPr>
      </w:pPr>
    </w:p>
    <w:p>
      <w:pPr>
        <w:ind w:left="1080" w:right="360"/>
        <w:spacing w:after="0" w:line="275" w:lineRule="auto"/>
        <w:rPr>
          <w:sz w:val="20"/>
          <w:szCs w:val="20"/>
          <w:color w:val="auto"/>
        </w:rPr>
      </w:pPr>
      <w:r>
        <w:rPr>
          <w:rFonts w:ascii="Times New Roman" w:cs="Times New Roman" w:eastAsia="Times New Roman" w:hAnsi="Times New Roman"/>
          <w:sz w:val="18"/>
          <w:szCs w:val="18"/>
          <w:color w:val="auto"/>
        </w:rPr>
        <w:t>accruals will be evaluated periodically and revised as necessary based on events and circumstances present at the time, known facts, historical experience and other relevant considerations.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Results of operations for the year ended December 31, 2001 compared to the period from inception to December 31, 2000</w:t>
      </w:r>
    </w:p>
    <w:p>
      <w:pPr>
        <w:spacing w:after="0" w:line="227"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Valvino recognized a loss of approximately $16.9 million related to pre-opening costs and depreciation of facilities acquired in the acquisition of the Desert Inn Resort &amp; Casino, for the year ended December 31, 2001, an approximate increase of 85% from the loss incurred during the period from inception (April 21, 2000) to December 2000 of approximately $9.2 million.</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Total revenues for the year ended December 31, 2001 increased approximately $920,000 from the period from inception to December 31, 2000 primarily as a result of Kevyn, LLC, which Valvino acquired from Stephen A. Wynn in April 2001, leasing its aircraft to Las Vegas 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90"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Total expenses for the year ended December 31, 2001 increased approximately $9.6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0"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color w:val="auto"/>
        </w:rPr>
        <w:t>Pre-opening costs, which consist primarily of salaries and wages and consulting and legal fees, for the year ended December 31, 2001 increased approximately $6.5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Facility closure expenses were approximately $830,000 less for the year ended December 31, 2001, as compared to the period from inception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incidental casino and hotel operations incurred prior to its closing in August 2000.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Results of operations for the six months ended June 30, 2002 compared to the six months ended June 30, 2001</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$14.7 million as compared to an approximate $7.9 million net loss accumulated during the development stage for the six months ended June 2001.</w:t>
      </w:r>
    </w:p>
    <w:p>
      <w:pPr>
        <w:spacing w:after="0" w:line="186" w:lineRule="exact"/>
        <w:rPr>
          <w:sz w:val="20"/>
          <w:szCs w:val="20"/>
          <w:color w:val="auto"/>
        </w:rPr>
      </w:pPr>
    </w:p>
    <w:p>
      <w:pPr>
        <w:ind w:right="80" w:firstLine="348"/>
        <w:spacing w:after="0" w:line="310" w:lineRule="auto"/>
        <w:rPr>
          <w:sz w:val="20"/>
          <w:szCs w:val="20"/>
          <w:color w:val="auto"/>
        </w:rPr>
      </w:pPr>
      <w:r>
        <w:rPr>
          <w:rFonts w:ascii="Times New Roman" w:cs="Times New Roman" w:eastAsia="Times New Roman" w:hAnsi="Times New Roman"/>
          <w:sz w:val="16"/>
          <w:szCs w:val="16"/>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 revenues was partially offset by revenues from the art gallery and the retail shop, which were opened in November 2001.</w:t>
      </w:r>
    </w:p>
    <w:p>
      <w:pPr>
        <w:spacing w:after="0" w:line="151"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 In addition, certain intercompany accounts were settled resulting in the recording of an approximately $2 million loss. The intercompany accounts primarily related to costs incurred for travel between the U.S. and Macau on behalf of Valvino as well as operation and maintenance expenses incurred for the corporate jet.</w:t>
      </w:r>
    </w:p>
    <w:p>
      <w:pPr>
        <w:spacing w:after="0" w:line="195"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ectPr>
          <w:pgSz w:w="11900" w:h="16838" w:orient="portrait"/>
          <w:cols w:equalWidth="0" w:num="1">
            <w:col w:w="11420"/>
          </w:cols>
          <w:pgMar w:left="240" w:top="125" w:right="239" w:bottom="0" w:gutter="0" w:footer="0" w:header="0"/>
        </w:sectPr>
      </w:pPr>
    </w:p>
    <w:bookmarkStart w:id="34" w:name="page35"/>
    <w:bookmarkEnd w:id="34"/>
    <w:p>
      <w:pPr>
        <w:ind w:left="540"/>
        <w:spacing w:after="0"/>
        <w:rPr>
          <w:sz w:val="20"/>
          <w:szCs w:val="20"/>
          <w:color w:val="auto"/>
        </w:rPr>
      </w:pPr>
      <w:r>
        <w:rPr>
          <w:rFonts w:ascii="Times New Roman" w:cs="Times New Roman" w:eastAsia="Times New Roman" w:hAnsi="Times New Roman"/>
          <w:sz w:val="18"/>
          <w:szCs w:val="18"/>
          <w:i w:val="1"/>
          <w:iCs w:val="1"/>
          <w:color w:val="auto"/>
        </w:rPr>
        <w:t>Certain trends that may affect development activities and future results of operations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28"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Material Transactions Affecting Liquidity and Capital Resources</w:t>
      </w:r>
    </w:p>
    <w:p>
      <w:pPr>
        <w:spacing w:after="0" w:line="227" w:lineRule="exact"/>
        <w:rPr>
          <w:sz w:val="20"/>
          <w:szCs w:val="20"/>
          <w:color w:val="auto"/>
        </w:rPr>
      </w:pPr>
    </w:p>
    <w:p>
      <w:pPr>
        <w:jc w:val="both"/>
        <w:ind w:right="680" w:firstLine="351"/>
        <w:spacing w:after="0" w:line="339" w:lineRule="auto"/>
        <w:rPr>
          <w:sz w:val="20"/>
          <w:szCs w:val="20"/>
          <w:color w:val="auto"/>
        </w:rPr>
      </w:pPr>
      <w:r>
        <w:rPr>
          <w:rFonts w:ascii="Times New Roman" w:cs="Times New Roman" w:eastAsia="Times New Roman" w:hAnsi="Times New Roman"/>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28"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86"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9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93"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260" w:hanging="532"/>
        <w:spacing w:after="0" w:line="293" w:lineRule="auto"/>
        <w:tabs>
          <w:tab w:leader="none" w:pos="10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Wynn contributed approximately $32 million in cash plus his interest in Wynn Macau, which in June 2002 entered into a concession agreement with the government of Macau permitting it to construct and operate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w:t>
      </w:r>
    </w:p>
    <w:p>
      <w:pPr>
        <w:spacing w:after="0" w:line="19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Aruze USA contributed an additional $120 million in cash;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Baron Asset Fund contributed an additional approximately $20.3 million in cash.</w:t>
      </w:r>
    </w:p>
    <w:p>
      <w:pPr>
        <w:spacing w:after="0" w:line="22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ectPr>
          <w:pgSz w:w="11900" w:h="16838" w:orient="portrait"/>
          <w:cols w:equalWidth="0" w:num="1">
            <w:col w:w="11380"/>
          </w:cols>
          <w:pgMar w:left="240" w:top="123" w:right="279" w:bottom="0" w:gutter="0" w:footer="0" w:header="0"/>
        </w:sectPr>
      </w:pPr>
    </w:p>
    <w:bookmarkStart w:id="35" w:name="page36"/>
    <w:bookmarkEnd w:id="35"/>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On June 24, 2002, the Kenneth R. Wynn Family Trust contributed $1.2 million in cash to Valvino in exchange for 0.146% of the outstanding membership interests in Valvino.</w:t>
      </w:r>
    </w:p>
    <w:p>
      <w:pPr>
        <w:spacing w:after="0" w:line="174"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7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Equity Contributions</w:t>
      </w:r>
    </w:p>
    <w:p>
      <w:pPr>
        <w:spacing w:after="0" w:line="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Allocation of Net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0" w:type="dxa"/>
            <w:vAlign w:val="bottom"/>
          </w:tcPr>
          <w:p>
            <w:pPr>
              <w:spacing w:after="0"/>
              <w:rPr>
                <w:sz w:val="1"/>
                <w:szCs w:val="1"/>
                <w:color w:val="auto"/>
              </w:rPr>
            </w:pPr>
          </w:p>
        </w:tc>
      </w:tr>
      <w:tr>
        <w:trPr>
          <w:trHeight w:val="178"/>
        </w:trPr>
        <w:tc>
          <w:tcPr>
            <w:tcW w:w="2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55,659(3)$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2"/>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As determined by arm's-length agreement, these amounts reflect the allocation of appreciation of the assets held by Valvino.</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62"/>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These amounts reflect the book capital accounts as determined under federal partnership tax principles.</w:t>
      </w:r>
    </w:p>
    <w:p>
      <w:pPr>
        <w:spacing w:after="0" w:line="69" w:lineRule="exact"/>
        <w:rPr>
          <w:rFonts w:ascii="Times New Roman" w:cs="Times New Roman" w:eastAsia="Times New Roman" w:hAnsi="Times New Roman"/>
          <w:sz w:val="23"/>
          <w:szCs w:val="23"/>
          <w:color w:val="auto"/>
          <w:vertAlign w:val="subscript"/>
        </w:rPr>
      </w:pPr>
    </w:p>
    <w:p>
      <w:pPr>
        <w:ind w:left="540" w:right="80" w:hanging="532"/>
        <w:spacing w:after="0" w:line="187" w:lineRule="auto"/>
        <w:tabs>
          <w:tab w:leader="none" w:pos="540" w:val="left"/>
        </w:tabs>
        <w:numPr>
          <w:ilvl w:val="0"/>
          <w:numId w:val="6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89"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At June 30, 2002, Valvino had approximately $187.9 million ($160.9 million excluding the cash held by non-guarantor entities) of cash and cash equivalents, with all of its cash equivalents comprised of investments in overnight money market funds.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Overview of Expected Capital Resources and Commercial Commitments</w:t>
      </w:r>
    </w:p>
    <w:p>
      <w:pPr>
        <w:spacing w:after="0" w:line="227"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0"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delay draw term loan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FF&amp;E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interest income;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this offering of second mortgage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Wynn Resorts' expected initial public offering;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225" w:lineRule="exact"/>
        <w:rPr>
          <w:sz w:val="20"/>
          <w:szCs w:val="20"/>
          <w:color w:val="auto"/>
        </w:rPr>
      </w:pPr>
    </w:p>
    <w:p>
      <w:pPr>
        <w:ind w:right="180" w:firstLine="348"/>
        <w:spacing w:after="0" w:line="301" w:lineRule="auto"/>
        <w:rPr>
          <w:sz w:val="20"/>
          <w:szCs w:val="20"/>
          <w:color w:val="auto"/>
        </w:rPr>
      </w:pPr>
      <w:r>
        <w:rPr>
          <w:rFonts w:ascii="Times New Roman" w:cs="Times New Roman" w:eastAsia="Times New Roman" w:hAnsi="Times New Roman"/>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because Wynn Resorts' Macau-related subsidiaries are not guarantors on the second mortgage notes or any other Le Rêve-related indebtedness. All time periods in these tables are measured from the closing of this offering and are based upon our best estimate at this time of our expected long-term indebtedness and commercial commitments.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8"/>
        </w:trPr>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Long-Term Indebtedness</w:t>
            </w:r>
          </w:p>
        </w:tc>
        <w:tc>
          <w:tcPr>
            <w:tcW w:w="22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Less than 1 Year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0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facility(1)</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 draw term loan facility(2)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FF&amp;E facility(3)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mortgage notes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00" w:type="dxa"/>
            <w:vAlign w:val="bottom"/>
            <w:gridSpan w:val="3"/>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indebtedness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0.1</w:t>
            </w:r>
          </w:p>
        </w:tc>
        <w:tc>
          <w:tcPr>
            <w:tcW w:w="30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4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-2004060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-2004060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-1661160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-1661160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-1661160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-1661160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-1661160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-1661160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-1661160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-1661160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-1661160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-1661160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-1661160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-571500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-571500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-571500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-571500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-571500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-571500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-571500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-571500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-571500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-571500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4-5 Years</w:t>
            </w:r>
          </w:p>
        </w:tc>
        <w:tc>
          <w:tcPr>
            <w:tcW w:w="1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Over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42"/>
              <w:spacing w:after="0" w:line="135" w:lineRule="exact"/>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w w:val="97"/>
              </w:rPr>
              <w:t>Committed</w:t>
            </w:r>
          </w:p>
        </w:tc>
        <w:tc>
          <w:tcPr>
            <w:tcW w:w="1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5"/>
            <w:vMerge w:val="restart"/>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5"/>
            <w:vMerge w:val="continue"/>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contracts(5)</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32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 of credit(6)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-1343660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-1343660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-1249045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-1249045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-1343660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-1343660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-1343660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-1343660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-1249045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-1249045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0" w:lineRule="exact"/>
        <w:rPr>
          <w:sz w:val="20"/>
          <w:szCs w:val="20"/>
          <w:color w:val="auto"/>
        </w:rPr>
      </w:pPr>
    </w:p>
    <w:p>
      <w:pPr>
        <w:ind w:left="540" w:right="60" w:hanging="532"/>
        <w:spacing w:after="0" w:line="193" w:lineRule="auto"/>
        <w:tabs>
          <w:tab w:leader="none" w:pos="540" w:val="left"/>
        </w:tabs>
        <w:numPr>
          <w:ilvl w:val="0"/>
          <w:numId w:val="6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anticipate that we will draw down approximately $707.1 million under the revolving credit facility to fund the design, construction, development, equipping and opening of Le Rêve, assuming that Le Rêve is completed on schedule. Once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69" w:lineRule="exact"/>
        <w:rPr>
          <w:rFonts w:ascii="Times New Roman" w:cs="Times New Roman" w:eastAsia="Times New Roman" w:hAnsi="Times New Roman"/>
          <w:sz w:val="27"/>
          <w:szCs w:val="27"/>
          <w:color w:val="auto"/>
          <w:vertAlign w:val="subscript"/>
        </w:rPr>
      </w:pPr>
    </w:p>
    <w:p>
      <w:pPr>
        <w:ind w:left="540" w:right="400" w:hanging="532"/>
        <w:spacing w:after="0"/>
        <w:tabs>
          <w:tab w:leader="none" w:pos="540" w:val="left"/>
        </w:tabs>
        <w:numPr>
          <w:ilvl w:val="0"/>
          <w:numId w:val="6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115" w:lineRule="exact"/>
        <w:rPr>
          <w:rFonts w:ascii="Times New Roman" w:cs="Times New Roman" w:eastAsia="Times New Roman" w:hAnsi="Times New Roman"/>
          <w:sz w:val="24"/>
          <w:szCs w:val="24"/>
          <w:color w:val="auto"/>
          <w:vertAlign w:val="subscript"/>
        </w:rPr>
      </w:pPr>
    </w:p>
    <w:p>
      <w:pPr>
        <w:ind w:left="540" w:right="20" w:hanging="532"/>
        <w:spacing w:after="0" w:line="197" w:lineRule="auto"/>
        <w:tabs>
          <w:tab w:leader="none" w:pos="540" w:val="left"/>
        </w:tabs>
        <w:numPr>
          <w:ilvl w:val="0"/>
          <w:numId w:val="6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Wynn Las Vegas an intercompany note in the amount of the funds received by it to repay the Bank of America loan.</w:t>
      </w:r>
    </w:p>
    <w:p>
      <w:pPr>
        <w:spacing w:after="0" w:line="83" w:lineRule="exact"/>
        <w:rPr>
          <w:rFonts w:ascii="Times New Roman" w:cs="Times New Roman" w:eastAsia="Times New Roman" w:hAnsi="Times New Roman"/>
          <w:sz w:val="27"/>
          <w:szCs w:val="27"/>
          <w:color w:val="auto"/>
          <w:vertAlign w:val="subscript"/>
        </w:rPr>
      </w:pPr>
    </w:p>
    <w:p>
      <w:pPr>
        <w:ind w:left="540" w:right="80" w:hanging="532"/>
        <w:spacing w:after="0" w:line="187" w:lineRule="auto"/>
        <w:tabs>
          <w:tab w:leader="none" w:pos="540" w:val="left"/>
        </w:tabs>
        <w:numPr>
          <w:ilvl w:val="0"/>
          <w:numId w:val="6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69" w:lineRule="exact"/>
        <w:rPr>
          <w:rFonts w:ascii="Times New Roman" w:cs="Times New Roman" w:eastAsia="Times New Roman" w:hAnsi="Times New Roman"/>
          <w:sz w:val="24"/>
          <w:szCs w:val="24"/>
          <w:color w:val="auto"/>
          <w:vertAlign w:val="subscript"/>
        </w:rPr>
      </w:pPr>
    </w:p>
    <w:p>
      <w:pPr>
        <w:ind w:left="540" w:right="80" w:hanging="532"/>
        <w:spacing w:after="0" w:line="187" w:lineRule="auto"/>
        <w:tabs>
          <w:tab w:leader="none" w:pos="540" w:val="left"/>
        </w:tabs>
        <w:numPr>
          <w:ilvl w:val="0"/>
          <w:numId w:val="6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98" w:lineRule="auto"/>
        <w:tabs>
          <w:tab w:leader="none" w:pos="540" w:val="left"/>
        </w:tabs>
        <w:numPr>
          <w:ilvl w:val="0"/>
          <w:numId w:val="6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Standby letter of credit for our owner-controlled insurance program.</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right="80" w:firstLine="348"/>
        <w:spacing w:after="0" w:line="283" w:lineRule="auto"/>
        <w:rPr>
          <w:sz w:val="20"/>
          <w:szCs w:val="20"/>
          <w:color w:val="auto"/>
        </w:rPr>
      </w:pPr>
      <w:r>
        <w:rPr>
          <w:rFonts w:ascii="Times New Roman" w:cs="Times New Roman" w:eastAsia="Times New Roman" w:hAnsi="Times New Roman"/>
          <w:sz w:val="16"/>
          <w:szCs w:val="16"/>
          <w:color w:val="auto"/>
        </w:rPr>
        <w:t>Wynn Las Vegas, Wynn Resorts Holdings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joint book-running managers of this offering and Wynn Resorts' initial public offering. The revolving credit facility will mature on the sixth anniversary of the closing of the credit facilities. Borrowings under the delay draw term loan facility will be available until the second anniversary of the closing of the credit facilities and will be repayable in quarterly installments from the first full fiscal quarter after completion of Le Rêve until the seventh anniversary of the closing of the credit facilities in amounts to be determined. The credit facilities will close concurrently with the closing of this offering. All amounts outstanding under the credit facilities will bear interest, at our option (subject to certain limitations), at either (1) a base rate equal to the greater of the administrative agent's prime lending rate and 0.5% in excess of the federal funds rate or</w:t>
      </w:r>
    </w:p>
    <w:p>
      <w:pPr>
        <w:spacing w:after="0" w:line="5" w:lineRule="exact"/>
        <w:rPr>
          <w:sz w:val="20"/>
          <w:szCs w:val="20"/>
          <w:color w:val="auto"/>
        </w:rPr>
      </w:pPr>
    </w:p>
    <w:p>
      <w:pPr>
        <w:ind w:right="60" w:firstLine="8"/>
        <w:spacing w:after="0" w:line="253"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determined by the administrative agent, in both cases plus certain margins. For each year after Le Rêve commences operations, we will be required to prepay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9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FF&amp;E Facility</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Wynn Las Vegas has entered into an engagement letter with Bank of America, N.A., Banc of America Leasing &amp; Capital LLC and Deutsche Bank Securities Inc. for a $178.5 million FF&amp;E facility, which is currently being syndicated.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Obtaining the FF&amp;E facility is a condition to the consummation of this offering. For more information, see "Use of Proceeds," "Certain Relationships and Related Party Transactions—Aircraft Arrangements" and "Description of Other Indebtedness."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Second Mortgage Notes</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Wynn Capital, each of which is an indirect subsidiary of Valvino, are jointly offering $350 million in aggregate principal amount of second mortgage notes as part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ectPr>
          <w:pgSz w:w="11900" w:h="16838" w:orient="portrait"/>
          <w:cols w:equalWidth="0" w:num="1">
            <w:col w:w="11400"/>
          </w:cols>
          <w:pgMar w:left="240" w:top="110" w:right="259" w:bottom="0" w:gutter="0" w:footer="0" w:header="0"/>
        </w:sectPr>
      </w:pPr>
    </w:p>
    <w:bookmarkStart w:id="37" w:name="page38"/>
    <w:bookmarkEnd w:id="37"/>
    <w:p>
      <w:pPr>
        <w:ind w:right="140" w:firstLine="348"/>
        <w:spacing w:after="0" w:line="291" w:lineRule="auto"/>
        <w:rPr>
          <w:sz w:val="20"/>
          <w:szCs w:val="20"/>
          <w:color w:val="auto"/>
        </w:rPr>
      </w:pPr>
      <w:r>
        <w:rPr>
          <w:rFonts w:ascii="Times New Roman" w:cs="Times New Roman" w:eastAsia="Times New Roman" w:hAnsi="Times New Roman"/>
          <w:sz w:val="16"/>
          <w:szCs w:val="16"/>
          <w:color w:val="auto"/>
        </w:rPr>
        <w:t>Wynn Resorts and its domestic and foreign subsidiaries related to the Macau opportunity will not be guarantors and will not be subject to the covenants in the second mortgage notes or the credit facilities. However, Wynn Resorts itself may become a guarantor, but will not be bound by the covenants, under the second mortgage notes and the credit facilities, if Wynn Resorts incurs, or becomes a guarantor on, other indebtedness before we have achieved a total debt to earnings before interest, tax, depreciation and amortization ratio of 3.0 to 1.0 or less and a credit facilities rating of BB+ or higher by Standard &amp; Poor's and Ba1 or higher by Moody's Investors Service, subject to certain limited exceptions. Similarly, if Wynn Resorts pledges assets to secure guarantees of other specified indebtedness prior to meeting prescribed leverage ratio and debt rating tests, then the second mortgage notes may be secured by comparable liens on the same Wynn Resorts' assets. The security interests in these assets may be released if the leverage ratio and debt ratings tests are subsequently met.</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Release of Certain Collateral</w:t>
      </w:r>
    </w:p>
    <w:p>
      <w:pPr>
        <w:spacing w:after="0" w:line="227"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The representatives for the lenders under our credit facilities and the trustee for the second mortgage notes may release the liens on the approximately 137-acre golf course parcel and related water rights. Our credit facility and indenture will provide that the liens will be released after the third anniversary of commencing operations at Le Rêve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5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us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Upon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but not all, of our assets."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Restrictions on Disbursements</w:t>
      </w:r>
    </w:p>
    <w:p>
      <w:pPr>
        <w:spacing w:after="0" w:line="227"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to Wynn Las Vegas by Wynn Resorts before accessing the proceeds from the offering of the second mortgage notes. The disbursement agreement also requires us to use all of the proceeds from this offering of second mortgage notes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16-19 months after the closing of this offering and after applying all of the proceeds of this offering towards the development and construction of Le Rêve.</w:t>
      </w:r>
    </w:p>
    <w:p>
      <w:pPr>
        <w:spacing w:after="0" w:line="195"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Our ability to receive disbursements from time to time of the second mortgage note proceeds from the secured account and to borrow under the credit facilities and FF&amp;E facility will be, in addition to other customary conditions to funding for these types of facilities, subject to various conditions, including the following:</w:t>
      </w:r>
    </w:p>
    <w:p>
      <w:pPr>
        <w:spacing w:after="0" w:line="200"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be no default under the credit facilities or the FF&amp;E facility;</w:t>
      </w:r>
    </w:p>
    <w:p>
      <w:pPr>
        <w:spacing w:after="0" w:line="252" w:lineRule="exact"/>
        <w:rPr>
          <w:rFonts w:ascii="Times New Roman" w:cs="Times New Roman" w:eastAsia="Times New Roman" w:hAnsi="Times New Roman"/>
          <w:sz w:val="18"/>
          <w:szCs w:val="18"/>
          <w:color w:val="auto"/>
        </w:rPr>
      </w:pPr>
    </w:p>
    <w:p>
      <w:pPr>
        <w:ind w:left="1080" w:right="60" w:hanging="532"/>
        <w:spacing w:after="0" w:line="339" w:lineRule="auto"/>
        <w:tabs>
          <w:tab w:leader="none" w:pos="10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construction of Le Rêve must be "in balance," meaning that the undisbursed portions of the credit facilities and the FF&amp;E facility, together with certain other funds available to us, must equal or exceed the remaining costs to complete Le Rêve's construction plus a required contingency;</w:t>
      </w:r>
    </w:p>
    <w:p>
      <w:pPr>
        <w:spacing w:after="0" w:line="141" w:lineRule="exact"/>
        <w:rPr>
          <w:rFonts w:ascii="Times New Roman" w:cs="Times New Roman" w:eastAsia="Times New Roman" w:hAnsi="Times New Roman"/>
          <w:sz w:val="16"/>
          <w:szCs w:val="16"/>
          <w:color w:val="auto"/>
        </w:rPr>
      </w:pPr>
    </w:p>
    <w:p>
      <w:pPr>
        <w:ind w:left="1080" w:right="64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Marnell Corrao, the lenders' independent construction consultant and certain other third parties must certify that the Le Rêve project will be completed no later than August 31, 2005, subject to certain limited permitted extensions due to force majeure events;</w:t>
      </w:r>
    </w:p>
    <w:p>
      <w:pPr>
        <w:spacing w:after="0" w:line="200"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and its principal stockholders must maintain in full force and effect the existing arrangements among the stockholders to facilitate obtaining the gaming license for the Le Rêve project in the event that one of Wynn Resorts' major stockholders is unable to qualify for such license;</w:t>
      </w:r>
    </w:p>
    <w:p>
      <w:pPr>
        <w:spacing w:after="0" w:line="199"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Public Utilities Commission of Nevada of the grant of liens on our water rights which we intend to use for general irrigation purposes, irrigation of the golf course and to supply water for the Le Rêve lake; and</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general contractor must have entered into subcontracts in respect of specified percentages of the total construction cost of Le Rêve to be managed by each</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5" w:right="239" w:bottom="0" w:gutter="0" w:footer="0" w:header="0"/>
          <w:type w:val="continuous"/>
        </w:sectPr>
      </w:pPr>
    </w:p>
    <w:bookmarkStart w:id="38" w:name="page39"/>
    <w:bookmarkEnd w:id="38"/>
    <w:p>
      <w:pPr>
        <w:ind w:left="1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of us which percentages are to be mutually agreed upon by us and the lenders under the credit facilities.</w:t>
      </w:r>
    </w:p>
    <w:p>
      <w:pPr>
        <w:spacing w:after="0" w:line="225"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See "Risk Factors—Risks Associated with Our Construction of Le Rêve—There are significant conditions to the funding of the remaining portions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costs may be higher than expected." The disbursement agreement will contain conditions precedent to our entering into scope change orders that will increase the anticipated costs of the project. These conditions will require us to fund equity into an account subject to a security interest in favor of the lenders under the credit facilities and the holders of the second mortgage notes in an amount equal to the anticipated incremental cost of the change orders. In addition, if we do not complete construction of Le Rêve by August 31, 2005, subject to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Initial Public Offering of Wynn Resorts</w:t>
      </w:r>
    </w:p>
    <w:p>
      <w:pPr>
        <w:spacing w:after="0" w:line="227" w:lineRule="exact"/>
        <w:rPr>
          <w:sz w:val="20"/>
          <w:szCs w:val="20"/>
          <w:color w:val="auto"/>
        </w:rPr>
      </w:pPr>
    </w:p>
    <w:p>
      <w:pPr>
        <w:ind w:right="1060" w:firstLine="351"/>
        <w:spacing w:after="0" w:line="275" w:lineRule="auto"/>
        <w:rPr>
          <w:sz w:val="20"/>
          <w:szCs w:val="20"/>
          <w:color w:val="auto"/>
        </w:rPr>
      </w:pPr>
      <w:r>
        <w:rPr>
          <w:rFonts w:ascii="Times New Roman" w:cs="Times New Roman" w:eastAsia="Times New Roman" w:hAnsi="Times New Roman"/>
          <w:sz w:val="18"/>
          <w:szCs w:val="18"/>
          <w:color w:val="auto"/>
        </w:rPr>
        <w:t>Concurrent with this offering, Wynn Resorts will offer shares of its common stock in an initial public offering with expected gross proceeds of approximately $445 million.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Following the completion of Le Rêve, we expect to fund our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and, if Wynn Resorts incurs debt to do this, it may become a guarantor under the second mortgage notes and the credit facilities, subject to certain limited exceptions. Similarly, if Wynn Resorts pledges assets to secure guarantees of other specified indebtedness prior to meeting prescribed leverage ratio and debt rating tests, then the credit facilities and second mortgage notes may be secured by liens on Wynn Resorts' assets. We cannot assure you that we will be able to refinance any of our indebtedness, including the credit facilities, the FF&amp;E facility or the second mortgage notes on acceptable terms or at all. See "Risk Factors—Risks Related to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Our Substantial Indebtedness—We may not generate sufficient cash flow to meet our substantial debt service and other obligations, including our obligations under the second mortgage notes."</w:t>
      </w:r>
    </w:p>
    <w:p>
      <w:pPr>
        <w:spacing w:after="0" w:line="174" w:lineRule="exact"/>
        <w:rPr>
          <w:sz w:val="20"/>
          <w:szCs w:val="20"/>
          <w:color w:val="auto"/>
        </w:rPr>
      </w:pPr>
    </w:p>
    <w:p>
      <w:pPr>
        <w:ind w:right="80" w:firstLine="341"/>
        <w:spacing w:after="0" w:line="288" w:lineRule="auto"/>
        <w:rPr>
          <w:sz w:val="20"/>
          <w:szCs w:val="20"/>
          <w:color w:val="auto"/>
        </w:rPr>
      </w:pPr>
      <w:r>
        <w:rPr>
          <w:rFonts w:ascii="Times New Roman" w:cs="Times New Roman" w:eastAsia="Times New Roman" w:hAnsi="Times New Roman"/>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390"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In addition, Wynn Resorts will contribute $30 million of the net proceeds of its common stock offering to Wynn Las Vegas to be held in a liquidity reserve account and pledged to the lenders under the credit facilities and the holders of the second mortgage notes to secure Wynn Las Vegas' obligation to develop and construct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any remaining funds will be used to reduce the outstanding balance on our revolving credit facility, but without reducing the revolving credit facility commitment.</w:t>
      </w:r>
    </w:p>
    <w:p>
      <w:pPr>
        <w:spacing w:after="0" w:line="197"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w:t>
      </w:r>
    </w:p>
    <w:p>
      <w:pPr>
        <w:sectPr>
          <w:pgSz w:w="11900" w:h="16838" w:orient="portrait"/>
          <w:cols w:equalWidth="0" w:num="1">
            <w:col w:w="11420"/>
          </w:cols>
          <w:pgMar w:left="240" w:top="368" w:right="239" w:bottom="545"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545"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Wynn Resorts issues to an unsuitable person or its affiliate in exchange for its shares may increase our debt to equity ratio and will increase our leverage ratio.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our results of operations do not depend upon moderate changes in the inflation 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7"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Party Transactions."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 Rêve is the concept of Stephen A. Wynn, one of Wynn Resorts' principal stockholders and its Chairman of the Board and Chief Executive Officer.</w:t>
      </w:r>
    </w:p>
    <w:p>
      <w:pPr>
        <w:spacing w:after="0" w:line="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3"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3" w:lineRule="exact"/>
        <w:rPr>
          <w:sz w:val="20"/>
          <w:szCs w:val="20"/>
          <w:color w:val="auto"/>
        </w:rPr>
      </w:pPr>
    </w:p>
    <w:p>
      <w:pPr>
        <w:jc w:val="both"/>
        <w:ind w:right="1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Showcase the "Wynn Brand." </w:t>
      </w:r>
      <w:r>
        <w:rPr>
          <w:rFonts w:ascii="Times New Roman" w:cs="Times New Roman" w:eastAsia="Times New Roman" w:hAnsi="Times New Roman"/>
          <w:sz w:val="18"/>
          <w:szCs w:val="18"/>
          <w:color w:val="auto"/>
        </w:rPr>
        <w:t>We believe that Mr. Wynn's involvement with Le Rêve provides a distinct advantage over other gaming enterprises in Las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83" w:lineRule="exact"/>
        <w:rPr>
          <w:sz w:val="20"/>
          <w:szCs w:val="20"/>
          <w:color w:val="auto"/>
        </w:rPr>
      </w:pPr>
    </w:p>
    <w:p>
      <w:pPr>
        <w:ind w:firstLine="348"/>
        <w:spacing w:after="0" w:line="285" w:lineRule="auto"/>
        <w:rPr>
          <w:sz w:val="20"/>
          <w:szCs w:val="20"/>
          <w:color w:val="auto"/>
        </w:rPr>
      </w:pPr>
      <w:r>
        <w:rPr>
          <w:rFonts w:ascii="Times New Roman" w:cs="Times New Roman" w:eastAsia="Times New Roman" w:hAnsi="Times New Roman"/>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ind w:right="140"/>
        <w:spacing w:after="0" w:line="255" w:lineRule="auto"/>
        <w:rPr>
          <w:sz w:val="20"/>
          <w:szCs w:val="20"/>
          <w:color w:val="auto"/>
        </w:rPr>
      </w:pPr>
      <w:r>
        <w:rPr>
          <w:rFonts w:ascii="Times New Roman" w:cs="Times New Roman" w:eastAsia="Times New Roman" w:hAnsi="Times New Roman"/>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2"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In the major hotel destination casino resorts he has previously developed, Mr. Wynn has successfully employed a formula which integrates luxurious surroundings, upscale design,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distinctive entertainment and superior amenities, including fine dining and high-end retail offerings, to create resorts that appeal to a variety of customers, especially high-end customers. We believe that Le Rêve will be Mr. Wynn's most innovative work to date.</w:t>
      </w:r>
    </w:p>
    <w:p>
      <w:pPr>
        <w:sectPr>
          <w:pgSz w:w="11900" w:h="16838" w:orient="portrait"/>
          <w:cols w:equalWidth="0" w:num="1">
            <w:col w:w="11420"/>
          </w:cols>
          <w:pgMar w:left="240" w:top="125" w:right="239" w:bottom="8" w:gutter="0" w:footer="0" w:header="0"/>
        </w:sectPr>
      </w:pPr>
    </w:p>
    <w:bookmarkStart w:id="40" w:name="page41"/>
    <w:bookmarkEnd w:id="40"/>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Mirage(1)</w:t>
            </w:r>
          </w:p>
        </w:tc>
        <w:tc>
          <w:tcPr>
            <w:tcW w:w="100" w:type="dxa"/>
            <w:vAlign w:val="bottom"/>
          </w:tcPr>
          <w:p>
            <w:pPr>
              <w:spacing w:after="0"/>
              <w:rPr>
                <w:sz w:val="20"/>
                <w:szCs w:val="20"/>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Bellagio(1)</w:t>
            </w:r>
          </w:p>
        </w:tc>
        <w:tc>
          <w:tcPr>
            <w:tcW w:w="120" w:type="dxa"/>
            <w:vAlign w:val="bottom"/>
          </w:tcPr>
          <w:p>
            <w:pPr>
              <w:spacing w:after="0"/>
              <w:rPr>
                <w:sz w:val="20"/>
                <w:szCs w:val="20"/>
                <w:color w:val="auto"/>
              </w:rPr>
            </w:pP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0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2005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92,160(6)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223,000</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6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Entertainment/Attractions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54 ft. erupting</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Dancing fountains</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volcano</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 (Cirque du</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Dolphin habitat</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Soleil)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ft atrium with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Botanical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tropical garden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conservatory</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Siegfried &amp; Roy</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Art gallery</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Mountain/lake</w:t>
            </w:r>
          </w:p>
        </w:tc>
      </w:t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-3235325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-3235325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-3235325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-3235325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-3235325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-3235325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Times New Roman" w:cs="Times New Roman" w:eastAsia="Times New Roman" w:hAnsi="Times New Roman"/>
          <w:sz w:val="18"/>
          <w:szCs w:val="18"/>
          <w:color w:val="auto"/>
        </w:rPr>
        <w:t>• Art gallery(10)</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99" w:lineRule="exact"/>
        <w:rPr>
          <w:sz w:val="20"/>
          <w:szCs w:val="20"/>
          <w:color w:val="auto"/>
        </w:rPr>
      </w:pPr>
    </w:p>
    <w:p>
      <w:pPr>
        <w:ind w:left="540" w:hanging="532"/>
        <w:spacing w:after="0"/>
        <w:tabs>
          <w:tab w:leader="none" w:pos="540" w:val="left"/>
        </w:tabs>
        <w:numPr>
          <w:ilvl w:val="0"/>
          <w:numId w:val="6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67"/>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67"/>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As reported in the Annual Report on Form 10-K for the fiscal year ended December 31, 1992 filed by Mirage Resorts. This number does not include Shadow Creek, an off-site golf course.</w:t>
      </w:r>
    </w:p>
    <w:p>
      <w:pPr>
        <w:ind w:left="540" w:right="80" w:hanging="532"/>
        <w:spacing w:after="0" w:line="191" w:lineRule="auto"/>
        <w:tabs>
          <w:tab w:leader="none" w:pos="540" w:val="left"/>
        </w:tabs>
        <w:numPr>
          <w:ilvl w:val="0"/>
          <w:numId w:val="6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67"/>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Based on information provided by The Mirage on May 23, 2002.</w:t>
      </w:r>
    </w:p>
    <w:p>
      <w:pPr>
        <w:ind w:left="540" w:hanging="532"/>
        <w:spacing w:after="0" w:line="197" w:lineRule="auto"/>
        <w:tabs>
          <w:tab w:leader="none" w:pos="540" w:val="left"/>
        </w:tabs>
        <w:numPr>
          <w:ilvl w:val="0"/>
          <w:numId w:val="67"/>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Based on information provided by Bellagio on May 23, 2002.</w:t>
      </w:r>
    </w:p>
    <w:p>
      <w:pPr>
        <w:ind w:left="540" w:hanging="532"/>
        <w:spacing w:after="0" w:line="185" w:lineRule="auto"/>
        <w:tabs>
          <w:tab w:leader="none" w:pos="540" w:val="left"/>
        </w:tabs>
        <w:numPr>
          <w:ilvl w:val="0"/>
          <w:numId w:val="6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Includes circulation (corridors) and patio space.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7" w:lineRule="exact"/>
        <w:rPr>
          <w:sz w:val="20"/>
          <w:szCs w:val="20"/>
          <w:color w:val="auto"/>
        </w:rPr>
      </w:pPr>
    </w:p>
    <w:p>
      <w:pPr>
        <w:ind w:left="540" w:hanging="532"/>
        <w:spacing w:after="0"/>
        <w:tabs>
          <w:tab w:leader="none" w:pos="540" w:val="left"/>
        </w:tabs>
        <w:numPr>
          <w:ilvl w:val="0"/>
          <w:numId w:val="68"/>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Based on information located at www.mirage.com as of May 23, 2002.</w:t>
      </w:r>
    </w:p>
    <w:p>
      <w:pPr>
        <w:ind w:left="540" w:hanging="532"/>
        <w:spacing w:after="0" w:line="197" w:lineRule="auto"/>
        <w:tabs>
          <w:tab w:leader="none" w:pos="540" w:val="left"/>
        </w:tabs>
        <w:numPr>
          <w:ilvl w:val="0"/>
          <w:numId w:val="68"/>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68"/>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Featuring works from The Wynn Collection.</w:t>
      </w:r>
    </w:p>
    <w:p>
      <w:pPr>
        <w:ind w:left="540" w:hanging="532"/>
        <w:spacing w:after="0" w:line="185" w:lineRule="auto"/>
        <w:tabs>
          <w:tab w:leader="none" w:pos="540" w:val="left"/>
        </w:tabs>
        <w:numPr>
          <w:ilvl w:val="0"/>
          <w:numId w:val="68"/>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We are in the process of seeking a zoning ordinance amendment to permit us to operate the dealership at the Le Rêve site.</w:t>
      </w:r>
    </w:p>
    <w:p>
      <w:pPr>
        <w:spacing w:after="0" w:line="186"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Create a "Must-Visit" Destination Casino Resort on the Las Vegas Strip. </w:t>
      </w:r>
      <w:r>
        <w:rPr>
          <w:rFonts w:ascii="Times New Roman" w:cs="Times New Roman" w:eastAsia="Times New Roman" w:hAnsi="Times New Roman"/>
          <w:sz w:val="18"/>
          <w:szCs w:val="18"/>
          <w:color w:val="auto"/>
        </w:rPr>
        <w:t>We believe that Le Rêve will represent a natural extension of the concepts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19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8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Open the First New Major Hotel Casino Resort on the Las Vegas Strip in Almost Five Years. </w:t>
      </w:r>
      <w:r>
        <w:rPr>
          <w:rFonts w:ascii="Times New Roman" w:cs="Times New Roman" w:eastAsia="Times New Roman" w:hAnsi="Times New Roman"/>
          <w:sz w:val="18"/>
          <w:szCs w:val="18"/>
          <w:color w:val="auto"/>
        </w:rPr>
        <w:t>Although a number of hotel casino resorts have announced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89" w:lineRule="exact"/>
        <w:rPr>
          <w:sz w:val="20"/>
          <w:szCs w:val="20"/>
          <w:color w:val="auto"/>
        </w:rPr>
      </w:pPr>
    </w:p>
    <w:p>
      <w:pPr>
        <w:jc w:val="both"/>
        <w:ind w:right="5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an Experience of the Highest Standard of Luxury in an Atmosphere of Casual Elegance. </w:t>
      </w:r>
      <w:r>
        <w:rPr>
          <w:rFonts w:ascii="Times New Roman" w:cs="Times New Roman" w:eastAsia="Times New Roman" w:hAnsi="Times New Roman"/>
          <w:sz w:val="18"/>
          <w:szCs w:val="18"/>
          <w:color w:val="auto"/>
        </w:rPr>
        <w:t>We are designing Le Rêve to appeal to upscale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 key elements of our approach, as currently planned, include:</w:t>
      </w:r>
    </w:p>
    <w:p>
      <w:pPr>
        <w:spacing w:after="0" w:line="239" w:lineRule="exact"/>
        <w:rPr>
          <w:sz w:val="20"/>
          <w:szCs w:val="20"/>
          <w:color w:val="auto"/>
        </w:rPr>
      </w:pPr>
    </w:p>
    <w:p>
      <w:pPr>
        <w:jc w:val="both"/>
        <w:ind w:left="1080" w:hanging="532"/>
        <w:spacing w:after="0" w:line="339" w:lineRule="auto"/>
        <w:tabs>
          <w:tab w:leader="none" w:pos="10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w:t>
      </w:r>
    </w:p>
    <w:p>
      <w:pPr>
        <w:sectPr>
          <w:pgSz w:w="11900" w:h="16838" w:orient="portrait"/>
          <w:cols w:equalWidth="0" w:num="1">
            <w:col w:w="11380"/>
          </w:cols>
          <w:pgMar w:left="240" w:top="125" w:right="279" w:bottom="0" w:gutter="0" w:footer="0" w:header="0"/>
        </w:sectPr>
      </w:pPr>
    </w:p>
    <w:bookmarkStart w:id="41" w:name="page42"/>
    <w:bookmarkEnd w:id="41"/>
    <w:p>
      <w:pPr>
        <w:ind w:left="1080" w:right="20"/>
        <w:spacing w:after="0" w:line="275" w:lineRule="auto"/>
        <w:rPr>
          <w:sz w:val="20"/>
          <w:szCs w:val="20"/>
          <w:color w:val="auto"/>
        </w:rPr>
      </w:pPr>
      <w:r>
        <w:rPr>
          <w:rFonts w:ascii="Times New Roman" w:cs="Times New Roman" w:eastAsia="Times New Roman" w:hAnsi="Times New Roman"/>
          <w:sz w:val="18"/>
          <w:szCs w:val="18"/>
          <w:color w:val="auto"/>
        </w:rPr>
        <w:t>Vegas Strip, elegantly appointed suites beginning at approximately 1,250 square feet, fairway lanai suites beginning at approximately 2,200 square feet and six large villas averaging approximately 7,000 square feet;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casually elegant casino featuring an estimated 2,000 slot machines and 136 table games with gaming limits to accommodate a full range of casino customers;</w:t>
      </w:r>
    </w:p>
    <w:p>
      <w:pPr>
        <w:spacing w:after="0" w:line="200"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estimated 18 dining outlets, including six fine-dining restaurants, one of which will feature cuisine by Daniel Boulud of New York's DANIEL and Café Boulud restaurants;</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on-site, full-service Ferrari and Maserati dealership;</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 high level of guest service at Le Rêve that we believe will surpass that offered at any other destination casino hotel in Las Vegas; and</w:t>
      </w:r>
    </w:p>
    <w:p>
      <w:pPr>
        <w:spacing w:after="0" w:line="261" w:lineRule="exact"/>
        <w:rPr>
          <w:rFonts w:ascii="Times New Roman" w:cs="Times New Roman" w:eastAsia="Times New Roman" w:hAnsi="Times New Roman"/>
          <w:sz w:val="16"/>
          <w:szCs w:val="16"/>
          <w:color w:val="auto"/>
        </w:rPr>
      </w:pPr>
    </w:p>
    <w:p>
      <w:pPr>
        <w:ind w:left="1080" w:right="280" w:hanging="532"/>
        <w:spacing w:after="0" w:line="275"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our guests easy access to premium shopping either at Le Rêve or across the street at the newly expanded and renovated Fashion Show Mall.</w:t>
      </w:r>
    </w:p>
    <w:p>
      <w:pPr>
        <w:spacing w:after="0" w:line="170" w:lineRule="exact"/>
        <w:rPr>
          <w:sz w:val="20"/>
          <w:szCs w:val="20"/>
          <w:color w:val="auto"/>
        </w:rPr>
      </w:pPr>
    </w:p>
    <w:p>
      <w:pPr>
        <w:ind w:right="80" w:firstLine="3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Appeal to "High-Roller" and Premium Gaming Patrons. </w:t>
      </w:r>
      <w:r>
        <w:rPr>
          <w:rFonts w:ascii="Times New Roman" w:cs="Times New Roman" w:eastAsia="Times New Roman" w:hAnsi="Times New Roman"/>
          <w:sz w:val="18"/>
          <w:szCs w:val="18"/>
          <w:color w:val="auto"/>
        </w:rPr>
        <w:t>We believe that the premium level of luxury, sophistication and service we intend to offer at 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bound by any non-competition or non-solicitation agreements with MGM Mirage arising out of the acquisition of MGM Grand's acquisition of Mirage Resorts.</w:t>
      </w:r>
    </w:p>
    <w:p>
      <w:pPr>
        <w:spacing w:after="0" w:line="244" w:lineRule="exact"/>
        <w:rPr>
          <w:sz w:val="20"/>
          <w:szCs w:val="20"/>
          <w:color w:val="auto"/>
        </w:rPr>
      </w:pPr>
    </w:p>
    <w:p>
      <w:pPr>
        <w:jc w:val="both"/>
        <w:ind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Generate Substantial Revenue from Le Rêve's Non-Gaming Amenities. </w:t>
      </w:r>
      <w:r>
        <w:rPr>
          <w:rFonts w:ascii="Times New Roman" w:cs="Times New Roman" w:eastAsia="Times New Roman" w:hAnsi="Times New Roman"/>
          <w:sz w:val="18"/>
          <w:szCs w:val="18"/>
          <w:color w:val="auto"/>
        </w:rPr>
        <w:t>We have planned Le Rêve as a luxury destination resort with amenities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generate substantial non-gaming revenue. We expect Le Rêve's superior non-gaming amenities outlined above to provide for a substantial portion of our overall revenue.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Capitalize on the Attractive Location of Le Rêve.</w:t>
      </w:r>
    </w:p>
    <w:p>
      <w:pPr>
        <w:spacing w:after="0" w:line="227" w:lineRule="exact"/>
        <w:rPr>
          <w:sz w:val="20"/>
          <w:szCs w:val="20"/>
          <w:color w:val="auto"/>
        </w:rPr>
      </w:pPr>
    </w:p>
    <w:p>
      <w:pPr>
        <w:ind w:right="2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Extensive Frontage on the Las Vegas Strip. </w:t>
      </w:r>
      <w:r>
        <w:rPr>
          <w:rFonts w:ascii="Times New Roman" w:cs="Times New Roman" w:eastAsia="Times New Roman" w:hAnsi="Times New Roman"/>
          <w:sz w:val="18"/>
          <w:szCs w:val="18"/>
          <w:color w:val="auto"/>
        </w:rPr>
        <w:t>Le Rêve will be located on the Las Vegas Strip at the site of the former Desert Inn Resort &amp; Casino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89"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91" w:lineRule="exact"/>
        <w:rPr>
          <w:sz w:val="20"/>
          <w:szCs w:val="20"/>
          <w:color w:val="auto"/>
        </w:rPr>
      </w:pPr>
    </w:p>
    <w:p>
      <w:pPr>
        <w:ind w:right="26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Proximity to the Las Vegas Convention Center and the Sands Expo and Convention Center. </w:t>
      </w:r>
      <w:r>
        <w:rPr>
          <w:rFonts w:ascii="Times New Roman" w:cs="Times New Roman" w:eastAsia="Times New Roman" w:hAnsi="Times New Roman"/>
          <w:sz w:val="16"/>
          <w:szCs w:val="16"/>
          <w:color w:val="auto"/>
        </w:rPr>
        <w:t>According to Tradeshow Week 200, Las Vegas was the most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popular trade show destination in the United States in terms of net square footage and number of Tradeshow Week 200 shows in 2001 and one of the most</w:t>
      </w:r>
    </w:p>
    <w:p>
      <w:pPr>
        <w:sectPr>
          <w:pgSz w:w="11900" w:h="16838" w:orient="portrait"/>
          <w:cols w:equalWidth="0" w:num="1">
            <w:col w:w="11420"/>
          </w:cols>
          <w:pgMar w:left="240" w:top="125" w:right="239" w:bottom="0" w:gutter="0" w:footer="0" w:header="0"/>
        </w:sectPr>
      </w:pPr>
    </w:p>
    <w:bookmarkStart w:id="42" w:name="page43"/>
    <w:bookmarkEnd w:id="42"/>
    <w:p>
      <w:pPr>
        <w:ind w:right="700"/>
        <w:spacing w:after="0" w:line="275" w:lineRule="auto"/>
        <w:rPr>
          <w:sz w:val="20"/>
          <w:szCs w:val="20"/>
          <w:color w:val="auto"/>
        </w:rPr>
      </w:pPr>
      <w:r>
        <w:rPr>
          <w:rFonts w:ascii="Times New Roman" w:cs="Times New Roman" w:eastAsia="Times New Roman" w:hAnsi="Times New Roman"/>
          <w:sz w:val="18"/>
          <w:szCs w:val="18"/>
          <w:color w:val="auto"/>
        </w:rPr>
        <w:t>popular convention destinations in the United States. Le Rêve will be across the street from two of the nation's largest convention centers, the Las Vegas Convention Center and the Sands Expo and Convention Center.</w:t>
      </w:r>
    </w:p>
    <w:p>
      <w:pPr>
        <w:spacing w:after="0" w:line="174" w:lineRule="exact"/>
        <w:rPr>
          <w:sz w:val="20"/>
          <w:szCs w:val="20"/>
          <w:color w:val="auto"/>
        </w:rPr>
      </w:pPr>
    </w:p>
    <w:p>
      <w:pPr>
        <w:ind w:right="100" w:firstLine="348"/>
        <w:spacing w:after="0" w:line="291" w:lineRule="auto"/>
        <w:rPr>
          <w:sz w:val="20"/>
          <w:szCs w:val="20"/>
          <w:color w:val="auto"/>
        </w:rPr>
      </w:pPr>
      <w:r>
        <w:rPr>
          <w:rFonts w:ascii="Times New Roman" w:cs="Times New Roman" w:eastAsia="Times New Roman" w:hAnsi="Times New Roman"/>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67" w:lineRule="exact"/>
        <w:rPr>
          <w:sz w:val="20"/>
          <w:szCs w:val="20"/>
          <w:color w:val="auto"/>
        </w:rPr>
      </w:pPr>
    </w:p>
    <w:p>
      <w:pPr>
        <w:ind w:right="260" w:firstLine="348"/>
        <w:spacing w:after="0" w:line="256" w:lineRule="auto"/>
        <w:rPr>
          <w:sz w:val="20"/>
          <w:szCs w:val="20"/>
          <w:color w:val="auto"/>
        </w:rPr>
      </w:pPr>
      <w:r>
        <w:rPr>
          <w:rFonts w:ascii="Times New Roman" w:cs="Times New Roman" w:eastAsia="Times New Roman" w:hAnsi="Times New Roman"/>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88"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Proximity to the Fashion Show Mall. </w:t>
      </w:r>
      <w:r>
        <w:rPr>
          <w:rFonts w:ascii="Times New Roman" w:cs="Times New Roman" w:eastAsia="Times New Roman" w:hAnsi="Times New Roman"/>
          <w:sz w:val="18"/>
          <w:szCs w:val="18"/>
          <w:color w:val="auto"/>
        </w:rPr>
        <w:t>Le Rêve will be directly across Las Vegas Boulevard from The Rouse Company's Fashion Show Mall. We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91" w:lineRule="exact"/>
        <w:rPr>
          <w:sz w:val="20"/>
          <w:szCs w:val="20"/>
          <w:color w:val="auto"/>
        </w:rPr>
      </w:pPr>
    </w:p>
    <w:p>
      <w:pPr>
        <w:ind w:right="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Our Experienced Management Team. </w:t>
      </w:r>
      <w:r>
        <w:rPr>
          <w:rFonts w:ascii="Times New Roman" w:cs="Times New Roman" w:eastAsia="Times New Roman" w:hAnsi="Times New Roman"/>
          <w:sz w:val="18"/>
          <w:szCs w:val="18"/>
          <w:color w:val="auto"/>
        </w:rPr>
        <w:t>The members of our management team have extensive experience in developing and operating large-scale hotels and casinos, and many of them worked with Mr. Wynn at Mirage Resorts to develop Bellagio. In addition to our executive officers, each of whose background is described in "Management," Wynn Resorts' management team includes:</w:t>
      </w:r>
    </w:p>
    <w:p>
      <w:pPr>
        <w:spacing w:after="0" w:line="196"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 Oseland, who is Chief Operating Officer of Wynn Las Vegas and previously served as Vice President of Slot Operations of Bellagio;</w:t>
      </w:r>
    </w:p>
    <w:p>
      <w:pPr>
        <w:spacing w:after="0" w:line="252"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Linda Chen, who is Executive Vice President of Wynn Las Vegas and previously served as Executive Vice President of Far East Marketing of MGM Grand;</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Doreen Whennen, who is Vice President—Hotel Operations of Wynn Las Vegas and previously served as Vice President of Hotel Operations of The Mirage Casino-Hotel;</w:t>
      </w:r>
    </w:p>
    <w:p>
      <w:pPr>
        <w:spacing w:after="0" w:line="187"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Stuessi, who is Vice President—Food &amp; Beverage of Wynn Las Vegas and previously served as Vice President of Food Service Planning of Mirage Resorts;</w:t>
      </w:r>
    </w:p>
    <w:p>
      <w:pPr>
        <w:spacing w:after="0" w:line="200"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Bozich, who is Vice President—Chief Information Officer of Wynn Las Vegas and oversaw the information systems requirements for the design, building and opening of Bellagio and Beau Rivage;</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 Lexis, who is Vice President—Customer Development of Wynn Las Vegas and previously served as Vice President of Casino Marketing of the Desert Inn; and</w:t>
      </w:r>
    </w:p>
    <w:p>
      <w:pPr>
        <w:spacing w:after="0" w:line="187"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 experience, talent and commitment of the members of our management team provide a substantial competitive advantage.</w:t>
      </w:r>
    </w:p>
    <w:p>
      <w:pPr>
        <w:spacing w:after="0" w:line="221" w:lineRule="exact"/>
        <w:rPr>
          <w:sz w:val="20"/>
          <w:szCs w:val="20"/>
          <w:color w:val="auto"/>
        </w:rPr>
      </w:pPr>
    </w:p>
    <w:p>
      <w:pPr>
        <w:ind w:right="2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Carefully Manage Construction Costs and Risks. </w:t>
      </w:r>
      <w:r>
        <w:rPr>
          <w:rFonts w:ascii="Times New Roman" w:cs="Times New Roman" w:eastAsia="Times New Roman" w:hAnsi="Times New Roman"/>
          <w:sz w:val="18"/>
          <w:szCs w:val="18"/>
          <w:color w:val="auto"/>
        </w:rPr>
        <w:t>Wynn Design &amp; Development, a wholly owned subsidiary of Valvino, is responsible for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ectPr>
          <w:pgSz w:w="11900" w:h="16838" w:orient="portrait"/>
          <w:cols w:equalWidth="0" w:num="1">
            <w:col w:w="11400"/>
          </w:cols>
          <w:pgMar w:left="240" w:top="125" w:right="259" w:bottom="0" w:gutter="0" w:footer="0" w:header="0"/>
        </w:sectPr>
      </w:pPr>
    </w:p>
    <w:bookmarkStart w:id="43" w:name="page44"/>
    <w:bookmarkEnd w:id="43"/>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contractor performance and payment bond securing Marnell Corrao's obligations under the construction contract;</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of Marnell Corrao's full performance under the construction contract until final payment under that contract;</w:t>
      </w:r>
    </w:p>
    <w:p>
      <w:pPr>
        <w:spacing w:after="0" w:line="187" w:lineRule="exact"/>
        <w:rPr>
          <w:rFonts w:ascii="Times New Roman" w:cs="Times New Roman" w:eastAsia="Times New Roman" w:hAnsi="Times New Roman"/>
          <w:sz w:val="18"/>
          <w:szCs w:val="18"/>
          <w:color w:val="auto"/>
        </w:rPr>
      </w:pPr>
    </w:p>
    <w:p>
      <w:pPr>
        <w:ind w:left="1080" w:right="500" w:hanging="532"/>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203"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reserve account to be held by us which will be funded by $30 million of the net proceeds of Wynn Resorts' common stock offering pledged to the lenders under the credit facilities and second mortgage note holders to secure Wynn Las Vegas' obligation to complete the project and to be applied to the costs of the project in accordance with the disbursement agreement;</w:t>
      </w:r>
    </w:p>
    <w:p>
      <w:pPr>
        <w:spacing w:after="0" w:line="213"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remaining availability of approximately $43 million under Wynn Las Vegas' revolving credit facility that may be used to pay interest under the credit facilities and the second mortgage notes and other financing fees if completion is delayed.</w:t>
      </w:r>
    </w:p>
    <w:p>
      <w:pPr>
        <w:spacing w:after="0" w:line="174"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86"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the Significant Equity Investment. </w:t>
      </w:r>
      <w:r>
        <w:rPr>
          <w:rFonts w:ascii="Times New Roman" w:cs="Times New Roman" w:eastAsia="Times New Roman" w:hAnsi="Times New Roman"/>
          <w:sz w:val="18"/>
          <w:szCs w:val="18"/>
          <w:color w:val="auto"/>
        </w:rPr>
        <w:t>We will have a significant cash equity capitalization for the development of Le Rêve. From inception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completion of Le Rêve, we expect to have received a total of approximately $926 million in cash equity, which represents approximately 38% of the total project costs. The $926 million derives from equity contributions from the prior members of Valvino and $363.5 million of the net proceeds of the concurrent initial public offering by Wynn Resorts. To date, Mr. Wynn has invested approximately $175 million in cash equity, which demonstrates his commitment to the Le Rêve project.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Features of the Le Rêve Project</w:t>
      </w:r>
    </w:p>
    <w:p>
      <w:pPr>
        <w:spacing w:after="0" w:line="227" w:lineRule="exact"/>
        <w:rPr>
          <w:sz w:val="20"/>
          <w:szCs w:val="20"/>
          <w:color w:val="auto"/>
        </w:rPr>
      </w:pPr>
    </w:p>
    <w:p>
      <w:pPr>
        <w:ind w:right="80" w:firstLine="341"/>
        <w:spacing w:after="0" w:line="301" w:lineRule="auto"/>
        <w:rPr>
          <w:sz w:val="20"/>
          <w:szCs w:val="20"/>
          <w:color w:val="auto"/>
        </w:rPr>
      </w:pPr>
      <w:r>
        <w:rPr>
          <w:rFonts w:ascii="Times New Roman" w:cs="Times New Roman" w:eastAsia="Times New Roman" w:hAnsi="Times New Roman"/>
          <w:sz w:val="16"/>
          <w:szCs w:val="16"/>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our indebtedness.</w:t>
      </w:r>
    </w:p>
    <w:p>
      <w:pPr>
        <w:spacing w:after="0" w:line="153" w:lineRule="exact"/>
        <w:rPr>
          <w:sz w:val="20"/>
          <w:szCs w:val="20"/>
          <w:color w:val="auto"/>
        </w:rPr>
      </w:pPr>
    </w:p>
    <w:p>
      <w:pPr>
        <w:ind w:right="2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Hotel. </w:t>
      </w:r>
      <w:r>
        <w:rPr>
          <w:rFonts w:ascii="Times New Roman" w:cs="Times New Roman" w:eastAsia="Times New Roman" w:hAnsi="Times New Roman"/>
          <w:sz w:val="18"/>
          <w:szCs w:val="18"/>
          <w:color w:val="auto"/>
        </w:rPr>
        <w:t>We have designed Le Rêve's hotel tower to contain 45 floors of hotel rooms and suites on top of a three-story low-rise building housing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2"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89"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Guest Rooms. </w:t>
      </w:r>
      <w:r>
        <w:rPr>
          <w:rFonts w:ascii="Times New Roman" w:cs="Times New Roman" w:eastAsia="Times New Roman" w:hAnsi="Times New Roman"/>
          <w:sz w:val="18"/>
          <w:szCs w:val="18"/>
          <w:color w:val="auto"/>
        </w:rPr>
        <w:t>We intend to decorate our approximately 2,400 standard guest rooms with sophisticated interior design elements and materials.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93"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21 one- and two-bedroom fairway</w:t>
      </w:r>
    </w:p>
    <w:p>
      <w:pPr>
        <w:sectPr>
          <w:pgSz w:w="11900" w:h="16838" w:orient="portrait"/>
          <w:cols w:equalWidth="0" w:num="1">
            <w:col w:w="11420"/>
          </w:cols>
          <w:pgMar w:left="240" w:top="139" w:right="239" w:bottom="19"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9" w:gutter="0" w:footer="0" w:header="0"/>
          <w:type w:val="continuous"/>
        </w:sectPr>
      </w:pPr>
    </w:p>
    <w:bookmarkStart w:id="44" w:name="page45"/>
    <w:bookmarkEnd w:id="44"/>
    <w:p>
      <w:pPr>
        <w:ind w:right="160"/>
        <w:spacing w:after="0" w:line="258" w:lineRule="auto"/>
        <w:rPr>
          <w:sz w:val="20"/>
          <w:szCs w:val="20"/>
          <w:color w:val="auto"/>
        </w:rPr>
      </w:pPr>
      <w:r>
        <w:rPr>
          <w:rFonts w:ascii="Times New Roman" w:cs="Times New Roman" w:eastAsia="Times New Roman" w:hAnsi="Times New Roman"/>
          <w:sz w:val="18"/>
          <w:szCs w:val="18"/>
          <w:color w:val="auto"/>
        </w:rPr>
        <w:t>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90"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93"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8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Casino. </w:t>
      </w:r>
      <w:r>
        <w:rPr>
          <w:rFonts w:ascii="Times New Roman" w:cs="Times New Roman" w:eastAsia="Times New Roman" w:hAnsi="Times New Roman"/>
          <w:sz w:val="18"/>
          <w:szCs w:val="18"/>
          <w:color w:val="auto"/>
        </w:rPr>
        <w:t>We expect Le Rêve to have an approximately 111,000 square foot casino located in the center of the first level of the low-rise building. 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92"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Golf Course. </w:t>
      </w:r>
      <w:r>
        <w:rPr>
          <w:rFonts w:ascii="Times New Roman" w:cs="Times New Roman" w:eastAsia="Times New Roman" w:hAnsi="Times New Roman"/>
          <w:sz w:val="18"/>
          <w:szCs w:val="18"/>
          <w:color w:val="auto"/>
        </w:rPr>
        <w:t>We plan to construct a world-class, 18-hole championship golf course at the site of the former Desert Inn golf course. Based on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82"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Restaurants, Lounges, Bars and Nightclub. </w:t>
      </w:r>
      <w:r>
        <w:rPr>
          <w:rFonts w:ascii="Times New Roman" w:cs="Times New Roman" w:eastAsia="Times New Roman" w:hAnsi="Times New Roman"/>
          <w:sz w:val="18"/>
          <w:szCs w:val="18"/>
          <w:color w:val="auto"/>
        </w:rPr>
        <w:t>We plan to offer 18 food and beverage outlets, including six fine-dining restaurants and an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Times New Roman" w:cs="Times New Roman" w:eastAsia="Times New Roman" w:hAnsi="Times New Roman"/>
          <w:sz w:val="18"/>
          <w:szCs w:val="18"/>
          <w:i w:val="1"/>
          <w:iCs w:val="1"/>
          <w:color w:val="auto"/>
        </w:rPr>
        <w:t>Bon Appetit Magazine</w:t>
      </w:r>
      <w:r>
        <w:rPr>
          <w:rFonts w:ascii="Times New Roman" w:cs="Times New Roman" w:eastAsia="Times New Roman" w:hAnsi="Times New Roman"/>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Times New Roman" w:cs="Times New Roman" w:eastAsia="Times New Roman" w:hAnsi="Times New Roman"/>
          <w:sz w:val="18"/>
          <w:szCs w:val="18"/>
          <w:i w:val="1"/>
          <w:iCs w:val="1"/>
          <w:color w:val="auto"/>
        </w:rPr>
        <w:t>The International Herald Tribune</w:t>
      </w:r>
      <w:r>
        <w:rPr>
          <w:rFonts w:ascii="Times New Roman" w:cs="Times New Roman" w:eastAsia="Times New Roman" w:hAnsi="Times New Roman"/>
          <w:sz w:val="18"/>
          <w:szCs w:val="18"/>
          <w:color w:val="auto"/>
        </w:rPr>
        <w:t xml:space="preserve"> in 1993 and received </w:t>
      </w:r>
      <w:r>
        <w:rPr>
          <w:rFonts w:ascii="Times New Roman" w:cs="Times New Roman" w:eastAsia="Times New Roman" w:hAnsi="Times New Roman"/>
          <w:sz w:val="18"/>
          <w:szCs w:val="18"/>
          <w:i w:val="1"/>
          <w:iCs w:val="1"/>
          <w:color w:val="auto"/>
        </w:rPr>
        <w:t>Gourmet Magazine's</w:t>
      </w:r>
      <w:r>
        <w:rPr>
          <w:rFonts w:ascii="Times New Roman" w:cs="Times New Roman" w:eastAsia="Times New Roman" w:hAnsi="Times New Roman"/>
          <w:sz w:val="18"/>
          <w:szCs w:val="18"/>
          <w:color w:val="auto"/>
        </w:rPr>
        <w:t xml:space="preserve"> "Top Table" award in 1997.</w:t>
      </w:r>
    </w:p>
    <w:p>
      <w:pPr>
        <w:spacing w:after="0" w:line="192" w:lineRule="exact"/>
        <w:rPr>
          <w:sz w:val="20"/>
          <w:szCs w:val="20"/>
          <w:color w:val="auto"/>
        </w:rPr>
      </w:pPr>
    </w:p>
    <w:p>
      <w:pPr>
        <w:jc w:val="both"/>
        <w:ind w:right="380" w:firstLine="348"/>
        <w:spacing w:after="0" w:line="262" w:lineRule="auto"/>
        <w:rPr>
          <w:sz w:val="20"/>
          <w:szCs w:val="20"/>
          <w:color w:val="auto"/>
        </w:rPr>
      </w:pPr>
      <w:r>
        <w:rPr>
          <w:rFonts w:ascii="Times New Roman" w:cs="Times New Roman" w:eastAsia="Times New Roman" w:hAnsi="Times New Roman"/>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82" w:lineRule="exact"/>
        <w:rPr>
          <w:sz w:val="20"/>
          <w:szCs w:val="20"/>
          <w:color w:val="auto"/>
        </w:rPr>
      </w:pPr>
    </w:p>
    <w:p>
      <w:pPr>
        <w:jc w:val="both"/>
        <w:ind w:right="8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Showroom. </w:t>
      </w:r>
      <w:r>
        <w:rPr>
          <w:rFonts w:ascii="Times New Roman" w:cs="Times New Roman" w:eastAsia="Times New Roman" w:hAnsi="Times New Roman"/>
          <w:sz w:val="18"/>
          <w:szCs w:val="18"/>
          <w:color w:val="auto"/>
        </w:rPr>
        <w:t>Le Rêve's showroom will be customized to accommodate the unveiling of Franco Dragone's new water-based entertainment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87"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82"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Art Gallery. </w:t>
      </w:r>
      <w:r>
        <w:rPr>
          <w:rFonts w:ascii="Times New Roman" w:cs="Times New Roman" w:eastAsia="Times New Roman" w:hAnsi="Times New Roman"/>
          <w:sz w:val="16"/>
          <w:szCs w:val="16"/>
          <w:color w:val="auto"/>
        </w:rPr>
        <w:t>Le Rêve will also offer an art gallery displaying rare paintings from The Wynn Collection. The Wynn Collection consists of works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Party Transactions—Art Gallery."</w:t>
      </w:r>
    </w:p>
    <w:p>
      <w:pPr>
        <w:spacing w:after="0" w:line="166" w:lineRule="exact"/>
        <w:rPr>
          <w:sz w:val="20"/>
          <w:szCs w:val="20"/>
          <w:color w:val="auto"/>
        </w:rPr>
      </w:pPr>
    </w:p>
    <w:p>
      <w:pPr>
        <w:ind w:right="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Ferrari and Maserati Dealership. </w:t>
      </w:r>
      <w:r>
        <w:rPr>
          <w:rFonts w:ascii="Times New Roman" w:cs="Times New Roman" w:eastAsia="Times New Roman" w:hAnsi="Times New Roman"/>
          <w:sz w:val="18"/>
          <w:szCs w:val="18"/>
          <w:color w:val="auto"/>
        </w:rPr>
        <w:t>We have entered into letters of intent with Ferrari North America, Inc. and Maserati North America, Inc. to open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on-site, full-service Ferrari and Maserati dealership. We expect that our franchises will include a</w:t>
      </w:r>
    </w:p>
    <w:p>
      <w:pPr>
        <w:sectPr>
          <w:pgSz w:w="11900" w:h="16838" w:orient="portrait"/>
          <w:cols w:equalWidth="0" w:num="1">
            <w:col w:w="11400"/>
          </w:cols>
          <w:pgMar w:left="240" w:top="584" w:right="259" w:bottom="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74"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letters of intent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 letters of intent, no changes in the proportional equity interests in Wynn Resorts held by Mr. Wynn, Aruze USA, Baron Asset Fund and our public stockholders as a group upon consummation of this offering can be made without the approval of Ferrari North America and Maserati North America.</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in the process of seeking a zoning ordinance amendment to permit us to operate the dealership at the Le Rêve site.</w:t>
      </w:r>
    </w:p>
    <w:p>
      <w:pPr>
        <w:spacing w:after="0" w:line="221" w:lineRule="exact"/>
        <w:rPr>
          <w:sz w:val="20"/>
          <w:szCs w:val="20"/>
          <w:color w:val="auto"/>
        </w:rPr>
      </w:pPr>
    </w:p>
    <w:p>
      <w:pPr>
        <w:ind w:right="8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Retail Space. </w:t>
      </w:r>
      <w:r>
        <w:rPr>
          <w:rFonts w:ascii="Times New Roman" w:cs="Times New Roman" w:eastAsia="Times New Roman" w:hAnsi="Times New Roman"/>
          <w:sz w:val="16"/>
          <w:szCs w:val="16"/>
          <w:color w:val="auto"/>
        </w:rPr>
        <w:t>We expect that Le Rêve will contain approximately 77,500 square feet dedicated to retail shops. We expect to lease approximately eight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4" w:lineRule="exact"/>
        <w:rPr>
          <w:sz w:val="20"/>
          <w:szCs w:val="20"/>
          <w:color w:val="auto"/>
        </w:rPr>
      </w:pPr>
    </w:p>
    <w:p>
      <w:pPr>
        <w:ind w:right="38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Spa, Salon and Fitness Complex. </w:t>
      </w:r>
      <w:r>
        <w:rPr>
          <w:rFonts w:ascii="Times New Roman" w:cs="Times New Roman" w:eastAsia="Times New Roman" w:hAnsi="Times New Roman"/>
          <w:sz w:val="18"/>
          <w:szCs w:val="18"/>
          <w:color w:val="auto"/>
        </w:rPr>
        <w:t>We plan to own and operate an approximately 38,000 square foot world-class spa, salon and fitness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high-end spa treatments and fitness equipment and custom label and branded skin and body treatment products, as well as clothing, accessories, and athletic wear.</w:t>
      </w:r>
    </w:p>
    <w:p>
      <w:pPr>
        <w:spacing w:after="0" w:line="179" w:lineRule="exact"/>
        <w:rPr>
          <w:sz w:val="20"/>
          <w:szCs w:val="20"/>
          <w:color w:val="auto"/>
        </w:rPr>
      </w:pPr>
    </w:p>
    <w:p>
      <w:pPr>
        <w:ind w:right="46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Swimming Pools. </w:t>
      </w:r>
      <w:r>
        <w:rPr>
          <w:rFonts w:ascii="Times New Roman" w:cs="Times New Roman" w:eastAsia="Times New Roman" w:hAnsi="Times New Roman"/>
          <w:sz w:val="18"/>
          <w:szCs w:val="18"/>
          <w:color w:val="auto"/>
        </w:rPr>
        <w:t>Le Rêve will offer its guests four outdoor swimming pools and two whirlpool spas. Two swimming pools will be dedicated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use of our suite guests. All of the pool areas will feature private cabanas and lush landscaping.</w:t>
      </w:r>
    </w:p>
    <w:p>
      <w:pPr>
        <w:spacing w:after="0" w:line="165" w:lineRule="exact"/>
        <w:rPr>
          <w:sz w:val="20"/>
          <w:szCs w:val="20"/>
          <w:color w:val="auto"/>
        </w:rPr>
      </w:pPr>
    </w:p>
    <w:p>
      <w:pPr>
        <w:ind w:right="6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Convention, Meeting and Reception Facilities. </w:t>
      </w:r>
      <w:r>
        <w:rPr>
          <w:rFonts w:ascii="Times New Roman" w:cs="Times New Roman" w:eastAsia="Times New Roman" w:hAnsi="Times New Roman"/>
          <w:sz w:val="16"/>
          <w:szCs w:val="16"/>
          <w:color w:val="auto"/>
        </w:rPr>
        <w:t>Le Rêve expects to feature approximately 223,000 square feet of convention, meeting and reception space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44" w:lineRule="exact"/>
        <w:rPr>
          <w:sz w:val="20"/>
          <w:szCs w:val="20"/>
          <w:color w:val="auto"/>
        </w:rPr>
      </w:pPr>
    </w:p>
    <w:p>
      <w:pPr>
        <w:ind w:left="360"/>
        <w:spacing w:after="0"/>
        <w:tabs>
          <w:tab w:leader="none" w:pos="2140" w:val="left"/>
        </w:tabs>
        <w:rPr>
          <w:sz w:val="20"/>
          <w:szCs w:val="20"/>
          <w:color w:val="auto"/>
        </w:rPr>
      </w:pPr>
      <w:r>
        <w:rPr>
          <w:rFonts w:ascii="Times New Roman" w:cs="Times New Roman" w:eastAsia="Times New Roman" w:hAnsi="Times New Roman"/>
          <w:sz w:val="18"/>
          <w:szCs w:val="18"/>
          <w:b w:val="1"/>
          <w:bCs w:val="1"/>
          <w:i w:val="1"/>
          <w:iCs w:val="1"/>
          <w:color w:val="auto"/>
        </w:rPr>
        <w:t>The Wedding Chapels.</w:t>
      </w:r>
      <w:r>
        <w:rPr>
          <w:sz w:val="20"/>
          <w:szCs w:val="20"/>
          <w:color w:val="auto"/>
        </w:rPr>
        <w:tab/>
      </w:r>
      <w:r>
        <w:rPr>
          <w:rFonts w:ascii="Times New Roman" w:cs="Times New Roman" w:eastAsia="Times New Roman" w:hAnsi="Times New Roman"/>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2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Parking. </w:t>
      </w:r>
      <w:r>
        <w:rPr>
          <w:rFonts w:ascii="Times New Roman" w:cs="Times New Roman" w:eastAsia="Times New Roman" w:hAnsi="Times New Roman"/>
          <w:sz w:val="18"/>
          <w:szCs w:val="18"/>
          <w:color w:val="auto"/>
        </w:rPr>
        <w:t>Our north parking garage, which will have easy access to our hotel, will provide approximately 1,840 parking spaces for our guests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Design and Construction Team</w:t>
      </w:r>
    </w:p>
    <w:p>
      <w:pPr>
        <w:spacing w:after="0" w:line="227" w:lineRule="exact"/>
        <w:rPr>
          <w:sz w:val="20"/>
          <w:szCs w:val="20"/>
          <w:color w:val="auto"/>
        </w:rPr>
      </w:pPr>
    </w:p>
    <w:p>
      <w:pPr>
        <w:ind w:right="500" w:firstLine="348"/>
        <w:spacing w:after="0" w:line="262" w:lineRule="auto"/>
        <w:rPr>
          <w:sz w:val="20"/>
          <w:szCs w:val="20"/>
          <w:color w:val="auto"/>
        </w:rPr>
      </w:pPr>
      <w:r>
        <w:rPr>
          <w:rFonts w:ascii="Times New Roman" w:cs="Times New Roman" w:eastAsia="Times New Roman" w:hAnsi="Times New Roman"/>
          <w:sz w:val="18"/>
          <w:szCs w:val="18"/>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198" w:lineRule="exact"/>
        <w:rPr>
          <w:sz w:val="20"/>
          <w:szCs w:val="20"/>
          <w:color w:val="auto"/>
        </w:rPr>
      </w:pPr>
    </w:p>
    <w:p>
      <w:pPr>
        <w:ind w:left="1080" w:right="80" w:hanging="532"/>
        <w:spacing w:after="0" w:line="25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Kenneth R. Wynn, President</w:t>
      </w:r>
      <w:r>
        <w:rPr>
          <w:rFonts w:ascii="Times New Roman" w:cs="Times New Roman" w:eastAsia="Times New Roman" w:hAnsi="Times New Roman"/>
          <w:sz w:val="18"/>
          <w:szCs w:val="18"/>
          <w:color w:val="auto"/>
        </w:rPr>
        <w:t>. Kenneth R. Wynn will be supervising the construction, architectural and interior design and purchasing for Le Rêve.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 Todd Nisbet, Executive Vice President</w:t>
      </w:r>
      <w:r>
        <w:rPr>
          <w:rFonts w:ascii="Times New Roman" w:cs="Times New Roman" w:eastAsia="Times New Roman" w:hAnsi="Times New Roman"/>
          <w:sz w:val="18"/>
          <w:szCs w:val="18"/>
          <w:color w:val="auto"/>
        </w:rPr>
        <w:t>—Project Director. Mr. Nisbet will be supervising the construction of Le Rêve. Mr. Nisbet has over</w:t>
      </w:r>
    </w:p>
    <w:p>
      <w:pPr>
        <w:spacing w:after="0" w:line="23" w:lineRule="exact"/>
        <w:rPr>
          <w:rFonts w:ascii="Times New Roman" w:cs="Times New Roman" w:eastAsia="Times New Roman" w:hAnsi="Times New Roman"/>
          <w:sz w:val="18"/>
          <w:szCs w:val="18"/>
          <w:color w:val="auto"/>
        </w:rPr>
      </w:pPr>
    </w:p>
    <w:p>
      <w:pPr>
        <w:ind w:left="108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03" w:lineRule="exact"/>
        <w:rPr>
          <w:rFonts w:ascii="Times New Roman" w:cs="Times New Roman" w:eastAsia="Times New Roman" w:hAnsi="Times New Roman"/>
          <w:sz w:val="18"/>
          <w:szCs w:val="18"/>
          <w:color w:val="auto"/>
        </w:rPr>
      </w:pPr>
    </w:p>
    <w:p>
      <w:pPr>
        <w:ind w:left="1080" w:right="80" w:hanging="532"/>
        <w:spacing w:after="0" w:line="26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DeRuyter O. Butler, Executive Vice President—Architecture</w:t>
      </w:r>
      <w:r>
        <w:rPr>
          <w:rFonts w:ascii="Times New Roman" w:cs="Times New Roman" w:eastAsia="Times New Roman" w:hAnsi="Times New Roman"/>
          <w:sz w:val="18"/>
          <w:szCs w:val="18"/>
          <w:color w:val="auto"/>
        </w:rPr>
        <w:t>. Mr. Butler has been employed by Atlandia Design &amp; Furnishings or Wynn Design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194"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Roger P. Thomas, Executive Vice President—Design</w:t>
      </w:r>
      <w:r>
        <w:rPr>
          <w:rFonts w:ascii="Times New Roman" w:cs="Times New Roman" w:eastAsia="Times New Roman" w:hAnsi="Times New Roman"/>
          <w:sz w:val="18"/>
          <w:szCs w:val="18"/>
          <w:color w:val="auto"/>
        </w:rPr>
        <w:t>. Mr. Thomas, who served as the Vice President—Design for Atlandia Design &amp; Furnishings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redecoration of the original tower, the casino and the lobby.</w:t>
      </w:r>
    </w:p>
    <w:p>
      <w:pPr>
        <w:spacing w:after="0" w:line="215" w:lineRule="exact"/>
        <w:rPr>
          <w:rFonts w:ascii="Times New Roman" w:cs="Times New Roman" w:eastAsia="Times New Roman" w:hAnsi="Times New Roman"/>
          <w:sz w:val="18"/>
          <w:szCs w:val="18"/>
          <w:color w:val="auto"/>
        </w:rPr>
      </w:pPr>
    </w:p>
    <w:p>
      <w:pPr>
        <w:ind w:left="1080" w:right="120" w:hanging="532"/>
        <w:spacing w:after="0" w:line="26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Janellen Sachs Radoff, Vice President—Design</w:t>
      </w:r>
      <w:r>
        <w:rPr>
          <w:rFonts w:ascii="Times New Roman" w:cs="Times New Roman" w:eastAsia="Times New Roman" w:hAnsi="Times New Roman"/>
          <w:sz w:val="18"/>
          <w:szCs w:val="18"/>
          <w:color w:val="auto"/>
        </w:rPr>
        <w:t>. Ms. Radoff held the position of Executive Designer at Atlandia Design &amp; Furnishings for almost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years and has over 25 years of experience in interior design. Ms. Radoff worked with Mr. Thomas to create the interior design of major hotel casino resorts projects such as Bellagio, The Mirage and the Golden Nugget—Las Vegas.</w:t>
      </w:r>
    </w:p>
    <w:p>
      <w:pPr>
        <w:sectPr>
          <w:pgSz w:w="11900" w:h="16838" w:orient="portrait"/>
          <w:cols w:equalWidth="0" w:num="1">
            <w:col w:w="11400"/>
          </w:cols>
          <w:pgMar w:left="240" w:top="125" w:right="259" w:bottom="0" w:gutter="0" w:footer="0" w:header="0"/>
        </w:sectPr>
      </w:pPr>
    </w:p>
    <w:bookmarkStart w:id="46" w:name="page47"/>
    <w:bookmarkEnd w:id="46"/>
    <w:p>
      <w:pPr>
        <w:ind w:left="540"/>
        <w:spacing w:after="0"/>
        <w:rPr>
          <w:sz w:val="20"/>
          <w:szCs w:val="20"/>
          <w:color w:val="auto"/>
        </w:rPr>
      </w:pPr>
      <w:r>
        <w:rPr>
          <w:rFonts w:ascii="Times New Roman" w:cs="Times New Roman" w:eastAsia="Times New Roman" w:hAnsi="Times New Roman"/>
          <w:sz w:val="18"/>
          <w:szCs w:val="18"/>
          <w:b w:val="1"/>
          <w:bCs w:val="1"/>
          <w:color w:val="auto"/>
        </w:rPr>
        <w:t>Construction Schedule and Budget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scheduled groundbreaking for Le Rêve to occur in September 2002, with an opening to the general public scheduled for March 2005.</w:t>
      </w:r>
    </w:p>
    <w:p>
      <w:pPr>
        <w:spacing w:after="0" w:line="225"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90" w:lineRule="exact"/>
        <w:rPr>
          <w:sz w:val="20"/>
          <w:szCs w:val="20"/>
          <w:color w:val="auto"/>
        </w:rPr>
      </w:pPr>
    </w:p>
    <w:p>
      <w:pPr>
        <w:ind w:right="300" w:firstLine="351"/>
        <w:spacing w:after="0" w:line="255" w:lineRule="auto"/>
        <w:rPr>
          <w:sz w:val="20"/>
          <w:szCs w:val="20"/>
          <w:color w:val="auto"/>
        </w:rPr>
      </w:pPr>
      <w:r>
        <w:rPr>
          <w:rFonts w:ascii="Times New Roman" w:cs="Times New Roman" w:eastAsia="Times New Roman" w:hAnsi="Times New Roman"/>
          <w:sz w:val="18"/>
          <w:szCs w:val="18"/>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contract is subject to 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93"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Approximately $485 million of the $1.4 billion budgeted design and construction cost expenditures are not part of the Marnell Corrao guaranteed maximum price contract. These budgeted costs include:</w:t>
      </w:r>
    </w:p>
    <w:p>
      <w:pPr>
        <w:spacing w:after="0" w:line="187" w:lineRule="exact"/>
        <w:rPr>
          <w:sz w:val="20"/>
          <w:szCs w:val="20"/>
          <w:color w:val="auto"/>
        </w:rPr>
      </w:pPr>
    </w:p>
    <w:p>
      <w:pPr>
        <w:ind w:left="1080" w:right="600" w:hanging="532"/>
        <w:spacing w:after="0" w:line="275"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new golf course at a budgeted cost of approximately $21.5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principal parking garage at a budgeted cost of approximately $11.5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design and engineering professional fees of approximately $66.1 million;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required governmental approvals and permits and utility service connection fees of approximately $13.8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miscellaneous capital projects, including demolition and mock-up costs, of approximately $23.8 million;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utilities and security costs during construction of approximately $6.3 million;</w:t>
      </w:r>
    </w:p>
    <w:p>
      <w:pPr>
        <w:spacing w:after="0" w:line="252"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contingency of approximately $26.7 million of the total owner's contingency of $34.3 million.</w:t>
      </w:r>
    </w:p>
    <w:p>
      <w:pPr>
        <w:spacing w:after="0" w:line="225" w:lineRule="exact"/>
        <w:rPr>
          <w:sz w:val="20"/>
          <w:szCs w:val="20"/>
          <w:color w:val="auto"/>
        </w:rPr>
      </w:pPr>
    </w:p>
    <w:p>
      <w:pPr>
        <w:ind w:right="300" w:firstLine="348"/>
        <w:spacing w:after="0" w:line="258" w:lineRule="auto"/>
        <w:rPr>
          <w:sz w:val="20"/>
          <w:szCs w:val="20"/>
          <w:color w:val="auto"/>
        </w:rPr>
      </w:pPr>
      <w:r>
        <w:rPr>
          <w:rFonts w:ascii="Times New Roman" w:cs="Times New Roman" w:eastAsia="Times New Roman" w:hAnsi="Times New Roman"/>
          <w:sz w:val="18"/>
          <w:szCs w:val="18"/>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90" w:lineRule="exact"/>
        <w:rPr>
          <w:sz w:val="20"/>
          <w:szCs w:val="20"/>
          <w:color w:val="auto"/>
        </w:rPr>
      </w:pPr>
    </w:p>
    <w:p>
      <w:pPr>
        <w:ind w:right="360" w:firstLine="348"/>
        <w:spacing w:after="0" w:line="301" w:lineRule="auto"/>
        <w:rPr>
          <w:sz w:val="20"/>
          <w:szCs w:val="20"/>
          <w:color w:val="auto"/>
        </w:rPr>
      </w:pPr>
      <w:r>
        <w:rPr>
          <w:rFonts w:ascii="Times New Roman" w:cs="Times New Roman" w:eastAsia="Times New Roman" w:hAnsi="Times New Roman"/>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57" w:lineRule="exact"/>
        <w:rPr>
          <w:sz w:val="20"/>
          <w:szCs w:val="20"/>
          <w:color w:val="auto"/>
        </w:rPr>
      </w:pPr>
    </w:p>
    <w:p>
      <w:pPr>
        <w:ind w:right="320" w:firstLine="348"/>
        <w:spacing w:after="0" w:line="301" w:lineRule="auto"/>
        <w:rPr>
          <w:sz w:val="20"/>
          <w:szCs w:val="20"/>
          <w:color w:val="auto"/>
        </w:rPr>
      </w:pPr>
      <w:r>
        <w:rPr>
          <w:rFonts w:ascii="Times New Roman" w:cs="Times New Roman" w:eastAsia="Times New Roman" w:hAnsi="Times New Roman"/>
          <w:sz w:val="16"/>
          <w:szCs w:val="16"/>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w:t>
      </w:r>
    </w:p>
    <w:p>
      <w:pPr>
        <w:sectPr>
          <w:pgSz w:w="11900" w:h="16838" w:orient="portrait"/>
          <w:cols w:equalWidth="0" w:num="1">
            <w:col w:w="11380"/>
          </w:cols>
          <w:pgMar w:left="240" w:top="123" w:right="279" w:bottom="0" w:gutter="0" w:footer="0" w:header="0"/>
        </w:sectPr>
      </w:pPr>
    </w:p>
    <w:bookmarkStart w:id="47" w:name="page48"/>
    <w:bookmarkEnd w:id="47"/>
    <w:p>
      <w:pPr>
        <w:ind w:right="240"/>
        <w:spacing w:after="0" w:line="275" w:lineRule="auto"/>
        <w:rPr>
          <w:sz w:val="20"/>
          <w:szCs w:val="20"/>
          <w:color w:val="auto"/>
        </w:rPr>
      </w:pPr>
      <w:r>
        <w:rPr>
          <w:rFonts w:ascii="Times New Roman" w:cs="Times New Roman" w:eastAsia="Times New Roman" w:hAnsi="Times New Roman"/>
          <w:sz w:val="18"/>
          <w:szCs w:val="18"/>
          <w:color w:val="auto"/>
        </w:rPr>
        <w:t>negotiate leases consistent with our design and construction budget, we may have to fund or construct, at our cost, additional improvements in connection with the leases relating to the space.</w:t>
      </w:r>
    </w:p>
    <w:p>
      <w:pPr>
        <w:spacing w:after="0" w:line="174"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74" w:lineRule="exact"/>
        <w:rPr>
          <w:sz w:val="20"/>
          <w:szCs w:val="20"/>
          <w:color w:val="auto"/>
        </w:rPr>
      </w:pPr>
    </w:p>
    <w:p>
      <w:pPr>
        <w:ind w:right="480" w:firstLine="348"/>
        <w:spacing w:after="0" w:line="339" w:lineRule="auto"/>
        <w:rPr>
          <w:sz w:val="20"/>
          <w:szCs w:val="20"/>
          <w:color w:val="auto"/>
        </w:rPr>
      </w:pPr>
      <w:r>
        <w:rPr>
          <w:rFonts w:ascii="Times New Roman" w:cs="Times New Roman" w:eastAsia="Times New Roman" w:hAnsi="Times New Roman"/>
          <w:sz w:val="16"/>
          <w:szCs w:val="16"/>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42"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contractor performance and payment bond securing Marnell Corrao's obligations under the construction contract;</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of Marnell Corrao's full performance under the construction contract until final payment under that contract;</w:t>
      </w:r>
    </w:p>
    <w:p>
      <w:pPr>
        <w:spacing w:after="0" w:line="187" w:lineRule="exact"/>
        <w:rPr>
          <w:rFonts w:ascii="Times New Roman" w:cs="Times New Roman" w:eastAsia="Times New Roman" w:hAnsi="Times New Roman"/>
          <w:sz w:val="18"/>
          <w:szCs w:val="18"/>
          <w:color w:val="auto"/>
        </w:rPr>
      </w:pPr>
    </w:p>
    <w:p>
      <w:pPr>
        <w:ind w:left="1080" w:right="280" w:hanging="532"/>
        <w:spacing w:after="0" w:line="310" w:lineRule="auto"/>
        <w:tabs>
          <w:tab w:leader="none" w:pos="10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Wynn Resorts' common stock offering contributed to the special purpose subsidiary, deposited in a collateral account and pledged to the lenders under the credit facilities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the second mortgage note holders, to be applied to the costs of the project in accordance with the disbursement agreement;</w:t>
      </w:r>
    </w:p>
    <w:p>
      <w:pPr>
        <w:spacing w:after="0" w:line="239" w:lineRule="exact"/>
        <w:rPr>
          <w:sz w:val="20"/>
          <w:szCs w:val="20"/>
          <w:color w:val="auto"/>
        </w:rPr>
      </w:pPr>
    </w:p>
    <w:p>
      <w:pPr>
        <w:ind w:left="1080" w:right="200" w:hanging="532"/>
        <w:spacing w:after="0" w:line="26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liquidity reserve account to be held by Wynn Las Vegas which will be funded by $30 million of the net proceeds of Wynn Resorts' offering of common stock pledged to the lenders under the credit facilities and second mortgage note holders to secure Wynn Las Vegas' obligation to complete the project and to be applied to the costs of the project in accordance with the disbursement agreement;</w:t>
      </w:r>
    </w:p>
    <w:p>
      <w:pPr>
        <w:spacing w:after="0" w:line="213"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Despite these protections, design and construction costs may be significantly higher than expected. Furthermore, if we do not complete construction of Le Rêve by August 31, 2005, subject to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 —Risks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Water Show Entertainment Production Agreement</w:t>
      </w:r>
    </w:p>
    <w:p>
      <w:pPr>
        <w:spacing w:after="0" w:line="22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 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the creation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We have also paid Calitri $1 million for an option with respect to a second production for Le Rêve or for another project. We anticipate that we will be required to pay an additional $1 million if we exercise the option.</w:t>
      </w:r>
    </w:p>
    <w:p>
      <w:pPr>
        <w:spacing w:after="0" w:line="174"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Following the completion of this offering and the offering of Wynn Resorts' common stock, Wynn Resorts plans to grant Mr. Dragone an award of 189,723 shares of restricted stock. This restricted stock award is intended to be part of the compensation paid to Mr. Dragone for his role as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Dragone and (2) 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Growth Opportunities</w:t>
      </w:r>
    </w:p>
    <w:p>
      <w:pPr>
        <w:spacing w:after="0" w:line="227"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ectPr>
          <w:pgSz w:w="11900" w:h="16838" w:orient="portrait"/>
          <w:cols w:equalWidth="0" w:num="1">
            <w:col w:w="11420"/>
          </w:cols>
          <w:pgMar w:left="240" w:top="125" w:right="239" w:bottom="0" w:gutter="0" w:footer="0" w:header="0"/>
        </w:sectPr>
      </w:pPr>
    </w:p>
    <w:bookmarkStart w:id="48" w:name="page49"/>
    <w:bookmarkEnd w:id="48"/>
    <w:p>
      <w:pPr>
        <w:spacing w:after="0" w:line="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Las Vegas Market</w:t>
      </w:r>
    </w:p>
    <w:p>
      <w:pPr>
        <w:spacing w:after="0" w:line="22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Las Vegas is one of the fastest growing leisure, lodging and entertainment markets in the country. Las Vegas hotel occupancy rates are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5.5%.</w:t>
      </w:r>
    </w:p>
    <w:p>
      <w:pPr>
        <w:spacing w:after="0" w:line="188"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Hotel and Gaming Market. </w:t>
      </w:r>
      <w:r>
        <w:rPr>
          <w:rFonts w:ascii="Times New Roman" w:cs="Times New Roman" w:eastAsia="Times New Roman" w:hAnsi="Times New Roman"/>
          <w:sz w:val="18"/>
          <w:szCs w:val="18"/>
          <w:color w:val="auto"/>
        </w:rPr>
        <w:t>Las Vegas has one of the strongest and most resilient hotel markets in the country and, according to the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152400</wp:posOffset>
            </wp:positionV>
            <wp:extent cx="5668645" cy="25298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41"/>
        <w:spacing w:after="0" w:line="310" w:lineRule="auto"/>
        <w:rPr>
          <w:sz w:val="20"/>
          <w:szCs w:val="20"/>
          <w:color w:val="auto"/>
        </w:rPr>
      </w:pPr>
      <w:r>
        <w:rPr>
          <w:rFonts w:ascii="Times New Roman" w:cs="Times New Roman" w:eastAsia="Times New Roman" w:hAnsi="Times New Roman"/>
          <w:sz w:val="16"/>
          <w:szCs w:val="16"/>
          <w:color w:val="auto"/>
        </w:rPr>
        <w:t>According to the Nevada State Gaming Control Board, Las Vegas Strip gross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105410</wp:posOffset>
            </wp:positionV>
            <wp:extent cx="5454015" cy="27355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600"/>
        <w:spacing w:after="0" w:line="262" w:lineRule="auto"/>
        <w:rPr>
          <w:sz w:val="20"/>
          <w:szCs w:val="20"/>
          <w:color w:val="auto"/>
        </w:rPr>
      </w:pPr>
      <w:r>
        <w:rPr>
          <w:rFonts w:ascii="Times New Roman" w:cs="Times New Roman" w:eastAsia="Times New Roman" w:hAnsi="Times New Roman"/>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00" w:firstLine="351"/>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Growth of Non-Gaming Revenue Expenditures. </w:t>
      </w:r>
      <w:r>
        <w:rPr>
          <w:rFonts w:ascii="Times New Roman" w:cs="Times New Roman" w:eastAsia="Times New Roman" w:hAnsi="Times New Roman"/>
          <w:sz w:val="16"/>
          <w:szCs w:val="16"/>
          <w:color w:val="auto"/>
        </w:rPr>
        <w:t>The Las Vegas market continues to evolve from its historical gaming focus to broader entertainment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leisure offerings. In addition to the traditional attractiveness of gaming, the market is continuing to expand to include retail, fine dining, sporting activities, major</w:t>
      </w:r>
    </w:p>
    <w:p>
      <w:pPr>
        <w:sectPr>
          <w:pgSz w:w="11900" w:h="16895" w:orient="portrait"/>
          <w:cols w:equalWidth="0" w:num="1">
            <w:col w:w="11420"/>
          </w:cols>
          <w:pgMar w:left="240" w:top="123" w:right="239" w:bottom="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86"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 Vegas as a Convention Center Attraction. </w:t>
      </w:r>
      <w:r>
        <w:rPr>
          <w:rFonts w:ascii="Times New Roman" w:cs="Times New Roman" w:eastAsia="Times New Roman" w:hAnsi="Times New Roman"/>
          <w:sz w:val="18"/>
          <w:szCs w:val="18"/>
          <w:color w:val="auto"/>
        </w:rPr>
        <w:t>According to Tradeshow Week 200, an annual publication that analyzes the 200 largest trade shows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92"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89" w:lineRule="exact"/>
        <w:rPr>
          <w:sz w:val="20"/>
          <w:szCs w:val="20"/>
          <w:color w:val="auto"/>
        </w:rPr>
      </w:pPr>
    </w:p>
    <w:p>
      <w:pPr>
        <w:ind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Statistics on the Las Vegas Gaming Industry. </w:t>
      </w:r>
      <w:r>
        <w:rPr>
          <w:rFonts w:ascii="Times New Roman" w:cs="Times New Roman" w:eastAsia="Times New Roman" w:hAnsi="Times New Roman"/>
          <w:sz w:val="18"/>
          <w:szCs w:val="18"/>
          <w:color w:val="auto"/>
        </w:rPr>
        <w:t>The following table sets forth certain information derived from published reports of the Las Vegas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Historical Data for Las Vegas Gaming Industry(1)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1996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Las Vegas Visitor Volume</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29,636,361</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33,809,134</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35,849,691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35,017,317</w:t>
            </w: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97"/>
        </w:trPr>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Visitor Expenditures(2)</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22,533,258</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24,952,189</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28,695,178</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31,462,337</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31,555,924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Strip Gaming</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Revenue(2)</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3,579,269</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3,809,354</w:t>
            </w: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3,812,408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4,490,330</w:t>
            </w: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4,805,572</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4,703,692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84"/>
        </w:trPr>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Las Vegas Convention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Attendance</w:t>
            </w: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3,305,507</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3,519,424</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3,301,705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3,772,726</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3,853,363</w:t>
            </w:r>
          </w:p>
        </w:tc>
        <w:tc>
          <w:tcPr>
            <w:tcW w:w="2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4,049,095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Hotel Occupancy Rate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All Days</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93.4%</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84"/>
        </w:trPr>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Las Vegas Hotel/Motel Room</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Supply</w:t>
            </w:r>
          </w:p>
        </w:tc>
        <w:tc>
          <w:tcPr>
            <w:tcW w:w="2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99,072</w:t>
            </w:r>
          </w:p>
        </w:tc>
        <w:tc>
          <w:tcPr>
            <w:tcW w:w="2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105,347</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109,365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120,294</w:t>
            </w:r>
          </w:p>
        </w:tc>
        <w:tc>
          <w:tcPr>
            <w:tcW w:w="2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124,270</w:t>
            </w:r>
          </w:p>
        </w:tc>
        <w:tc>
          <w:tcPr>
            <w:tcW w:w="2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126,610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-1583690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-1583690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-1583690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-1583690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-1583690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-1583690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-1583690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-1583690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-1583690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-1583690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-1583690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-1583690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-1583690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78"/>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Sources: Las Vegas Convention and Visitors Authority and Nevada State Gaming Control Board for the fiscal years ended December 31.</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78"/>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Dollars in thousands.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Competition in Las Vegas</w:t>
      </w:r>
    </w:p>
    <w:p>
      <w:pPr>
        <w:spacing w:after="0" w:line="223" w:lineRule="exact"/>
        <w:rPr>
          <w:sz w:val="20"/>
          <w:szCs w:val="20"/>
          <w:color w:val="auto"/>
        </w:rPr>
      </w:pPr>
    </w:p>
    <w:p>
      <w:pPr>
        <w:ind w:right="30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Hotel/Casino Competition. </w:t>
      </w:r>
      <w:r>
        <w:rPr>
          <w:rFonts w:ascii="Times New Roman" w:cs="Times New Roman" w:eastAsia="Times New Roman" w:hAnsi="Times New Roman"/>
          <w:sz w:val="18"/>
          <w:szCs w:val="18"/>
          <w:color w:val="auto"/>
        </w:rPr>
        <w:t>The casino/hotel industry is highly competitive. Le Rêve, which will be located on the Las Vegas Strip, will compete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87"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w:t>
      </w:r>
    </w:p>
    <w:p>
      <w:pPr>
        <w:sectPr>
          <w:pgSz w:w="11900" w:h="16838" w:orient="portrait"/>
          <w:cols w:equalWidth="0" w:num="1">
            <w:col w:w="11420"/>
          </w:cols>
          <w:pgMar w:left="240" w:top="125" w:right="239" w:bottom="275"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7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Las Vegas resorts by concentrating on our fundamental elements of design, atmosphere, personal service and level of luxury.</w:t>
      </w:r>
    </w:p>
    <w:p>
      <w:pPr>
        <w:spacing w:after="0" w:line="225" w:lineRule="exact"/>
        <w:rPr>
          <w:sz w:val="20"/>
          <w:szCs w:val="20"/>
          <w:color w:val="auto"/>
        </w:rPr>
      </w:pPr>
    </w:p>
    <w:p>
      <w:pPr>
        <w:ind w:right="180" w:firstLine="351"/>
        <w:spacing w:after="0" w:line="253" w:lineRule="auto"/>
        <w:rPr>
          <w:sz w:val="20"/>
          <w:szCs w:val="20"/>
          <w:color w:val="auto"/>
        </w:rPr>
      </w:pPr>
      <w:r>
        <w:rPr>
          <w:rFonts w:ascii="Times New Roman" w:cs="Times New Roman" w:eastAsia="Times New Roman" w:hAnsi="Times New Roman"/>
          <w:sz w:val="18"/>
          <w:szCs w:val="18"/>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95" w:lineRule="exact"/>
        <w:rPr>
          <w:sz w:val="20"/>
          <w:szCs w:val="20"/>
          <w:color w:val="auto"/>
        </w:rPr>
      </w:pPr>
    </w:p>
    <w:p>
      <w:pPr>
        <w:jc w:val="both"/>
        <w:ind w:right="80" w:firstLine="351"/>
        <w:spacing w:after="0" w:line="258" w:lineRule="auto"/>
        <w:rPr>
          <w:sz w:val="20"/>
          <w:szCs w:val="20"/>
          <w:color w:val="auto"/>
        </w:rPr>
      </w:pPr>
      <w:r>
        <w:rPr>
          <w:rFonts w:ascii="Times New Roman" w:cs="Times New Roman" w:eastAsia="Times New Roman" w:hAnsi="Times New Roman"/>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86"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Retail Competition. </w:t>
      </w:r>
      <w:r>
        <w:rPr>
          <w:rFonts w:ascii="Times New Roman" w:cs="Times New Roman" w:eastAsia="Times New Roman" w:hAnsi="Times New Roman"/>
          <w:sz w:val="16"/>
          <w:szCs w:val="16"/>
          <w:color w:val="auto"/>
        </w:rPr>
        <w:t>Le Rêve's retail stores will operate in a highly competitive environment. Le Rêve's retail stores will compete with other retail stores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38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86"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believe that our retail operations will generate approximately 5% of our total revenue. However, we will face significant competition in this market area. Any increase in our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competitors' market share for retail customers in Las Vegas could negatively impact our operations in a significant manner. See "Risk Factors—General Risks Associated with Our Business—The casino, hotel, convention, retail and other facilities at Le Rêve will face intense competition."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Marketing in Las Vegas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90"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3" w:lineRule="exact"/>
        <w:rPr>
          <w:sz w:val="20"/>
          <w:szCs w:val="20"/>
          <w:color w:val="auto"/>
        </w:rPr>
      </w:pPr>
    </w:p>
    <w:p>
      <w:pPr>
        <w:ind w:right="76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Wynn Macau anticipate that they will be able to cross-market Le Rêve and the planned Macau property to both domestic and international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w:t>
      </w:r>
    </w:p>
    <w:p>
      <w:pPr>
        <w:sectPr>
          <w:pgSz w:w="11900" w:h="16838" w:orient="portrait"/>
          <w:cols w:equalWidth="0" w:num="1">
            <w:col w:w="11420"/>
          </w:cols>
          <w:pgMar w:left="240" w:top="125" w:right="239" w:bottom="0" w:gutter="0" w:footer="0" w:header="0"/>
        </w:sectPr>
      </w:pPr>
    </w:p>
    <w:bookmarkStart w:id="51" w:name="page52"/>
    <w:bookmarkEnd w:id="51"/>
    <w:p>
      <w:pPr>
        <w:ind w:right="80"/>
        <w:spacing w:after="0" w:line="275" w:lineRule="auto"/>
        <w:rPr>
          <w:sz w:val="20"/>
          <w:szCs w:val="20"/>
          <w:color w:val="auto"/>
        </w:rPr>
      </w:pPr>
      <w:r>
        <w:rPr>
          <w:rFonts w:ascii="Times New Roman" w:cs="Times New Roman" w:eastAsia="Times New Roman" w:hAnsi="Times New Roman"/>
          <w:sz w:val="18"/>
          <w:szCs w:val="18"/>
          <w:color w:val="auto"/>
        </w:rPr>
        <w:t>that we will be able to attract and retain a sufficient number of qualified individuals to operate the hotel and casino. We will pay competitive market wages to our employees.</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On August 16, 2002, an extension of time to oppose was filed. If no opposition is filed, or if an opposition is filed, but is settled or the filer does not prevail, LE RÊVE will be registered for hotel services, and restaurant, bar, lounge and health spa services.</w:t>
      </w:r>
    </w:p>
    <w:p>
      <w:pPr>
        <w:spacing w:after="0" w:line="19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to proceed toward registration, including this application. The PTO's objection to this application appears to relate solely to entertainment services, and not casino services. Accordingly, we have divided the application to register LE RÊVE for casino services from entertainment services and therefore should not be subject to the objections to entertainment services.</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 are for goods or services that would, if finally rejected, have a material impact on our business.</w:t>
      </w:r>
    </w:p>
    <w:p>
      <w:pPr>
        <w:spacing w:after="0" w:line="190" w:lineRule="exact"/>
        <w:rPr>
          <w:sz w:val="20"/>
          <w:szCs w:val="20"/>
          <w:color w:val="auto"/>
        </w:rPr>
      </w:pPr>
    </w:p>
    <w:p>
      <w:pPr>
        <w:jc w:val="both"/>
        <w:ind w:right="60" w:firstLine="351"/>
        <w:spacing w:after="0" w:line="258" w:lineRule="auto"/>
        <w:rPr>
          <w:sz w:val="20"/>
          <w:szCs w:val="20"/>
          <w:color w:val="auto"/>
        </w:rPr>
      </w:pPr>
      <w:r>
        <w:rPr>
          <w:rFonts w:ascii="Times New Roman" w:cs="Times New Roman" w:eastAsia="Times New Roman" w:hAnsi="Times New Roman"/>
          <w:sz w:val="18"/>
          <w:szCs w:val="18"/>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 of LE RÊVE and seek to overcome the presumptions afforded by the registrations. They also could attempt to prevent our use of LE RÊVE and/or seek monetary damages as a result of our 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3"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 Vegas Land. </w:t>
      </w:r>
      <w:r>
        <w:rPr>
          <w:rFonts w:ascii="Times New Roman" w:cs="Times New Roman" w:eastAsia="Times New Roman" w:hAnsi="Times New Roman"/>
          <w:sz w:val="18"/>
          <w:szCs w:val="18"/>
          <w:color w:val="auto"/>
        </w:rPr>
        <w:t>We currently own approximately 212 acres of land on or near the Las Vegas Strip on the site of the former Desert Inn Resort &amp; Casino.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w:t>
      </w:r>
    </w:p>
    <w:p>
      <w:pPr>
        <w:spacing w:after="0" w:line="192"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will use the 20-acre parcel while we are constructing Le Rêve for our corporate offices, pre-opening activities, recruiting and employment purposes and employee parking. If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we meet prescribed cash flow tests for four consecutive calendar quarters after commencement of operations at Le Rêve, the 20-acre parcel 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6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89" w:lineRule="exact"/>
        <w:rPr>
          <w:sz w:val="20"/>
          <w:szCs w:val="20"/>
          <w:color w:val="auto"/>
        </w:rPr>
      </w:pPr>
    </w:p>
    <w:p>
      <w:pPr>
        <w:ind w:right="8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Las Vegas Water Rights. </w:t>
      </w:r>
      <w:r>
        <w:rPr>
          <w:rFonts w:ascii="Times New Roman" w:cs="Times New Roman" w:eastAsia="Times New Roman" w:hAnsi="Times New Roman"/>
          <w:sz w:val="16"/>
          <w:szCs w:val="16"/>
          <w:color w:val="auto"/>
        </w:rPr>
        <w:t>Valvino indirectly owns approximately 949 acre-feet of certificated water rights through its indirect subsidiary, Desert Inn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 the Public Utilities Commission of Nevada. See "Risk Factors—General Risks Associated with Our Business—Certain of Wynn Las Vegas' affiliates</w:t>
      </w:r>
    </w:p>
    <w:p>
      <w:pPr>
        <w:sectPr>
          <w:pgSz w:w="11900" w:h="16838" w:orient="portrait"/>
          <w:cols w:equalWidth="0" w:num="1">
            <w:col w:w="11420"/>
          </w:cols>
          <w:pgMar w:left="240" w:top="125" w:right="239" w:bottom="0" w:gutter="0" w:footer="0" w:header="0"/>
        </w:sectPr>
      </w:pPr>
    </w:p>
    <w:bookmarkStart w:id="52" w:name="page53"/>
    <w:bookmarkEnd w:id="52"/>
    <w:p>
      <w:pPr>
        <w:ind w:right="60"/>
        <w:spacing w:after="0" w:line="275" w:lineRule="auto"/>
        <w:rPr>
          <w:sz w:val="20"/>
          <w:szCs w:val="20"/>
          <w:color w:val="auto"/>
        </w:rPr>
      </w:pPr>
      <w:r>
        <w:rPr>
          <w:rFonts w:ascii="Times New Roman" w:cs="Times New Roman" w:eastAsia="Times New Roman" w:hAnsi="Times New Roman"/>
          <w:sz w:val="18"/>
          <w:szCs w:val="18"/>
          <w:color w:val="auto"/>
        </w:rPr>
        <w:t>will be subject to regulatory control by the Public Utilities Commission of Nevada." Desert Inn Improvement Co. does not use these water rights to provide water to its public utility customers.</w:t>
      </w:r>
    </w:p>
    <w:p>
      <w:pPr>
        <w:spacing w:after="0" w:line="174"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86"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plan to transfer the water rights owned by Desert Inn Improvement Co. and Valvino to Wynn Resorts Holdings and Wynn Las Vegas for use in connection with the golf course and the Le Rêve lake, subject to approval by the Public Utilities Commission of Nevada and the Nevada State Division of Water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addition, Valvino is currently involved in litigation related to its ownership and development of the former Desert Inn golf course. Valvino acquired some, but not all, of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93"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On October 31, 2000, Ms. Stephanie Swain, as trustee of the Mark Swain Revocable Trust, and some of the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95"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74" w:lineRule="exact"/>
        <w:rPr>
          <w:sz w:val="20"/>
          <w:szCs w:val="20"/>
          <w:color w:val="auto"/>
        </w:rPr>
      </w:pPr>
    </w:p>
    <w:p>
      <w:pPr>
        <w:ind w:right="400" w:firstLine="351"/>
        <w:spacing w:after="0" w:line="301" w:lineRule="auto"/>
        <w:rPr>
          <w:sz w:val="20"/>
          <w:szCs w:val="20"/>
          <w:color w:val="auto"/>
        </w:rPr>
      </w:pPr>
      <w:r>
        <w:rPr>
          <w:rFonts w:ascii="Times New Roman" w:cs="Times New Roman" w:eastAsia="Times New Roman" w:hAnsi="Times New Roman"/>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CONSTRUCTION CONTRACTS FOR LE RÊVE</w:t>
      </w:r>
    </w:p>
    <w:p>
      <w:pPr>
        <w:spacing w:after="0" w:line="227"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summarizes the material terms of our construction contracts. These summaries are qualified in their entirety by reference to the contracts themselves.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200"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lump sum contractor's fee in the amount of $30 million;</w:t>
      </w:r>
    </w:p>
    <w:p>
      <w:pPr>
        <w:sectPr>
          <w:pgSz w:w="11900" w:h="16838" w:orient="portrait"/>
          <w:cols w:equalWidth="0" w:num="1">
            <w:col w:w="11420"/>
          </w:cols>
          <w:pgMar w:left="240" w:top="125" w:right="239" w:bottom="0" w:gutter="0" w:footer="0" w:header="0"/>
        </w:sectPr>
      </w:pPr>
    </w:p>
    <w:bookmarkStart w:id="53" w:name="page54"/>
    <w:bookmarkEnd w:id="53"/>
    <w:p>
      <w:pPr>
        <w:ind w:left="1080" w:right="160" w:hanging="532"/>
        <w:spacing w:after="0" w:line="275"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$7.6 million owner-controlled contingency to cover, among other items, owner-created delays and owner-originated changes in the scope of work;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guaranteed date of substantial completion is 910 calendar days from the date we direct Marnell Corrao by written notice to commence construction.</w:t>
      </w:r>
    </w:p>
    <w:p>
      <w:pPr>
        <w:spacing w:after="0" w:line="225" w:lineRule="exact"/>
        <w:rPr>
          <w:sz w:val="20"/>
          <w:szCs w:val="20"/>
          <w:color w:val="auto"/>
        </w:rPr>
      </w:pPr>
    </w:p>
    <w:p>
      <w:pPr>
        <w:ind w:right="40" w:firstLine="341"/>
        <w:spacing w:after="0" w:line="288" w:lineRule="auto"/>
        <w:rPr>
          <w:sz w:val="20"/>
          <w:szCs w:val="20"/>
          <w:color w:val="auto"/>
        </w:rPr>
      </w:pPr>
      <w:r>
        <w:rPr>
          <w:rFonts w:ascii="Times New Roman" w:cs="Times New Roman" w:eastAsia="Times New Roman" w:hAnsi="Times New Roman"/>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and with regard to a portion of the construction budget covered by the Marnell Corrao construction contract:</w:t>
      </w:r>
    </w:p>
    <w:p>
      <w:pPr>
        <w:spacing w:after="0" w:line="239" w:lineRule="exact"/>
        <w:rPr>
          <w:sz w:val="20"/>
          <w:szCs w:val="20"/>
          <w:color w:val="auto"/>
        </w:rPr>
      </w:pPr>
    </w:p>
    <w:p>
      <w:pPr>
        <w:ind w:left="1080" w:right="220" w:hanging="532"/>
        <w:spacing w:after="0" w:line="275"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prepared and received bids on final construction drawings and specifications for approximately 3 million square feet of high rise hotel, convention center, central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75" w:lineRule="auto"/>
        <w:rPr>
          <w:sz w:val="20"/>
          <w:szCs w:val="20"/>
          <w:color w:val="auto"/>
        </w:rPr>
      </w:pPr>
      <w:r>
        <w:rPr>
          <w:rFonts w:ascii="Times New Roman" w:cs="Times New Roman" w:eastAsia="Times New Roman" w:hAnsi="Times New Roman"/>
          <w:sz w:val="18"/>
          <w:szCs w:val="18"/>
          <w:color w:val="auto"/>
        </w:rPr>
        <w:t>plant, meeting rooms and warehouse space, which represents approximately $388 million of the construction components covered by the construction contract;</w:t>
      </w:r>
    </w:p>
    <w:p>
      <w:pPr>
        <w:spacing w:after="0" w:line="201"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$493.5 million represents construction components for which final plans have not yet been completed; and</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74"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74"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86"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further drawings under the credit facilities.</w:t>
      </w:r>
    </w:p>
    <w:p>
      <w:pPr>
        <w:spacing w:after="0" w:line="166"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Potential Increases in the Guaranteed Maximum Price</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87"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architect-prepared design documents or deficiencies in the design documents;</w:t>
      </w:r>
    </w:p>
    <w:p>
      <w:pPr>
        <w:sectPr>
          <w:pgSz w:w="11900" w:h="16838" w:orient="portrait"/>
          <w:cols w:equalWidth="0" w:num="1">
            <w:col w:w="11400"/>
          </w:cols>
          <w:pgMar w:left="240" w:top="139" w:right="259" w:bottom="0" w:gutter="0" w:footer="0" w:header="0"/>
        </w:sectPr>
      </w:pPr>
    </w:p>
    <w:bookmarkStart w:id="54" w:name="page55"/>
    <w:bookmarkEnd w:id="54"/>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requested or directed by us in the scope of the work to be performed pursuant to the construction contract;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us.</w:t>
      </w:r>
    </w:p>
    <w:p>
      <w:pPr>
        <w:spacing w:after="0" w:line="22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86"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on the credit facilities and the FF&amp;E facility, if any such "out of balance" event occurs in the latter stages of construction, the second mortgage note holders would be fully exposed and the lenders under our credit facilities and FF&amp;E facility would have no obligation to commence or continue funding loans under their respective facilities.</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the FF&amp;E facility and the second mortgage note holders as required under the disbursement agreement.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Competitive Bids</w:t>
      </w:r>
    </w:p>
    <w:p>
      <w:pPr>
        <w:spacing w:after="0" w:line="227" w:lineRule="exact"/>
        <w:rPr>
          <w:sz w:val="20"/>
          <w:szCs w:val="20"/>
          <w:color w:val="auto"/>
        </w:rPr>
      </w:pPr>
    </w:p>
    <w:p>
      <w:pPr>
        <w:ind w:right="160" w:firstLine="351"/>
        <w:spacing w:after="0" w:line="296" w:lineRule="auto"/>
        <w:rPr>
          <w:sz w:val="20"/>
          <w:szCs w:val="20"/>
          <w:color w:val="auto"/>
        </w:rPr>
      </w:pPr>
      <w:r>
        <w:rPr>
          <w:rFonts w:ascii="Times New Roman" w:cs="Times New Roman" w:eastAsia="Times New Roman" w:hAnsi="Times New Roman"/>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Substantial Completion</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195"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Construction Contract Guaranty</w:t>
      </w:r>
    </w:p>
    <w:p>
      <w:pPr>
        <w:spacing w:after="0" w:line="227"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Force Majeure and Owner Delay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certain circumstances, the contract may allow Marnell Carrao an extension of the contract time. These circumstances include:</w:t>
      </w:r>
    </w:p>
    <w:p>
      <w:pPr>
        <w:spacing w:after="0" w:line="252" w:lineRule="exact"/>
        <w:rPr>
          <w:sz w:val="20"/>
          <w:szCs w:val="20"/>
          <w:color w:val="auto"/>
        </w:rPr>
      </w:pPr>
    </w:p>
    <w:p>
      <w:pPr>
        <w:ind w:left="1080" w:right="280" w:hanging="532"/>
        <w:spacing w:after="0" w:line="339" w:lineRule="auto"/>
        <w:tabs>
          <w:tab w:leader="none" w:pos="10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1" w:lineRule="exact"/>
        <w:rPr>
          <w:rFonts w:ascii="Times New Roman" w:cs="Times New Roman" w:eastAsia="Times New Roman" w:hAnsi="Times New Roman"/>
          <w:sz w:val="16"/>
          <w:szCs w:val="16"/>
          <w:color w:val="auto"/>
        </w:rPr>
      </w:pPr>
    </w:p>
    <w:p>
      <w:pPr>
        <w:ind w:left="1080" w:right="6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caused by us or our agents, consultants or separate contractors.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Payment and Performance Bond</w:t>
      </w:r>
    </w:p>
    <w:p>
      <w:pPr>
        <w:spacing w:after="0" w:line="227" w:lineRule="exact"/>
        <w:rPr>
          <w:sz w:val="20"/>
          <w:szCs w:val="20"/>
          <w:color w:val="auto"/>
        </w:rPr>
      </w:pPr>
    </w:p>
    <w:p>
      <w:pPr>
        <w:ind w:right="260" w:firstLine="351"/>
        <w:spacing w:after="0" w:line="301" w:lineRule="auto"/>
        <w:rPr>
          <w:sz w:val="20"/>
          <w:szCs w:val="20"/>
          <w:color w:val="auto"/>
        </w:rPr>
      </w:pPr>
      <w:r>
        <w:rPr>
          <w:rFonts w:ascii="Times New Roman" w:cs="Times New Roman" w:eastAsia="Times New Roman" w:hAnsi="Times New Roman"/>
          <w:sz w:val="16"/>
          <w:szCs w:val="16"/>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w:t>
      </w:r>
    </w:p>
    <w:p>
      <w:pPr>
        <w:sectPr>
          <w:pgSz w:w="11900" w:h="16838" w:orient="portrait"/>
          <w:cols w:equalWidth="0" w:num="1">
            <w:col w:w="11420"/>
          </w:cols>
          <w:pgMar w:left="240" w:top="139" w:right="239" w:bottom="0" w:gutter="0" w:footer="0" w:header="0"/>
        </w:sectPr>
      </w:pPr>
    </w:p>
    <w:bookmarkStart w:id="55" w:name="page56"/>
    <w:bookmarkEnd w:id="55"/>
    <w:p>
      <w:pPr>
        <w:ind w:right="400"/>
        <w:spacing w:after="0" w:line="275" w:lineRule="auto"/>
        <w:rPr>
          <w:sz w:val="20"/>
          <w:szCs w:val="20"/>
          <w:color w:val="auto"/>
        </w:rPr>
      </w:pPr>
      <w:r>
        <w:rPr>
          <w:rFonts w:ascii="Times New Roman" w:cs="Times New Roman" w:eastAsia="Times New Roman" w:hAnsi="Times New Roman"/>
          <w:sz w:val="18"/>
          <w:szCs w:val="18"/>
          <w:color w:val="auto"/>
        </w:rPr>
        <w:t>agents relating to the lenders under the credit facilities and the trustee on behalf of the second mortgage note holders as obligees and beneficiaries. After it is issued, the performance and payment bond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may not be increased or decreased unless we approve in advance. Certain of the subcontractors performing work for Marnell Corrao on the project will also be bonded.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Early or Late Completion</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86" w:lineRule="exact"/>
        <w:rPr>
          <w:sz w:val="20"/>
          <w:szCs w:val="20"/>
          <w:color w:val="auto"/>
        </w:rPr>
      </w:pPr>
    </w:p>
    <w:p>
      <w:pPr>
        <w:ind w:right="20" w:firstLine="351"/>
        <w:spacing w:after="0" w:line="296" w:lineRule="auto"/>
        <w:rPr>
          <w:sz w:val="20"/>
          <w:szCs w:val="20"/>
          <w:color w:val="auto"/>
        </w:rPr>
      </w:pPr>
      <w:r>
        <w:rPr>
          <w:rFonts w:ascii="Times New Roman" w:cs="Times New Roman" w:eastAsia="Times New Roman" w:hAnsi="Times New Roman"/>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Warranties and Guarantees</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195"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construction contract with Marnell Corrao provides that the one year period of their general construction warranty is not a limitation on any of Marnell Corrao's other obligations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discovered first after the one year express warranty expires.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87"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builder's risk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workers compensation and employers liability insurance;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and excess liability insurance.</w:t>
      </w:r>
    </w:p>
    <w:p>
      <w:pPr>
        <w:spacing w:after="0" w:line="225" w:lineRule="exact"/>
        <w:rPr>
          <w:sz w:val="20"/>
          <w:szCs w:val="20"/>
          <w:color w:val="auto"/>
        </w:rPr>
      </w:pPr>
    </w:p>
    <w:p>
      <w:pPr>
        <w:ind w:right="120" w:firstLine="348"/>
        <w:spacing w:after="0" w:line="301" w:lineRule="auto"/>
        <w:rPr>
          <w:sz w:val="20"/>
          <w:szCs w:val="20"/>
          <w:color w:val="auto"/>
        </w:rPr>
      </w:pPr>
      <w:r>
        <w:rPr>
          <w:rFonts w:ascii="Times New Roman" w:cs="Times New Roman" w:eastAsia="Times New Roman" w:hAnsi="Times New Roman"/>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w:t>
      </w:r>
    </w:p>
    <w:p>
      <w:pPr>
        <w:sectPr>
          <w:pgSz w:w="11900" w:h="16838" w:orient="portrait"/>
          <w:cols w:equalWidth="0" w:num="1">
            <w:col w:w="11400"/>
          </w:cols>
          <w:pgMar w:left="240" w:top="125" w:right="259" w:bottom="0" w:gutter="0" w:footer="0" w:header="0"/>
        </w:sectPr>
      </w:pPr>
    </w:p>
    <w:bookmarkStart w:id="56" w:name="page57"/>
    <w:bookmarkEnd w:id="56"/>
    <w:p>
      <w:pPr>
        <w:ind w:right="400"/>
        <w:spacing w:after="0" w:line="275" w:lineRule="auto"/>
        <w:rPr>
          <w:sz w:val="20"/>
          <w:szCs w:val="20"/>
          <w:color w:val="auto"/>
        </w:rPr>
      </w:pPr>
      <w:r>
        <w:rPr>
          <w:rFonts w:ascii="Times New Roman" w:cs="Times New Roman" w:eastAsia="Times New Roman" w:hAnsi="Times New Roman"/>
          <w:sz w:val="18"/>
          <w:szCs w:val="18"/>
          <w:color w:val="auto"/>
        </w:rPr>
        <w:t>cause all of the subcontractors to, complete all forms, submit the information required and comply with the terms of the owner-controlled insurance program manual. No exceptions can be made to this requirement without our prior approval.</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Additional Insurance</w:t>
      </w:r>
    </w:p>
    <w:p>
      <w:pPr>
        <w:spacing w:after="0" w:line="227"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Additionally, Marnell Corrao is required to, and is required to cause the subcontractors to, obtain and maintain the following, which are not included in the owner-controlled insurance program:</w:t>
      </w:r>
    </w:p>
    <w:p>
      <w:pPr>
        <w:spacing w:after="0" w:line="187" w:lineRule="exact"/>
        <w:rPr>
          <w:sz w:val="20"/>
          <w:szCs w:val="20"/>
          <w:color w:val="auto"/>
        </w:rPr>
      </w:pPr>
    </w:p>
    <w:p>
      <w:pPr>
        <w:ind w:left="1080" w:right="48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liability insurance, with limits of not less than $1 million combined single limit for bodily injury, death and property damage per occurrence;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off-site activities.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Ineligible Parties and Termination of the Owner-Controlled Insurance Program</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06"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and employer's liability insurance;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and excess liability insurance.</w:t>
      </w:r>
    </w:p>
    <w:p>
      <w:pPr>
        <w:spacing w:after="0" w:line="225"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For all of these policies, Marnell Corrao and all subcontractors must obtain a waiver of subrogation, where allowed by law, against us and all other named insureds and their agents and employees.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204" w:lineRule="exact"/>
        <w:rPr>
          <w:sz w:val="20"/>
          <w:szCs w:val="20"/>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or failure to comply with applicable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from the construction contract;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 of third party rights, including copyright and patent rights;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liens relating to Marnell Corrao's work;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alleged breach of Marnell Corrao's representations, obligations, covenants or agreements in the construction contract.</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0" w:lineRule="exact"/>
        <w:rPr>
          <w:sz w:val="20"/>
          <w:szCs w:val="20"/>
          <w:color w:val="auto"/>
        </w:rPr>
      </w:pPr>
    </w:p>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ectPr>
          <w:pgSz w:w="11900" w:h="16838" w:orient="portrait"/>
          <w:cols w:equalWidth="0" w:num="1">
            <w:col w:w="11420"/>
          </w:cols>
          <w:pgMar w:left="240" w:top="125" w:right="239" w:bottom="424"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24" w:gutter="0" w:footer="0" w:header="0"/>
          <w:type w:val="continuous"/>
        </w:sectPr>
      </w:pPr>
    </w:p>
    <w:bookmarkStart w:id="57" w:name="page58"/>
    <w:bookmarkEnd w:id="57"/>
    <w:p>
      <w:pPr>
        <w:ind w:right="20"/>
        <w:spacing w:after="0" w:line="275" w:lineRule="auto"/>
        <w:rPr>
          <w:sz w:val="20"/>
          <w:szCs w:val="20"/>
          <w:color w:val="auto"/>
        </w:rPr>
      </w:pPr>
      <w:r>
        <w:rPr>
          <w:rFonts w:ascii="Times New Roman" w:cs="Times New Roman" w:eastAsia="Times New Roman" w:hAnsi="Times New Roman"/>
          <w:sz w:val="18"/>
          <w:szCs w:val="18"/>
          <w:color w:val="auto"/>
        </w:rPr>
        <w:t>fees and costs suffered by or threatened against Marnell Corrao and /or its affiliates that relate to or arise out of any act or omission by us and that are imposed by law or relate to:</w:t>
      </w:r>
    </w:p>
    <w:p>
      <w:pPr>
        <w:spacing w:after="0" w:line="187" w:lineRule="exact"/>
        <w:rPr>
          <w:sz w:val="20"/>
          <w:szCs w:val="20"/>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Certain liability limitations and releases in favor of the owner contained in the construction contract are also express limitations on the owner's indemnity obligations.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Construction Contract</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 Development costs of Le Rêve are estimates only and actual development costs may be higher than expected."</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7"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Claims and Disputes</w:t>
      </w:r>
    </w:p>
    <w:p>
      <w:pPr>
        <w:spacing w:after="0" w:line="227" w:lineRule="exact"/>
        <w:rPr>
          <w:sz w:val="20"/>
          <w:szCs w:val="20"/>
          <w:color w:val="auto"/>
        </w:rPr>
      </w:pPr>
    </w:p>
    <w:p>
      <w:pPr>
        <w:jc w:val="both"/>
        <w:ind w:right="200" w:firstLine="341"/>
        <w:spacing w:after="0" w:line="258" w:lineRule="auto"/>
        <w:rPr>
          <w:sz w:val="20"/>
          <w:szCs w:val="20"/>
          <w:color w:val="auto"/>
        </w:rPr>
      </w:pPr>
      <w:r>
        <w:rPr>
          <w:rFonts w:ascii="Times New Roman" w:cs="Times New Roman" w:eastAsia="Times New Roman" w:hAnsi="Times New Roman"/>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costs of Le Rêve are estimates only and actual development costs may be higher than expected."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of the Parking Garage</w:t>
      </w:r>
    </w:p>
    <w:p>
      <w:pPr>
        <w:spacing w:after="0" w:line="227" w:lineRule="exact"/>
        <w:rPr>
          <w:sz w:val="20"/>
          <w:szCs w:val="20"/>
          <w:color w:val="auto"/>
        </w:rPr>
      </w:pPr>
    </w:p>
    <w:p>
      <w:pPr>
        <w:jc w:val="both"/>
        <w:ind w:right="440" w:firstLine="348"/>
        <w:spacing w:after="0" w:line="262" w:lineRule="auto"/>
        <w:rPr>
          <w:sz w:val="20"/>
          <w:szCs w:val="20"/>
          <w:color w:val="auto"/>
        </w:rPr>
      </w:pPr>
      <w:r>
        <w:rPr>
          <w:rFonts w:ascii="Times New Roman" w:cs="Times New Roman" w:eastAsia="Times New Roman" w:hAnsi="Times New Roman"/>
          <w:sz w:val="18"/>
          <w:szCs w:val="18"/>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86" w:lineRule="exact"/>
        <w:rPr>
          <w:sz w:val="20"/>
          <w:szCs w:val="20"/>
          <w:color w:val="auto"/>
        </w:rPr>
      </w:pPr>
    </w:p>
    <w:p>
      <w:pPr>
        <w:ind w:right="680" w:firstLine="351"/>
        <w:spacing w:after="0" w:line="339" w:lineRule="auto"/>
        <w:rPr>
          <w:sz w:val="20"/>
          <w:szCs w:val="20"/>
          <w:color w:val="auto"/>
        </w:rPr>
      </w:pPr>
      <w:r>
        <w:rPr>
          <w:rFonts w:ascii="Times New Roman" w:cs="Times New Roman" w:eastAsia="Times New Roman" w:hAnsi="Times New Roman"/>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construction contract for the parking garage provides that the maximum cost to us for completion of Bomel's work on the garage will not exceed</w:t>
      </w:r>
    </w:p>
    <w:p>
      <w:pPr>
        <w:spacing w:after="0" w:line="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Bomel's general construction warranty extends for one year, and up to five years with regard to some watertight aspects, after final completion of its work on the garage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of the Golf Course</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estimate that the cost to construct the golf course will be approximately $21.5 million. We are currently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AFFILIATE'S OPPORTUNITY IN MACAU</w:t>
      </w:r>
    </w:p>
    <w:p>
      <w:pPr>
        <w:sectPr>
          <w:pgSz w:w="11900" w:h="16838" w:orient="portrait"/>
          <w:cols w:equalWidth="0" w:num="1">
            <w:col w:w="11380"/>
          </w:cols>
          <w:pgMar w:left="240" w:top="125" w:right="279" w:bottom="0" w:gutter="0" w:footer="0" w:header="0"/>
          <w:type w:val="continuous"/>
        </w:sectPr>
      </w:pPr>
    </w:p>
    <w:bookmarkStart w:id="58" w:name="page59"/>
    <w:bookmarkEnd w:id="58"/>
    <w:p>
      <w:pPr>
        <w:ind w:left="540"/>
        <w:spacing w:after="0"/>
        <w:rPr>
          <w:sz w:val="20"/>
          <w:szCs w:val="20"/>
          <w:color w:val="auto"/>
        </w:rPr>
      </w:pPr>
      <w:r>
        <w:rPr>
          <w:rFonts w:ascii="Times New Roman" w:cs="Times New Roman" w:eastAsia="Times New Roman" w:hAnsi="Times New Roman"/>
          <w:sz w:val="18"/>
          <w:szCs w:val="18"/>
          <w:b w:val="1"/>
          <w:bCs w:val="1"/>
          <w:color w:val="auto"/>
        </w:rPr>
        <w:t>The Macau Opportunity</w:t>
      </w:r>
    </w:p>
    <w:p>
      <w:pPr>
        <w:spacing w:after="0" w:line="22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Currently, Wynn Macau is an indirect, 90% 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 Wynn Resorts owns its interest in Wynn Macau through a line of subsidiaries that is separate from the subsidiaries of Wynn Resorts that own Le Rêve and, accordingly, Wynn Macau is not part of the restricted group. As a result, cash flow generated by the Macau casino(s) operated by Wynn Macau may not be available to service our indebtedness, including our obligations under the second mortgage notes, or support our operations, and the financing documents for the Macau opportunity may contain restrictions or prohibitions on the distribution to Wynn Resorts of any cash flow generated by the Macau casino(s).</w:t>
      </w:r>
    </w:p>
    <w:p>
      <w:pPr>
        <w:spacing w:after="0" w:line="19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3"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concession agreement requires Wynn Macau to construct and operate one or more casino gaming properties in Macau, including, at a minimum, one full-service casino resort. Wynn Macau expects the first phase of its first casino resort to feature approximately 65,000 square feet of casino space, including an area dedicated to high-end gaming, several restaurants, retail space, a 500-seat showroom, a spa, and an outdoor water-feature at the front entrance, all in an exciting and fanciful design. The concession agreement obligates Wynn Macau to operate its first permanent casino resort in Macau by the end of December 2006 and invest not less than a total of 4 billion patacas (approximately US $500 million, based on the September 17, 2002 exchange rate of approximately eight Macau patacas to one U.S. dollar, which is the middle of the buy and sell rates as reported by the Monetary Authority of Macau) in Macau-related projects by June 26, 2009.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19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Wynn Macau currently contemplates that Wynn Macau will develop, construct and begin operations of its initial casino resort in phases, with the first phase consisting of a casino and several food and beverage outlets.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Wynn Macau believes that this land, located in the outer harbor of downtown Macau opposite the largest, most well-known casino, the Hotel Lisboa, is an attractive location for its first Macau casino.</w:t>
      </w:r>
    </w:p>
    <w:p>
      <w:pPr>
        <w:spacing w:after="0" w:line="193"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Wynn Macau believes that these efforts will provide an opportunity for growth in the Macau gaming and resort market. Gaming customers from Hong Kong, southeast China, Taiwan and other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90" w:lineRule="exact"/>
        <w:rPr>
          <w:sz w:val="20"/>
          <w:szCs w:val="20"/>
          <w:color w:val="auto"/>
        </w:rPr>
      </w:pPr>
    </w:p>
    <w:p>
      <w:pPr>
        <w:jc w:val="both"/>
        <w:ind w:right="420" w:firstLine="348"/>
        <w:spacing w:after="0" w:line="310" w:lineRule="auto"/>
        <w:rPr>
          <w:sz w:val="20"/>
          <w:szCs w:val="20"/>
          <w:color w:val="auto"/>
        </w:rPr>
      </w:pPr>
      <w:r>
        <w:rPr>
          <w:rFonts w:ascii="Times New Roman" w:cs="Times New Roman" w:eastAsia="Times New Roman" w:hAnsi="Times New Roman"/>
          <w:sz w:val="16"/>
          <w:szCs w:val="16"/>
          <w:color w:val="auto"/>
        </w:rPr>
        <w:t>Wynn Resorts intends to invest up to $40 million of the net proceeds from its initial public offering of its common stock in Wynn Macau as part of the financing of the Macau opportunity, in addition to approximately $23.8 million Wynn Resorts has already expended in or committed to Wynn Macau. Wynn Macau has begun preliminary discussions to arrange the additional financing that would be required to complete the initial phase of its first casino resort.</w:t>
      </w:r>
    </w:p>
    <w:p>
      <w:pPr>
        <w:spacing w:after="0" w:line="151" w:lineRule="exact"/>
        <w:rPr>
          <w:sz w:val="20"/>
          <w:szCs w:val="20"/>
          <w:color w:val="auto"/>
        </w:rPr>
      </w:pPr>
    </w:p>
    <w:p>
      <w:pPr>
        <w:ind w:right="500" w:firstLine="348"/>
        <w:spacing w:after="0" w:line="310" w:lineRule="auto"/>
        <w:rPr>
          <w:sz w:val="20"/>
          <w:szCs w:val="20"/>
          <w:color w:val="auto"/>
        </w:rPr>
      </w:pPr>
      <w:r>
        <w:rPr>
          <w:rFonts w:ascii="Times New Roman" w:cs="Times New Roman" w:eastAsia="Times New Roman" w:hAnsi="Times New Roman"/>
          <w:sz w:val="16"/>
          <w:szCs w:val="16"/>
          <w:color w:val="auto"/>
        </w:rPr>
        <w:t>Wynn Macau expects to exercise its right to lease the first permanent casino site and to begin construction of the initial phase after certain necessary legislative changes are enacted by the Macau government and the financing is completed. Based upon discussions with government officials, Wynn Macau believes these legislative changes will be introduced by early 2003. Wynn Macau may begin casino operations in Macau prior to the opening of Le Rêve.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Concession Agreement with the Government of Macau</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Wynn Macau has entered into a 20-year concession agreement with the government of the Macau Special Administrative Region of the People's Republic of China permitting it to construct and operate one or more casinos in Macau.</w:t>
      </w:r>
    </w:p>
    <w:p>
      <w:pPr>
        <w:spacing w:after="0" w:line="174"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We have converted all pataca references into U.S. dollars using an exchange rate of approximately eight patacas to one U.S. dollar (which is the middle of the buy and sell rates on September 17, 2002, as reported by the Monetary Authority of Macau). The key terms of the concession agreement into which Wynn Macau has entered with the Macau government are as follows:</w:t>
      </w:r>
    </w:p>
    <w:p>
      <w:pPr>
        <w:spacing w:after="0" w:line="200" w:lineRule="exact"/>
        <w:rPr>
          <w:sz w:val="20"/>
          <w:szCs w:val="20"/>
          <w:color w:val="auto"/>
        </w:rPr>
      </w:pPr>
    </w:p>
    <w:p>
      <w:pPr>
        <w:jc w:val="both"/>
        <w:ind w:left="1080" w:right="400" w:hanging="532"/>
        <w:spacing w:after="0" w:line="339" w:lineRule="auto"/>
        <w:tabs>
          <w:tab w:leader="none" w:pos="10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Macau is obligated to invest no less than a total of 4 billion patacas (approximately US $500 million) in one or more casino projects in Macau by June 26, 2009 and must commence operations of its first permanent casino resort in Macau no later than December 2006. If Wynn</w:t>
      </w:r>
    </w:p>
    <w:p>
      <w:pPr>
        <w:spacing w:after="0" w:line="128" w:lineRule="exact"/>
        <w:rPr>
          <w:rFonts w:ascii="Times New Roman" w:cs="Times New Roman" w:eastAsia="Times New Roman" w:hAnsi="Times New Roman"/>
          <w:sz w:val="16"/>
          <w:szCs w:val="16"/>
          <w:color w:val="auto"/>
        </w:rPr>
      </w:pPr>
    </w:p>
    <w:p>
      <w:pPr>
        <w:ind w:left="1080" w:right="60"/>
        <w:spacing w:after="0" w:line="3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Macau does not invest 4 billion patacas in casino projects by June 26, 2009, it is obligated to invest the remaining amount in projects related to its gaming operations in Macau that the Macau government approves, or in projects of public interest designated by the Macau government.</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April 1, 2009, the Macau government is prohibited from granting any additional concessions for the operation of casinos in Macau.</w:t>
      </w:r>
    </w:p>
    <w:p>
      <w:pPr>
        <w:spacing w:after="0" w:line="238" w:lineRule="exact"/>
        <w:rPr>
          <w:rFonts w:ascii="Times New Roman" w:cs="Times New Roman" w:eastAsia="Times New Roman" w:hAnsi="Times New Roman"/>
          <w:sz w:val="18"/>
          <w:szCs w:val="18"/>
          <w:color w:val="auto"/>
        </w:rPr>
      </w:pPr>
    </w:p>
    <w:p>
      <w:pPr>
        <w:ind w:left="1080" w:right="580" w:hanging="532"/>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June 2005, or earlier if and when Wynn Macau begins operating casino games for the public, Wynn Macau must pay a fixed premium of 30 million patacas (approximately US $3.8 million) per year, and a variable premium based on the number of table games and machines Wynn Macau operates in Macau, with a set minimum of 45 million patacas (approximately US $5.6 million) per year (which is temporarily lowered if Wynn Macau operates a temporary casino before completion of its first permanent casino resort).</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must pay a special gaming tax of 35% on its gross gaming revenue.</w:t>
      </w:r>
    </w:p>
    <w:p>
      <w:pPr>
        <w:sectPr>
          <w:pgSz w:w="11900" w:h="16838" w:orient="portrait"/>
          <w:cols w:equalWidth="0" w:num="1">
            <w:col w:w="11400"/>
          </w:cols>
          <w:pgMar w:left="240" w:top="123" w:right="259" w:bottom="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must contribute a total of 4.0% of its gross gaming revenue for the promotion of public interests, infrastructure and tourism.</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must pay taxes imposed by Macau law, including a complementary income tax at the rate of 15% on the profits realized from conducting business in Macau and a 15% withholding tax on dividends paid from Macau entities to their stockholders, unless Wynn Macau is granted exemptions from both of these taxes, which it is currently seeking, on the grounds that the tax payments required by the concession agreement are in lieu of the generally imposed complementary income tax and dividend withholding tax.</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is obligated to maintain bank guarantees or bonds satisfactory to the government.</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term of the concession agreement, and any agreed upon extensions, the areas defined as casino areas under Macau law and all of the gaming equipment pertaining to the operations of Wynn Macau will be automatically transferred to the government of Macau without compensation to Wynn Macau.</w:t>
      </w:r>
    </w:p>
    <w:p>
      <w:pPr>
        <w:spacing w:after="0" w:line="213"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27, 2017 until the end of the term of the concession agreement, the government of Macau will have the right to redeem the concession granted to Wynn Macau under the concession agreement and the government will be required to provide fair compensation for a resort-hotel-casino complex under the investment plan under the agreement. However, the concession agreement is unclear as to how the compensation provision will apply if more than one resort-hotel-casino has been built.</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Policy Concerns of Gaming Laws</w:t>
      </w:r>
    </w:p>
    <w:p>
      <w:pPr>
        <w:spacing w:after="0" w:line="227"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laws, regulations and supervisory procedures of the Nevada Gaming Authorities are based upon declarations of public policy. These public policy concerns include, among other things:</w:t>
      </w:r>
    </w:p>
    <w:p>
      <w:pPr>
        <w:spacing w:after="0" w:line="187" w:lineRule="exact"/>
        <w:rPr>
          <w:sz w:val="20"/>
          <w:szCs w:val="20"/>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252"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of cheating and fraudulent practices;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2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Changes in these laws, regulations and procedures could have significant negative effects on Le Rêve's proposed gaming operations and our financial condition and results of operations.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Owner and Operator Licensing Requirements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Company Registration Requirements</w:t>
      </w:r>
    </w:p>
    <w:p>
      <w:pPr>
        <w:sectPr>
          <w:pgSz w:w="11900" w:h="16838" w:orient="portrait"/>
          <w:cols w:equalWidth="0" w:num="1">
            <w:col w:w="11340"/>
          </w:cols>
          <w:pgMar w:left="240" w:top="125" w:right="319" w:bottom="0" w:gutter="0" w:footer="0" w:header="0"/>
          <w:type w:val="continuous"/>
        </w:sectPr>
      </w:pPr>
    </w:p>
    <w:bookmarkStart w:id="60" w:name="page61"/>
    <w:bookmarkEnd w:id="60"/>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97"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Individual Licensing Requirements</w:t>
      </w:r>
    </w:p>
    <w:p>
      <w:pPr>
        <w:spacing w:after="0" w:line="22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9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of Securities Owned By an Unsuitable Person</w:t>
      </w:r>
    </w:p>
    <w:p>
      <w:pPr>
        <w:spacing w:after="0" w:line="227"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deemed necessary or advisable by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97" w:lineRule="exact"/>
        <w:rPr>
          <w:sz w:val="20"/>
          <w:szCs w:val="20"/>
          <w:color w:val="auto"/>
        </w:rPr>
      </w:pPr>
    </w:p>
    <w:p>
      <w:pPr>
        <w:ind w:right="20" w:firstLine="341"/>
        <w:spacing w:after="0" w:line="287" w:lineRule="auto"/>
        <w:rPr>
          <w:sz w:val="20"/>
          <w:szCs w:val="20"/>
          <w:color w:val="auto"/>
        </w:rPr>
      </w:pPr>
      <w:r>
        <w:rPr>
          <w:rFonts w:ascii="Times New Roman" w:cs="Times New Roman" w:eastAsia="Times New Roman" w:hAnsi="Times New Roman"/>
          <w:sz w:val="16"/>
          <w:szCs w:val="16"/>
          <w:color w:val="auto"/>
        </w:rPr>
        <w:t>Aruze USA, which, immediately before the closing of Wynn Resorts' common stock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389" w:lineRule="exact"/>
        <w:rPr>
          <w:sz w:val="20"/>
          <w:szCs w:val="20"/>
          <w:color w:val="auto"/>
        </w:rPr>
      </w:pPr>
    </w:p>
    <w:p>
      <w:pPr>
        <w:ind w:firstLine="341"/>
        <w:spacing w:after="0" w:line="291" w:lineRule="auto"/>
        <w:rPr>
          <w:sz w:val="20"/>
          <w:szCs w:val="20"/>
          <w:color w:val="auto"/>
        </w:rPr>
      </w:pPr>
      <w:r>
        <w:rPr>
          <w:rFonts w:ascii="Times New Roman" w:cs="Times New Roman" w:eastAsia="Times New Roman" w:hAnsi="Times New Roman"/>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proceedings,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ectPr>
          <w:pgSz w:w="11900" w:h="16838" w:orient="portrait"/>
          <w:cols w:equalWidth="0" w:num="1">
            <w:col w:w="11420"/>
          </w:cols>
          <w:pgMar w:left="240" w:top="125" w:right="239" w:bottom="811"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11" w:gutter="0" w:footer="0" w:header="0"/>
          <w:type w:val="continuous"/>
        </w:sectPr>
      </w:pPr>
    </w:p>
    <w:bookmarkStart w:id="61" w:name="page62"/>
    <w:bookmarkEnd w:id="61"/>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Transactions—Buy-Out of Aruze USA Stock."</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Moreover, if the Nevada Gaming Commission were to determine that Aruze USA is unsuitable to hold a promissory note issued by Wynn Resorts or</w:t>
      </w:r>
    </w:p>
    <w:p>
      <w:pPr>
        <w:spacing w:after="0" w:line="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Wynn, the Nevada Gaming Commission could order Aruze USA or its affiliate to dispose of its voting securities within a prescribed period of time that may not be sufficient.</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Consequences of Violating Gaming Laws</w:t>
      </w:r>
    </w:p>
    <w:p>
      <w:pPr>
        <w:spacing w:after="0" w:line="22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Resorts Holdings, Wynn Las Vegas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Requirements for Beneficial Securities Holders</w:t>
      </w:r>
    </w:p>
    <w:p>
      <w:pPr>
        <w:spacing w:after="0" w:line="22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399" w:lineRule="exact"/>
        <w:rPr>
          <w:sz w:val="20"/>
          <w:szCs w:val="20"/>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of incorporation of Wynn Resorts include provisions intended to help it implement the above restrictions.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Consequences of Being Found Unsuitable</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Wynn Resorts will be subject to disciplinary action if, after it receives notice that a person is unsuitable to hold an equity interest or to have any other relationship with, it:</w:t>
      </w:r>
    </w:p>
    <w:p>
      <w:pPr>
        <w:spacing w:after="0" w:line="209"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that person any dividend or interest upon any voting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exercise, directly or indirectly, any voting right held by that person relating to Wynn Resorts;</w:t>
      </w:r>
    </w:p>
    <w:p>
      <w:pPr>
        <w:sectPr>
          <w:pgSz w:w="11900" w:h="16838" w:orient="portrait"/>
          <w:cols w:equalWidth="0" w:num="1">
            <w:col w:w="11420"/>
          </w:cols>
          <w:pgMar w:left="240" w:top="125" w:right="239" w:bottom="0" w:gutter="0" w:footer="0" w:header="0"/>
        </w:sectPr>
      </w:pPr>
    </w:p>
    <w:bookmarkStart w:id="62" w:name="page63"/>
    <w:bookmarkEnd w:id="62"/>
    <w:p>
      <w:pPr>
        <w:spacing w:after="0" w:line="9" w:lineRule="exact"/>
        <w:rPr>
          <w:sz w:val="20"/>
          <w:szCs w:val="20"/>
          <w:color w:val="auto"/>
        </w:rPr>
      </w:pPr>
    </w:p>
    <w:p>
      <w:pPr>
        <w:ind w:left="5580" w:right="4480" w:hanging="5032"/>
        <w:spacing w:after="0" w:line="525" w:lineRule="auto"/>
        <w:tabs>
          <w:tab w:leader="none" w:pos="10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remuneration in any form to that person for services rendered or otherwise; or 109</w:t>
      </w:r>
    </w:p>
    <w:p>
      <w:pPr>
        <w:spacing w:after="0" w:line="22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Gaming Laws Relating to Securities Ownership</w:t>
      </w:r>
    </w:p>
    <w:p>
      <w:pPr>
        <w:spacing w:after="0" w:line="227"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06"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25"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Approval of Public Offerings</w:t>
      </w:r>
    </w:p>
    <w:p>
      <w:pPr>
        <w:spacing w:after="0" w:line="22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Once Wynn Resorts and Wynn Las Vegas become registered companies, they may not make a public offering of their securities without the prior approval of the Nevada Gaming 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93" w:lineRule="exact"/>
        <w:rPr>
          <w:sz w:val="20"/>
          <w:szCs w:val="20"/>
          <w:color w:val="auto"/>
        </w:rPr>
      </w:pPr>
    </w:p>
    <w:p>
      <w:pPr>
        <w:jc w:val="both"/>
        <w:ind w:right="40" w:firstLine="348"/>
        <w:spacing w:after="0" w:line="258" w:lineRule="auto"/>
        <w:rPr>
          <w:sz w:val="20"/>
          <w:szCs w:val="20"/>
          <w:color w:val="auto"/>
        </w:rPr>
      </w:pPr>
      <w:r>
        <w:rPr>
          <w:rFonts w:ascii="Times New Roman" w:cs="Times New Roman" w:eastAsia="Times New Roman" w:hAnsi="Times New Roman"/>
          <w:sz w:val="18"/>
          <w:szCs w:val="18"/>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Wynn Resorts and Wynn Las Vegas have filed a ruling request with the Nevada State Gaming Control Board Chairman for a ruling that it is not necessary to submit the offering of common stock by Wynn Resorts or this offering for prior approval. We cannot assure you that the ruling request will be granted or that it will be considered on a timely basis. If the ruling request is not granted, Wynn Resorts and Wynn Las Vegas will promptly file an application requesting approval of this offering and the offering of common stock. If the ruling request is not granted, this offering and the offering of common stock could be significantly delayed while we seek approval of the Nevada State Gaming Control Board and Nevada Gaming Commission. We cannot assure you that approval of this offering or the offering of common stock, if required, will be granted or if granted, will be granted on a timely basis.</w:t>
      </w:r>
    </w:p>
    <w:p>
      <w:pPr>
        <w:spacing w:after="0" w:line="195" w:lineRule="exact"/>
        <w:rPr>
          <w:sz w:val="20"/>
          <w:szCs w:val="20"/>
          <w:color w:val="auto"/>
        </w:rPr>
      </w:pPr>
    </w:p>
    <w:p>
      <w:pPr>
        <w:ind w:right="60" w:firstLine="348"/>
        <w:spacing w:after="0" w:line="252" w:lineRule="auto"/>
        <w:rPr>
          <w:sz w:val="20"/>
          <w:szCs w:val="20"/>
          <w:color w:val="auto"/>
        </w:rPr>
      </w:pPr>
      <w:r>
        <w:rPr>
          <w:rFonts w:ascii="Times New Roman" w:cs="Times New Roman" w:eastAsia="Times New Roman" w:hAnsi="Times New Roman"/>
          <w:sz w:val="18"/>
          <w:szCs w:val="18"/>
          <w:color w:val="auto"/>
        </w:rPr>
        <w:t>The pledge of the equity interests in Wynn Resorts Holdings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Resorts Holdings,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 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ectPr>
          <w:pgSz w:w="11900" w:h="16848" w:orient="portrait"/>
          <w:cols w:equalWidth="0" w:num="1">
            <w:col w:w="11400"/>
          </w:cols>
          <w:pgMar w:left="240" w:top="139" w:right="259" w:bottom="0" w:gutter="0" w:footer="0" w:header="0"/>
        </w:sectPr>
      </w:pPr>
    </w:p>
    <w:bookmarkStart w:id="63" w:name="page64"/>
    <w:bookmarkEnd w:id="63"/>
    <w:p>
      <w:pPr>
        <w:ind w:left="540"/>
        <w:spacing w:after="0"/>
        <w:rPr>
          <w:sz w:val="20"/>
          <w:szCs w:val="20"/>
          <w:color w:val="auto"/>
        </w:rPr>
      </w:pPr>
      <w:r>
        <w:rPr>
          <w:rFonts w:ascii="Times New Roman" w:cs="Times New Roman" w:eastAsia="Times New Roman" w:hAnsi="Times New Roman"/>
          <w:sz w:val="18"/>
          <w:szCs w:val="18"/>
          <w:b w:val="1"/>
          <w:bCs w:val="1"/>
          <w:color w:val="auto"/>
        </w:rPr>
        <w:t>Approval of Changes in Control</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Once Wynn Resorts and Wynn Las Vegas become registered companies, they must obtain prior approval of the Nevada Gaming Commission with respect to a change in control through:</w:t>
      </w:r>
    </w:p>
    <w:p>
      <w:pPr>
        <w:spacing w:after="0" w:line="187"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or asset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consulting agreements;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conduct by a person by which the person obtains control of them.</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Approval of Defensive Tactics</w:t>
      </w:r>
    </w:p>
    <w:p>
      <w:pPr>
        <w:spacing w:after="0" w:line="227" w:lineRule="exact"/>
        <w:rPr>
          <w:sz w:val="20"/>
          <w:szCs w:val="20"/>
          <w:color w:val="auto"/>
        </w:rPr>
      </w:pPr>
    </w:p>
    <w:p>
      <w:pPr>
        <w:jc w:val="both"/>
        <w:ind w:right="80" w:firstLine="348"/>
        <w:spacing w:after="0" w:line="258" w:lineRule="auto"/>
        <w:rPr>
          <w:sz w:val="20"/>
          <w:szCs w:val="20"/>
          <w:color w:val="auto"/>
        </w:rPr>
      </w:pPr>
      <w:r>
        <w:rPr>
          <w:rFonts w:ascii="Times New Roman" w:cs="Times New Roman" w:eastAsia="Times New Roman" w:hAnsi="Times New Roman"/>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04"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operators and their affiliates;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Fees and Taxes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0" w:lineRule="exact"/>
        <w:rPr>
          <w:sz w:val="20"/>
          <w:szCs w:val="20"/>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225" w:lineRule="exact"/>
        <w:rPr>
          <w:sz w:val="20"/>
          <w:szCs w:val="20"/>
          <w:color w:val="auto"/>
        </w:rPr>
      </w:pPr>
    </w:p>
    <w:p>
      <w:pPr>
        <w:ind w:right="900" w:firstLine="341"/>
        <w:spacing w:after="0" w:line="275" w:lineRule="auto"/>
        <w:rPr>
          <w:sz w:val="20"/>
          <w:szCs w:val="20"/>
          <w:color w:val="auto"/>
        </w:rPr>
      </w:pPr>
      <w:r>
        <w:rPr>
          <w:rFonts w:ascii="Times New Roman" w:cs="Times New Roman" w:eastAsia="Times New Roman" w:hAnsi="Times New Roman"/>
          <w:sz w:val="18"/>
          <w:szCs w:val="18"/>
          <w:color w:val="auto"/>
        </w:rPr>
        <w:t>A casino entertainment tax is also paid by casino operations where entertainment is furnished in connection with the selling or serving of food or refreshments or the selling of merchandise.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Foreign Gaming Investigations</w:t>
      </w:r>
    </w:p>
    <w:p>
      <w:pPr>
        <w:spacing w:after="0" w:line="227" w:lineRule="exact"/>
        <w:rPr>
          <w:sz w:val="20"/>
          <w:szCs w:val="20"/>
          <w:color w:val="auto"/>
        </w:rPr>
      </w:pPr>
    </w:p>
    <w:p>
      <w:pPr>
        <w:ind w:right="520" w:firstLine="341"/>
        <w:spacing w:after="0" w:line="275" w:lineRule="auto"/>
        <w:rPr>
          <w:sz w:val="20"/>
          <w:szCs w:val="20"/>
          <w:color w:val="auto"/>
        </w:rPr>
      </w:pPr>
      <w:r>
        <w:rPr>
          <w:rFonts w:ascii="Times New Roman" w:cs="Times New Roman" w:eastAsia="Times New Roman" w:hAnsi="Times New Roman"/>
          <w:sz w:val="18"/>
          <w:szCs w:val="18"/>
          <w:color w:val="auto"/>
        </w:rPr>
        <w:t>Any person who is licensed, required to be licensed, registered, required to be registered, or is under common control with those persons (collectively, "licensees"), and who proposes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206"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0"/>
          <w:numId w:val="102"/>
        </w:numPr>
        <w:rPr>
          <w:rFonts w:ascii="Times New Roman" w:cs="Times New Roman" w:eastAsia="Times New Roman" w:hAnsi="Times New Roman"/>
          <w:sz w:val="18"/>
          <w:szCs w:val="18"/>
          <w:color w:val="auto"/>
        </w:rPr>
      </w:pPr>
    </w:p>
    <w:p>
      <w:pPr>
        <w:sectPr>
          <w:pgSz w:w="11900" w:h="16838" w:orient="portrait"/>
          <w:cols w:equalWidth="0" w:num="1">
            <w:col w:w="11420"/>
          </w:cols>
          <w:pgMar w:left="240" w:top="123" w:right="239" w:bottom="0" w:gutter="0" w:footer="0" w:header="0"/>
        </w:sectPr>
      </w:pPr>
    </w:p>
    <w:bookmarkStart w:id="64" w:name="page65"/>
    <w:bookmarkEnd w:id="64"/>
    <w:p>
      <w:pPr>
        <w:ind w:left="1080" w:right="20"/>
        <w:spacing w:after="0" w:line="275" w:lineRule="auto"/>
        <w:rPr>
          <w:sz w:val="20"/>
          <w:szCs w:val="20"/>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w:t>
      </w:r>
    </w:p>
    <w:p>
      <w:pPr>
        <w:spacing w:after="0" w:line="187"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discredit or disrepute upon the State of Nevada or gaming in Nevada, or is contrary to the gaming policies of Nevada;</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License for Conduct of Gaming and Sale of Alcoholic Beverages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conduct of gaming activities and the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Wynn Las Vegas, Wynn Resorts Holdings and Valvino are member-managed limited liability companies and do not have boards of directors. As a result, Wynn Resorts, through its subsidiaries, controls Wynn Las Vegas and Wynn Capital. Upon consummation of this offering, the following individuals will serve as directors and executive officers of Wynn Resorts and Wynn Capital, and their ages and positions will be as follows:</w:t>
      </w:r>
    </w:p>
    <w:p>
      <w:pPr>
        <w:spacing w:after="0" w:line="190"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Kazuo Okada</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Robert J. Miller</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Elaine P. Wynn</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Allan Zeman</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John Strzemp</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Wynn Design &amp; Development</w:t>
            </w:r>
          </w:p>
        </w:tc>
      </w:tr>
      <w:tr>
        <w:trPr>
          <w:trHeight w:val="202"/>
        </w:trPr>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DeRuyter O. Butler</w:t>
            </w:r>
          </w:p>
        </w:tc>
        <w:tc>
          <w:tcPr>
            <w:tcW w:w="660" w:type="dxa"/>
            <w:vAlign w:val="bottom"/>
            <w:gridSpan w:val="2"/>
          </w:tcPr>
          <w:p>
            <w:pPr>
              <w:jc w:val="center"/>
              <w:ind w:left="152"/>
              <w:spacing w:after="0" w:line="201" w:lineRule="exact"/>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Executive Vice President—Architecture, Wynn Design &amp;</w:t>
            </w:r>
          </w:p>
        </w:tc>
      </w:tr>
      <w:tr>
        <w:trPr>
          <w:trHeight w:val="228"/>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-2138045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-2138045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-2138045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-2138045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-2138045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-2138045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12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Stephen A. Wynn </w:t>
      </w:r>
      <w:r>
        <w:rPr>
          <w:rFonts w:ascii="Times New Roman" w:cs="Times New Roman" w:eastAsia="Times New Roman" w:hAnsi="Times New Roman"/>
          <w:sz w:val="16"/>
          <w:szCs w:val="16"/>
          <w:color w:val="auto"/>
        </w:rPr>
        <w:t>has served as Chairman of the board and Chief Executive Officer of Wynn Resorts since June 2002. Since April 2000, Mr. Wynn has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47"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Kazuo Okada </w:t>
      </w:r>
      <w:r>
        <w:rPr>
          <w:rFonts w:ascii="Times New Roman" w:cs="Times New Roman" w:eastAsia="Times New Roman" w:hAnsi="Times New Roman"/>
          <w:sz w:val="18"/>
          <w:szCs w:val="18"/>
          <w:color w:val="auto"/>
        </w:rPr>
        <w:t>has agreed to serve as Vice Chairman of the board of Wynn Resorts. Mr. Okada founded Aruze Corp., a Japanese manufacturer of pachislot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87" w:lineRule="exact"/>
        <w:rPr>
          <w:sz w:val="20"/>
          <w:szCs w:val="20"/>
          <w:color w:val="auto"/>
        </w:rPr>
      </w:pPr>
    </w:p>
    <w:p>
      <w:pPr>
        <w:ind w:right="28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Ronald J. Kramer </w:t>
      </w:r>
      <w:r>
        <w:rPr>
          <w:rFonts w:ascii="Times New Roman" w:cs="Times New Roman" w:eastAsia="Times New Roman" w:hAnsi="Times New Roman"/>
          <w:sz w:val="16"/>
          <w:szCs w:val="16"/>
          <w:color w:val="auto"/>
        </w:rPr>
        <w:t>has agreed to serve as President and as a director of Wynn Resorts. Mr. Kramer has served as President of Wynn Resorts Holdings,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immediate parent entity of Wynn Las Vegas and a wholly owned indirect subsidiary of Wynn Resorts, since April 2002. From July 1999 to October 2001, Mr. Kramer was a Managing Director at Dresdner Kleinwort Wasserstein, an investment banking firm, and at its predecessor Wasserstein Perella &amp; Co.</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72" w:lineRule="exact"/>
        <w:rPr>
          <w:sz w:val="20"/>
          <w:szCs w:val="20"/>
          <w:color w:val="auto"/>
        </w:rPr>
      </w:pPr>
    </w:p>
    <w:p>
      <w:pPr>
        <w:ind w:right="28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Robert J. Miller </w:t>
      </w:r>
      <w:r>
        <w:rPr>
          <w:rFonts w:ascii="Times New Roman" w:cs="Times New Roman" w:eastAsia="Times New Roman" w:hAnsi="Times New Roman"/>
          <w:sz w:val="16"/>
          <w:szCs w:val="16"/>
          <w:color w:val="auto"/>
        </w:rPr>
        <w:t>has agreed to serve as a director of Wynn Resorts. Robert J. Miller has been a partner of the Nevada law firm of Jones Vargas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ectPr>
          <w:pgSz w:w="11900" w:h="16838" w:orient="portrait"/>
          <w:cols w:equalWidth="0" w:num="1">
            <w:col w:w="11400"/>
          </w:cols>
          <w:pgMar w:left="240" w:top="125" w:right="259" w:bottom="0" w:gutter="0" w:footer="0" w:header="0"/>
        </w:sectPr>
      </w:pPr>
    </w:p>
    <w:bookmarkStart w:id="65" w:name="page66"/>
    <w:bookmarkEnd w:id="65"/>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John A. Moran </w:t>
      </w:r>
      <w:r>
        <w:rPr>
          <w:rFonts w:ascii="Times New Roman" w:cs="Times New Roman" w:eastAsia="Times New Roman" w:hAnsi="Times New Roman"/>
          <w:sz w:val="18"/>
          <w:szCs w:val="18"/>
          <w:color w:val="auto"/>
        </w:rPr>
        <w:t>has agreed to serve as a director of Wynn Resorts. Mr. Moran is the retired Chairman of Dyson-Kissner-Moran Corporation,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87" w:lineRule="exact"/>
        <w:rPr>
          <w:sz w:val="20"/>
          <w:szCs w:val="20"/>
          <w:color w:val="auto"/>
        </w:rPr>
      </w:pPr>
    </w:p>
    <w:p>
      <w:pPr>
        <w:ind w:right="18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Elaine P. Wynn </w:t>
      </w:r>
      <w:r>
        <w:rPr>
          <w:rFonts w:ascii="Times New Roman" w:cs="Times New Roman" w:eastAsia="Times New Roman" w:hAnsi="Times New Roman"/>
          <w:sz w:val="16"/>
          <w:szCs w:val="16"/>
          <w:color w:val="auto"/>
        </w:rPr>
        <w:t>has agreed to serve as a director of Wynn Resorts. Mrs. Wynn has served as Co-Chairperson of the Greater Las Vegas Inner-City Games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54"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Stanley R. Zax </w:t>
      </w:r>
      <w:r>
        <w:rPr>
          <w:rFonts w:ascii="Times New Roman" w:cs="Times New Roman" w:eastAsia="Times New Roman" w:hAnsi="Times New Roman"/>
          <w:sz w:val="18"/>
          <w:szCs w:val="18"/>
          <w:color w:val="auto"/>
        </w:rPr>
        <w:t>has agreed to serve as a director of Wynn Resorts. Since 1977, Mr. Zax has served as Chairman of the Board, and, since 1978,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87"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Allan Zeman </w:t>
      </w:r>
      <w:r>
        <w:rPr>
          <w:rFonts w:ascii="Times New Roman" w:cs="Times New Roman" w:eastAsia="Times New Roman" w:hAnsi="Times New Roman"/>
          <w:sz w:val="18"/>
          <w:szCs w:val="18"/>
          <w:color w:val="auto"/>
        </w:rPr>
        <w:t>has agreed to serve as a director of Wynn Resorts. Mr. Zeman has served as chairman of Lan Kwai Fong Holdings Limited, a company engaged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87"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Marc D. Schorr </w:t>
      </w:r>
      <w:r>
        <w:rPr>
          <w:rFonts w:ascii="Times New Roman" w:cs="Times New Roman" w:eastAsia="Times New Roman" w:hAnsi="Times New Roman"/>
          <w:sz w:val="18"/>
          <w:szCs w:val="18"/>
          <w:color w:val="auto"/>
        </w:rPr>
        <w:t>serves as Chief Operating Officer of Wynn Resorts. Since April 2001, Mr. Schorr has served as Chief Operating Officer of Wynn Resorts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From 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81"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John Strzemp </w:t>
      </w:r>
      <w:r>
        <w:rPr>
          <w:rFonts w:ascii="Times New Roman" w:cs="Times New Roman" w:eastAsia="Times New Roman" w:hAnsi="Times New Roman"/>
          <w:sz w:val="18"/>
          <w:szCs w:val="18"/>
          <w:color w:val="auto"/>
        </w:rPr>
        <w:t>serves as Executive Vice President and Chief Financial Officer of Wynn Resorts. Since November 2001, Mr. Strzemp has served as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Chief Financial Officer of Wynn Resorts Holdings. Mr. Strzemp was Executive Vice President, Chief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7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Marc H. Rubinstein </w:t>
      </w:r>
      <w:r>
        <w:rPr>
          <w:rFonts w:ascii="Times New Roman" w:cs="Times New Roman" w:eastAsia="Times New Roman" w:hAnsi="Times New Roman"/>
          <w:sz w:val="18"/>
          <w:szCs w:val="18"/>
          <w:color w:val="auto"/>
        </w:rPr>
        <w:t>serves as Senior Vice President and General Counsel of Wynn Resorts. Since April 2001, Mr. Rubinstein has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President—General 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93"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Matt Maddox </w:t>
      </w:r>
      <w:r>
        <w:rPr>
          <w:rFonts w:ascii="Times New Roman" w:cs="Times New Roman" w:eastAsia="Times New Roman" w:hAnsi="Times New Roman"/>
          <w:sz w:val="18"/>
          <w:szCs w:val="18"/>
          <w:color w:val="auto"/>
        </w:rPr>
        <w:t>serves as Vice President—Investor Relations and Treasurer of Wynn Resorts. Mr. Maddox has served as Vice President—Investor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87" w:lineRule="exact"/>
        <w:rPr>
          <w:sz w:val="20"/>
          <w:szCs w:val="20"/>
          <w:color w:val="auto"/>
        </w:rPr>
      </w:pPr>
    </w:p>
    <w:p>
      <w:pPr>
        <w:ind w:right="1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Kenneth R. Wynn </w:t>
      </w:r>
      <w:r>
        <w:rPr>
          <w:rFonts w:ascii="Times New Roman" w:cs="Times New Roman" w:eastAsia="Times New Roman" w:hAnsi="Times New Roman"/>
          <w:sz w:val="18"/>
          <w:szCs w:val="18"/>
          <w:color w:val="auto"/>
        </w:rPr>
        <w:t>has served as President of Wynn Design &amp; Development, LLC, a wholly owned subsidiary of Valvino, since June 2000. From 1973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87"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DeRuyter O. Butler </w:t>
      </w:r>
      <w:r>
        <w:rPr>
          <w:rFonts w:ascii="Times New Roman" w:cs="Times New Roman" w:eastAsia="Times New Roman" w:hAnsi="Times New Roman"/>
          <w:sz w:val="18"/>
          <w:szCs w:val="18"/>
          <w:color w:val="auto"/>
        </w:rPr>
        <w:t>has served as Executive Vice President—Architecture of Wynn Design &amp; Development since June 2000. In 2000, Mr. Butler co-founded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Committees</w:t>
      </w:r>
    </w:p>
    <w:p>
      <w:pPr>
        <w:spacing w:after="0" w:line="227" w:lineRule="exact"/>
        <w:rPr>
          <w:sz w:val="20"/>
          <w:szCs w:val="20"/>
          <w:color w:val="auto"/>
        </w:rPr>
      </w:pPr>
    </w:p>
    <w:p>
      <w:pPr>
        <w:jc w:val="both"/>
        <w:ind w:right="100" w:firstLine="351"/>
        <w:spacing w:after="0" w:line="256" w:lineRule="auto"/>
        <w:rPr>
          <w:sz w:val="20"/>
          <w:szCs w:val="20"/>
          <w:color w:val="auto"/>
        </w:rPr>
      </w:pPr>
      <w:r>
        <w:rPr>
          <w:rFonts w:ascii="Times New Roman" w:cs="Times New Roman" w:eastAsia="Times New Roman" w:hAnsi="Times New Roman"/>
          <w:sz w:val="18"/>
          <w:szCs w:val="18"/>
          <w:color w:val="auto"/>
        </w:rPr>
        <w:t>Mr. Wynn and Aruze USA, together with Baron Asset Fund, have entered into a stockholders agreement pursuant to which Mr. Wynn and Aruze USA have agreed to vote their shares of Wynn Resorts' common stock for a slate of Wynn Resorts'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93"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Wynn Resorts' articles of incorporation and bylaws provide for a classified board of directors consisting of three classes of directors, each serving staggered three-year terms. As a result, a portion of Wynn Resorts' board of directors will be elected each year. To implement the classified board of directors structure, prior to the completion of Wynn Resorts' common stock offering, two of the members of the board of directors will be Class I directors elected to one-year terms, three will be Class II directors elected to two-year terms and three will be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Class III directors elected to three-year terms. Thereafter, directors will be elected for three-year terms. Upon the completion of Wynn Resorts' common stock offering, Class I will consist of and ; Class II will consist of and ; and Class III will consist of , and .</w:t>
      </w:r>
    </w:p>
    <w:p>
      <w:pPr>
        <w:sectPr>
          <w:pgSz w:w="11900" w:h="16838" w:orient="portrait"/>
          <w:cols w:equalWidth="0" w:num="1">
            <w:col w:w="11400"/>
          </w:cols>
          <w:pgMar w:left="240" w:top="123" w:right="259" w:bottom="0" w:gutter="0" w:footer="0" w:header="0"/>
        </w:sectPr>
      </w:pPr>
    </w:p>
    <w:bookmarkStart w:id="66" w:name="page67"/>
    <w:bookmarkEnd w:id="66"/>
    <w:p>
      <w:pPr>
        <w:ind w:left="360"/>
        <w:spacing w:after="0"/>
        <w:rPr>
          <w:sz w:val="20"/>
          <w:szCs w:val="20"/>
          <w:color w:val="auto"/>
        </w:rPr>
      </w:pPr>
      <w:r>
        <w:rPr>
          <w:rFonts w:ascii="Times New Roman" w:cs="Times New Roman" w:eastAsia="Times New Roman" w:hAnsi="Times New Roman"/>
          <w:sz w:val="18"/>
          <w:szCs w:val="18"/>
          <w:color w:val="auto"/>
        </w:rPr>
        <w:t>Wynn Capital expects to have a board of directors comprised of the same members as Wynn Resorts' board of directors.</w:t>
      </w:r>
    </w:p>
    <w:p>
      <w:pPr>
        <w:spacing w:after="0" w:line="225"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Upon completion of Wynn Resorts' common stock offering, the board of directors of Wynn Resorts intends to appoint an executive committee, an audit committee and a compensation committee. Wynn Capital's board of directors will also appoint an executive committee, an audit committee and a compensation committee, which committees will be comprised of the same members as Wynn Resorts' committees. The composition of the board committees of Wynn Resorts and Wynn Capital will comply with the requirements of The Nasdaq National Market and the Sarbanes-Oxley Act of 2002.</w:t>
      </w:r>
    </w:p>
    <w:p>
      <w:pPr>
        <w:spacing w:after="0" w:line="190"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executive committees of Wynn Resorts and Wynn Capital will have all of the powers and authority of the board of directors in managing our business and affairs to the fullest extent authorized by Nevada law.</w:t>
      </w:r>
    </w:p>
    <w:p>
      <w:pPr>
        <w:spacing w:after="0" w:line="174"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Wynn Resorts'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Las Vegas' Annual Reports on Form 10-K to be filed with the Securities and Exchange Commission. We expect that the audit committees of Wynn Resorts and Wynn Capital will be comprised of three independent directors.</w:t>
      </w:r>
    </w:p>
    <w:p>
      <w:pPr>
        <w:spacing w:after="0" w:line="193"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compensation committees of Wynn Resorts and Wynn Capital will review and approve on behalf of the entire board of directors of Wynn Resorts and Wynn Capital, respectively, the (1) annual salaries and other compensation of its respective officers, and (2) individual stock and stock option grants. The compensation committees of Wynn Resorts and Wynn Capital also will provide assistance and recommendations with respect to its respective compensation policies and practices and assist with the administration of the compensation plan of Wynn Resorts and Wynn Capital. We expect that each of the compensation committees of Wynn Resorts and Wynn Capital will be comprised of at least two independent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ind w:right="100" w:firstLine="341"/>
        <w:spacing w:after="0" w:line="310" w:lineRule="auto"/>
        <w:rPr>
          <w:sz w:val="20"/>
          <w:szCs w:val="20"/>
          <w:color w:val="auto"/>
        </w:rPr>
      </w:pPr>
      <w:r>
        <w:rPr>
          <w:rFonts w:ascii="Times New Roman" w:cs="Times New Roman" w:eastAsia="Times New Roman" w:hAnsi="Times New Roman"/>
          <w:sz w:val="16"/>
          <w:szCs w:val="16"/>
          <w:color w:val="auto"/>
        </w:rPr>
        <w:t>As noted above, the board of directors of Wynn Resorts and Wynn Capital will appoint a compensation committee upon completion of Wynn Resorts' initial public offering. We do not expect that any of Wynn Resorts' or Wynn Capital's executive officers will serve as a director or member of the compensation committee of another entity, one of whose executive officers serves on Wynn Resorts' or Wynn Capital's board of directors or compensation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Upon completion of Wynn Resorts' initial public offering, each of the directors of Wynn Resorts and Wynn Capital who is not an employee of Wynn Resorts or its subsidiaries will receive a monthly fee of $4,000 for services as a director. Directors who serve on the executive, audit and compensation committees will receive an additional monthly fee of $1,000. Directors will also receive reimbursement for medical expenses and coverage under a life insurance program. Directors who are employees of Wynn Resorts or its subsidiaries will not receive compensation for their services as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Each non-employee director of Wynn Resorts and Wynn Capital will receive a total of stock options each year under Wynn Resorts' 2002 stock incentive plan. The stock options will have an exercise price equal to the market value of Wynn Resorts' common stock on the date of grant and will vest over a period defined in the option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annual and long-term compensation of Wynn Resorts' and Wynn Capital's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Annual Compensation</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Other Annual</w:t>
            </w:r>
          </w:p>
        </w:tc>
        <w:tc>
          <w:tcPr>
            <w:tcW w:w="2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8"/>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5"/>
                <w:szCs w:val="15"/>
                <w:color w:val="auto"/>
              </w:rPr>
            </w:pPr>
          </w:p>
        </w:tc>
        <w:tc>
          <w:tcPr>
            <w:tcW w:w="152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Stephen A. Wynn(2)</w:t>
            </w:r>
          </w:p>
        </w:tc>
        <w:tc>
          <w:tcPr>
            <w:tcW w:w="80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71,190(3)</w:t>
            </w:r>
          </w:p>
        </w:tc>
        <w:tc>
          <w:tcPr>
            <w:tcW w:w="28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President of Wynn Resorts Holdings</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31,511(3)</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Marc D. Schorr(4)</w:t>
            </w:r>
          </w:p>
        </w:tc>
        <w:tc>
          <w:tcPr>
            <w:tcW w:w="80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Operating Officer of Wynn Resorts Holdings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Kenneth R. Wynn(5)</w:t>
            </w:r>
          </w:p>
        </w:tc>
        <w:tc>
          <w:tcPr>
            <w:tcW w:w="80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President of Wynn Design &amp; Development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John Strzemp(6)</w:t>
            </w:r>
          </w:p>
        </w:tc>
        <w:tc>
          <w:tcPr>
            <w:tcW w:w="80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450,000</w:t>
            </w:r>
          </w:p>
        </w:tc>
        <w:tc>
          <w:tcPr>
            <w:tcW w:w="3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300,530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Financial Officer of Wynn Resorts</w:t>
            </w:r>
          </w:p>
        </w:tc>
        <w:tc>
          <w:tcPr>
            <w:tcW w:w="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Holdings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DeRuyter O. Butler(7)</w:t>
            </w:r>
          </w:p>
        </w:tc>
        <w:tc>
          <w:tcPr>
            <w:tcW w:w="80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350,000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Executive Vice President—Architecture of Wynn Design &amp; Development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197,885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Marc H. Rubinstein(8)</w:t>
            </w:r>
          </w:p>
        </w:tc>
        <w:tc>
          <w:tcPr>
            <w:tcW w:w="80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286,279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Senior Vice President and General Counsel of Wynn Resorts Holdings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113,708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-1832610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-1832610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-1395095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-1395095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-1395095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-1395095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-1395095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-1395095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-1395095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-1395095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-1395095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-1395095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10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10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Stephen A. Wynn has served as managing member of Valvino since its inception and as Chief Executive Officer and President of Wynn Resorts Holdings since September 17, 2001.</w:t>
      </w:r>
    </w:p>
    <w:p>
      <w:pPr>
        <w:ind w:left="540" w:hanging="532"/>
        <w:spacing w:after="0" w:line="197" w:lineRule="auto"/>
        <w:tabs>
          <w:tab w:leader="none" w:pos="540" w:val="left"/>
        </w:tabs>
        <w:numPr>
          <w:ilvl w:val="0"/>
          <w:numId w:val="10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Represents salary of a driver whom we employ for Stephen A. Wynn's business and personal use and accounting services.</w:t>
      </w:r>
    </w:p>
    <w:p>
      <w:pPr>
        <w:ind w:left="540" w:hanging="532"/>
        <w:spacing w:after="0" w:line="187" w:lineRule="auto"/>
        <w:tabs>
          <w:tab w:leader="none" w:pos="540" w:val="left"/>
        </w:tabs>
        <w:numPr>
          <w:ilvl w:val="0"/>
          <w:numId w:val="104"/>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10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Kenneth R. Wynn's employment with Wynn Design &amp; Development commenced on June 1, 2000.</w:t>
      </w:r>
    </w:p>
    <w:p>
      <w:pPr>
        <w:ind w:left="540" w:hanging="532"/>
        <w:spacing w:after="0" w:line="197" w:lineRule="auto"/>
        <w:tabs>
          <w:tab w:leader="none" w:pos="540" w:val="left"/>
        </w:tabs>
        <w:numPr>
          <w:ilvl w:val="0"/>
          <w:numId w:val="10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Mr. Strzemp was employed by Valvino from November 1, 2000 until his employment with Wynn Resorts Holdings commenced on April 1, 2001.</w:t>
      </w:r>
    </w:p>
    <w:p>
      <w:pPr>
        <w:ind w:left="540" w:hanging="532"/>
        <w:spacing w:after="0" w:line="187" w:lineRule="auto"/>
        <w:tabs>
          <w:tab w:leader="none" w:pos="540" w:val="left"/>
        </w:tabs>
        <w:numPr>
          <w:ilvl w:val="0"/>
          <w:numId w:val="104"/>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104"/>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Mr. Rubinstein was employed by Valvino from June 23, 2000 until his employment with Wynn Resorts Holdings commenced on April 1, 2001.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w:t>
      </w:r>
    </w:p>
    <w:p>
      <w:pPr>
        <w:sectPr>
          <w:pgSz w:w="11900" w:h="16838" w:orient="portrait"/>
          <w:cols w:equalWidth="0" w:num="1">
            <w:col w:w="11420"/>
          </w:cols>
          <w:pgMar w:left="240" w:top="125" w:right="239" w:bottom="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the participant's initial 2% tax deferred contribution and 50% of the tax deferred contribution between 2% and 4% of the participant's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Resorts 2002 Stock Incentive Plan</w:t>
      </w:r>
    </w:p>
    <w:p>
      <w:pPr>
        <w:spacing w:after="0" w:line="227"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Wynn Resorts has adopted its 2002 stock incentive plan. The 2002 stock incentive plan provides for the grant of stock awards, incentive stock options and non-qualified stock options to our employees, directors and specified consultants. Wynn Resorts intends to reserve a total of 8,600,000 shares of Wynn Resorts' common stock for issuance pursuant to the 2002 stock incentive plan, subject to certain adjustments set forth in the 2002 stock incentive plan.</w:t>
      </w:r>
    </w:p>
    <w:p>
      <w:pPr>
        <w:spacing w:after="0" w:line="186"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7"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6"/>
          <w:szCs w:val="16"/>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3" w:lineRule="exact"/>
        <w:rPr>
          <w:sz w:val="20"/>
          <w:szCs w:val="20"/>
          <w:color w:val="auto"/>
        </w:rPr>
      </w:pPr>
    </w:p>
    <w:p>
      <w:pPr>
        <w:ind w:right="220" w:firstLine="8"/>
        <w:spacing w:after="0" w:line="261" w:lineRule="auto"/>
        <w:tabs>
          <w:tab w:leader="none" w:pos="2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86"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3"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If certain events occur that result in a change of Wynn Resorts' organizational or ownership structure, the administrator has the discretion to do one or more of the following:</w:t>
      </w:r>
    </w:p>
    <w:p>
      <w:pPr>
        <w:spacing w:after="0" w:line="187"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exercise period of the options;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schedule of options or stock awards;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to have the surviving or successor entity assume or replace options or stock awards; or</w:t>
      </w:r>
    </w:p>
    <w:p>
      <w:pPr>
        <w:spacing w:after="0" w:line="2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options or stock awards and pay to the holder in cash, with respect to each exercisable option, an amount equal to the excess of the then fair market value of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20"/>
        <w:spacing w:after="0" w:line="275" w:lineRule="auto"/>
        <w:rPr>
          <w:sz w:val="20"/>
          <w:szCs w:val="20"/>
          <w:color w:val="auto"/>
        </w:rPr>
      </w:pPr>
      <w:r>
        <w:rPr>
          <w:rFonts w:ascii="Times New Roman" w:cs="Times New Roman" w:eastAsia="Times New Roman" w:hAnsi="Times New Roman"/>
          <w:sz w:val="18"/>
          <w:szCs w:val="18"/>
          <w:color w:val="auto"/>
        </w:rPr>
        <w:t>common stock over the exercise price of the option and, with respect to each stock award, the then fair market value of the stock subject to the award.</w:t>
      </w:r>
    </w:p>
    <w:p>
      <w:pPr>
        <w:spacing w:after="0" w:line="174"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Following the completion of this offering and the offering of Wynn Resorts' common stock, Wynn Resorts intends to grant awards of 189,723 shares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under its 2002 stock incentive plan to each of the following employees: DeRuyter O. Butler, W. Todd Nisbet, Marc D. Schorr, John Strzemp,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P. Thomas and Kenneth R. Wynn. The restricted stock to be granted to our employees will vest in October 2004 as to Mr. Strzemp, in May 2005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Schorr and Mr. Kenneth Wynn, in May 2006 as to Mr. Butler and Mr. Thomas and in June 2006 as to Mr. Nisbet. The restricted stock will vest with respect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individual if such individual terminates employment with us under circumstances that entitle him to receive a "separation payment" under his employment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 described below).</w:t>
      </w:r>
    </w:p>
    <w:p>
      <w:pPr>
        <w:spacing w:after="0" w:line="21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Wynn Resorts also intends to grant an award of 189,723 shares of restricted stock outside of the 2002 stock incentive plan to Franco Dragone, the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On September 6, 2002, Wynn Resorts entered into an employment with agreement with Marc H. Rubinstein, and on September 9, 2002, Wynn Resorts entered into an employment agreement with John Strzemp. Prior to the completion of this offering, Wynn Resorts intends to enter into employment contracts with certain named executive officers, including Stephen A. Wynn, Marc D. Schorr, John Strzemp and Marc H. Rubinstein, and Wynn Design &amp; Development intends to enter into employment agreements with certain other named executive officers, including Kenneth R. Wynn and DeRuyter O. Butler.</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Under Stephen A. Wynn's employment agreement, the annual base salary will be $1,250,000 for the first year and will increase by $500,000 each year to a maximum of $2,750,000. Under Mr. Schorr's employment agreement, the annual base salary will be $750,000 for the first year and $1,000,000 thereafter. Under the other employment contracts, the annual base salaries will be $350,000 for Mr. Butler and $250,000 for Kenneth Wynn. The annual base salary is $360,000 for Mr. Rubinstein and $459,000 for Mr. Strzemp.</w:t>
      </w:r>
    </w:p>
    <w:p>
      <w:pPr>
        <w:sectPr>
          <w:pgSz w:w="11900" w:h="16838" w:orient="portrait"/>
          <w:cols w:equalWidth="0" w:num="1">
            <w:col w:w="11420"/>
          </w:cols>
          <w:pgMar w:left="240" w:top="125" w:right="239" w:bottom="0" w:gutter="0" w:footer="0" w:header="0"/>
        </w:sectPr>
      </w:pPr>
    </w:p>
    <w:bookmarkStart w:id="68" w:name="page69"/>
    <w:bookmarkEnd w:id="68"/>
    <w:p>
      <w:pPr>
        <w:spacing w:after="0" w:line="12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other terms of the employment contracts are or will be substantially similar for each executive. Each executive will receive a bonus and is eligible for an increase in base salary at such times and in such amounts as Wynn Resorts' board of directors, in its sole and exclusive discretion, may determine. However, after Wynn Resorts' board of directors adopts a performance-based bonus plan, bonuses will be determined in accordance with the plan, except that Mr. Strzemp will be entitled to a minimum annual bonus of $150,000 per year. The term of each employment contract will begin on the later of the effective date of this offering or October 1, 2002, and end five years later, except that the term of Mr. Strzemp's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employment contract will end on October 31, 2004. Kenneth Wynn's employment contract will end on May 31, 2005 and Mr. Butler's employment will end on May 31, 2006. If this offering does not close on or before April 1, 2003, the employment contracts will become null and void. In addition to base salary and bonuses, each executive will participate in all of Wynn Resorts'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Wynn Resorts' sole cost and expense to Stephen A. Wynn, and Stephen A. Wynn, Mr. Schorr and Kenneth Wynn will enter into time-sharing agreements with their respective employing entity covering their personal use of our aircraft, with each such executive paying such employing entity the lesser of (1) his and his family's share of the direct costs incurred by us in operating the aircraft or (2) the amount required by applicable federal aviation regulations.</w:t>
      </w:r>
    </w:p>
    <w:p>
      <w:pPr>
        <w:spacing w:after="0" w:line="192"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If the employing entity terminates the employment of an executive without "cause," or the executive terminates his employment with such employing entity upon "good reason" following a "change of control" (as these terms are defined in the employment contracts), the employing entity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(b) the bonus that the executive received for the preceding bonus period projected over the remainder of the term, except in the case of Kenneth Wynn, Mr. Butler and Mr. Rubinstein, in which case, the bonus shall be such person's bonus for one year, (c) any accrued but unpaid vacation pay, and (d) an amount necessary to gross the executive up for any golden parachute excise tax the executive incurs under the Internal Revenue Code Section 4999. If the executive is entitled to receive the separation payment, he will also be entitled to continue participating in the employing entity's health benefits coverage for the period for which the separation payment is payable on the same basis as if he were still employed by the employing entity. If the executive's employment terminates for any other reason before the expiration of the term (i.e., because of the executive's death, disability, discharge for cause, revocation of gaming license, or quitting other than for good reason after a change in control), the employing entity will be required to pay the executive only accrued but unpaid base salary and vacation pay through his termination date.</w:t>
      </w:r>
    </w:p>
    <w:p>
      <w:pPr>
        <w:spacing w:after="0" w:line="201"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Directors' Liability and Indemnification</w:t>
      </w:r>
    </w:p>
    <w:p>
      <w:pPr>
        <w:spacing w:after="0" w:line="22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200" w:lineRule="exact"/>
        <w:rPr>
          <w:sz w:val="20"/>
          <w:szCs w:val="20"/>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officer's act or omission constituted a breach of his or her fiduciary duties; and</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74"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9" w:lineRule="exact"/>
        <w:rPr>
          <w:sz w:val="20"/>
          <w:szCs w:val="20"/>
          <w:color w:val="auto"/>
        </w:rPr>
      </w:pPr>
    </w:p>
    <w:p>
      <w:pPr>
        <w:jc w:val="both"/>
        <w:ind w:right="40" w:firstLine="351"/>
        <w:spacing w:after="0" w:line="310" w:lineRule="auto"/>
        <w:rPr>
          <w:sz w:val="20"/>
          <w:szCs w:val="20"/>
          <w:color w:val="auto"/>
        </w:rPr>
      </w:pPr>
      <w:r>
        <w:rPr>
          <w:rFonts w:ascii="Times New Roman" w:cs="Times New Roman" w:eastAsia="Times New Roman" w:hAnsi="Times New Roman"/>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w:t>
      </w:r>
    </w:p>
    <w:p>
      <w:pPr>
        <w:sectPr>
          <w:pgSz w:w="11900" w:h="16961" w:orient="portrait"/>
          <w:cols w:equalWidth="0" w:num="1">
            <w:col w:w="11400"/>
          </w:cols>
          <w:pgMar w:left="240" w:top="125" w:right="259" w:bottom="0" w:gutter="0" w:footer="0" w:header="0"/>
        </w:sectPr>
      </w:pPr>
    </w:p>
    <w:bookmarkStart w:id="69" w:name="page70"/>
    <w:bookmarkEnd w:id="69"/>
    <w:p>
      <w:pPr>
        <w:ind w:right="180"/>
        <w:spacing w:after="0" w:line="275" w:lineRule="auto"/>
        <w:rPr>
          <w:sz w:val="20"/>
          <w:szCs w:val="20"/>
          <w:color w:val="auto"/>
        </w:rPr>
      </w:pPr>
      <w:r>
        <w:rPr>
          <w:rFonts w:ascii="Times New Roman" w:cs="Times New Roman" w:eastAsia="Times New Roman" w:hAnsi="Times New Roman"/>
          <w:sz w:val="18"/>
          <w:szCs w:val="18"/>
          <w:color w:val="auto"/>
        </w:rPr>
        <w:t>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74" w:lineRule="exact"/>
        <w:rPr>
          <w:sz w:val="20"/>
          <w:szCs w:val="20"/>
          <w:color w:val="auto"/>
        </w:rPr>
      </w:pPr>
    </w:p>
    <w:p>
      <w:pPr>
        <w:ind w:right="160" w:firstLine="341"/>
        <w:spacing w:after="0" w:line="275"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Capital's articles of incorporation and bylaws will contain similar limited liability and indemnification provisions.</w:t>
      </w:r>
    </w:p>
    <w:p>
      <w:pPr>
        <w:spacing w:after="0" w:line="225"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 Life Insurance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obtain $30 million of key man life insurance with respect to Stephen A. Wynn for our benefit.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Insurance</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Wynn Resorts expects to maintain a directors' and officers' liability insurance policy that provides its officers and directors with liability coverage in amounts it considers appropriate.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CERTAIN RELATIONSHIPS AND</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RELATED TRANSACTIONS</w:t>
      </w:r>
    </w:p>
    <w:p>
      <w:pPr>
        <w:spacing w:after="0" w:line="209"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Contribution of Interest in Wynn Macau. </w:t>
      </w:r>
      <w:r>
        <w:rPr>
          <w:rFonts w:ascii="Times New Roman" w:cs="Times New Roman" w:eastAsia="Times New Roman" w:hAnsi="Times New Roman"/>
          <w:sz w:val="18"/>
          <w:szCs w:val="18"/>
          <w:color w:val="auto"/>
        </w:rPr>
        <w:t>Before April 22, 2002, Stephen A. Wynn owned a majority of the outstanding equity interests of Wynn Macau.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89"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Agreement. </w:t>
      </w:r>
      <w:r>
        <w:rPr>
          <w:rFonts w:ascii="Times New Roman" w:cs="Times New Roman" w:eastAsia="Times New Roman" w:hAnsi="Times New Roman"/>
          <w:sz w:val="18"/>
          <w:szCs w:val="18"/>
          <w:color w:val="auto"/>
        </w:rPr>
        <w:t>Mr. Wynn, Aruze USA and Baron Asset Fund are parties to a stockholders agreement. The stockholders agreement establishes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87"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57"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95"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ectPr>
          <w:pgSz w:w="11900" w:h="16838" w:orient="portrait"/>
          <w:cols w:equalWidth="0" w:num="1">
            <w:col w:w="11420"/>
          </w:cols>
          <w:pgMar w:left="240" w:top="125" w:right="239" w:bottom="433"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33" w:gutter="0" w:footer="0" w:header="0"/>
          <w:type w:val="continuous"/>
        </w:sectPr>
      </w:pPr>
    </w:p>
    <w:bookmarkStart w:id="70" w:name="page71"/>
    <w:bookmarkEnd w:id="70"/>
    <w:p>
      <w:pPr>
        <w:ind w:right="140"/>
        <w:spacing w:after="0" w:line="275" w:lineRule="auto"/>
        <w:rPr>
          <w:sz w:val="20"/>
          <w:szCs w:val="20"/>
          <w:color w:val="auto"/>
        </w:rPr>
      </w:pPr>
      <w:r>
        <w:rPr>
          <w:rFonts w:ascii="Times New Roman" w:cs="Times New Roman" w:eastAsia="Times New Roman" w:hAnsi="Times New Roman"/>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74"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6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Buy-Out of Aruze USA Stock. </w:t>
      </w:r>
      <w:r>
        <w:rPr>
          <w:rFonts w:ascii="Times New Roman" w:cs="Times New Roman" w:eastAsia="Times New Roman" w:hAnsi="Times New Roman"/>
          <w:sz w:val="18"/>
          <w:szCs w:val="18"/>
          <w:color w:val="auto"/>
        </w:rPr>
        <w:t>Mr. Wynn, Kazuo Okada, Aruze USA, Aruze Corp. and Wynn Resorts have entered into arrangements which provide that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18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Wynn Design &amp; Development. </w:t>
      </w:r>
      <w:r>
        <w:rPr>
          <w:rFonts w:ascii="Times New Roman" w:cs="Times New Roman" w:eastAsia="Times New Roman" w:hAnsi="Times New Roman"/>
          <w:sz w:val="18"/>
          <w:szCs w:val="18"/>
          <w:color w:val="auto"/>
        </w:rPr>
        <w:t>Wynn Design &amp; Development, a wholly owned subsidiary of Valvino, is responsible for the design and architecture of 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92" w:lineRule="exact"/>
        <w:rPr>
          <w:sz w:val="20"/>
          <w:szCs w:val="20"/>
          <w:color w:val="auto"/>
        </w:rPr>
      </w:pPr>
    </w:p>
    <w:p>
      <w:pPr>
        <w:ind w:right="80" w:firstLine="3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 Gallery. </w:t>
      </w:r>
      <w:r>
        <w:rPr>
          <w:rFonts w:ascii="Times New Roman" w:cs="Times New Roman" w:eastAsia="Times New Roman" w:hAnsi="Times New Roman"/>
          <w:sz w:val="18"/>
          <w:szCs w:val="18"/>
          <w:color w:val="auto"/>
        </w:rPr>
        <w:t>We operate an art gallery at the former premises of the Desert Inn Resort &amp; Casino in which we display paintings from The Wynn Collection.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74"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agreement, subject to certain notice restrictions, Mr. and Mrs. Wynn have the right to remove or replace any or all of the works of art that will be displayed in the art gallery. After Le Rêve opens, we will continue to lease The Wynn Collection pursuant to the agreement and will exhibit the works as an attraction at Le Rêve.</w:t>
      </w:r>
    </w:p>
    <w:p>
      <w:pPr>
        <w:spacing w:after="0" w:line="384" w:lineRule="exact"/>
        <w:rPr>
          <w:sz w:val="20"/>
          <w:szCs w:val="20"/>
          <w:color w:val="auto"/>
        </w:rPr>
      </w:pPr>
    </w:p>
    <w:p>
      <w:pPr>
        <w:ind w:right="20" w:firstLine="3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Aircraft Arrangements. </w:t>
      </w:r>
      <w:r>
        <w:rPr>
          <w:rFonts w:ascii="Times New Roman" w:cs="Times New Roman" w:eastAsia="Times New Roman" w:hAnsi="Times New Roman"/>
          <w:sz w:val="18"/>
          <w:szCs w:val="18"/>
          <w:color w:val="auto"/>
        </w:rPr>
        <w:t>Until January 2002, Valvino used a Gulfstream Aerospace model G-1159A aircraft in its business operations. The aircraft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97"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86" w:lineRule="exact"/>
        <w:rPr>
          <w:sz w:val="20"/>
          <w:szCs w:val="20"/>
          <w:color w:val="auto"/>
        </w:rPr>
      </w:pPr>
    </w:p>
    <w:p>
      <w:pPr>
        <w:jc w:val="both"/>
        <w:ind w:right="180" w:firstLine="351"/>
        <w:spacing w:after="0" w:line="310" w:lineRule="auto"/>
        <w:rPr>
          <w:sz w:val="20"/>
          <w:szCs w:val="20"/>
          <w:color w:val="auto"/>
        </w:rPr>
      </w:pPr>
      <w:r>
        <w:rPr>
          <w:rFonts w:ascii="Times New Roman" w:cs="Times New Roman" w:eastAsia="Times New Roman" w:hAnsi="Times New Roman"/>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w:t>
      </w:r>
    </w:p>
    <w:p>
      <w:pPr>
        <w:sectPr>
          <w:pgSz w:w="11900" w:h="16838" w:orient="portrait"/>
          <w:cols w:equalWidth="0" w:num="1">
            <w:col w:w="11400"/>
          </w:cols>
          <w:pgMar w:left="240" w:top="125" w:right="259" w:bottom="244"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244" w:gutter="0" w:footer="0" w:header="0"/>
          <w:type w:val="continuous"/>
        </w:sectPr>
      </w:pPr>
    </w:p>
    <w:bookmarkStart w:id="71" w:name="page72"/>
    <w:bookmarkEnd w:id="71"/>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93"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World Travel continues to lease the aircraft to Las Vegas Jet. Las Vegas Jet operates the aircraft for Wynn Resorts and its subsidiaries. Subsequent to the acquisition of World Travel, approximately $2 million of net accounts payable to Valvino from Las Vegas Jet were settled.</w:t>
      </w:r>
    </w:p>
    <w:p>
      <w:pPr>
        <w:spacing w:after="0" w:line="170"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Reimbursable Costs. </w:t>
      </w:r>
      <w:r>
        <w:rPr>
          <w:rFonts w:ascii="Times New Roman" w:cs="Times New Roman" w:eastAsia="Times New Roman" w:hAnsi="Times New Roman"/>
          <w:sz w:val="18"/>
          <w:szCs w:val="18"/>
          <w:color w:val="auto"/>
        </w:rPr>
        <w:t>We have periodically incurred costs on Mr. Wynn's behalf, including costs with respect to Mr. Wynn's personal use of the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189"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Overpayment. </w:t>
      </w:r>
      <w:r>
        <w:rPr>
          <w:rFonts w:ascii="Times New Roman" w:cs="Times New Roman" w:eastAsia="Times New Roman" w:hAnsi="Times New Roman"/>
          <w:sz w:val="18"/>
          <w:szCs w:val="18"/>
          <w:color w:val="auto"/>
        </w:rPr>
        <w:t>In 2001, Mr. Wynn made a substantial overpayment of his personal estimated 2001 federal income taxes to the Internal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88"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Indemnification Agreement. </w:t>
      </w:r>
      <w:r>
        <w:rPr>
          <w:rFonts w:ascii="Times New Roman" w:cs="Times New Roman" w:eastAsia="Times New Roman" w:hAnsi="Times New Roman"/>
          <w:sz w:val="18"/>
          <w:szCs w:val="18"/>
          <w:color w:val="auto"/>
        </w:rPr>
        <w:t>Mr. Wynn, Aruze USA, Baron Asset Fund, and the Kenneth R. Wynn Family Trust, referred to collectively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Valvino members, Valvino and Wynn Resorts intend to enter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including carry forwards, or increase the amount of tax basis in the assets) of the Valvino members and decrease the amount of taxable income (or increase the amount of loss) reported by Wynn Resorts. Accordingly, the tax indemnification agreement generally will provide that the Valvino members will be indemnified by Wynn Resorts and its subsidiaries for additional tax costs (including interest and penalties) caused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82" w:lineRule="exact"/>
        <w:rPr>
          <w:sz w:val="20"/>
          <w:szCs w:val="20"/>
          <w:color w:val="auto"/>
        </w:rPr>
      </w:pPr>
    </w:p>
    <w:p>
      <w:pPr>
        <w:ind w:right="2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Valvino Assets. </w:t>
      </w:r>
      <w:r>
        <w:rPr>
          <w:rFonts w:ascii="Times New Roman" w:cs="Times New Roman" w:eastAsia="Times New Roman" w:hAnsi="Times New Roman"/>
          <w:sz w:val="18"/>
          <w:szCs w:val="18"/>
          <w:color w:val="auto"/>
        </w:rPr>
        <w:t>Upon the contribution by the members of Valvino of their membership interests in Valvino to Wynn Resorts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the common stock of Wynn Resorts, Valvino transferred substantially all of its assets, other than the 20-acre parcel located next to Le Rêve and its equity interests in the restricted entities, to Wynn Resorts. The transferred assets included Valvino's cash and cash equivalents, equity interests in Wynn Group Asia, Kevyn, LLC and other limited liability companies that will not be restricted entities under our debt facilities, gaming receivables from the Desert Inn Resort &amp; Casino and miscellaneous items that are not in the aggregate material.</w:t>
      </w:r>
    </w:p>
    <w:p>
      <w:pPr>
        <w:spacing w:after="0" w:line="18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Intercompany Agreements. </w:t>
      </w:r>
      <w:r>
        <w:rPr>
          <w:rFonts w:ascii="Times New Roman" w:cs="Times New Roman" w:eastAsia="Times New Roman" w:hAnsi="Times New Roman"/>
          <w:sz w:val="18"/>
          <w:szCs w:val="18"/>
          <w:color w:val="auto"/>
        </w:rPr>
        <w:t>Wynn Las Vegas has entered or plans to enter into various intercompany agreements with Valvino and/or Wynn Resorts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pursuant to which Wynn Las Vegas will lease the land on which the golf course, the driving range and an employee parking lot will be built, and the office building located on the 20-acre parcel located next to Le Rêve. Wynn Las Vegas will sublease space in the office building to Wynn Design and Development and Wynn Resorts and will sublease the art gallery space to Wynn Resorts Holdings. Wynn Las Vegas, World Travel and Las Vegas Jet will enter into an agreement regarding use of the corporate aircraft. [Wynn Design and Development will enter into a contract with Wynn Las Vegas providing for design services in connection with Le Rêve by Wynn Design and Development to Wynn Las Vegas.] Wynn Las Vegas, Wynn Capital, Valvino, Wynn Resorts and other parties will enter into an agreement for management services at Le Rêve and related management fees.</w:t>
      </w:r>
    </w:p>
    <w:p>
      <w:pPr>
        <w:spacing w:after="0" w:line="189"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of Second Mortgage Notes. </w:t>
      </w:r>
      <w:r>
        <w:rPr>
          <w:rFonts w:ascii="Times New Roman" w:cs="Times New Roman" w:eastAsia="Times New Roman" w:hAnsi="Times New Roman"/>
          <w:sz w:val="18"/>
          <w:szCs w:val="18"/>
          <w:color w:val="auto"/>
        </w:rPr>
        <w:t>Mr. Wynn has expressed an interest in purchasing the second mortgage notes in an aggregate principal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anticipated to be $ million directly from us at the price being offered to the public. The underwriters will not receive any underwriting discounts or commissions on any second mortgage notes purchased by Mr. Wynn. Pursuant to the terms of the indenture governing the second mortgage notes, Mr. Wynn will not have any voting rights with respect to the second mortgage notes that he owns. Wynn Las Vegas and Wynn Capital have agreed to enter into a registration rights agreement with Mr. Wynn covering the resale of any second mortgage notes that he owns, including those purchased in this offering. Under the agreement, Mr. Wynn will be entitled to require Wynn Las Vegas and Wynn Capital to register the resale of his second mortgage notes on four occasions. Mr. Wynn will be required to pay all the expenses in effecting each such registration and any offering in connection with each such registration may, at Mr. Wynn's option, be underwritten.</w:t>
      </w:r>
    </w:p>
    <w:p>
      <w:pPr>
        <w:spacing w:after="0" w:line="192" w:lineRule="exact"/>
        <w:rPr>
          <w:sz w:val="20"/>
          <w:szCs w:val="20"/>
          <w:color w:val="auto"/>
        </w:rPr>
      </w:pPr>
    </w:p>
    <w:p>
      <w:pPr>
        <w:jc w:val="both"/>
        <w:ind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Capitalization of Valvino. </w:t>
      </w:r>
      <w:r>
        <w:rPr>
          <w:rFonts w:ascii="Times New Roman" w:cs="Times New Roman" w:eastAsia="Times New Roman" w:hAnsi="Times New Roman"/>
          <w:sz w:val="18"/>
          <w:szCs w:val="18"/>
          <w:color w:val="auto"/>
        </w:rPr>
        <w:t>For information regarding the formation of Wynn Resorts and capital contributions to Valvino, the predecessor of Wynn Resorts,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"Management's Discussion &amp; Analysis of Financial Condition and Results of Operations—Liquidity and Capital Resources—Material Transactions Affecting Liquidity and Capital Resources."</w:t>
      </w:r>
    </w:p>
    <w:p>
      <w:pPr>
        <w:spacing w:after="0" w:line="179" w:lineRule="exact"/>
        <w:rPr>
          <w:sz w:val="20"/>
          <w:szCs w:val="20"/>
          <w:color w:val="auto"/>
        </w:rPr>
      </w:pPr>
    </w:p>
    <w:p>
      <w:pPr>
        <w:ind w:right="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Business Relationships. </w:t>
      </w:r>
      <w:r>
        <w:rPr>
          <w:rFonts w:ascii="Times New Roman" w:cs="Times New Roman" w:eastAsia="Times New Roman" w:hAnsi="Times New Roman"/>
          <w:sz w:val="18"/>
          <w:szCs w:val="18"/>
          <w:color w:val="auto"/>
        </w:rPr>
        <w:t>From July 1999 to October 2001, Ronald J. Kramer was a managing director at Dresdner Kleinwort Wasserstein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predecessor, Wasserstein Perella &amp; Co. Affiliates of Dresdner Kleinwort Wasserstein are acting as a co-lead managing underwriter in Wynn Resorts' initial public offering and a joint book-running manager in this offering. In addition, affiliates of Dresdner Kleinwort Wasserstein may participate in the credit facilities and/or FF&amp;E facility.</w:t>
      </w:r>
    </w:p>
    <w:p>
      <w:pPr>
        <w:sectPr>
          <w:pgSz w:w="11900" w:h="16838" w:orient="portrait"/>
          <w:cols w:equalWidth="0" w:num="1">
            <w:col w:w="11420"/>
          </w:cols>
          <w:pgMar w:left="240" w:top="125" w:right="239" w:bottom="0" w:gutter="0" w:footer="0" w:header="0"/>
        </w:sectPr>
      </w:pPr>
    </w:p>
    <w:bookmarkStart w:id="72" w:name="page73"/>
    <w:bookmarkEnd w:id="72"/>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OWNERSHIP OF CAPITAL STOCK</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86"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On June 3, 2002, and in preparation for its offering of common stock, Wynn Resorts was incorporated in Nevada. The following table sets forth information regarding beneficial ownership of Wynn Resorts' common stock as of September , 2002 by:</w:t>
      </w:r>
    </w:p>
    <w:p>
      <w:pPr>
        <w:spacing w:after="0" w:line="187" w:lineRule="exact"/>
        <w:rPr>
          <w:sz w:val="20"/>
          <w:szCs w:val="20"/>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listed under "Executive Compensation;"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Wynn Resorts' directors;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own beneficially more than 5% of Wynn Resorts' common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of Wynn Resorts as a group.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indicated in the footnotes below, each beneficial owner has the sole power to vote and to dispose of all shares held by that holder.</w:t>
      </w:r>
    </w:p>
    <w:p>
      <w:pPr>
        <w:spacing w:after="0" w:line="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Percentage ownership is based on 40,000,000 shares of common stock outstanding as of September 2002 and shares of common stock outstanding after completion of Wynn Resort's contemplated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left="417"/>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5"/>
              </w:rPr>
              <w:t>Before Offering</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6"/>
              </w:rPr>
              <w:t>After Offering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47.431%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Aruze USA, Inc.(1)(3)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47.431</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47.431</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Elaine P. Wynn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R. Zax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R. Wynn(4)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Strzemp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DeRuyter O. Butler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38,002,915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95.008</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38,002,915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-2113280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-2113280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-2113280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-2113280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-1864360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-1864360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-1864360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-1864360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-1864360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-1864360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-1864360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-1864360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-1864360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-1864360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78" w:lineRule="exact"/>
        <w:rPr>
          <w:sz w:val="20"/>
          <w:szCs w:val="20"/>
          <w:color w:val="auto"/>
        </w:rPr>
      </w:pPr>
    </w:p>
    <w:p>
      <w:pPr>
        <w:ind w:left="540" w:right="140" w:hanging="532"/>
        <w:spacing w:after="0" w:line="187" w:lineRule="auto"/>
        <w:tabs>
          <w:tab w:leader="none" w:pos="540" w:val="left"/>
        </w:tabs>
        <w:numPr>
          <w:ilvl w:val="0"/>
          <w:numId w:val="10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Excludes shares which may be deemed to be beneficially owned by virtue of the voting agreement between Mr. Stephen A. Wynn and Aruze USA contained in the stockholders agreement between Mr. Wynn, Aruze USA and Baron Asset Fund. Under this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w:t>
      </w:r>
    </w:p>
    <w:p>
      <w:pPr>
        <w:spacing w:after="0" w:line="70" w:lineRule="exact"/>
        <w:rPr>
          <w:rFonts w:ascii="Times New Roman" w:cs="Times New Roman" w:eastAsia="Times New Roman" w:hAnsi="Times New Roman"/>
          <w:sz w:val="27"/>
          <w:szCs w:val="27"/>
          <w:color w:val="auto"/>
          <w:vertAlign w:val="subscript"/>
        </w:rPr>
      </w:pPr>
    </w:p>
    <w:p>
      <w:pPr>
        <w:ind w:left="540" w:right="40" w:hanging="532"/>
        <w:spacing w:after="0" w:line="189" w:lineRule="auto"/>
        <w:tabs>
          <w:tab w:leader="none" w:pos="540" w:val="left"/>
        </w:tabs>
        <w:numPr>
          <w:ilvl w:val="0"/>
          <w:numId w:val="10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540" w:right="140" w:hanging="532"/>
        <w:spacing w:after="0" w:line="187" w:lineRule="auto"/>
        <w:tabs>
          <w:tab w:leader="none" w:pos="540" w:val="left"/>
        </w:tabs>
        <w:numPr>
          <w:ilvl w:val="0"/>
          <w:numId w:val="11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Aruze USA's address is 745 Greier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110"/>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These shares are held by the Kenneth R. Wynn Family Trust. Kenneth Wynn may be deemed to have beneficial ownership of these shares.</w:t>
      </w:r>
    </w:p>
    <w:p>
      <w:pPr>
        <w:spacing w:after="0" w:line="69" w:lineRule="exact"/>
        <w:rPr>
          <w:rFonts w:ascii="Times New Roman" w:cs="Times New Roman" w:eastAsia="Times New Roman" w:hAnsi="Times New Roman"/>
          <w:sz w:val="27"/>
          <w:szCs w:val="27"/>
          <w:color w:val="auto"/>
          <w:vertAlign w:val="subscript"/>
        </w:rPr>
      </w:pPr>
    </w:p>
    <w:p>
      <w:pPr>
        <w:ind w:left="540" w:right="240" w:hanging="532"/>
        <w:spacing w:after="0" w:line="187" w:lineRule="auto"/>
        <w:tabs>
          <w:tab w:leader="none" w:pos="540" w:val="left"/>
        </w:tabs>
        <w:numPr>
          <w:ilvl w:val="0"/>
          <w:numId w:val="11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85" w:lineRule="exact"/>
        <w:rPr>
          <w:sz w:val="20"/>
          <w:szCs w:val="20"/>
          <w:color w:val="auto"/>
        </w:rPr>
      </w:pPr>
    </w:p>
    <w:p>
      <w:pPr>
        <w:ind w:firstLine="3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Stock Grants. </w:t>
      </w:r>
      <w:r>
        <w:rPr>
          <w:rFonts w:ascii="Times New Roman" w:cs="Times New Roman" w:eastAsia="Times New Roman" w:hAnsi="Times New Roman"/>
          <w:sz w:val="18"/>
          <w:szCs w:val="18"/>
          <w:color w:val="auto"/>
        </w:rPr>
        <w:t>Following the completion of this offering and the offering of Wynn Resorts common stock, we intend to grant awards of 189,723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restricted stock under our 2002 stock incentive plan to each of the following employees: DeRuyter O. Butler, W. Todd Nisbet, Marc D. Schorr, John Strzemp, Roger P. Thomas and Kenneth R. Wynn. The restricted stock will vest immediately in November 2004 as to Mr. Strzemp, in May 2005 as to Mr. Schorr and Kenneth R.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Wynn Resorts also intends to grant an award of 189,723 shares of restricted stock outside of the 2002 stock incentive plan to Franco Dragone, the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89" w:lineRule="exact"/>
        <w:rPr>
          <w:sz w:val="20"/>
          <w:szCs w:val="20"/>
          <w:color w:val="auto"/>
        </w:rPr>
      </w:pPr>
    </w:p>
    <w:p>
      <w:pPr>
        <w:ind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Stockholders Agreement. </w:t>
      </w:r>
      <w:r>
        <w:rPr>
          <w:rFonts w:ascii="Times New Roman" w:cs="Times New Roman" w:eastAsia="Times New Roman" w:hAnsi="Times New Roman"/>
          <w:sz w:val="16"/>
          <w:szCs w:val="16"/>
          <w:color w:val="auto"/>
        </w:rPr>
        <w:t>Mr. Wynn and Aruze USA, together with Baron Asset Fund, have entered into a stockholders agreement. The stockholders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w:t>
      </w:r>
    </w:p>
    <w:p>
      <w:pPr>
        <w:sectPr>
          <w:pgSz w:w="11900" w:h="16887" w:orient="portrait"/>
          <w:cols w:equalWidth="0" w:num="1">
            <w:col w:w="11420"/>
          </w:cols>
          <w:pgMar w:left="240" w:top="125" w:right="239" w:bottom="0" w:gutter="0" w:footer="0" w:header="0"/>
        </w:sectPr>
      </w:pPr>
    </w:p>
    <w:bookmarkStart w:id="73" w:name="page74"/>
    <w:bookmarkEnd w:id="73"/>
    <w:p>
      <w:pPr>
        <w:spacing w:after="0" w:line="255" w:lineRule="auto"/>
        <w:rPr>
          <w:sz w:val="20"/>
          <w:szCs w:val="20"/>
          <w:color w:val="auto"/>
        </w:rPr>
      </w:pPr>
      <w:r>
        <w:rPr>
          <w:rFonts w:ascii="Times New Roman" w:cs="Times New Roman" w:eastAsia="Times New Roman" w:hAnsi="Times New Roman"/>
          <w:sz w:val="18"/>
          <w:szCs w:val="18"/>
          <w:color w:val="auto"/>
        </w:rPr>
        <w:t>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89"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Buy-Out of Aruze USA Stock. </w:t>
      </w:r>
      <w:r>
        <w:rPr>
          <w:rFonts w:ascii="Times New Roman" w:cs="Times New Roman" w:eastAsia="Times New Roman" w:hAnsi="Times New Roman"/>
          <w:sz w:val="18"/>
          <w:szCs w:val="18"/>
          <w:color w:val="auto"/>
        </w:rPr>
        <w:t>Mr. Wynn, Kazuo Okada, Aruze USA, Aruze Corp. and Wynn Resorts have entered into arrangements which provide that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amount of cash contributed to Valvino by Aruze USA, minus any distributions by Valvino or Wynn Resorts to Aruze USA, plus two percent interest, compounded annually. Wynn Resorts has granted Mr. Wynn certain registration and piggyback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w:t>
      </w:r>
    </w:p>
    <w:p>
      <w:pPr>
        <w:spacing w:after="0" w:line="3" w:lineRule="exact"/>
        <w:rPr>
          <w:sz w:val="20"/>
          <w:szCs w:val="20"/>
          <w:color w:val="auto"/>
        </w:rPr>
      </w:pPr>
    </w:p>
    <w:p>
      <w:pPr>
        <w:jc w:val="both"/>
        <w:ind w:right="100"/>
        <w:spacing w:after="0" w:line="302" w:lineRule="auto"/>
        <w:rPr>
          <w:sz w:val="20"/>
          <w:szCs w:val="20"/>
          <w:color w:val="auto"/>
        </w:rPr>
      </w:pPr>
      <w:r>
        <w:rPr>
          <w:rFonts w:ascii="Times New Roman" w:cs="Times New Roman" w:eastAsia="Times New Roman" w:hAnsi="Times New Roman"/>
          <w:sz w:val="16"/>
          <w:szCs w:val="16"/>
          <w:color w:val="auto"/>
        </w:rPr>
        <w:t>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"—Nevada gaming regulatory issues may arise regarding the licensing of owners of Wynn Resorts."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THE SECOND MORTGAGE NOTES</w:t>
      </w:r>
    </w:p>
    <w:p>
      <w:pPr>
        <w:spacing w:after="0" w:line="227" w:lineRule="exact"/>
        <w:rPr>
          <w:sz w:val="20"/>
          <w:szCs w:val="20"/>
          <w:color w:val="auto"/>
        </w:rPr>
      </w:pPr>
    </w:p>
    <w:p>
      <w:pPr>
        <w:jc w:val="both"/>
        <w:ind w:right="20" w:firstLine="345"/>
        <w:spacing w:after="0" w:line="262" w:lineRule="auto"/>
        <w:rPr>
          <w:sz w:val="20"/>
          <w:szCs w:val="20"/>
          <w:color w:val="auto"/>
        </w:rPr>
      </w:pPr>
      <w:r>
        <w:rPr>
          <w:rFonts w:ascii="Times New Roman" w:cs="Times New Roman" w:eastAsia="Times New Roman" w:hAnsi="Times New Roman"/>
          <w:sz w:val="18"/>
          <w:szCs w:val="18"/>
          <w:color w:val="auto"/>
        </w:rPr>
        <w:t>You can find the definitions of certain terms used in this description under the subheading "Certain Definitions." In this description, the word "Issuers" refers collectively to Wynn Las Vegas, LLC and Wynn Las Vegas Capital Corp. and not to any of their respective subsidiaries, and the words "we," "us" and "our" refer to Wynn Las Vegas and its subsidiaries.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Issuers will issue the notes under an indenture among Wynn Las Vegas and Wynn Las Vegas Capital Corp., as joint and several obligors, Desert Inn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Water Company, LLC, Wynn Design &amp; Development, LLC, Wynn Resorts Holdings, Las Vegas Jet, LLC, World Travel, LLC, Palo, LLC and Valvino Lamore, as</w:t>
      </w:r>
    </w:p>
    <w:p>
      <w:pPr>
        <w:spacing w:after="0" w:line="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guarantors, and [ ], as indenture trustee. The terms of the notes include those stated in the indenture and those made part of the indenture by reference to the Trust Indenture Act of 1939, as amended. The Collateral Documents referred to under "—Security Interests" define the terms of the agreements that will secure the notes.</w:t>
      </w:r>
    </w:p>
    <w:p>
      <w:pPr>
        <w:spacing w:after="0" w:line="192"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Brief Description of the Notes and the Guarantees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Notes</w:t>
      </w:r>
    </w:p>
    <w:p>
      <w:pPr>
        <w:spacing w:after="0" w:line="227"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Issuers. </w:t>
      </w:r>
      <w:r>
        <w:rPr>
          <w:rFonts w:ascii="Times New Roman" w:cs="Times New Roman" w:eastAsia="Times New Roman" w:hAnsi="Times New Roman"/>
          <w:sz w:val="18"/>
          <w:szCs w:val="18"/>
          <w:color w:val="auto"/>
        </w:rPr>
        <w:t>Wynn Las Vegas is constructing and will own and operate Le Rêve. Wynn Capital is a wholly owned subsidiary of Wynn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solely to serve as a corporate co-issuer of the notes in order to facilitate this offering. We believe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principal, interest or other amounts required to be paid on the notes.</w:t>
      </w:r>
    </w:p>
    <w:p>
      <w:pPr>
        <w:spacing w:after="0" w:line="188"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General terms.</w:t>
      </w:r>
      <w:r>
        <w:rPr>
          <w:sz w:val="20"/>
          <w:szCs w:val="20"/>
          <w:color w:val="auto"/>
        </w:rPr>
        <w:tab/>
      </w:r>
      <w:r>
        <w:rPr>
          <w:rFonts w:ascii="Times New Roman" w:cs="Times New Roman" w:eastAsia="Times New Roman" w:hAnsi="Times New Roman"/>
          <w:sz w:val="16"/>
          <w:szCs w:val="16"/>
          <w:color w:val="auto"/>
        </w:rPr>
        <w:t>The notes:</w:t>
      </w:r>
    </w:p>
    <w:p>
      <w:pPr>
        <w:spacing w:after="0" w:line="241" w:lineRule="exact"/>
        <w:rPr>
          <w:sz w:val="20"/>
          <w:szCs w:val="20"/>
          <w:color w:val="auto"/>
        </w:rPr>
      </w:pPr>
    </w:p>
    <w:p>
      <w:pPr>
        <w:ind w:left="1080" w:right="140" w:hanging="532"/>
        <w:spacing w:after="0" w:line="275"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second mortgage notes, issued in an original aggregate principal amount of $350 million, with a maximum aggregate principal amount of $450 million;</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5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will mature on</w:t>
            </w:r>
          </w:p>
        </w:tc>
        <w:tc>
          <w:tcPr>
            <w:tcW w:w="17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 2010;</w:t>
            </w:r>
          </w:p>
        </w:tc>
        <w:tc>
          <w:tcPr>
            <w:tcW w:w="1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3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will bear interest at the rate of  % per annum (based on a 360-day year of twelve 30-day months), payable in arrears each</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0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commencing</w:t>
            </w:r>
          </w:p>
        </w:tc>
        <w:tc>
          <w:tcPr>
            <w:tcW w:w="1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 2003;</w:t>
            </w: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 not be redeemable at our option prior to</w:t>
            </w:r>
          </w:p>
        </w:tc>
        <w:tc>
          <w:tcPr>
            <w:tcW w:w="2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2006, except that until</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2005, we may redeem up to 35% in principal amount of the</w:t>
            </w:r>
          </w:p>
        </w:tc>
      </w:tr>
      <w:tr>
        <w:trPr>
          <w:trHeight w:val="228"/>
        </w:trPr>
        <w:tc>
          <w:tcPr>
            <w:tcW w:w="30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at a premium of</w:t>
            </w:r>
          </w:p>
        </w:tc>
        <w:tc>
          <w:tcPr>
            <w:tcW w:w="3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with the proceeds of Qualified Equity Offerings;</w:t>
            </w: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5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will be redeemable at our option, in whole or in part, commencing</w:t>
            </w:r>
          </w:p>
        </w:tc>
        <w:tc>
          <w:tcPr>
            <w:tcW w:w="3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2006, at a premium declining ratably to par;</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7" w:lineRule="exact"/>
        <w:rPr>
          <w:sz w:val="20"/>
          <w:szCs w:val="20"/>
          <w:color w:val="auto"/>
        </w:rPr>
      </w:pPr>
    </w:p>
    <w:p>
      <w:pPr>
        <w:ind w:left="1080" w:right="20" w:hanging="532"/>
        <w:spacing w:after="0" w:line="275"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 at the option of the holder, except pursuant to a repurchase offer upon the occurrence of a Change of Control or pursuant to a repurchase offer to</w:t>
      </w:r>
    </w:p>
    <w:p>
      <w:pPr>
        <w:sectPr>
          <w:pgSz w:w="11900" w:h="16838" w:orient="portrait"/>
          <w:cols w:equalWidth="0" w:num="1">
            <w:col w:w="11400"/>
          </w:cols>
          <w:pgMar w:left="240" w:top="125"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74" w:name="page75"/>
    <w:bookmarkEnd w:id="74"/>
    <w:p>
      <w:pPr>
        <w:ind w:left="1080"/>
        <w:spacing w:after="0"/>
        <w:rPr>
          <w:sz w:val="20"/>
          <w:szCs w:val="20"/>
          <w:color w:val="auto"/>
        </w:rPr>
      </w:pPr>
      <w:r>
        <w:rPr>
          <w:rFonts w:ascii="Times New Roman" w:cs="Times New Roman" w:eastAsia="Times New Roman" w:hAnsi="Times New Roman"/>
          <w:sz w:val="16"/>
          <w:szCs w:val="16"/>
          <w:color w:val="auto"/>
        </w:rPr>
        <w:t>the extent of specified net proceeds upon the occurrence of an Asset Sale or Event of Loss, and will not have any provision for sinking funds; and</w:t>
      </w:r>
    </w:p>
    <w:p>
      <w:pPr>
        <w:spacing w:after="0" w:line="262" w:lineRule="exact"/>
        <w:rPr>
          <w:sz w:val="20"/>
          <w:szCs w:val="20"/>
          <w:color w:val="auto"/>
        </w:rPr>
      </w:pPr>
    </w:p>
    <w:p>
      <w:pPr>
        <w:ind w:left="1080" w:right="4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contain covenants limiting our ability to incur additional debt, make distributions, investments and restricted payments, create liens, enter into transactions with affiliates, asset</w:t>
      </w:r>
    </w:p>
    <w:p>
      <w:pPr>
        <w:spacing w:after="0" w:line="174" w:lineRule="exact"/>
        <w:rPr>
          <w:sz w:val="20"/>
          <w:szCs w:val="20"/>
          <w:color w:val="auto"/>
        </w:rPr>
      </w:pPr>
    </w:p>
    <w:p>
      <w:pPr>
        <w:ind w:left="1080" w:right="140"/>
        <w:spacing w:after="0" w:line="275" w:lineRule="auto"/>
        <w:rPr>
          <w:sz w:val="20"/>
          <w:szCs w:val="20"/>
          <w:color w:val="auto"/>
        </w:rPr>
      </w:pPr>
      <w:r>
        <w:rPr>
          <w:rFonts w:ascii="Times New Roman" w:cs="Times New Roman" w:eastAsia="Times New Roman" w:hAnsi="Times New Roman"/>
          <w:sz w:val="18"/>
          <w:szCs w:val="18"/>
          <w:color w:val="auto"/>
        </w:rPr>
        <w:t>sales, sale-leaseback transactions, dividend and other payment restrictions affecting subsidiaries, mergers, consolidations or sales of substantially all assets, sales of subsidiary stock and other specified types of transactions.</w:t>
      </w:r>
    </w:p>
    <w:p>
      <w:pPr>
        <w:spacing w:after="0" w:line="172" w:lineRule="exact"/>
        <w:rPr>
          <w:sz w:val="20"/>
          <w:szCs w:val="20"/>
          <w:color w:val="auto"/>
        </w:rPr>
      </w:pPr>
    </w:p>
    <w:p>
      <w:pPr>
        <w:ind w:left="360"/>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Security and Ranking.</w:t>
      </w:r>
      <w:r>
        <w:rPr>
          <w:sz w:val="20"/>
          <w:szCs w:val="20"/>
          <w:color w:val="auto"/>
        </w:rPr>
        <w:tab/>
      </w:r>
      <w:r>
        <w:rPr>
          <w:rFonts w:ascii="Times New Roman" w:cs="Times New Roman" w:eastAsia="Times New Roman" w:hAnsi="Times New Roman"/>
          <w:sz w:val="16"/>
          <w:szCs w:val="16"/>
          <w:color w:val="auto"/>
        </w:rPr>
        <w:t>The notes:</w:t>
      </w:r>
    </w:p>
    <w:p>
      <w:pPr>
        <w:spacing w:after="0" w:line="254" w:lineRule="exact"/>
        <w:rPr>
          <w:sz w:val="20"/>
          <w:szCs w:val="20"/>
          <w:color w:val="auto"/>
        </w:rPr>
      </w:pPr>
    </w:p>
    <w:p>
      <w:pPr>
        <w:ind w:left="1080" w:hanging="532"/>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secured by (1) a perfected first priority security interest in the net proceeds of this offering, (2) perfected second priority security interests in substantially all of our other existing and future assets, including the Project, the Liquidity Reserve Account, and pledged Equity Interests in our Restricted Subsidiaries, but excluding (a) gaming licenses and other assets in which the grant of a security interest is restricted by law, and (b) the FF&amp;E Collateral, and (3) perfected third priority security interests in the FF&amp;E Collateral owned by Wynn Las Vegas;</w:t>
      </w:r>
    </w:p>
    <w:p>
      <w:pPr>
        <w:spacing w:after="0" w:line="203"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 effectively subordinated to borrowings (1) of up to $1 billion under our Credit Agreement, secured by perfected first priority security interests in substantially all of our existing and future assets, other than (a) gaming licenses and other assets in which the grant of a security interest is restricted by law, (b) the FF&amp;E Collateral, and (c) the proceeds of this offering, and (2) of up to $178.5 million under the FF&amp;E Facility;</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senior in right of payment to any future subordinated indebtedness we may incur;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notes will be guaranteed on a second priority basis by the Guarantors, will be supported on a second priority basis by the Completion Guarantee, and may, under certain circumstances, be guaranteed by Wynn Resorts.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Guarantees</w:t>
      </w:r>
    </w:p>
    <w:p>
      <w:pPr>
        <w:spacing w:after="0" w:line="227"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The Guarantors. </w:t>
      </w:r>
      <w:r>
        <w:rPr>
          <w:rFonts w:ascii="Times New Roman" w:cs="Times New Roman" w:eastAsia="Times New Roman" w:hAnsi="Times New Roman"/>
          <w:sz w:val="18"/>
          <w:szCs w:val="18"/>
          <w:color w:val="auto"/>
        </w:rPr>
        <w:t>The notes will be guaranteed by our indirect parent, Valvino Lamore, and Valvino Lamore's direct and indirect subsidiaries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and their Unrestricted Subsidiaries). Valvino Lamore and its subsidiaries (other than the Issuers and the Subsidiaries of the Issuers) are referred to as the "Restricted Entities." These subsidiaries are:</w:t>
      </w:r>
    </w:p>
    <w:p>
      <w:pPr>
        <w:spacing w:after="0" w:line="197"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Design &amp; Development, LLC, which is responsible for the design and architecture of the Project;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Holdings, which owns the Golf Course Land;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Desert Inn Water Company, LLC, which indirectly owns certain water rights intended to irrigate the Gold Course Land;</w:t>
      </w:r>
    </w:p>
    <w:p>
      <w:pPr>
        <w:spacing w:after="0" w:line="238"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 Vegas Jet, LLC, which leases a corporate aircraft from World Travel, LLC, and operates the aircraft under federal aviation regulations, Part 91;</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Travel, LLC, which owns the corporate aircraft and leases it to Las Vegas Jet, LLC;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Palo, LLC, which owns three residential lots adjacent to the Golf Course Land;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Desert Inn Water Company, LLC, which owns the stock of Desert Inn Improvement Co.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of the date of the indenture, Wynn Las Vegas' only subsidiaries will be Wynn Capital and the Completion Guarantor. The Completion Guarantor will be an Unrestricted Subsidiary of Wynn Las Vegas.</w:t>
      </w:r>
    </w:p>
    <w:p>
      <w:pPr>
        <w:spacing w:after="0" w:line="172"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Parent Guarantor. </w:t>
      </w:r>
      <w:r>
        <w:rPr>
          <w:rFonts w:ascii="Times New Roman" w:cs="Times New Roman" w:eastAsia="Times New Roman" w:hAnsi="Times New Roman"/>
          <w:sz w:val="18"/>
          <w:szCs w:val="18"/>
          <w:color w:val="auto"/>
        </w:rPr>
        <w:t>Wynn Resorts will not guarantee the second mortgage notes unless Wynn Resorts either incurs or guarantees certain indebtedness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$10.0 million in the aggregate. In that case, Wynn Resorts will be required to guarantee the second mortgage notes. The Wynn Resorts' parent guarantee may be released under certain circumstances.</w:t>
      </w:r>
    </w:p>
    <w:p>
      <w:pPr>
        <w:spacing w:after="0" w:line="181" w:lineRule="exact"/>
        <w:rPr>
          <w:sz w:val="20"/>
          <w:szCs w:val="20"/>
          <w:color w:val="auto"/>
        </w:rPr>
      </w:pPr>
    </w:p>
    <w:p>
      <w:pPr>
        <w:ind w:left="360"/>
        <w:spacing w:after="0"/>
        <w:tabs>
          <w:tab w:leader="none" w:pos="3200" w:val="left"/>
        </w:tabs>
        <w:rPr>
          <w:sz w:val="20"/>
          <w:szCs w:val="20"/>
          <w:color w:val="auto"/>
        </w:rPr>
      </w:pPr>
      <w:r>
        <w:rPr>
          <w:rFonts w:ascii="Times New Roman" w:cs="Times New Roman" w:eastAsia="Times New Roman" w:hAnsi="Times New Roman"/>
          <w:sz w:val="18"/>
          <w:szCs w:val="18"/>
          <w:i w:val="1"/>
          <w:iCs w:val="1"/>
          <w:color w:val="auto"/>
        </w:rPr>
        <w:t>General Terms, Security and Ranking.</w:t>
      </w:r>
      <w:r>
        <w:rPr>
          <w:sz w:val="20"/>
          <w:szCs w:val="20"/>
          <w:color w:val="auto"/>
        </w:rPr>
        <w:tab/>
      </w:r>
      <w:r>
        <w:rPr>
          <w:rFonts w:ascii="Times New Roman" w:cs="Times New Roman" w:eastAsia="Times New Roman" w:hAnsi="Times New Roman"/>
          <w:sz w:val="16"/>
          <w:szCs w:val="16"/>
          <w:color w:val="auto"/>
        </w:rPr>
        <w:t>The Guarantees will be unconditional, joint and several obligations of the Guarantors. Each guarantee of the notes:</w:t>
      </w:r>
    </w:p>
    <w:p>
      <w:pPr>
        <w:spacing w:after="0" w:line="241" w:lineRule="exact"/>
        <w:rPr>
          <w:sz w:val="20"/>
          <w:szCs w:val="20"/>
          <w:color w:val="auto"/>
        </w:rPr>
      </w:pPr>
    </w:p>
    <w:p>
      <w:pPr>
        <w:ind w:left="1080" w:right="120" w:hanging="532"/>
        <w:spacing w:after="0" w:line="25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secured by (1) perfected second priority security interests in substantially all of the Guarantors' existing and future assets, including pledged Equity Interests in Wynn Las Vegas, in the Water Companies and in the Guarantors' Restricted Subsidiaries, and at least initially, including the Phase II Land and the Golf Course Land, but excluding (a) gaming licenses and other assets in which the grant of a security interest is prohibited by law, and (b) the FF&amp;E Collateral, and (2) perfected third priority security interests in any FF&amp;E Collateral owned by the Guarantors;</w:t>
      </w:r>
    </w:p>
    <w:p>
      <w:pPr>
        <w:spacing w:after="0" w:line="219"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effectively subordinated to guarantees (1) of up to $1 billion of obligations under our Credit Agreement, secured by perfected first priority security interests in substantially all of our existing and future assets, other than (a) gaming licenses and other assets in which the grant of a security interest is prohibited by law, (b) the FF&amp;E Collateral, and (c) the proceeds of this offering, and (2) of up to $178.5 million of obligations under the FF&amp;E Facility;</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senior in right of payment to any future subordinated indebtedness the Guarantors may incur;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restrictions on payment and exercise of remedies contained in the Intercreditor Agreements.</w:t>
      </w:r>
    </w:p>
    <w:p>
      <w:pPr>
        <w:sectPr>
          <w:pgSz w:w="11900" w:h="16838" w:orient="portrait"/>
          <w:cols w:equalWidth="0" w:num="1">
            <w:col w:w="11420"/>
          </w:cols>
          <w:pgMar w:left="240" w:top="125" w:right="239" w:bottom="59" w:gutter="0" w:footer="0" w:header="0"/>
        </w:sectPr>
      </w:pPr>
    </w:p>
    <w:bookmarkStart w:id="75" w:name="page76"/>
    <w:bookmarkEnd w:id="75"/>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primary purpose of the guarantees is to provide second priority liens on the assets of the guarantors, including the golf course, the Phase II land, and equity interests in their subsidiaries. While the guarantors hold assets that are integral to Le Rêve, they are not expected to have operations that generate significant cash flows. As such, you should not expect Valvino or any of the other guarantors to contribute to any payments of principal, interest or other amounts required to be made on the second mortgage notes.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Completion Guarantee.</w:t>
      </w:r>
    </w:p>
    <w:p>
      <w:pPr>
        <w:spacing w:after="0" w:line="229"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Wynn Resorts will make a capital contribution of $50.0 million of the net proceeds of its IPO to the Completion Guarantor. The Completion Guarantor will provide the Completion Guarantee in an amount up to $50.0 million to secure completion of the Project, secured by second priority security interests in the contributed funds.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proceeds of the notes will be applied to the design, development, construction, opening and operation of the Project in accordance with the Disbursement Agreement. Pending application to the Project, the net proceeds of this offering will be held in a secured account of Wynn Las Vegas as security for the notes.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Intercreditor Agreements.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trustee will enter into two intercreditor agreements, one to govern the relations between the noteholders and the lenders under the Credit Agreement with respect to the Collateral, and the other to govern the relations between the noteholders and the lenders under the Credit Agreement, on the one hand, and the lenders under the FF&amp;E Facility, on the other hand, with respect to the FF&amp;E Collateral. The Intercreditor Agreements will impose restrictions on payment and enforcement of the notes and the guarantees under specified circumstances. See "—Intercreditor Agreements."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Release of Phase II Land and Golf Course Land.</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indenture will provide that upon release of the security interest in the Phase II Land under the Credit Agreement, the noteholders' security interest in the Phase II Land will be released. Upon meeting specified leverage test and debt ratings conditions and no less than three years after the Opening Date, the noteholders' security interest in the Golf Course Land will be released.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225"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6"/>
          <w:szCs w:val="16"/>
          <w:color w:val="auto"/>
        </w:rPr>
        <w:t xml:space="preserve">The Issuers may issue notes in a maximum aggregate principal amount of (a) $450 million,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aggregate principal amount of all Indebtedness incurred pursuant to clauses (11) and (12) of the covenant captioned "—Incurrence of Indebtedness and Issuance of Preferred Equity" other than through the issuance of additional notes under the indenture. $350.0 million of this maximum aggregate principal amount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 under the indenture will be treated as a single class of securities for all purposes under the indenture, including, without limitation, waivers, amendments, redemptions and offers to purchase.</w:t>
      </w:r>
    </w:p>
    <w:p>
      <w:pPr>
        <w:spacing w:after="0" w:line="5"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18"/>
          <w:szCs w:val="18"/>
          <w:color w:val="auto"/>
        </w:rPr>
        <w:t>The Issuers will issue notes in denominations of $1,000 and integral multiples of $1,000. The notes will mature on</w:t>
      </w:r>
      <w:r>
        <w:rPr>
          <w:sz w:val="20"/>
          <w:szCs w:val="20"/>
          <w:color w:val="auto"/>
        </w:rPr>
        <w:tab/>
      </w:r>
      <w:r>
        <w:rPr>
          <w:rFonts w:ascii="Times New Roman" w:cs="Times New Roman" w:eastAsia="Times New Roman" w:hAnsi="Times New Roman"/>
          <w:sz w:val="16"/>
          <w:szCs w:val="16"/>
          <w:color w:val="auto"/>
        </w:rPr>
        <w:t>, 2010.</w:t>
      </w:r>
    </w:p>
    <w:p>
      <w:pPr>
        <w:spacing w:after="0" w:line="213" w:lineRule="exact"/>
        <w:rPr>
          <w:sz w:val="20"/>
          <w:szCs w:val="20"/>
          <w:color w:val="auto"/>
        </w:rPr>
      </w:pPr>
    </w:p>
    <w:p>
      <w:pPr>
        <w:ind w:left="360"/>
        <w:spacing w:after="0"/>
        <w:tabs>
          <w:tab w:leader="none" w:pos="4040" w:val="left"/>
          <w:tab w:leader="none" w:pos="9480" w:val="left"/>
          <w:tab w:leader="none" w:pos="10920" w:val="left"/>
        </w:tabs>
        <w:rPr>
          <w:sz w:val="20"/>
          <w:szCs w:val="20"/>
          <w:color w:val="auto"/>
        </w:rPr>
      </w:pPr>
      <w:r>
        <w:rPr>
          <w:rFonts w:ascii="Times New Roman" w:cs="Times New Roman" w:eastAsia="Times New Roman" w:hAnsi="Times New Roman"/>
          <w:sz w:val="18"/>
          <w:szCs w:val="18"/>
          <w:color w:val="auto"/>
        </w:rPr>
        <w:t>Interest on the notes will accrue at the rate of</w:t>
      </w:r>
      <w:r>
        <w:rPr>
          <w:sz w:val="20"/>
          <w:szCs w:val="20"/>
          <w:color w:val="auto"/>
        </w:rPr>
        <w:tab/>
      </w:r>
      <w:r>
        <w:rPr>
          <w:rFonts w:ascii="Times New Roman" w:cs="Times New Roman" w:eastAsia="Times New Roman" w:hAnsi="Times New Roman"/>
          <w:sz w:val="18"/>
          <w:szCs w:val="18"/>
          <w:color w:val="auto"/>
        </w:rPr>
        <w:t>% per annum and will be payable semi-annually in arrears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w:t>
      </w:r>
    </w:p>
    <w:p>
      <w:pPr>
        <w:spacing w:after="0" w:line="21"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color w:val="auto"/>
        </w:rPr>
        <w:t>commencing on</w:t>
      </w:r>
      <w:r>
        <w:rPr>
          <w:sz w:val="20"/>
          <w:szCs w:val="20"/>
          <w:color w:val="auto"/>
        </w:rPr>
        <w:tab/>
      </w:r>
      <w:r>
        <w:rPr>
          <w:rFonts w:ascii="Times New Roman" w:cs="Times New Roman" w:eastAsia="Times New Roman" w:hAnsi="Times New Roman"/>
          <w:sz w:val="16"/>
          <w:szCs w:val="16"/>
          <w:color w:val="auto"/>
        </w:rPr>
        <w:t>, 2003. The Issuers will make each interest payment to the Holders of record on the immediately</w:t>
      </w:r>
    </w:p>
    <w:p>
      <w:pPr>
        <w:spacing w:after="0" w:line="9" w:lineRule="exact"/>
        <w:rPr>
          <w:sz w:val="20"/>
          <w:szCs w:val="20"/>
          <w:color w:val="auto"/>
        </w:rPr>
      </w:pPr>
    </w:p>
    <w:p>
      <w:pPr>
        <w:spacing w:after="0"/>
        <w:tabs>
          <w:tab w:leader="none" w:pos="1820" w:val="left"/>
          <w:tab w:leader="none" w:pos="3260" w:val="left"/>
        </w:tabs>
        <w:rPr>
          <w:sz w:val="20"/>
          <w:szCs w:val="20"/>
          <w:color w:val="auto"/>
        </w:rPr>
      </w:pPr>
      <w:r>
        <w:rPr>
          <w:rFonts w:ascii="Times New Roman" w:cs="Times New Roman" w:eastAsia="Times New Roman" w:hAnsi="Times New Roman"/>
          <w:sz w:val="18"/>
          <w:szCs w:val="18"/>
          <w:color w:val="auto"/>
        </w:rPr>
        <w:t>preceding</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left="340"/>
        <w:spacing w:after="0"/>
        <w:tabs>
          <w:tab w:leader="none" w:pos="2860" w:val="left"/>
        </w:tabs>
        <w:rPr>
          <w:sz w:val="20"/>
          <w:szCs w:val="20"/>
          <w:color w:val="auto"/>
        </w:rPr>
      </w:pPr>
      <w:r>
        <w:rPr>
          <w:rFonts w:ascii="Times New Roman" w:cs="Times New Roman" w:eastAsia="Times New Roman" w:hAnsi="Times New Roman"/>
          <w:sz w:val="18"/>
          <w:szCs w:val="18"/>
          <w:color w:val="auto"/>
        </w:rPr>
        <w:t>At any time prior to</w:t>
      </w:r>
      <w:r>
        <w:rPr>
          <w:sz w:val="20"/>
          <w:szCs w:val="20"/>
          <w:color w:val="auto"/>
        </w:rPr>
        <w:tab/>
      </w:r>
      <w:r>
        <w:rPr>
          <w:rFonts w:ascii="Times New Roman" w:cs="Times New Roman" w:eastAsia="Times New Roman" w:hAnsi="Times New Roman"/>
          <w:sz w:val="16"/>
          <w:szCs w:val="16"/>
          <w:color w:val="auto"/>
        </w:rPr>
        <w:t>, 2005, the Issuers may on one or more occasions redeem up to 35% of the aggregate principal amount of notes issued</w:t>
      </w:r>
    </w:p>
    <w:p>
      <w:pPr>
        <w:spacing w:after="0" w:line="21"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under the indenture at a redemption price of</w:t>
      </w:r>
      <w:r>
        <w:rPr>
          <w:sz w:val="20"/>
          <w:szCs w:val="20"/>
          <w:color w:val="auto"/>
        </w:rPr>
        <w:tab/>
      </w:r>
      <w:r>
        <w:rPr>
          <w:rFonts w:ascii="Times New Roman" w:cs="Times New Roman" w:eastAsia="Times New Roman" w:hAnsi="Times New Roman"/>
          <w:sz w:val="16"/>
          <w:szCs w:val="16"/>
          <w:color w:val="auto"/>
        </w:rPr>
        <w:t>% of the principal amount, plus accrued and unpaid interest to the redemption date, with the net cash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one or more Qualified Equity Offerings (other than the IPO), so long as</w:t>
      </w:r>
    </w:p>
    <w:p>
      <w:pPr>
        <w:spacing w:after="0" w:line="226" w:lineRule="exact"/>
        <w:rPr>
          <w:sz w:val="20"/>
          <w:szCs w:val="20"/>
          <w:color w:val="auto"/>
        </w:rPr>
      </w:pPr>
    </w:p>
    <w:p>
      <w:pPr>
        <w:ind w:left="540" w:right="720" w:hanging="532"/>
        <w:spacing w:after="0" w:line="275"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of the aggregate principal amount of notes issued under the indenture remains outstanding immediately after the occurrence of such redemption (excluding notes held by Wynn Resorts or any of its Subsidiaries);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60 days of the date of the closing of such Qualified Equity Offering.</w:t>
      </w:r>
    </w:p>
    <w:p>
      <w:pPr>
        <w:spacing w:after="0" w:line="225" w:lineRule="exact"/>
        <w:rPr>
          <w:sz w:val="20"/>
          <w:szCs w:val="20"/>
          <w:color w:val="auto"/>
        </w:rPr>
      </w:pPr>
    </w:p>
    <w:p>
      <w:pPr>
        <w:ind w:left="360"/>
        <w:spacing w:after="0"/>
        <w:tabs>
          <w:tab w:leader="none" w:pos="8960" w:val="left"/>
        </w:tabs>
        <w:rPr>
          <w:sz w:val="20"/>
          <w:szCs w:val="20"/>
          <w:color w:val="auto"/>
        </w:rPr>
      </w:pPr>
      <w:r>
        <w:rPr>
          <w:rFonts w:ascii="Times New Roman" w:cs="Times New Roman" w:eastAsia="Times New Roman" w:hAnsi="Times New Roman"/>
          <w:sz w:val="18"/>
          <w:szCs w:val="18"/>
          <w:color w:val="auto"/>
        </w:rPr>
        <w:t>Except pursuant to the preceding paragraph, the notes will not be redeemable at the Issuers' option prior to</w:t>
      </w:r>
      <w:r>
        <w:rPr>
          <w:sz w:val="20"/>
          <w:szCs w:val="20"/>
          <w:color w:val="auto"/>
        </w:rPr>
        <w:tab/>
      </w:r>
      <w:r>
        <w:rPr>
          <w:rFonts w:ascii="Times New Roman" w:cs="Times New Roman" w:eastAsia="Times New Roman" w:hAnsi="Times New Roman"/>
          <w:sz w:val="16"/>
          <w:szCs w:val="16"/>
          <w:color w:val="auto"/>
        </w:rPr>
        <w:t>, 2006.</w:t>
      </w:r>
    </w:p>
    <w:p>
      <w:pPr>
        <w:spacing w:after="0" w:line="225" w:lineRule="exact"/>
        <w:rPr>
          <w:sz w:val="20"/>
          <w:szCs w:val="20"/>
          <w:color w:val="auto"/>
        </w:rPr>
      </w:pPr>
    </w:p>
    <w:p>
      <w:pPr>
        <w:ind w:left="340"/>
        <w:spacing w:after="0"/>
        <w:tabs>
          <w:tab w:leader="none" w:pos="1840" w:val="left"/>
        </w:tabs>
        <w:rPr>
          <w:sz w:val="20"/>
          <w:szCs w:val="20"/>
          <w:color w:val="auto"/>
        </w:rPr>
      </w:pPr>
      <w:r>
        <w:rPr>
          <w:rFonts w:ascii="Times New Roman" w:cs="Times New Roman" w:eastAsia="Times New Roman" w:hAnsi="Times New Roman"/>
          <w:sz w:val="16"/>
          <w:szCs w:val="16"/>
          <w:color w:val="auto"/>
        </w:rPr>
        <w:t>After</w:t>
      </w:r>
      <w:r>
        <w:rPr>
          <w:sz w:val="20"/>
          <w:szCs w:val="20"/>
          <w:color w:val="auto"/>
        </w:rPr>
        <w:tab/>
      </w:r>
      <w:r>
        <w:rPr>
          <w:rFonts w:ascii="Times New Roman" w:cs="Times New Roman" w:eastAsia="Times New Roman" w:hAnsi="Times New Roman"/>
          <w:sz w:val="16"/>
          <w:szCs w:val="16"/>
          <w:color w:val="auto"/>
        </w:rPr>
        <w:t>, 2006, the Issuers may redeem all or a part of the notes upon not less than 30 nor more than 60 days' notice, at the redemption prices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as percentages of principal amount) set forth below plus accrued and unpaid interest on the notes redeemed, to the applicable redemption date, if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redeemed during the twelve-month period beginning on</w:t>
            </w:r>
          </w:p>
        </w:tc>
        <w:tc>
          <w:tcPr>
            <w:tcW w:w="4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of the years indicated below:</w:t>
            </w:r>
          </w:p>
        </w:tc>
      </w:tr>
      <w:tr>
        <w:trPr>
          <w:trHeight w:val="367"/>
        </w:trPr>
        <w:tc>
          <w:tcPr>
            <w:tcW w:w="19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05"/>
        </w:trPr>
        <w:tc>
          <w:tcPr>
            <w:tcW w:w="196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10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 and thereafter</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ectPr>
          <w:pgSz w:w="11900" w:h="16838" w:orient="portrait"/>
          <w:cols w:equalWidth="0" w:num="1">
            <w:col w:w="11420"/>
          </w:cols>
          <w:pgMar w:left="240" w:top="125" w:right="239"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Gaming Redemption</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204" w:lineRule="exact"/>
        <w:rPr>
          <w:sz w:val="20"/>
          <w:szCs w:val="20"/>
          <w:color w:val="auto"/>
        </w:rPr>
      </w:pPr>
    </w:p>
    <w:p>
      <w:pPr>
        <w:ind w:left="540" w:right="320" w:hanging="532"/>
        <w:spacing w:after="0" w:line="275"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period described above for the holder or beneficial owner to apply for a license, qualification or finding of suitability; or</w:t>
      </w:r>
    </w:p>
    <w:p>
      <w:pPr>
        <w:spacing w:after="0" w:line="238"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notice from the Gaming Authority that the holder or beneficial owner will not be licensed, qualified or found suitable by the Gaming Authority;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the notes of the holder or beneficial owner at a redemption price equal to: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determined by the Gaming Authority,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Authority does not determine a price, the lesser of:</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and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that the holder or beneficial owner paid for the notes</w:t>
      </w:r>
    </w:p>
    <w:p>
      <w:pPr>
        <w:spacing w:after="0" w:line="225"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28"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187" w:lineRule="exact"/>
        <w:rPr>
          <w:sz w:val="20"/>
          <w:szCs w:val="20"/>
          <w:color w:val="auto"/>
        </w:rPr>
      </w:pPr>
    </w:p>
    <w:p>
      <w:pPr>
        <w:ind w:left="5580" w:right="4740" w:hanging="5572"/>
        <w:spacing w:after="0" w:line="525" w:lineRule="auto"/>
        <w:tabs>
          <w:tab w:leader="none" w:pos="5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directly or indirectly, through any Person, any right conferred by the notes; or 136</w:t>
      </w:r>
    </w:p>
    <w:p>
      <w:pPr>
        <w:spacing w:after="0" w:line="215"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-456565</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4"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Issuers will not be required to make mandatory redemption or sinking fund payments with respect to the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Guarantees will be joint and several obligations of the Guarantors. The obligations of each Guarantor under its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 the guarantees and require note holders to return payments received from us or the Guarantors.</w:t>
      </w:r>
    </w:p>
    <w:p>
      <w:pPr>
        <w:spacing w:after="0" w:line="190" w:lineRule="exact"/>
        <w:rPr>
          <w:sz w:val="20"/>
          <w:szCs w:val="20"/>
          <w:color w:val="auto"/>
        </w:rPr>
      </w:pPr>
    </w:p>
    <w:p>
      <w:pPr>
        <w:ind w:right="420" w:firstLine="348"/>
        <w:spacing w:after="0" w:line="258" w:lineRule="auto"/>
        <w:rPr>
          <w:sz w:val="20"/>
          <w:szCs w:val="20"/>
          <w:color w:val="auto"/>
        </w:rPr>
      </w:pPr>
      <w:r>
        <w:rPr>
          <w:rFonts w:ascii="Times New Roman" w:cs="Times New Roman" w:eastAsia="Times New Roman" w:hAnsi="Times New Roman"/>
          <w:sz w:val="18"/>
          <w:szCs w:val="18"/>
          <w:color w:val="auto"/>
        </w:rPr>
        <w:t>The Guarantees will be secured by substantially all of the assets of the Guarantors as more fully described under "Security Interests—Security for the Guarantees." In the event that Wynn Resorts becomes a Parent Guarantor by issuing a Parent Guarantee, that Parent Guarantee may be secured by a security interest in all or specified existing or future assets of Wynn Resorts, and may constitute senior or subordinated Indebtedness of Wynn Resorts, as more fully described in the section captioned "Certain Covenants—Restrictions on Incurrence of Indebtedness and Guarantees by Wynn Resorts."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Release of Guarantees</w:t>
      </w:r>
    </w:p>
    <w:p>
      <w:pPr>
        <w:spacing w:after="0" w:line="229"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201" w:lineRule="exact"/>
        <w:rPr>
          <w:sz w:val="20"/>
          <w:szCs w:val="20"/>
          <w:color w:val="auto"/>
        </w:rPr>
      </w:pPr>
    </w:p>
    <w:p>
      <w:pPr>
        <w:ind w:left="540" w:right="20" w:hanging="532"/>
        <w:spacing w:after="0" w:line="275"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assets of that Guarantor (including by way of merger or consolidation) to a Person that is not (either</w:t>
      </w:r>
    </w:p>
    <w:p>
      <w:pPr>
        <w:spacing w:after="0" w:line="173" w:lineRule="exact"/>
        <w:rPr>
          <w:rFonts w:ascii="Times New Roman" w:cs="Times New Roman" w:eastAsia="Times New Roman" w:hAnsi="Times New Roman"/>
          <w:sz w:val="18"/>
          <w:szCs w:val="18"/>
          <w:color w:val="auto"/>
        </w:rPr>
      </w:pPr>
    </w:p>
    <w:p>
      <w:pPr>
        <w:ind w:lef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or after giving effect to such transaction) Wynn Las Vegas, a Restricted Entity or one of their respective Restricted Subsidiaries, or Wynn Resorts if it is then a Parent Guarantor, if the sale or other disposition complies with the provisions of the indenture; or</w:t>
      </w:r>
    </w:p>
    <w:p>
      <w:pPr>
        <w:sectPr>
          <w:pgSz w:w="11900" w:h="16838" w:orient="portrait"/>
          <w:cols w:equalWidth="0" w:num="1">
            <w:col w:w="11400"/>
          </w:cols>
          <w:pgMar w:left="240" w:top="123" w:right="259" w:bottom="0" w:gutter="0" w:footer="0" w:header="0"/>
        </w:sectPr>
      </w:pPr>
    </w:p>
    <w:bookmarkStart w:id="77" w:name="page78"/>
    <w:bookmarkEnd w:id="77"/>
    <w:p>
      <w:pPr>
        <w:ind w:left="540" w:right="40" w:hanging="532"/>
        <w:spacing w:after="0" w:line="26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of all of the capital stock of a Guarantor, to a Person that is not (either before or after giving effect to such transaction) Wynn Las Vegas, a Restricted Entity or one of their respective Restricted Subsidiaries, or Wynn Resorts if it is then a Parent Guarantor, if the sale complies with the provisions of the indenture.</w:t>
      </w:r>
    </w:p>
    <w:p>
      <w:pPr>
        <w:spacing w:after="0" w:line="18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See "—Repurchase at the Option of Holders—Asset Sales," "—Designation of Restricted and Unrestricted Subsidiaries" and "—Merger, Consolidation or Sale of Assets."</w:t>
      </w:r>
    </w:p>
    <w:p>
      <w:pPr>
        <w:spacing w:after="0" w:line="174"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 addition to the release of the Guarantees by Wynn Resorts Holdings or Valvino Lamore pursuant to the provisions described above, the security interests of the noteholders in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real property assets owned by Wynn Resorts Holdings and Valvino Lamore may be released under the circumstances described below under "Security Interests— Release of Golf Course Land and Phase II Land." The Parent Guarantee, if any, of Wynn Resorts may be released as described under the covenant entitled "— Restrictions on Incurrence of Indebtedness and Guarantees by Wynn Resorts."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Security for the Notes</w:t>
      </w:r>
    </w:p>
    <w:p>
      <w:pPr>
        <w:sectPr>
          <w:pgSz w:w="11900" w:h="16838" w:orient="portrait"/>
          <w:cols w:equalWidth="0" w:num="1">
            <w:col w:w="11400"/>
          </w:cols>
          <w:pgMar w:left="240" w:top="139" w:right="259" w:bottom="0" w:gutter="0" w:footer="0" w:header="0"/>
        </w:sect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9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187"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200" w:lineRule="exact"/>
        <w:rPr>
          <w:sz w:val="20"/>
          <w:szCs w:val="20"/>
          <w:color w:val="auto"/>
        </w:rPr>
      </w:pPr>
    </w:p>
    <w:p>
      <w:pPr>
        <w:sectPr>
          <w:pgSz w:w="11900" w:h="16838" w:orient="portrait"/>
          <w:cols w:equalWidth="0" w:num="2">
            <w:col w:w="980" w:space="100"/>
            <w:col w:w="10320"/>
          </w:cols>
          <w:pgMar w:left="240" w:top="139" w:right="259" w:bottom="0" w:gutter="0" w:footer="0" w:header="0"/>
          <w:type w:val="continuous"/>
        </w:sectPr>
      </w:pPr>
    </w:p>
    <w:p>
      <w:pPr>
        <w:ind w:left="1080" w:right="300" w:hanging="532"/>
        <w:spacing w:after="0" w:line="26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security interest in the $50.0 million in funds deposited into the Completion Guarantee Deposit Account held at the Completion Guarantor to support the $50.0 million guarantee by the Completion Guarantor of the completion in full of the construction and opening of the Project, subject to disbursement pursuant to the Disbursement Agreement;</w:t>
      </w:r>
    </w:p>
    <w:p>
      <w:pPr>
        <w:spacing w:after="0" w:line="213"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security interest in the $30.0 million in funds deposited into the Liquidity Reserve Account held at Wynn Las Vegas to support completion of the construction and opening of the Project and the payment of debt service on the notes and the loans under the Credit Agreement, subject to disbursement pursuant to the Disbursement Agreement;</w:t>
      </w:r>
    </w:p>
    <w:p>
      <w:pPr>
        <w:spacing w:after="0" w:line="199"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pledge of the equity interests held by the Issuers in any of their respective existing or future Restricted Subsidiaries, including the equity interests held by Wynn Las Vegas in Wynn Capital;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third priority security interest in the FF&amp;E Collateral owned by Wynn Las Vegas.</w:t>
      </w:r>
    </w:p>
    <w:p>
      <w:pPr>
        <w:spacing w:after="0" w:line="225"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72"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Secured Account. </w:t>
      </w:r>
      <w:r>
        <w:rPr>
          <w:rFonts w:ascii="Times New Roman" w:cs="Times New Roman" w:eastAsia="Times New Roman" w:hAnsi="Times New Roman"/>
          <w:sz w:val="18"/>
          <w:szCs w:val="18"/>
          <w:color w:val="auto"/>
        </w:rPr>
        <w:t>Pending application to the Project, the net proceeds of this offering will be held in a secured account of Wynn Las Vegas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by a securities intermediary, on behalf of the trustee for the benefit of the holders of the notes. The Secured Account will be established pursuant to a secured account agreement (the "Secured Account Agreement") to be entered into among the Issuers, the securities intermediary and the trustee. The trustee, for the benefit of the holders of the notes, will have a perfected first priority security interest in the funds held in the Secured Account. Neither the lenders under the Credit Agreement nor the FF&amp;E Facility will have a security interest in the Secured Account or the funds held in it. The funds in the Secured Account will be required to be invested in Permitted Securities at the direction of Wynn Las Vegas.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Wynn Las Vegas in accordance with the Disbursement Agreement and applied by Wynn Las Vegas to the development and construction of the Project, in each case in accordance with the Project Budget. See "Disbursement Agreement."</w:t>
      </w:r>
    </w:p>
    <w:p>
      <w:pPr>
        <w:spacing w:after="0" w:line="155"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Completion Guarantee Deposit Account. </w:t>
      </w:r>
      <w:r>
        <w:rPr>
          <w:rFonts w:ascii="Times New Roman" w:cs="Times New Roman" w:eastAsia="Times New Roman" w:hAnsi="Times New Roman"/>
          <w:sz w:val="16"/>
          <w:szCs w:val="16"/>
          <w:color w:val="auto"/>
        </w:rPr>
        <w:t>Wynn Completion Guarantor, LLC, one of Wynn Las Vegas' Wholly Owned Unrestricted Subsidiaries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"Completion Guarantor") will provide a $50.0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 of this offering and the IPO, of $50.0 million of the net proceeds of the IPO to the Completion Guarantor to support its obligations under the Completion Guarantee. These funds will be deposited into a collateral account (the "Completion Guarantee Deposit Account") to be held in cash and/or Permitted Securities. The lenders under the Credit Agreement will have a first priority security interest in the funds in the Completion Guarantee Deposit Account, and the trustee will have a second priority security interest in the funds in the Completion Guarantee Deposit Account. Amounts in the Completion Guarantee Deposit Account may be applied to the costs of the Project in accordance with the Disbursement Agreement. Pursuant to the Disbursement Agreement, these funds will be available to</w:t>
      </w:r>
    </w:p>
    <w:p>
      <w:pPr>
        <w:sectPr>
          <w:pgSz w:w="11900" w:h="16838" w:orient="portrait"/>
          <w:cols w:equalWidth="0" w:num="1">
            <w:col w:w="11400"/>
          </w:cols>
          <w:pgMar w:left="240" w:top="139" w:right="259" w:bottom="0" w:gutter="0" w:footer="0" w:header="0"/>
          <w:type w:val="continuous"/>
        </w:sectPr>
      </w:pPr>
    </w:p>
    <w:bookmarkStart w:id="78" w:name="page79"/>
    <w:bookmarkEnd w:id="78"/>
    <w:p>
      <w:pPr>
        <w:ind w:right="100"/>
        <w:spacing w:after="0" w:line="255" w:lineRule="auto"/>
        <w:rPr>
          <w:sz w:val="20"/>
          <w:szCs w:val="20"/>
          <w:color w:val="auto"/>
        </w:rPr>
      </w:pPr>
      <w:r>
        <w:rPr>
          <w:rFonts w:ascii="Times New Roman" w:cs="Times New Roman" w:eastAsia="Times New Roman" w:hAnsi="Times New Roman"/>
          <w:sz w:val="18"/>
          <w:szCs w:val="18"/>
          <w:color w:val="auto"/>
        </w:rPr>
        <w:t>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 respective documents. Upon the Final Completion Date, any amounts then remaining in the Completion Guarantee Deposit Account will be released to Wynn Las Vegas, which may distribute such funds at its discretion, including to Wynn Resorts, and the Completion Guarantor will be dissolved. See "Disbursement Agreement— Completion Guarantee Deposit Account."</w:t>
      </w:r>
    </w:p>
    <w:p>
      <w:pPr>
        <w:spacing w:after="0" w:line="191"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Liquidity Reserve Account. </w:t>
      </w:r>
      <w:r>
        <w:rPr>
          <w:rFonts w:ascii="Times New Roman" w:cs="Times New Roman" w:eastAsia="Times New Roman" w:hAnsi="Times New Roman"/>
          <w:sz w:val="18"/>
          <w:szCs w:val="18"/>
          <w:color w:val="auto"/>
        </w:rPr>
        <w:t>Wynn Resorts will, concurrently with the closing of this offering and the IPO, make a common equity capital contribution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Reserve Capital Contribution") to Wynn Las Vegas in an amount equal to $30.0 million of the net proceeds of the IPO.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Amounts in the Liquidity Reserve Account may be applied to the costs of the Project, including cost overruns, in accordance with the Disbursement Agreement. Pursuant to the Disbursement Agreement, these funds will be available to Wynn Las Vegas on a gradual basis to apply to the costs of the Project only after fifty percent of the construction work has been completed. Upon the Completion Date, any amounts then remaining in the Liquidity Reserve Account will, to the extent funds are not otherwise available from operations, be used solely to pay debt service under the Credit Agreement and/or the notes until such time as the actual Consolidated EBITDA of Wynn Las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Vegas and its Restricted Subsidiaries for the period of four full consecutive fiscal quarters of Wynn Las Vegas equals or exceeds certain specified Consolidated EBITDA levels. At such time, any amounts then remaining in the Liquidity Reserve Account, if any, must be used to reduce the amounts then outstanding under the revolving loans under the Credit Agreement without reducing the corresponding commitments under the Credit Agreement. See "Disbursement Agreement— Liquidity Reserve Account."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Security for the Guarantees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Subject to Permitted Liens, and to the extent permitted by Gaming Laws and other applicable laws, the Guarantees will be secured by, among other things:</w:t>
      </w:r>
    </w:p>
    <w:p>
      <w:pPr>
        <w:spacing w:after="0" w:line="262" w:lineRule="exact"/>
        <w:rPr>
          <w:sz w:val="20"/>
          <w:szCs w:val="20"/>
          <w:color w:val="auto"/>
        </w:rPr>
      </w:pPr>
    </w:p>
    <w:p>
      <w:pPr>
        <w:jc w:val="both"/>
        <w:ind w:left="1080" w:right="100" w:hanging="532"/>
        <w:spacing w:after="0" w:line="258"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security interest in substantially all of the existing and future assets (other than gaming licenses and Aircraft Assets, if any) of the Guarantors, including: the Water Rights for the Golf Course Land owned by Desert Inn Improvement Co., if the grant of this security interest is approved by the Nevada PUC, the Golf Course Land owned by Wynn Resorts Holdings, and the Key Project Documents to which any Guarantor is a party,</w:t>
      </w:r>
    </w:p>
    <w:p>
      <w:pPr>
        <w:spacing w:after="0" w:line="21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security interest in the Phase II Land and, if the grant of the security interest is approved by the Nevada PUC, in the Water Rights held by Valvino Lamore,</w:t>
      </w:r>
    </w:p>
    <w:p>
      <w:pPr>
        <w:spacing w:after="0" w:line="18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 priority pledge of the equity interests held by Valvino Lamore in: Desert Inn Water Company, LLC, which owns all of the stock of Desert Inn Improvement Co., Wynn Design &amp; Development, LLC, which is responsible for the design and architecture of the Project, Las Vegas Jet, LLC, which leases a corporate aircraft from World Travel, LLC and operates the aircraft under a Part 91 federal aviation authority certificate, and World Travel, LLC, which owns the corporate aircraft and leases it to Las Vegas Jet, LLC,</w:t>
      </w:r>
    </w:p>
    <w:p>
      <w:pPr>
        <w:spacing w:after="0" w:line="203" w:lineRule="exact"/>
        <w:rPr>
          <w:rFonts w:ascii="Times New Roman" w:cs="Times New Roman" w:eastAsia="Times New Roman" w:hAnsi="Times New Roman"/>
          <w:sz w:val="18"/>
          <w:szCs w:val="18"/>
          <w:color w:val="auto"/>
        </w:rPr>
      </w:pPr>
    </w:p>
    <w:p>
      <w:pPr>
        <w:ind w:left="1080" w:right="460" w:hanging="532"/>
        <w:spacing w:after="0" w:line="310" w:lineRule="auto"/>
        <w:tabs>
          <w:tab w:leader="none" w:pos="10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perfected second priority pledge of the equity interests held by the Guarantors in Wynn Las Vegas, any Restricted Entity or any of their respective Restricted Subsidiaries, including the equity interests held by Valvino Lamore, LLC in Wynn Resorts Holdings, by Wynn Resorts Holdings in Wynn Las Vegas and Palo, LLC, and by Desert Inn Water Company, LLC in Desert Inn Improvement Co., and</w:t>
      </w:r>
    </w:p>
    <w:p>
      <w:pPr>
        <w:spacing w:after="0" w:line="178"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third priority security interest in the FF&amp;E Collateral, if any, owned by the Guarantors.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Guarantees will not be secured by a security interest in the Aircraft Assets.</w:t>
      </w:r>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Intercreditor Agreements</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administrative agent for the lenders under the Credit Agreement and the trustee will enter into an intercreditor agreement (the "Project Intercreditor Agreement") that will govern the relations between the noteholders and the lenders under the Credit Agreement with respect to the Collateral. The administrative agent for the lenders under the Credit Agreement, the agent for the lenders under the FF&amp;E Facility and the trustee will enter into a different intercreditor agreement (the "FF&amp;E Intercreditor Agreement") that will govern the relations between the noteholders and the lenders under the Credit Agreement, on the one hand,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under the FF&amp;E Facility, on the other hand, with respect to the FF&amp;E Collateral. See "Intercreditor Agreements."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Release of Golf Course Land and Phase II Land</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noteholders' security interests in all or certain portions of the Golf Course Land (and the related Water Rights, if applicable) and in all of the Phase II Land may be released under the circumstances described below. Upon any such release of those security interests, the disposition or transfer of such assets will no longer be subject to any of the restrictive covenants in the indenture.</w:t>
      </w:r>
    </w:p>
    <w:p>
      <w:pPr>
        <w:sectPr>
          <w:pgSz w:w="11900" w:h="16838" w:orient="portrait"/>
          <w:cols w:equalWidth="0" w:num="1">
            <w:col w:w="11400"/>
          </w:cols>
          <w:pgMar w:left="240" w:top="125" w:right="259" w:bottom="61" w:gutter="0" w:footer="0" w:header="0"/>
        </w:sectPr>
      </w:pPr>
    </w:p>
    <w:bookmarkStart w:id="79" w:name="page80"/>
    <w:bookmarkEnd w:id="79"/>
    <w:p>
      <w:pPr>
        <w:ind w:left="360"/>
        <w:spacing w:after="0"/>
        <w:tabs>
          <w:tab w:leader="none" w:pos="3280" w:val="left"/>
        </w:tabs>
        <w:rPr>
          <w:sz w:val="20"/>
          <w:szCs w:val="20"/>
          <w:color w:val="auto"/>
        </w:rPr>
      </w:pPr>
      <w:r>
        <w:rPr>
          <w:rFonts w:ascii="Times New Roman" w:cs="Times New Roman" w:eastAsia="Times New Roman" w:hAnsi="Times New Roman"/>
          <w:sz w:val="18"/>
          <w:szCs w:val="18"/>
          <w:i w:val="1"/>
          <w:iCs w:val="1"/>
          <w:color w:val="auto"/>
        </w:rPr>
        <w:t>Release of All of the Golf Course Land.</w:t>
      </w:r>
      <w:r>
        <w:rPr>
          <w:sz w:val="20"/>
          <w:szCs w:val="20"/>
          <w:color w:val="auto"/>
        </w:rPr>
        <w:tab/>
      </w:r>
      <w:r>
        <w:rPr>
          <w:rFonts w:ascii="Times New Roman" w:cs="Times New Roman" w:eastAsia="Times New Roman" w:hAnsi="Times New Roman"/>
          <w:sz w:val="16"/>
          <w:szCs w:val="16"/>
          <w:color w:val="auto"/>
        </w:rPr>
        <w:t>The security interests in all of the Golf Course Land, the stock of Desert Inn Improvement Co. and the related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Rights will be released so long as:</w:t>
      </w:r>
    </w:p>
    <w:p>
      <w:pPr>
        <w:spacing w:after="0" w:line="226" w:lineRule="exact"/>
        <w:rPr>
          <w:sz w:val="20"/>
          <w:szCs w:val="20"/>
          <w:color w:val="auto"/>
        </w:rPr>
      </w:pPr>
    </w:p>
    <w:p>
      <w:pPr>
        <w:ind w:left="1080" w:right="260" w:hanging="532"/>
        <w:spacing w:after="0" w:line="258"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 binding agreement is entered into) and after giving pro forma effect to that release (as if, for purposes of calculating the Consolidated Leverage Ratio, such release had been made at the beginning of the applicable four-quarter period):</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w:t>
      </w:r>
    </w:p>
    <w:p>
      <w:pPr>
        <w:spacing w:after="0" w:line="238" w:lineRule="exact"/>
        <w:rPr>
          <w:rFonts w:ascii="Times New Roman" w:cs="Times New Roman" w:eastAsia="Times New Roman" w:hAnsi="Times New Roman"/>
          <w:sz w:val="18"/>
          <w:szCs w:val="18"/>
          <w:color w:val="auto"/>
        </w:rPr>
      </w:pPr>
    </w:p>
    <w:p>
      <w:pPr>
        <w:ind w:left="1620" w:right="80" w:hanging="532"/>
        <w:spacing w:after="0" w:line="275" w:lineRule="auto"/>
        <w:tabs>
          <w:tab w:leader="none" w:pos="16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secured long-term Indebtedness under the Credit Agreement is rated BB+ or higher by S&amp;P and Ba1 or higher by Moody's,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occurs on or after the third anniversary of the Opening Date,</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Credit Agreement concurrently release their security interests in the Golf Course Land, the stock of Desert Inn Improvement Co. and the Water Rights,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Desert Inn Water Company owns no assets other than the stock of Desert Inn Improvement Co.,</w:t>
      </w:r>
    </w:p>
    <w:p>
      <w:pPr>
        <w:spacing w:after="0" w:line="252"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Rights that are released are not necessary for the operation or use of the Project after giving effect to the release of the Golf Course Land, and</w:t>
      </w:r>
    </w:p>
    <w:p>
      <w:pPr>
        <w:spacing w:after="0" w:line="18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Holdings delivers an officers' certificate (including supporting calculations in reasonable detail) to the trustee confirming that the conditions in clauses (a), (b), (c), (d) and (e) above have been satisfied.</w:t>
      </w:r>
    </w:p>
    <w:p>
      <w:pPr>
        <w:spacing w:after="0" w:line="172"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Release of Portions of the Golf Course Land. </w:t>
      </w:r>
      <w:r>
        <w:rPr>
          <w:rFonts w:ascii="Times New Roman" w:cs="Times New Roman" w:eastAsia="Times New Roman" w:hAnsi="Times New Roman"/>
          <w:sz w:val="18"/>
          <w:szCs w:val="18"/>
          <w:color w:val="auto"/>
        </w:rPr>
        <w:t>The security interests granted by Wynn Resorts Holdings in certain portions of the Golf Course Land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released if the lenders under the Credit Agreement concurrently release their first priority security interest in such portions of the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an extension, refinancing, renewal, replacement, amendment and restatement, restatement, defeasance or refunding (collectively, a "refinancing") of the Credit Agreement as a result of which the first priority liens in favor of the administrative agent (for the benefit of the lenders under the Credit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Agreement) are replaced with liens in favor of the lenders or holders of such refinancing Indebtedness. In the event that, following the automatic release of the noteholders' security interest in the portions of the Golf Course Land, Wynn Las Vegas, the Restricted Entities or any of their respective Restricted Subsidiaries grants a security interest in any or all of such portions to secure such refinancing Indebtedness or any guarantee thereof, such Person will concurrently grant a security interest in such portions of the Golf Course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Credit Agreement currently provides that the lenders will release their security interests in the portions of the Golf Course Land when Wynn Las Vegas achieves a specified minimum level of Consolidated EBITDA for four consecutive fiscal quarters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pacing w:after="0" w:line="191" w:lineRule="exact"/>
        <w:rPr>
          <w:sz w:val="20"/>
          <w:szCs w:val="20"/>
          <w:color w:val="auto"/>
        </w:rPr>
      </w:pPr>
    </w:p>
    <w:p>
      <w:pPr>
        <w:ind w:right="8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Release of Homesite Acreage. </w:t>
      </w:r>
      <w:r>
        <w:rPr>
          <w:rFonts w:ascii="Times New Roman" w:cs="Times New Roman" w:eastAsia="Times New Roman" w:hAnsi="Times New Roman"/>
          <w:sz w:val="18"/>
          <w:szCs w:val="18"/>
          <w:color w:val="auto"/>
        </w:rPr>
        <w:t>The security interests in approximately two acres of the Golf Course Land will be released in order to permit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of a personal residence for Stephen A. Wynn, so long as:</w:t>
      </w:r>
    </w:p>
    <w:p>
      <w:pPr>
        <w:spacing w:after="0" w:line="186" w:lineRule="exact"/>
        <w:rPr>
          <w:sz w:val="20"/>
          <w:szCs w:val="20"/>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is continuing immediately prior to or after giving effect to that release,</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87" w:lineRule="exact"/>
        <w:rPr>
          <w:rFonts w:ascii="Times New Roman" w:cs="Times New Roman" w:eastAsia="Times New Roman" w:hAnsi="Times New Roman"/>
          <w:sz w:val="18"/>
          <w:szCs w:val="18"/>
          <w:color w:val="auto"/>
        </w:rPr>
      </w:pPr>
    </w:p>
    <w:p>
      <w:pPr>
        <w:ind w:left="1080" w:right="80" w:hanging="532"/>
        <w:spacing w:after="0" w:line="339" w:lineRule="auto"/>
        <w:tabs>
          <w:tab w:leader="none" w:pos="10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is paid directly to Wynn Resorts Holdings so long as, prior to the release of the security interests, the purchase price is contributed in immediately available funds to Wynn Las Vegas as a common equity capital contribution (the "Steve Wynn Capital Contribution"),</w:t>
      </w:r>
    </w:p>
    <w:p>
      <w:pPr>
        <w:spacing w:after="0" w:line="141" w:lineRule="exact"/>
        <w:rPr>
          <w:rFonts w:ascii="Times New Roman" w:cs="Times New Roman" w:eastAsia="Times New Roman" w:hAnsi="Times New Roman"/>
          <w:sz w:val="16"/>
          <w:szCs w:val="16"/>
          <w:color w:val="auto"/>
        </w:rPr>
      </w:pPr>
    </w:p>
    <w:p>
      <w:pPr>
        <w:jc w:val="both"/>
        <w:ind w:left="1080" w:right="40" w:hanging="532"/>
        <w:spacing w:after="0" w:line="26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Credit Agreement concurrently release their security interests in the portions of the Golf Course Land to be released by the trustee, and</w:t>
      </w:r>
    </w:p>
    <w:p>
      <w:pPr>
        <w:sectPr>
          <w:pgSz w:w="11900" w:h="16838" w:orient="portrait"/>
          <w:cols w:equalWidth="0" w:num="1">
            <w:col w:w="11400"/>
          </w:cols>
          <w:pgMar w:left="240" w:top="123" w:right="259" w:bottom="0" w:gutter="0" w:footer="0" w:header="0"/>
        </w:sectPr>
      </w:pPr>
    </w:p>
    <w:bookmarkStart w:id="80" w:name="page81"/>
    <w:bookmarkEnd w:id="80"/>
    <w:p>
      <w:pPr>
        <w:spacing w:after="0" w:line="38" w:lineRule="exact"/>
        <w:rPr>
          <w:sz w:val="20"/>
          <w:szCs w:val="20"/>
          <w:color w:val="auto"/>
        </w:rPr>
      </w:pPr>
    </w:p>
    <w:p>
      <w:pPr>
        <w:ind w:left="1080" w:right="160" w:hanging="532"/>
        <w:spacing w:after="0" w:line="275"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Holdings delivers an officers' certificate to the trustee confirming that the conditions in clauses (a), (b), (c), (d) and (e) above have been satisfied.</w:t>
      </w:r>
    </w:p>
    <w:p>
      <w:pPr>
        <w:spacing w:after="0" w:line="172"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Release of the Phase II Land. </w:t>
      </w:r>
      <w:r>
        <w:rPr>
          <w:rFonts w:ascii="Times New Roman" w:cs="Times New Roman" w:eastAsia="Times New Roman" w:hAnsi="Times New Roman"/>
          <w:sz w:val="18"/>
          <w:szCs w:val="18"/>
          <w:color w:val="auto"/>
        </w:rPr>
        <w:t>The security interests granted by Valvino Lamore in the Phase II Land to secure its obligations under its Guarantee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first priority lien is as a result of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the Phase II Land, Wynn Las Vegas, the Restricted Entities or any of their respective Restricted Subsidiaries grants a security interest in any or all of the Phase II Land to secure such refinancing Indebtedness or any guarantee thereof, such Person will concurrently grant a security interest in such Phase II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w:t>
      </w:r>
    </w:p>
    <w:p>
      <w:pPr>
        <w:spacing w:after="0" w:line="195"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Credit Agreement currently provides that the lenders will release their security interests in the Phase II Land when Wynn Las Vegas achieves specified minimum levels of Consolidated EBITDA for either two or four consecutive fiscal quarters.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Notes</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The Issuers may change the paying agent or registrar without prior notice to the Holders, and either of the Issuers or any of their subsidiaries may act as paying agent or registrar.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7"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229"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"Change of Control Payment") in cash equal to 101% of the aggregate principal amount of notes repurchased plus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the Change of Control Payment Date, the Issuers will, to the extent lawful:</w:t>
      </w:r>
    </w:p>
    <w:p>
      <w:pPr>
        <w:spacing w:after="0" w:line="252" w:lineRule="exact"/>
        <w:rPr>
          <w:sz w:val="20"/>
          <w:szCs w:val="20"/>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the notes properly tendered pursuant to the Change of Control Offer;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the notes so tendered; and</w:t>
      </w:r>
    </w:p>
    <w:p>
      <w:pPr>
        <w:spacing w:after="0" w:line="238"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Each such new note will be in a principal amount of $1,000 or an integral multiple of $1,000. The Issuers will publicly announce the results of the Change of Control Offer on or as soon as practicable after the Change of Control Payment Date.</w:t>
      </w:r>
    </w:p>
    <w:p>
      <w:pPr>
        <w:spacing w:after="0" w:line="190" w:lineRule="exact"/>
        <w:rPr>
          <w:sz w:val="20"/>
          <w:szCs w:val="20"/>
          <w:color w:val="auto"/>
        </w:rPr>
      </w:pPr>
    </w:p>
    <w:p>
      <w:pPr>
        <w:ind w:right="260" w:firstLine="348"/>
        <w:spacing w:after="0" w:line="339" w:lineRule="auto"/>
        <w:rPr>
          <w:sz w:val="20"/>
          <w:szCs w:val="20"/>
          <w:color w:val="auto"/>
        </w:rPr>
      </w:pPr>
      <w:r>
        <w:rPr>
          <w:rFonts w:ascii="Times New Roman" w:cs="Times New Roman" w:eastAsia="Times New Roman" w:hAnsi="Times New Roman"/>
          <w:sz w:val="16"/>
          <w:szCs w:val="16"/>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w:t>
      </w:r>
    </w:p>
    <w:p>
      <w:pPr>
        <w:sectPr>
          <w:pgSz w:w="11900" w:h="16876" w:orient="portrait"/>
          <w:cols w:equalWidth="0" w:num="1">
            <w:col w:w="11420"/>
          </w:cols>
          <w:pgMar w:left="240" w:top="139" w:right="239"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provisions that permit the holders to require that the Issuers repurchase or redeem notes in the event of a takeover, recapitalization or similar transaction.</w:t>
      </w:r>
    </w:p>
    <w:p>
      <w:pPr>
        <w:spacing w:after="0" w:line="22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86"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the Restricted Entities and their respective Restricted Subsidiaries, taken as a whole, or Wynn Las Vegas and its Restricted Subsidiaries, taken as a whole, to another Person or group may be uncertain.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Wynn Las Vegas and the Restricted Entities will not, and will not permit any of their respective Restricted Subsidiaries to, consummate an Asset Sale unless:</w:t>
      </w:r>
    </w:p>
    <w:p>
      <w:pPr>
        <w:spacing w:after="0" w:line="262" w:lineRule="exact"/>
        <w:rPr>
          <w:sz w:val="20"/>
          <w:szCs w:val="20"/>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is continuing immediately prior to or after giving effect to such Asset Sale;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Non-Project Assets, the Opening Date has occurred;</w:t>
      </w:r>
    </w:p>
    <w:p>
      <w:pPr>
        <w:spacing w:after="0" w:line="238" w:lineRule="exact"/>
        <w:rPr>
          <w:rFonts w:ascii="Times New Roman" w:cs="Times New Roman" w:eastAsia="Times New Roman" w:hAnsi="Times New Roman"/>
          <w:sz w:val="18"/>
          <w:szCs w:val="18"/>
          <w:color w:val="auto"/>
        </w:rPr>
      </w:pPr>
    </w:p>
    <w:p>
      <w:pPr>
        <w:ind w:left="540" w:right="260" w:hanging="532"/>
        <w:spacing w:after="0" w:line="262"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99"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00" w:lineRule="exact"/>
        <w:rPr>
          <w:rFonts w:ascii="Times New Roman" w:cs="Times New Roman" w:eastAsia="Times New Roman" w:hAnsi="Times New Roman"/>
          <w:sz w:val="18"/>
          <w:szCs w:val="18"/>
          <w:color w:val="auto"/>
        </w:rPr>
      </w:pPr>
    </w:p>
    <w:p>
      <w:pPr>
        <w:ind w:left="540" w:right="260" w:hanging="532"/>
        <w:spacing w:after="0" w:line="275"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(or 95%, in the case of any Asset Sale that occurs on or before the Completion Date) of the consideration received in the Asset Sale by the applicable entity is in the form of cash or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6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199"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pacing w:after="0" w:line="174" w:lineRule="exact"/>
        <w:rPr>
          <w:sz w:val="20"/>
          <w:szCs w:val="20"/>
          <w:color w:val="auto"/>
        </w:rPr>
      </w:pPr>
    </w:p>
    <w:p>
      <w:pPr>
        <w:ind w:right="320" w:firstLine="341"/>
        <w:spacing w:after="0" w:line="275" w:lineRule="auto"/>
        <w:rPr>
          <w:sz w:val="20"/>
          <w:szCs w:val="20"/>
          <w:color w:val="auto"/>
        </w:rPr>
      </w:pPr>
      <w:r>
        <w:rPr>
          <w:rFonts w:ascii="Times New Roman" w:cs="Times New Roman" w:eastAsia="Times New Roman" w:hAnsi="Times New Roman"/>
          <w:sz w:val="18"/>
          <w:szCs w:val="18"/>
          <w:color w:val="auto"/>
        </w:rPr>
        <w:t>After the receipt of any Net Proceeds from an Asset Sale by Wynn Las Vegas, any Restricted Entity or any of their respective Restricted Subsidiaries, the applicable entity:</w:t>
      </w:r>
    </w:p>
    <w:p>
      <w:pPr>
        <w:spacing w:after="0" w:line="201" w:lineRule="exact"/>
        <w:rPr>
          <w:sz w:val="20"/>
          <w:szCs w:val="20"/>
          <w:color w:val="auto"/>
        </w:rPr>
      </w:pPr>
    </w:p>
    <w:p>
      <w:pPr>
        <w:ind w:left="1080" w:right="40" w:hanging="532"/>
        <w:spacing w:after="0" w:line="258"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03"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 business permitted by the covenant described below under the caption "—Certain Covenants—Line of Business."</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any such case, the Restricted Entities shall take all necessary action to ensure that the security interest of the trustee, on behalf of the holders, continues as a perfected security interest (subject only to the security interest 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Credit Agreement requires Wynn Las Vegas, the Restricted Entities and their respective Restricted Subsidiaries, in certain circumstances, to apply the sale proceeds from an Asset Sale to repay the loans under the Credit Agreement. In such circumstances, until the debt under the Credit Agreement has been repaid in full, there will not be any Net Proceeds. As a result, in that case, the operative provisions of this covenant will not apply, and no Asset Sale Offers will be made to the note holders.</w:t>
      </w:r>
    </w:p>
    <w:p>
      <w:pPr>
        <w:sectPr>
          <w:pgSz w:w="11900" w:h="16838" w:orient="portrait"/>
          <w:cols w:equalWidth="0" w:num="1">
            <w:col w:w="11420"/>
          </w:cols>
          <w:pgMar w:left="240" w:top="125" w:right="239" w:bottom="0" w:gutter="0" w:footer="0" w:header="0"/>
        </w:sectPr>
      </w:pPr>
    </w:p>
    <w:bookmarkStart w:id="82" w:name="page83"/>
    <w:bookmarkEnd w:id="82"/>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Once the Credit Agreement has been repaid in full, 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as described below under "— Selection and Notice." Upon completion of each Asset Sale Offer, the amount of Excess Proceeds will be reset at zero.</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Events of Loss</w:t>
      </w:r>
    </w:p>
    <w:p>
      <w:pPr>
        <w:spacing w:after="0" w:line="229" w:lineRule="exact"/>
        <w:rPr>
          <w:sz w:val="20"/>
          <w:szCs w:val="20"/>
          <w:color w:val="auto"/>
        </w:rPr>
      </w:pPr>
    </w:p>
    <w:p>
      <w:pPr>
        <w:ind w:right="180" w:firstLine="341"/>
        <w:spacing w:after="0" w:line="256" w:lineRule="auto"/>
        <w:rPr>
          <w:sz w:val="20"/>
          <w:szCs w:val="20"/>
          <w:color w:val="auto"/>
        </w:rPr>
      </w:pPr>
      <w:r>
        <w:rPr>
          <w:rFonts w:ascii="Times New Roman" w:cs="Times New Roman" w:eastAsia="Times New Roman" w:hAnsi="Times New Roman"/>
          <w:sz w:val="18"/>
          <w:szCs w:val="18"/>
          <w:color w:val="auto"/>
        </w:rPr>
        <w:t>After any Event of Loss of Collateral comprising the Project occurring after the Final Completion Date in an amount of up to $500.0 million (measured as the greater of the fair market value or the replacement cost of the Collateral subject to such Event of Loss), Wynn Las Vegas, the applicable Restricted Entity or the applicable Restricted Subsidiary, as the case may be, may apply the Net Loss Proceeds from the Event of Loss to the rebuilding, repair, replacement or construction of improvements to the Project, with no obligation to make any purchase of any notes; so long as, in the case of any such Collateral with a fair market value (or replacement cost, if higher) in excess of $15.0 million but less than or equal to $500.0 million:</w:t>
      </w:r>
    </w:p>
    <w:p>
      <w:pPr>
        <w:spacing w:after="0" w:line="206" w:lineRule="exact"/>
        <w:rPr>
          <w:sz w:val="20"/>
          <w:szCs w:val="20"/>
          <w:color w:val="auto"/>
        </w:rPr>
      </w:pPr>
    </w:p>
    <w:p>
      <w:pPr>
        <w:ind w:left="540" w:right="80" w:hanging="532"/>
        <w:spacing w:after="0" w:line="27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200" w:lineRule="exact"/>
        <w:rPr>
          <w:rFonts w:ascii="Times New Roman" w:cs="Times New Roman" w:eastAsia="Times New Roman" w:hAnsi="Times New Roman"/>
          <w:sz w:val="18"/>
          <w:szCs w:val="18"/>
          <w:color w:val="auto"/>
        </w:rPr>
      </w:pPr>
    </w:p>
    <w:p>
      <w:pPr>
        <w:ind w:left="540" w:right="180" w:hanging="532"/>
        <w:spacing w:after="0" w:line="256"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75"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74"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However, if the damaged Collateral is not necessary for and is not used in the operation of the Permitted Business of the Project, the applicable entity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86"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ability of Wynn Las Vegas, any Restricted Entities or any of their Restricted Subsidiaries to repair or restore any of the Collateral following an Event of Loss that occurs on or prior to the Final Completion Date will be governed by the Disbursement Agreement.</w:t>
      </w:r>
    </w:p>
    <w:p>
      <w:pPr>
        <w:spacing w:after="0" w:line="174"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The Credit Agreement requires Wynn Las Vegas, the Restricted Entities and their respective Restricted Subsidiaries, in certain circumstances, to apply the loss proceeds from an Event of Loss to repay the loans under the Credit Agreement. In such circumstances, until the debt under the Credit Agreement has been repaid in full, there will not be any Net Loss Proceeds. As a result, in that case, the operative provisions of this covenant will not apply, and no Event of Loss Offers will be made to the note holders.</w:t>
      </w:r>
    </w:p>
    <w:p>
      <w:pPr>
        <w:spacing w:after="0" w:line="19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Once the Credit Agreement has been repaid in full, 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 Vegas will make an offer (an "Event of Loss Offer") to all holders to purchase the maximum principal amount of notes that may be purchased out of the Excess Loss Proceeds. The offer price in any Event of Loss Offer will be 100% of the principal amount of the notes to be purchased, plus accrued and 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"—Selection and Notice." Upon completion of each Event of Loss Offer, the amount of Excess Loss Proceeds will be reset at zero.</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Pending their application, all Net Loss Proceeds will either be (1) applied to temporarily reduce amounts outstanding under the Credit Agreement, or</w:t>
      </w:r>
    </w:p>
    <w:p>
      <w:pPr>
        <w:spacing w:after="0" w:line="21" w:lineRule="exact"/>
        <w:rPr>
          <w:sz w:val="20"/>
          <w:szCs w:val="20"/>
          <w:color w:val="auto"/>
        </w:rPr>
      </w:pPr>
    </w:p>
    <w:p>
      <w:pPr>
        <w:ind w:right="20" w:firstLine="8"/>
        <w:spacing w:after="0" w:line="290" w:lineRule="auto"/>
        <w:tabs>
          <w:tab w:leader="none" w:pos="24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 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pacing w:after="0" w:line="16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87" w:lineRule="exact"/>
        <w:rPr>
          <w:sz w:val="20"/>
          <w:szCs w:val="20"/>
          <w:color w:val="auto"/>
        </w:rPr>
      </w:pPr>
    </w:p>
    <w:p>
      <w:pPr>
        <w:ind w:left="540" w:right="60" w:hanging="532"/>
        <w:spacing w:after="0" w:line="257"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equal to the fair market value (evidenced by a resolution of the applicable entity's board of directors set forth in an officers' certificate delivered to the trustee) of the property or assets subject to the Event of Loss; and</w:t>
      </w:r>
    </w:p>
    <w:p>
      <w:pPr>
        <w:spacing w:after="0" w:line="1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90% of which is in the form of cash or Cash Equivalents.</w:t>
      </w:r>
    </w:p>
    <w:p>
      <w:pPr>
        <w:sectPr>
          <w:pgSz w:w="11900" w:h="16838" w:orient="portrait"/>
          <w:cols w:equalWidth="0" w:num="1">
            <w:col w:w="11400"/>
          </w:cols>
          <w:pgMar w:left="240" w:top="125" w:right="259" w:bottom="46" w:gutter="0" w:footer="0" w:header="0"/>
        </w:sectPr>
      </w:pP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Restrictions on Repurchase of Notes</w:t>
      </w:r>
    </w:p>
    <w:p>
      <w:pPr>
        <w:sectPr>
          <w:pgSz w:w="11900" w:h="16838" w:orient="portrait"/>
          <w:cols w:equalWidth="0" w:num="1">
            <w:col w:w="11400"/>
          </w:cols>
          <w:pgMar w:left="240" w:top="125" w:right="259" w:bottom="46" w:gutter="0" w:footer="0" w:header="0"/>
          <w:type w:val="continuous"/>
        </w:sectPr>
      </w:pPr>
    </w:p>
    <w:bookmarkStart w:id="83" w:name="page84"/>
    <w:bookmarkEnd w:id="83"/>
    <w:p>
      <w:pPr>
        <w:ind w:right="120" w:firstLine="348"/>
        <w:spacing w:after="0" w:line="290" w:lineRule="auto"/>
        <w:rPr>
          <w:sz w:val="20"/>
          <w:szCs w:val="20"/>
          <w:color w:val="auto"/>
        </w:rPr>
      </w:pPr>
      <w:r>
        <w:rPr>
          <w:rFonts w:ascii="Times New Roman" w:cs="Times New Roman" w:eastAsia="Times New Roman" w:hAnsi="Times New Roman"/>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the Restricted Entities and their respective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Second Mortgage Notes—We may not be able to fulfill our repurchase obligations with respect to the second mortgage notes upon change of control."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Securities Laws</w:t>
      </w:r>
    </w:p>
    <w:p>
      <w:pPr>
        <w:spacing w:after="0" w:line="227" w:lineRule="exact"/>
        <w:rPr>
          <w:sz w:val="20"/>
          <w:szCs w:val="20"/>
          <w:color w:val="auto"/>
        </w:rPr>
      </w:pPr>
    </w:p>
    <w:p>
      <w:pPr>
        <w:jc w:val="both"/>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less than all of the notes are to be redeemed at any time, the trustee will select notes for redemption as follows:</w:t>
      </w:r>
    </w:p>
    <w:p>
      <w:pPr>
        <w:spacing w:after="0" w:line="239" w:lineRule="exact"/>
        <w:rPr>
          <w:sz w:val="20"/>
          <w:szCs w:val="20"/>
          <w:color w:val="auto"/>
        </w:rPr>
      </w:pPr>
    </w:p>
    <w:p>
      <w:pPr>
        <w:ind w:left="540" w:right="120" w:hanging="532"/>
        <w:spacing w:after="0" w:line="257"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on any national securities exchange, in compliance with the requirements of the principal national securities exchange on which the notes are listed; or</w:t>
      </w:r>
    </w:p>
    <w:p>
      <w:pPr>
        <w:spacing w:after="0" w:line="1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listed on any national securities exchange, on a pro rata basis, by lot or by any other method the trustee deems fair and appropriate.</w:t>
      </w:r>
    </w:p>
    <w:p>
      <w:pPr>
        <w:spacing w:after="0" w:line="225"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No notes of $1,000 or less can be redeemed in part. Notices of redemption will be mailed by first class mail at least 30 but not more than 60 days before the redemption date to each Holder of notes to be redeemed at its registered address. Notices of redemption may not be conditional.</w:t>
      </w:r>
    </w:p>
    <w:p>
      <w:pPr>
        <w:spacing w:after="0" w:line="174"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Payments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directly or indirectly:</w:t>
      </w:r>
    </w:p>
    <w:p>
      <w:pPr>
        <w:spacing w:after="0" w:line="239" w:lineRule="exact"/>
        <w:rPr>
          <w:sz w:val="20"/>
          <w:szCs w:val="20"/>
          <w:color w:val="auto"/>
        </w:rPr>
      </w:pPr>
    </w:p>
    <w:p>
      <w:pPr>
        <w:ind w:left="540" w:right="20" w:hanging="532"/>
        <w:spacing w:after="0" w:line="253"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any Equity Interests of Wynn Las Vegas, any Restricted Entity or any Restricted Entity's Restricted Subsidiaries (including, without limitation, any payment in connection with any merger or consolidation) or to the direct or indirect holders of any Equity Interests of Wynn Las Vegas, any Restricted Entity or any Restricted Entity's Restricted Subsidiaries in any capacity, other than dividends or distributions payable in Equity Interests (other than Disqualified Stock) of Wynn Las Vegas, any Restricted Entity or any Restricted Entity's Restricted Subsidiaries;</w:t>
      </w:r>
    </w:p>
    <w:p>
      <w:pPr>
        <w:spacing w:after="0" w:line="2" w:lineRule="exact"/>
        <w:rPr>
          <w:rFonts w:ascii="Times New Roman" w:cs="Times New Roman" w:eastAsia="Times New Roman" w:hAnsi="Times New Roman"/>
          <w:sz w:val="18"/>
          <w:szCs w:val="18"/>
          <w:color w:val="auto"/>
        </w:rPr>
      </w:pPr>
    </w:p>
    <w:p>
      <w:pPr>
        <w:ind w:left="540" w:right="100" w:hanging="532"/>
        <w:spacing w:after="0" w:line="255"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any Restricted Entity or any Restricted Entity's Restricted Subsidiaries, other than Permitted Investments;</w:t>
      </w:r>
    </w:p>
    <w:p>
      <w:pPr>
        <w:spacing w:after="0" w:line="15" w:lineRule="exact"/>
        <w:rPr>
          <w:rFonts w:ascii="Times New Roman" w:cs="Times New Roman" w:eastAsia="Times New Roman" w:hAnsi="Times New Roman"/>
          <w:sz w:val="18"/>
          <w:szCs w:val="18"/>
          <w:color w:val="auto"/>
        </w:rPr>
      </w:pPr>
    </w:p>
    <w:p>
      <w:pPr>
        <w:ind w:left="540" w:right="60" w:hanging="532"/>
        <w:spacing w:after="0" w:line="289" w:lineRule="auto"/>
        <w:tabs>
          <w:tab w:leader="none" w:pos="5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2" w:lineRule="exact"/>
        <w:rPr>
          <w:rFonts w:ascii="Times New Roman" w:cs="Times New Roman" w:eastAsia="Times New Roman" w:hAnsi="Times New Roman"/>
          <w:sz w:val="16"/>
          <w:szCs w:val="16"/>
          <w:color w:val="auto"/>
        </w:rPr>
      </w:pPr>
    </w:p>
    <w:p>
      <w:pPr>
        <w:ind w:left="540" w:hanging="532"/>
        <w:spacing w:after="0" w:line="275"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payments and other actions set forth in clauses (1) through (4) above being collectively referred to as "Restricted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at the time of and after giving effect to such Restricted Payment:</w:t>
      </w:r>
    </w:p>
    <w:p>
      <w:pPr>
        <w:spacing w:after="0" w:line="239" w:lineRule="exact"/>
        <w:rPr>
          <w:sz w:val="20"/>
          <w:szCs w:val="20"/>
          <w:color w:val="auto"/>
        </w:rPr>
      </w:pPr>
    </w:p>
    <w:p>
      <w:pPr>
        <w:ind w:left="540" w:hanging="532"/>
        <w:spacing w:after="0"/>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Date has occurred;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occur as a consequence of such Restricted Payment; and</w:t>
      </w:r>
    </w:p>
    <w:p>
      <w:pPr>
        <w:spacing w:after="0" w:line="22" w:lineRule="exact"/>
        <w:rPr>
          <w:rFonts w:ascii="Times New Roman" w:cs="Times New Roman" w:eastAsia="Times New Roman" w:hAnsi="Times New Roman"/>
          <w:sz w:val="18"/>
          <w:szCs w:val="18"/>
          <w:color w:val="auto"/>
        </w:rPr>
      </w:pPr>
    </w:p>
    <w:p>
      <w:pPr>
        <w:ind w:left="540" w:right="160" w:hanging="532"/>
        <w:spacing w:after="0" w:line="254"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1" w:lineRule="exact"/>
        <w:rPr>
          <w:rFonts w:ascii="Times New Roman" w:cs="Times New Roman" w:eastAsia="Times New Roman" w:hAnsi="Times New Roman"/>
          <w:sz w:val="18"/>
          <w:szCs w:val="18"/>
          <w:color w:val="auto"/>
        </w:rPr>
      </w:pPr>
    </w:p>
    <w:p>
      <w:pPr>
        <w:ind w:left="540" w:right="120" w:hanging="532"/>
        <w:spacing w:after="0" w:line="258"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Wynn Las Vegas, any Restricted Entity or any of their respective Restricted Subsidiaries after the date of the indenture (excluding Restricted Payments permitted by clauses (2), (3), (5), (7), (8), (9), (10), (11), (12), (13) and (14) below (with respect to clause (5) to the extent such Restricted Payments were already deducted from Consolidated Net Income) of the next succeeding paragraph), is less than the sum, without duplication, of:</w:t>
      </w:r>
    </w:p>
    <w:p>
      <w:pPr>
        <w:spacing w:after="0" w:line="217" w:lineRule="exact"/>
        <w:rPr>
          <w:rFonts w:ascii="Times New Roman" w:cs="Times New Roman" w:eastAsia="Times New Roman" w:hAnsi="Times New Roman"/>
          <w:sz w:val="18"/>
          <w:szCs w:val="18"/>
          <w:color w:val="auto"/>
        </w:rPr>
      </w:pPr>
    </w:p>
    <w:p>
      <w:pPr>
        <w:jc w:val="both"/>
        <w:ind w:left="1080" w:right="160" w:hanging="532"/>
        <w:spacing w:after="0" w:line="339" w:lineRule="auto"/>
        <w:tabs>
          <w:tab w:leader="none" w:pos="108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w:t>
      </w:r>
    </w:p>
    <w:p>
      <w:pPr>
        <w:sectPr>
          <w:pgSz w:w="11900" w:h="16838" w:orient="portrait"/>
          <w:cols w:equalWidth="0" w:num="1">
            <w:col w:w="11420"/>
          </w:cols>
          <w:pgMar w:left="240" w:top="125" w:right="239" w:bottom="0" w:gutter="0" w:footer="0" w:header="0"/>
        </w:sectPr>
      </w:pPr>
    </w:p>
    <w:bookmarkStart w:id="84" w:name="page85"/>
    <w:bookmarkEnd w:id="84"/>
    <w:p>
      <w:pPr>
        <w:spacing w:after="0" w:line="48" w:lineRule="exact"/>
        <w:rPr>
          <w:sz w:val="20"/>
          <w:szCs w:val="20"/>
          <w:color w:val="auto"/>
        </w:rPr>
      </w:pPr>
    </w:p>
    <w:p>
      <w:pPr>
        <w:ind w:left="1080" w:right="140"/>
        <w:spacing w:after="0" w:line="257" w:lineRule="auto"/>
        <w:rPr>
          <w:sz w:val="20"/>
          <w:szCs w:val="20"/>
          <w:color w:val="auto"/>
        </w:rPr>
      </w:pPr>
      <w:r>
        <w:rPr>
          <w:rFonts w:ascii="Times New Roman" w:cs="Times New Roman" w:eastAsia="Times New Roman" w:hAnsi="Times New Roman"/>
          <w:sz w:val="18"/>
          <w:szCs w:val="18"/>
          <w:color w:val="auto"/>
        </w:rPr>
        <w:t xml:space="preserve">which internal financial statements are available at the time of such Restricted Payment (or, if such Consolidated Net Income for such period is a deficit, less 100% of such deficit), </w:t>
      </w:r>
      <w:r>
        <w:rPr>
          <w:rFonts w:ascii="Times New Roman" w:cs="Times New Roman" w:eastAsia="Times New Roman" w:hAnsi="Times New Roman"/>
          <w:sz w:val="18"/>
          <w:szCs w:val="18"/>
          <w:i w:val="1"/>
          <w:iCs w:val="1"/>
          <w:color w:val="auto"/>
        </w:rPr>
        <w:t>plus</w:t>
      </w:r>
    </w:p>
    <w:p>
      <w:pPr>
        <w:spacing w:after="0" w:line="1" w:lineRule="exact"/>
        <w:rPr>
          <w:sz w:val="20"/>
          <w:szCs w:val="20"/>
          <w:color w:val="auto"/>
        </w:rPr>
      </w:pPr>
    </w:p>
    <w:p>
      <w:pPr>
        <w:ind w:left="1080" w:hanging="532"/>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New Equity Proceeds since the date of the indenture,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any Net New Equity Proceeds:</w:t>
      </w:r>
    </w:p>
    <w:p>
      <w:pPr>
        <w:spacing w:after="0" w:line="253" w:lineRule="exact"/>
        <w:rPr>
          <w:rFonts w:ascii="Times New Roman" w:cs="Times New Roman" w:eastAsia="Times New Roman" w:hAnsi="Times New Roman"/>
          <w:sz w:val="18"/>
          <w:szCs w:val="18"/>
          <w:color w:val="auto"/>
        </w:rPr>
      </w:pPr>
    </w:p>
    <w:p>
      <w:pPr>
        <w:ind w:left="1620" w:right="40" w:hanging="532"/>
        <w:spacing w:after="0" w:line="257"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those proceeds are utilized as a basis for incurring Indebtedness pursuant to clause (11) or (12) of the second paragraph of the covenant captioned "—Incurrence of Indebtedness and Issuance of Preferred Equity,"</w:t>
      </w:r>
    </w:p>
    <w:p>
      <w:pPr>
        <w:spacing w:after="0" w:line="2" w:lineRule="exact"/>
        <w:rPr>
          <w:rFonts w:ascii="Times New Roman" w:cs="Times New Roman" w:eastAsia="Times New Roman" w:hAnsi="Times New Roman"/>
          <w:sz w:val="18"/>
          <w:szCs w:val="18"/>
          <w:color w:val="auto"/>
        </w:rPr>
      </w:pPr>
    </w:p>
    <w:p>
      <w:pPr>
        <w:ind w:left="1620" w:right="40" w:hanging="532"/>
        <w:spacing w:after="0" w:line="257"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consisting of capital contributions made to Wynn Las Vegas for the purpose of satisfying the "in-balance" requirements of the Disbursement Agreement,</w:t>
      </w:r>
    </w:p>
    <w:p>
      <w:pPr>
        <w:spacing w:after="0" w:line="2" w:lineRule="exact"/>
        <w:rPr>
          <w:rFonts w:ascii="Times New Roman" w:cs="Times New Roman" w:eastAsia="Times New Roman" w:hAnsi="Times New Roman"/>
          <w:sz w:val="18"/>
          <w:szCs w:val="18"/>
          <w:color w:val="auto"/>
        </w:rPr>
      </w:pPr>
    </w:p>
    <w:p>
      <w:pPr>
        <w:ind w:left="1620" w:hanging="532"/>
        <w:spacing w:after="0" w:line="252"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except that, solely for purposes of calculating the Fixed Charge Coverage Ratio under this subclause (iii), the Fixed Charges of Wynn Resorts shall be included as a Fixed Charge in the calculation of "Fixed Charges,"</w:t>
      </w:r>
    </w:p>
    <w:p>
      <w:pPr>
        <w:spacing w:after="0" w:line="19" w:lineRule="exact"/>
        <w:rPr>
          <w:rFonts w:ascii="Times New Roman" w:cs="Times New Roman" w:eastAsia="Times New Roman" w:hAnsi="Times New Roman"/>
          <w:sz w:val="18"/>
          <w:szCs w:val="18"/>
          <w:color w:val="auto"/>
        </w:rPr>
      </w:pPr>
    </w:p>
    <w:p>
      <w:pPr>
        <w:ind w:left="1620" w:right="540" w:hanging="532"/>
        <w:spacing w:after="0" w:line="257"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those proceeds are used to redeem, repurchase, retire, defease or acquire subordinated Indebtedness or Equity Interests pursuant to clause (2) or (3) of the immediately succeeding paragraph, and</w:t>
      </w:r>
    </w:p>
    <w:p>
      <w:pPr>
        <w:spacing w:after="0" w:line="2" w:lineRule="exact"/>
        <w:rPr>
          <w:rFonts w:ascii="Times New Roman" w:cs="Times New Roman" w:eastAsia="Times New Roman" w:hAnsi="Times New Roman"/>
          <w:sz w:val="18"/>
          <w:szCs w:val="18"/>
          <w:color w:val="auto"/>
        </w:rPr>
      </w:pPr>
    </w:p>
    <w:p>
      <w:pPr>
        <w:ind w:left="1620" w:right="420" w:hanging="532"/>
        <w:spacing w:after="0" w:line="275"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those proceeds are used to make Permitted Investments of the type permitted by clause (5) of the definition of Permitted Investments, </w:t>
      </w:r>
      <w:r>
        <w:rPr>
          <w:rFonts w:ascii="Times New Roman" w:cs="Times New Roman" w:eastAsia="Times New Roman" w:hAnsi="Times New Roman"/>
          <w:sz w:val="18"/>
          <w:szCs w:val="18"/>
          <w:i w:val="1"/>
          <w:iCs w:val="1"/>
          <w:color w:val="auto"/>
        </w:rPr>
        <w:t>plus</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extent that any Restricted Investment that was made after the date of the indenture is sold for cash or otherwise liquidated or repaid for cash for an amount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20"/>
        <w:spacing w:after="0" w:line="256" w:lineRule="auto"/>
        <w:rPr>
          <w:sz w:val="20"/>
          <w:szCs w:val="20"/>
          <w:color w:val="auto"/>
        </w:rPr>
      </w:pPr>
      <w:r>
        <w:rPr>
          <w:rFonts w:ascii="Times New Roman" w:cs="Times New Roman" w:eastAsia="Times New Roman" w:hAnsi="Times New Roman"/>
          <w:sz w:val="18"/>
          <w:szCs w:val="18"/>
          <w:color w:val="auto"/>
        </w:rPr>
        <w:t xml:space="preserve">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 respect to such Restricted Investment (less the cost of disposition, if any), </w:t>
      </w:r>
      <w:r>
        <w:rPr>
          <w:rFonts w:ascii="Times New Roman" w:cs="Times New Roman" w:eastAsia="Times New Roman" w:hAnsi="Times New Roman"/>
          <w:sz w:val="18"/>
          <w:szCs w:val="18"/>
          <w:i w:val="1"/>
          <w:iCs w:val="1"/>
          <w:color w:val="auto"/>
        </w:rPr>
        <w:t>plus</w:t>
      </w:r>
    </w:p>
    <w:p>
      <w:pPr>
        <w:spacing w:after="0" w:line="220" w:lineRule="exact"/>
        <w:rPr>
          <w:sz w:val="20"/>
          <w:szCs w:val="20"/>
          <w:color w:val="auto"/>
        </w:rPr>
      </w:pPr>
    </w:p>
    <w:p>
      <w:pPr>
        <w:ind w:left="1080" w:right="120" w:hanging="532"/>
        <w:spacing w:after="0" w:line="257"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any cash dividends or cash distributions received by Wynn Las Vegas or any of its Restricted Subsidiaries after the date of the indenture from an Unrestricted Subsidiary of Wynn Las Vegas, </w:t>
      </w:r>
      <w:r>
        <w:rPr>
          <w:rFonts w:ascii="Times New Roman" w:cs="Times New Roman" w:eastAsia="Times New Roman" w:hAnsi="Times New Roman"/>
          <w:sz w:val="18"/>
          <w:szCs w:val="18"/>
          <w:i w:val="1"/>
          <w:iCs w:val="1"/>
          <w:color w:val="auto"/>
        </w:rPr>
        <w:t>plus</w:t>
      </w:r>
    </w:p>
    <w:p>
      <w:pPr>
        <w:spacing w:after="0" w:line="2"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86" w:lineRule="exact"/>
        <w:rPr>
          <w:sz w:val="20"/>
          <w:szCs w:val="20"/>
          <w:color w:val="auto"/>
        </w:rPr>
      </w:pPr>
    </w:p>
    <w:p>
      <w:pPr>
        <w:jc w:val="both"/>
        <w:ind w:right="40" w:firstLine="348"/>
        <w:spacing w:after="0" w:line="310" w:lineRule="auto"/>
        <w:rPr>
          <w:sz w:val="20"/>
          <w:szCs w:val="20"/>
          <w:color w:val="auto"/>
        </w:rPr>
      </w:pPr>
      <w:r>
        <w:rPr>
          <w:rFonts w:ascii="Times New Roman" w:cs="Times New Roman" w:eastAsia="Times New Roman" w:hAnsi="Times New Roman"/>
          <w:sz w:val="16"/>
          <w:szCs w:val="16"/>
          <w:color w:val="auto"/>
        </w:rPr>
        <w:t>With respect to (a) any payments made pursuant to clauses (1), (2), (3), (6), (7), (8), (9), (11), (12), (13), (14) and (15) below, so long as no Default or Event of Default has occurred and is continuing or would be caused by the payments, and (b) any payments made pursuant to clauses (4), (5) and (10) below, regardless of whether any Default or Event of Default has occurred and is continuing or would be caused by the payment, the preceding provisions will not prohibit:</w:t>
      </w:r>
    </w:p>
    <w:p>
      <w:pPr>
        <w:spacing w:after="0" w:line="165" w:lineRule="exact"/>
        <w:rPr>
          <w:sz w:val="20"/>
          <w:szCs w:val="20"/>
          <w:color w:val="auto"/>
        </w:rPr>
      </w:pPr>
    </w:p>
    <w:p>
      <w:pPr>
        <w:ind w:left="540" w:right="200" w:hanging="532"/>
        <w:spacing w:after="0" w:line="255"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15" w:lineRule="exact"/>
        <w:rPr>
          <w:rFonts w:ascii="Times New Roman" w:cs="Times New Roman" w:eastAsia="Times New Roman" w:hAnsi="Times New Roman"/>
          <w:sz w:val="18"/>
          <w:szCs w:val="18"/>
          <w:color w:val="auto"/>
        </w:rPr>
      </w:pPr>
    </w:p>
    <w:p>
      <w:pPr>
        <w:ind w:left="540" w:right="60" w:hanging="532"/>
        <w:spacing w:after="0" w:line="255"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repurchase, retirement, defeasance or other acquisition of any subordinated Indebtedness of (a) Wynn Las Vegas, any Restricted Entity or any of their respective Restricted Subsidiaries in exchange for, or out of the Net New Equity Proceeds, or (b) Wynn Las Vegas, any Restricted Entity or any of their Restricted Subsidiaries with the net cash proceeds from an incurrence of Permitted Refinancing Indebtedness;</w:t>
      </w:r>
    </w:p>
    <w:p>
      <w:pPr>
        <w:spacing w:after="0" w:line="1" w:lineRule="exact"/>
        <w:rPr>
          <w:rFonts w:ascii="Times New Roman" w:cs="Times New Roman" w:eastAsia="Times New Roman" w:hAnsi="Times New Roman"/>
          <w:sz w:val="18"/>
          <w:szCs w:val="18"/>
          <w:color w:val="auto"/>
        </w:rPr>
      </w:pPr>
    </w:p>
    <w:p>
      <w:pPr>
        <w:ind w:left="540" w:hanging="532"/>
        <w:spacing w:after="0" w:line="257"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repurchase, retirement, defeasance or other acquisition of any Equity Interests of Wynn Las Vegas or Wynn Resorts in exchange for or out of Net New Equity Proceeds;</w:t>
      </w:r>
    </w:p>
    <w:p>
      <w:pPr>
        <w:spacing w:after="0" w:line="2" w:lineRule="exact"/>
        <w:rPr>
          <w:rFonts w:ascii="Times New Roman" w:cs="Times New Roman" w:eastAsia="Times New Roman" w:hAnsi="Times New Roman"/>
          <w:sz w:val="18"/>
          <w:szCs w:val="18"/>
          <w:color w:val="auto"/>
        </w:rPr>
      </w:pPr>
    </w:p>
    <w:p>
      <w:pPr>
        <w:ind w:left="540" w:right="120" w:hanging="532"/>
        <w:spacing w:after="0" w:line="252"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8" w:lineRule="exact"/>
        <w:rPr>
          <w:rFonts w:ascii="Times New Roman" w:cs="Times New Roman" w:eastAsia="Times New Roman" w:hAnsi="Times New Roman"/>
          <w:sz w:val="18"/>
          <w:szCs w:val="18"/>
          <w:color w:val="auto"/>
        </w:rPr>
      </w:pPr>
    </w:p>
    <w:p>
      <w:pPr>
        <w:ind w:left="540" w:right="300" w:hanging="532"/>
        <w:spacing w:after="0" w:line="275"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direct or indirect owners of Wynn Las Vegas, the Completion Guarantor, any Restricted Entity or any of their respective Restricted Subsidiaries with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60"/>
        <w:spacing w:after="0" w:line="275" w:lineRule="auto"/>
        <w:rPr>
          <w:sz w:val="20"/>
          <w:szCs w:val="20"/>
          <w:color w:val="auto"/>
        </w:rPr>
      </w:pPr>
      <w:r>
        <w:rPr>
          <w:rFonts w:ascii="Times New Roman" w:cs="Times New Roman" w:eastAsia="Times New Roman" w:hAnsi="Times New Roman"/>
          <w:sz w:val="18"/>
          <w:szCs w:val="18"/>
          <w:color w:val="auto"/>
        </w:rPr>
        <w:t>respect to any period during which such entity is a Pass Through Entity or a Consolidated Member, such distributions in an aggregate amount not to exceed such owners' Tax Amount for such period;</w:t>
      </w:r>
    </w:p>
    <w:p>
      <w:pPr>
        <w:spacing w:after="0" w:line="187" w:lineRule="exact"/>
        <w:rPr>
          <w:sz w:val="20"/>
          <w:szCs w:val="20"/>
          <w:color w:val="auto"/>
        </w:rPr>
      </w:pPr>
    </w:p>
    <w:p>
      <w:pPr>
        <w:ind w:left="540" w:right="60" w:hanging="532"/>
        <w:spacing w:after="0" w:line="252"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8" w:lineRule="exact"/>
        <w:rPr>
          <w:rFonts w:ascii="Times New Roman" w:cs="Times New Roman" w:eastAsia="Times New Roman" w:hAnsi="Times New Roman"/>
          <w:sz w:val="18"/>
          <w:szCs w:val="18"/>
          <w:color w:val="auto"/>
        </w:rPr>
      </w:pPr>
    </w:p>
    <w:p>
      <w:pPr>
        <w:ind w:left="540" w:right="260" w:hanging="532"/>
        <w:spacing w:after="0" w:line="257"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Management Fees under the Management Agreement to the extent such payments are made in compliance with the covenant captioned "—Restrictions on Payments of Management Fees;"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86" w:orient="portrait"/>
          <w:cols w:equalWidth="0" w:num="1">
            <w:col w:w="11400"/>
          </w:cols>
          <w:pgMar w:left="240" w:top="125" w:right="259" w:bottom="0" w:gutter="0" w:footer="0" w:header="0"/>
        </w:sectPr>
      </w:pPr>
    </w:p>
    <w:bookmarkStart w:id="85" w:name="page86"/>
    <w:bookmarkEnd w:id="85"/>
    <w:p>
      <w:pPr>
        <w:spacing w:after="0" w:line="48" w:lineRule="exact"/>
        <w:rPr>
          <w:sz w:val="20"/>
          <w:szCs w:val="20"/>
          <w:color w:val="auto"/>
        </w:rPr>
      </w:pPr>
    </w:p>
    <w:p>
      <w:pPr>
        <w:ind w:left="540" w:right="740"/>
        <w:spacing w:after="0" w:line="257" w:lineRule="auto"/>
        <w:rPr>
          <w:sz w:val="20"/>
          <w:szCs w:val="20"/>
          <w:color w:val="auto"/>
        </w:rPr>
      </w:pPr>
      <w:r>
        <w:rPr>
          <w:rFonts w:ascii="Times New Roman" w:cs="Times New Roman" w:eastAsia="Times New Roman" w:hAnsi="Times New Roman"/>
          <w:sz w:val="18"/>
          <w:szCs w:val="18"/>
          <w:color w:val="auto"/>
        </w:rPr>
        <w:t>the distribution to Wynn Resorts of amounts remaining in the Completion Guarantee Deposit Account, following the release of such amounts in accordance with the Disbursement Agreement;</w:t>
      </w:r>
    </w:p>
    <w:p>
      <w:pPr>
        <w:spacing w:after="0" w:line="2" w:lineRule="exact"/>
        <w:rPr>
          <w:sz w:val="20"/>
          <w:szCs w:val="20"/>
          <w:color w:val="auto"/>
        </w:rPr>
      </w:pPr>
    </w:p>
    <w:p>
      <w:pPr>
        <w:ind w:left="540" w:right="400" w:hanging="532"/>
        <w:spacing w:after="0" w:line="257"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Date, the payments of amounts then due and payable under the Affiliate Agreements in respect of the period following the Completion Date (other than payments described in clauses (7), (10) and (11) of this paragraph);</w:t>
      </w:r>
    </w:p>
    <w:p>
      <w:pPr>
        <w:spacing w:after="0" w:line="1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then due and payable under the Tax Indemnification Agreement, as in effect on the date of the indenture;</w:t>
      </w:r>
    </w:p>
    <w:p>
      <w:pPr>
        <w:spacing w:after="0" w:line="22" w:lineRule="exact"/>
        <w:rPr>
          <w:rFonts w:ascii="Times New Roman" w:cs="Times New Roman" w:eastAsia="Times New Roman" w:hAnsi="Times New Roman"/>
          <w:sz w:val="18"/>
          <w:szCs w:val="18"/>
          <w:color w:val="auto"/>
        </w:rPr>
      </w:pPr>
    </w:p>
    <w:p>
      <w:pPr>
        <w:ind w:left="540" w:right="80" w:hanging="532"/>
        <w:spacing w:after="0" w:line="257"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Budgeted Amounts pursuant to the Disbursement Agreement;</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consisting of transfers and other dispositions of Released Assets;</w:t>
      </w:r>
    </w:p>
    <w:p>
      <w:pPr>
        <w:spacing w:after="0" w:line="22"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dividends, distributions or payments to direct or indirect Equity Interests holders by a Person, (excluding any dividend, distribution or payment by a Person that is a Guarantor to a Person, other than an Issuer, that is not a Guarantor) payable: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Wynn Las Vegas or any of its Restricted Subsidiaries,</w:t>
      </w:r>
    </w:p>
    <w:p>
      <w:pPr>
        <w:spacing w:after="0" w:line="36"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Wynn Resorts Holdings to Valvino Lamore, excluding a dividend or distribution of any or all of the Golf Course Land, unless such Golf Course Land is then a Released Asset,</w:t>
      </w:r>
    </w:p>
    <w:p>
      <w:pPr>
        <w:spacing w:after="0" w:line="2" w:lineRule="exact"/>
        <w:rPr>
          <w:rFonts w:ascii="Times New Roman" w:cs="Times New Roman" w:eastAsia="Times New Roman" w:hAnsi="Times New Roman"/>
          <w:sz w:val="18"/>
          <w:szCs w:val="18"/>
          <w:color w:val="auto"/>
        </w:rPr>
      </w:pPr>
    </w:p>
    <w:p>
      <w:pPr>
        <w:ind w:left="1080" w:right="200" w:hanging="532"/>
        <w:spacing w:after="0" w:line="257" w:lineRule="auto"/>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(x) any Restricted Entity or any Restricted Subsidiary of a Restricted Entity, that, in each case, is not a Guarantor to (y) any parent Restricted Entity or any parent Restricted Subsidiary of a Restricted Entity that, in each case, is a Guarantor, or</w:t>
      </w:r>
    </w:p>
    <w:p>
      <w:pPr>
        <w:spacing w:after="0" w:line="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Wynn Group Entity to any Restricted Entity, and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not otherwise permitted by the foregoing clauses (1) through (14) in an aggregate amount of not more than $10.0 million.</w:t>
      </w:r>
    </w:p>
    <w:p>
      <w:pPr>
        <w:spacing w:after="0" w:line="225"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assets or securities proposed to be transferred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"—Reports," Wynn Las Vegas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Incurrence of Indebtedness and Issuance of Preferred Equity</w:t>
      </w:r>
    </w:p>
    <w:p>
      <w:pPr>
        <w:spacing w:after="0" w:line="22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directly or indirectly, (1) create, incur, issue, assume, guarantee or otherwise become directly or indirectly liable, contingently or otherwise, with respect to (collectively, "incur") any Indebtedness (including Acquired Debt), or (2) issue any Disqualified Stock or shares of preferred stock. Notwithstanding the above, Wynn Las Vegas and its Restricted Subsidiaries may incur Indebtedness (including Acquired Debt), if (1) the Opening Date has occurred and (2) the Fixed Charge Coverage Ratio of Wynn Las Vegas for Wynn Las Vegas' most recently ended four full fiscal quarters following the Opening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pacing w:after="0" w:line="192"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187" w:lineRule="exact"/>
        <w:rPr>
          <w:sz w:val="20"/>
          <w:szCs w:val="20"/>
          <w:color w:val="auto"/>
        </w:rPr>
      </w:pPr>
    </w:p>
    <w:p>
      <w:pPr>
        <w:ind w:left="540" w:right="20" w:hanging="532"/>
        <w:spacing w:after="0" w:line="254"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aggregate amount of all principal repayments (other than regularly scheduled repayments of principal) and mandatory prepayments of Indebtedness under the Credit Agreement;</w:t>
      </w:r>
    </w:p>
    <w:p>
      <w:pPr>
        <w:spacing w:after="0" w:line="1" w:lineRule="exact"/>
        <w:rPr>
          <w:rFonts w:ascii="Times New Roman" w:cs="Times New Roman" w:eastAsia="Times New Roman" w:hAnsi="Times New Roman"/>
          <w:sz w:val="18"/>
          <w:szCs w:val="18"/>
          <w:color w:val="auto"/>
        </w:rPr>
      </w:pPr>
    </w:p>
    <w:p>
      <w:pPr>
        <w:ind w:left="540" w:right="60" w:hanging="532"/>
        <w:spacing w:after="0" w:line="257"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Issuers, the Restricted Entities and their respective Restricted Subsidiaries of their respective obligations arising under the notes, the Credit Agreement, the FF&amp;E Facility and, to the extent those obligations would represent Indebtedness, the Collateral Documents;</w:t>
      </w:r>
    </w:p>
    <w:p>
      <w:pPr>
        <w:spacing w:after="0" w:line="15" w:lineRule="exact"/>
        <w:rPr>
          <w:rFonts w:ascii="Times New Roman" w:cs="Times New Roman" w:eastAsia="Times New Roman" w:hAnsi="Times New Roman"/>
          <w:sz w:val="18"/>
          <w:szCs w:val="18"/>
          <w:color w:val="auto"/>
        </w:rPr>
      </w:pPr>
    </w:p>
    <w:p>
      <w:pPr>
        <w:ind w:left="540" w:right="360" w:hanging="532"/>
        <w:spacing w:after="0" w:line="287" w:lineRule="auto"/>
        <w:tabs>
          <w:tab w:leader="none" w:pos="54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by Wynn Las Vegas, any Restricted Entity or any of their respective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clauses (2) or (7) of this paragraph or under this clause (3);</w:t>
      </w:r>
    </w:p>
    <w:p>
      <w:pPr>
        <w:spacing w:after="0" w:line="1" w:lineRule="exact"/>
        <w:rPr>
          <w:rFonts w:ascii="Times New Roman" w:cs="Times New Roman" w:eastAsia="Times New Roman" w:hAnsi="Times New Roman"/>
          <w:sz w:val="16"/>
          <w:szCs w:val="16"/>
          <w:color w:val="auto"/>
        </w:rPr>
      </w:pPr>
    </w:p>
    <w:p>
      <w:pPr>
        <w:ind w:left="540" w:right="320" w:hanging="532"/>
        <w:spacing w:after="0" w:line="275"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intercompany Indebtedness (i) between or among Wynn Las Vegas and/or its Restricted Subsidiaries, (ii) between or among Valvino Lamore and Wynn Resorts Holdings,</w:t>
      </w:r>
    </w:p>
    <w:p>
      <w:pPr>
        <w:spacing w:after="0" w:line="173" w:lineRule="exact"/>
        <w:rPr>
          <w:rFonts w:ascii="Times New Roman" w:cs="Times New Roman" w:eastAsia="Times New Roman" w:hAnsi="Times New Roman"/>
          <w:sz w:val="18"/>
          <w:szCs w:val="18"/>
          <w:color w:val="auto"/>
        </w:rPr>
      </w:pPr>
    </w:p>
    <w:p>
      <w:pPr>
        <w:jc w:val="center"/>
        <w:ind w:left="5580" w:right="360" w:hanging="5032"/>
        <w:spacing w:after="0" w:line="525" w:lineRule="auto"/>
        <w:tabs>
          <w:tab w:leader="none" w:pos="85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or among the Wynn Group Entities and (iv) the incurrence by the Restricted Entities or any of their respective Restricted Subsidiaries of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2"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intercompany Indebtedness (to the extent that Wynn Las Vegas, any of its Restricted Subsidiaries, or, as the case may be, the applicable Restricted Entity, would be permitted to make loans giving rise to, or otherwise hold, such Indebtedness as a Restricted Payment under the covenant captioned "— Restricted Payments") owing to Wynn Las Vegas or any of its Restricted Subsidiaries, so long as:</w:t>
      </w:r>
    </w:p>
    <w:p>
      <w:pPr>
        <w:spacing w:after="0" w:line="213" w:lineRule="exact"/>
        <w:rPr>
          <w:sz w:val="20"/>
          <w:szCs w:val="20"/>
          <w:color w:val="auto"/>
        </w:rPr>
      </w:pPr>
    </w:p>
    <w:p>
      <w:pPr>
        <w:ind w:left="1080" w:right="40" w:hanging="532"/>
        <w:spacing w:after="0" w:line="253"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Wynn Las Vegas or any Guarantor is the obligor on the Indebtedness, the Indebtedness is expressly subordinated in right of payment to the prior payment in full in cash of all Obligations with respect to the notes, in the case of the Wynn Las Vegas, or its guarantee under the Guarantee and Collateral Agreement to which it is a party, in the case of a Guarantor, except that no Indebtedness of Wynn Las Vegas or any Guarantor will be deemed to be contractually subordinated in right of payment to any other Indebtedness of Wynn Las Vegas or any such Guarantor solely by virtue of being unsecured; and</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w:t>
      </w:r>
    </w:p>
    <w:p>
      <w:pPr>
        <w:sectPr>
          <w:pgSz w:w="11900" w:h="16886" w:orient="portrait"/>
          <w:cols w:equalWidth="0" w:num="1">
            <w:col w:w="11400"/>
          </w:cols>
          <w:pgMar w:left="240" w:top="125" w:right="259" w:bottom="0" w:gutter="0" w:footer="0" w:header="0"/>
        </w:sectPr>
      </w:pPr>
    </w:p>
    <w:bookmarkStart w:id="86" w:name="page87"/>
    <w:bookmarkEnd w:id="86"/>
    <w:p>
      <w:pPr>
        <w:ind w:left="1080"/>
        <w:spacing w:after="0" w:line="301" w:lineRule="auto"/>
        <w:rPr>
          <w:sz w:val="20"/>
          <w:szCs w:val="20"/>
          <w:color w:val="auto"/>
        </w:rPr>
      </w:pPr>
      <w:r>
        <w:rPr>
          <w:rFonts w:ascii="Times New Roman" w:cs="Times New Roman" w:eastAsia="Times New Roman" w:hAnsi="Times New Roman"/>
          <w:sz w:val="16"/>
          <w:szCs w:val="16"/>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such Restricted Entity or such Restricted Subsidiary, as the case may be, that was not permitted by this clause (4);</w:t>
      </w:r>
    </w:p>
    <w:p>
      <w:pPr>
        <w:spacing w:after="0" w:line="170" w:lineRule="exact"/>
        <w:rPr>
          <w:sz w:val="20"/>
          <w:szCs w:val="20"/>
          <w:color w:val="auto"/>
        </w:rPr>
      </w:pPr>
    </w:p>
    <w:p>
      <w:pPr>
        <w:ind w:left="540" w:right="180" w:hanging="532"/>
        <w:spacing w:after="0" w:line="255"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Wynn Las Vegas, the Restricted Entities or any of their respective Restricted Subsidiaries of Hedging Obligations that are incurred for the purpose of fixing or hedging interest rate risk with respect to any floating rate Indebtedness that is permitted by the terms of the indenture to be outstanding;</w:t>
      </w:r>
    </w:p>
    <w:p>
      <w:pPr>
        <w:spacing w:after="0" w:line="15" w:lineRule="exact"/>
        <w:rPr>
          <w:rFonts w:ascii="Times New Roman" w:cs="Times New Roman" w:eastAsia="Times New Roman" w:hAnsi="Times New Roman"/>
          <w:sz w:val="18"/>
          <w:szCs w:val="18"/>
          <w:color w:val="auto"/>
        </w:rPr>
      </w:pPr>
    </w:p>
    <w:p>
      <w:pPr>
        <w:ind w:left="540" w:right="120" w:hanging="532"/>
        <w:spacing w:after="0" w:line="255"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Wynn Las Vegas, the Restricted Entities or any of their respective Restricted Subsidiaries of Indebtedness solely in respect of performance, surety, appeal or similar bonds or standby letters of credit, so long as the aggregate amount of all such bonds and standby letters of credit is not greater than $20.0 million at any time outstanding;</w:t>
      </w:r>
    </w:p>
    <w:p>
      <w:pPr>
        <w:spacing w:after="0" w:line="1"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Wynn Las Vegas, any Restricted Entity or any of their respective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so long as:</w:t>
      </w:r>
    </w:p>
    <w:p>
      <w:pPr>
        <w:spacing w:after="0" w:line="203"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15" w:lineRule="exact"/>
        <w:rPr>
          <w:rFonts w:ascii="Times New Roman" w:cs="Times New Roman" w:eastAsia="Times New Roman" w:hAnsi="Times New Roman"/>
          <w:sz w:val="18"/>
          <w:szCs w:val="18"/>
          <w:color w:val="auto"/>
        </w:rPr>
      </w:pPr>
    </w:p>
    <w:p>
      <w:pPr>
        <w:ind w:left="1080" w:right="200" w:hanging="532"/>
        <w:spacing w:after="0" w:line="255" w:lineRule="auto"/>
        <w:tabs>
          <w:tab w:leader="none" w:pos="10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Indebtedness is unsecured or is incurred under the FF&amp;E Facility, as in effect of the date of the indenture, not less than 70% of the aggregate fair market value of the purchase or lease costs of such FF&amp;E or other assets is paid with the proceeds of Indebtedness incurred under this clause (7), and</w:t>
      </w:r>
    </w:p>
    <w:p>
      <w:pPr>
        <w:spacing w:after="0" w:line="1"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Indebtedness, including all Permitted Refinancing Indebtedness incurred to refund, refinance or replace any Indebtedness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incurred pursuant to this clause, does not exceed an amount outstanding at any time equal to the greater of:</w:t>
      </w:r>
    </w:p>
    <w:p>
      <w:pPr>
        <w:spacing w:after="0" w:line="237" w:lineRule="exact"/>
        <w:rPr>
          <w:sz w:val="20"/>
          <w:szCs w:val="20"/>
          <w:color w:val="auto"/>
        </w:rPr>
      </w:pPr>
    </w:p>
    <w:p>
      <w:pPr>
        <w:ind w:left="1620" w:hanging="532"/>
        <w:spacing w:after="0" w:line="291" w:lineRule="auto"/>
        <w:tabs>
          <w:tab w:leader="none" w:pos="1620" w:val="left"/>
        </w:tabs>
        <w:numPr>
          <w:ilvl w:val="2"/>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$178.5 million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(i) the aggregate amount of all principal repayments and mandatory prepayments made under the FF&amp;E Facility,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(ii) permanent commitment reductions under the FF&amp;E Facility resulting from the application of Asset Sale or Event of Loss proceeds, and</w:t>
      </w:r>
    </w:p>
    <w:p>
      <w:pPr>
        <w:spacing w:after="0" w:line="15" w:lineRule="exact"/>
        <w:rPr>
          <w:rFonts w:ascii="Times New Roman" w:cs="Times New Roman" w:eastAsia="Times New Roman" w:hAnsi="Times New Roman"/>
          <w:sz w:val="16"/>
          <w:szCs w:val="16"/>
          <w:color w:val="auto"/>
        </w:rPr>
      </w:pPr>
    </w:p>
    <w:p>
      <w:pPr>
        <w:ind w:left="1620" w:hanging="532"/>
        <w:spacing w:after="0"/>
        <w:tabs>
          <w:tab w:leader="none" w:pos="16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w:t>
      </w:r>
    </w:p>
    <w:p>
      <w:pPr>
        <w:spacing w:after="0" w:line="238" w:lineRule="exact"/>
        <w:rPr>
          <w:rFonts w:ascii="Times New Roman" w:cs="Times New Roman" w:eastAsia="Times New Roman" w:hAnsi="Times New Roman"/>
          <w:sz w:val="18"/>
          <w:szCs w:val="18"/>
          <w:color w:val="auto"/>
        </w:rPr>
      </w:pPr>
    </w:p>
    <w:p>
      <w:pPr>
        <w:ind w:left="540" w:right="100" w:hanging="532"/>
        <w:spacing w:after="0" w:line="253"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Guarantee by Wynn Las Vegas or any of its Restricted Subsidiaries of Indebtedness of any other of Wynn Las Vegas and any of its Restricted Subsidiaries, (ii) the Guarantee by Valvino Lamore or Wynn Resorts Holdings of Indebtedness of Wynn Resorts Holdings or Valvino Lamore, or Wynn Las Vegas or any of its Restricted Subsidiaries, as the case may be, or (iii) the Guarantee by any Wynn Group Entity of Indebtedness of Wynn Las Vegas, any Restricted Entity, and any of their respective Restricted Subsidiaries, in each case, to the extent the Indebtedness to be Guaranteed is permitted to be incurred by such other entity by another provision of this covenant;</w:t>
      </w:r>
    </w:p>
    <w:p>
      <w:pPr>
        <w:spacing w:after="0" w:line="2"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Wynn Las Vegas or any of its Restricted Subsidiaries of Indebtedness in connection with the repurchase, redemption or other acquisition or retirement for value of Equity Interests of Wynn Resorts or any Restricted Entity permitted pursuant to the provisions of clause (6) of the covenant captioned "—Restricted Payments";</w:t>
      </w:r>
    </w:p>
    <w:p>
      <w:pPr>
        <w:spacing w:after="0" w:line="15" w:lineRule="exact"/>
        <w:rPr>
          <w:rFonts w:ascii="Times New Roman" w:cs="Times New Roman" w:eastAsia="Times New Roman" w:hAnsi="Times New Roman"/>
          <w:sz w:val="18"/>
          <w:szCs w:val="18"/>
          <w:color w:val="auto"/>
        </w:rPr>
      </w:pPr>
    </w:p>
    <w:p>
      <w:pPr>
        <w:ind w:left="540" w:right="200" w:hanging="532"/>
        <w:spacing w:after="0" w:line="255"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or issuance by Wynn Las Vegas' Unrestricted Subsidiaries of Non-Recourse Debt, except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 w:lineRule="exact"/>
        <w:rPr>
          <w:rFonts w:ascii="Times New Roman" w:cs="Times New Roman" w:eastAsia="Times New Roman" w:hAnsi="Times New Roman"/>
          <w:sz w:val="18"/>
          <w:szCs w:val="18"/>
          <w:color w:val="auto"/>
        </w:rPr>
      </w:pPr>
    </w:p>
    <w:p>
      <w:pPr>
        <w:ind w:left="540" w:right="80" w:hanging="532"/>
        <w:spacing w:after="0" w:line="256"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Wynn Las Vegas or any of its Restricted Subsidiaries of additional Indebtedness to be used to develop and construct an Entertainment Facility on land included in the Project (other than the Phase II Land or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such Entertainment Facility,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any Net New Equity Proceeds to the extent those proceeds are:</w:t>
      </w:r>
    </w:p>
    <w:p>
      <w:pPr>
        <w:spacing w:after="0" w:line="2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as a basis for incurring Indebtedness pursuant to clause (12) below,</w:t>
      </w:r>
    </w:p>
    <w:p>
      <w:pPr>
        <w:spacing w:after="0" w:line="36" w:lineRule="exact"/>
        <w:rPr>
          <w:rFonts w:ascii="Times New Roman" w:cs="Times New Roman" w:eastAsia="Times New Roman" w:hAnsi="Times New Roman"/>
          <w:sz w:val="18"/>
          <w:szCs w:val="18"/>
          <w:color w:val="auto"/>
        </w:rPr>
      </w:pPr>
    </w:p>
    <w:p>
      <w:pPr>
        <w:ind w:left="1080" w:right="320" w:hanging="532"/>
        <w:spacing w:after="0" w:line="255" w:lineRule="auto"/>
        <w:tabs>
          <w:tab w:leader="none" w:pos="10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make Restricted Payments under clause (4)(b) of the second paragraph, or clause (2) or (3) of the third paragraph, of the covenant captioned "—Restricted Payments," so long as such Indebtedness is incurred under the Credit Agreement or through the issuance of additional notes under the indenture, or is unsecured Indebtedness, or</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make Permitted Investments of the type permitted by clause (5) of the definition of Permitted Investments;</w:t>
      </w:r>
    </w:p>
    <w:p>
      <w:pPr>
        <w:spacing w:after="0" w:line="252" w:lineRule="exact"/>
        <w:rPr>
          <w:rFonts w:ascii="Times New Roman" w:cs="Times New Roman" w:eastAsia="Times New Roman" w:hAnsi="Times New Roman"/>
          <w:sz w:val="18"/>
          <w:szCs w:val="18"/>
          <w:color w:val="auto"/>
        </w:rPr>
      </w:pPr>
    </w:p>
    <w:p>
      <w:pPr>
        <w:ind w:left="540" w:right="300" w:hanging="532"/>
        <w:spacing w:after="0" w:line="301" w:lineRule="auto"/>
        <w:tabs>
          <w:tab w:leader="none" w:pos="5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incurrence by Wynn Las Vegas or any of its Restricted Subsidiaries of additional Indebtedness in an aggregate principal amount (or initial accreted value, as applicable) at any time outstanding incurred pursuant to this clause (12), not to exceed $50.0 million, so long as that Indebtedness incurred pursuant to this clause (12) prior to the Completion Date is matched dollar for dollar, by additional Net New Equity Proceeds received by Wynn Las Vegas or any of its Restricted Subsidiaries since the date of the indenture, </w:t>
      </w:r>
      <w:r>
        <w:rPr>
          <w:rFonts w:ascii="Times New Roman" w:cs="Times New Roman" w:eastAsia="Times New Roman" w:hAnsi="Times New Roman"/>
          <w:sz w:val="16"/>
          <w:szCs w:val="16"/>
          <w:i w:val="1"/>
          <w:iCs w:val="1"/>
          <w:color w:val="auto"/>
        </w:rPr>
        <w:t>excluding</w:t>
      </w:r>
      <w:r>
        <w:rPr>
          <w:rFonts w:ascii="Times New Roman" w:cs="Times New Roman" w:eastAsia="Times New Roman" w:hAnsi="Times New Roman"/>
          <w:sz w:val="16"/>
          <w:szCs w:val="16"/>
          <w:color w:val="auto"/>
        </w:rPr>
        <w:t xml:space="preserve"> any Net New Equity Proceeds to the extent those proceeds are: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as a basis for incurring Indebtedness pursuant to clause (11) above,</w:t>
      </w:r>
    </w:p>
    <w:p>
      <w:pPr>
        <w:spacing w:after="0" w:line="22" w:lineRule="exact"/>
        <w:rPr>
          <w:rFonts w:ascii="Times New Roman" w:cs="Times New Roman" w:eastAsia="Times New Roman" w:hAnsi="Times New Roman"/>
          <w:sz w:val="18"/>
          <w:szCs w:val="18"/>
          <w:color w:val="auto"/>
        </w:rPr>
      </w:pPr>
    </w:p>
    <w:p>
      <w:pPr>
        <w:ind w:left="1080" w:right="380" w:hanging="532"/>
        <w:spacing w:after="0" w:line="255" w:lineRule="auto"/>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make Restricted Payments under clause (4)(b) of the second paragraph, or clause (2) or (3) of the third paragraph, of the covenant captioned "—Restricted Payments," so long as such Indebtedness is incurred under the Credit Agreement or the FF&amp;E Facility or through the issuance of additional notes under the indenture, or is unsecured Indebtedness, or</w:t>
      </w:r>
    </w:p>
    <w:p>
      <w:pPr>
        <w:spacing w:after="0" w:line="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make Permitted Investments of the type permitted by clause (5) of the definition of Permitted Investments;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accretion or amortization of original issue discount and the write-up of Indebtedness in accordance with GAAP purchase accounting.</w:t>
      </w:r>
    </w:p>
    <w:p>
      <w:pPr>
        <w:sectPr>
          <w:pgSz w:w="11900" w:h="16838" w:orient="portrait"/>
          <w:cols w:equalWidth="0" w:num="1">
            <w:col w:w="11420"/>
          </w:cols>
          <w:pgMar w:left="240" w:top="125" w:right="239" w:bottom="181" w:gutter="0" w:footer="0" w:header="0"/>
        </w:sectPr>
      </w:pPr>
    </w:p>
    <w:bookmarkStart w:id="87" w:name="page88"/>
    <w:bookmarkEnd w:id="87"/>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No Indebtedness of Wynn Las Vegas or any Guarantor will be deemed to be contractually subordinated in right of payment to any other Indebtedness of Wynn Las Vegas or any such Guarantor solely by virtue of being unsecured.</w:t>
      </w:r>
    </w:p>
    <w:p>
      <w:pPr>
        <w:spacing w:after="0" w:line="193"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(13)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Liens</w:t>
      </w:r>
    </w:p>
    <w:p>
      <w:pPr>
        <w:spacing w:after="0" w:line="229"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Dividend and Other Payment Restrictions Affecting Restricted Subsidiaries of Wynn Las Vegas</w:t>
      </w:r>
    </w:p>
    <w:p>
      <w:pPr>
        <w:spacing w:after="0" w:line="229" w:lineRule="exact"/>
        <w:rPr>
          <w:sz w:val="20"/>
          <w:szCs w:val="20"/>
          <w:color w:val="auto"/>
        </w:rPr>
      </w:pPr>
    </w:p>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Wynn Las Vegas and the Restricted Entities will not, and will not permit any of their respective Restricted Subsidiaries to, directly or indirectly, create or permit to exist or become effective any consensual encumbrance or restriction on the ability of any of Wynn Las Vegas' Restricted Subsidiaries to:</w:t>
      </w:r>
    </w:p>
    <w:p>
      <w:pPr>
        <w:spacing w:after="0" w:line="142" w:lineRule="exact"/>
        <w:rPr>
          <w:sz w:val="20"/>
          <w:szCs w:val="20"/>
          <w:color w:val="auto"/>
        </w:rPr>
      </w:pPr>
    </w:p>
    <w:p>
      <w:pPr>
        <w:ind w:left="540" w:right="40" w:hanging="532"/>
        <w:spacing w:after="0" w:line="257"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to Wynn Las Vegas, or with respect to any other interest or participation in, or measured by, its profits, or pay any indebtedness owed to Wynn Las Vegas;</w:t>
      </w:r>
    </w:p>
    <w:p>
      <w:pPr>
        <w:spacing w:after="0" w:line="1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Wynn Las Vegas or any of its Restricted Subsidiaries; 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its properties or assets to Wynn Las Vegas or any of its Restricted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However, the preceding restrictions will not apply to encumbrances or restrictions existing under or by reason of:</w:t>
      </w:r>
    </w:p>
    <w:p>
      <w:pPr>
        <w:spacing w:after="0" w:line="239" w:lineRule="exact"/>
        <w:rPr>
          <w:sz w:val="20"/>
          <w:szCs w:val="20"/>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the indenture or the Collateral Documents;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including rules, regulations and orders issued by any Gaming Authority;</w:t>
      </w:r>
    </w:p>
    <w:p>
      <w:pPr>
        <w:spacing w:after="0" w:line="238"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187"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and the FF&amp;E Facility, in each case as in effect on the date of the indenture;</w:t>
      </w:r>
    </w:p>
    <w:p>
      <w:pPr>
        <w:spacing w:after="0" w:line="219" w:lineRule="exact"/>
        <w:rPr>
          <w:rFonts w:ascii="Times New Roman" w:cs="Times New Roman" w:eastAsia="Times New Roman" w:hAnsi="Times New Roman"/>
          <w:sz w:val="18"/>
          <w:szCs w:val="18"/>
          <w:color w:val="auto"/>
        </w:rPr>
      </w:pPr>
    </w:p>
    <w:p>
      <w:pPr>
        <w:ind w:left="540" w:right="80" w:hanging="532"/>
        <w:spacing w:after="0" w:line="310" w:lineRule="auto"/>
        <w:tabs>
          <w:tab w:leader="none" w:pos="5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64" w:lineRule="exact"/>
        <w:rPr>
          <w:rFonts w:ascii="Times New Roman" w:cs="Times New Roman" w:eastAsia="Times New Roman" w:hAnsi="Times New Roman"/>
          <w:sz w:val="16"/>
          <w:szCs w:val="16"/>
          <w:color w:val="auto"/>
        </w:rPr>
      </w:pPr>
    </w:p>
    <w:p>
      <w:pPr>
        <w:jc w:val="both"/>
        <w:ind w:left="540" w:right="120" w:hanging="532"/>
        <w:spacing w:after="0" w:line="262"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199" w:lineRule="exact"/>
        <w:rPr>
          <w:rFonts w:ascii="Times New Roman" w:cs="Times New Roman" w:eastAsia="Times New Roman" w:hAnsi="Times New Roman"/>
          <w:sz w:val="18"/>
          <w:szCs w:val="18"/>
          <w:color w:val="auto"/>
        </w:rPr>
      </w:pPr>
    </w:p>
    <w:p>
      <w:pPr>
        <w:ind w:left="540" w:right="58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 Restricted Subsidiary permitted hereby that restricts distributions by that Restricted Subsidiary pending its sale or other disposition;</w:t>
      </w:r>
    </w:p>
    <w:p>
      <w:pPr>
        <w:spacing w:after="0" w:line="200"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199"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ind w:right="360" w:firstLine="351"/>
        <w:spacing w:after="0" w:line="310" w:lineRule="auto"/>
        <w:rPr>
          <w:sz w:val="20"/>
          <w:szCs w:val="20"/>
          <w:color w:val="auto"/>
        </w:rPr>
      </w:pPr>
      <w:r>
        <w:rPr>
          <w:rFonts w:ascii="Times New Roman" w:cs="Times New Roman" w:eastAsia="Times New Roman" w:hAnsi="Times New Roman"/>
          <w:sz w:val="16"/>
          <w:szCs w:val="16"/>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 assets of (a) Wynn Las Vegas, the Restricted Entities and their respective Restricted Subsidiaries, taken as a whole, (b) Wynn Las Vegas and its Restricted Subsidiaries, taken as a</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whole, or (c) in the case of a Guarantor, that Guarantor, in one or more related transactions, to another Person, unless:</w:t>
      </w:r>
    </w:p>
    <w:p>
      <w:pPr>
        <w:sectPr>
          <w:pgSz w:w="11900" w:h="16838" w:orient="portrait"/>
          <w:cols w:equalWidth="0" w:num="1">
            <w:col w:w="11400"/>
          </w:cols>
          <w:pgMar w:left="240" w:top="125" w:right="259" w:bottom="0" w:gutter="0" w:footer="0" w:header="0"/>
          <w:type w:val="continuous"/>
        </w:sectPr>
      </w:pPr>
    </w:p>
    <w:bookmarkStart w:id="88" w:name="page89"/>
    <w:bookmarkEnd w:id="88"/>
    <w:p>
      <w:pPr>
        <w:ind w:left="540" w:right="300" w:hanging="532"/>
        <w:spacing w:after="0" w:line="262"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213" w:lineRule="exact"/>
        <w:rPr>
          <w:rFonts w:ascii="Times New Roman" w:cs="Times New Roman" w:eastAsia="Times New Roman" w:hAnsi="Times New Roman"/>
          <w:sz w:val="18"/>
          <w:szCs w:val="18"/>
          <w:color w:val="auto"/>
        </w:rPr>
      </w:pPr>
    </w:p>
    <w:p>
      <w:pPr>
        <w:ind w:left="540" w:right="60" w:hanging="532"/>
        <w:spacing w:after="0" w:line="256"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the Guarantees and the Collateral Documents pursuant to agreements reasonably satisfactory to the trustee; however, this clause (2) shall not apply to any merger, consolidation, sale, assignment, transfer, conveyance or other disposition of assets of a Guarantor with, into or to Wynn Las Vegas, so long as, in the case</w:t>
      </w:r>
    </w:p>
    <w:p>
      <w:pPr>
        <w:spacing w:after="0" w:line="19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consolidation or merger, Wynn Las Vegas is the survivor of such consolidation or merger;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38" w:lineRule="exact"/>
        <w:rPr>
          <w:rFonts w:ascii="Times New Roman" w:cs="Times New Roman" w:eastAsia="Times New Roman" w:hAnsi="Times New Roman"/>
          <w:sz w:val="18"/>
          <w:szCs w:val="18"/>
          <w:color w:val="auto"/>
        </w:rPr>
      </w:pPr>
    </w:p>
    <w:p>
      <w:pPr>
        <w:ind w:left="540" w:right="460" w:hanging="532"/>
        <w:spacing w:after="0" w:line="27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200" w:lineRule="exact"/>
        <w:rPr>
          <w:rFonts w:ascii="Times New Roman" w:cs="Times New Roman" w:eastAsia="Times New Roman" w:hAnsi="Times New Roman"/>
          <w:sz w:val="18"/>
          <w:szCs w:val="18"/>
          <w:color w:val="auto"/>
        </w:rPr>
      </w:pPr>
    </w:p>
    <w:p>
      <w:pPr>
        <w:ind w:left="540" w:right="180" w:hanging="532"/>
        <w:spacing w:after="0" w:line="258"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Issuer or Guarantor or the Person formed by or surviving any such consolidation or merger (if other than such Issuer) or to which such sale, assignment, transfer, conveyance or other disposition shall have been made will have Consolidated Net Worth immediately after the transaction equal to or greater than the Consolidated Net Worth of such Issuer or Guarantor immediately preceding the transaction (excluding the effect of the related professional fees, commissions, sales and other taxes, and other transactional costs that would otherwise reduce Consolidated Net Worth);</w:t>
      </w:r>
    </w:p>
    <w:p>
      <w:pPr>
        <w:spacing w:after="0" w:line="203"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consolidation or merger of such Issuer, such Issuer or the Person formed by or surviving any such consolidation or merger (if other than such Issuer) or to which such sale, assignment, transfer, conveyance or other disposition shall have been made will, or (ii) in the case of a consolidation or merger of a Guarantor that is a Restricted Subsidiary of Wynn Las Vegas or the sale, assignment, transfer, conveyance or other disposition of the property or assets of such Guarantor, the Issuers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Equity," and</w:t>
      </w:r>
    </w:p>
    <w:p>
      <w:pPr>
        <w:spacing w:after="0" w:line="208"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holder or beneficial owner would not have been required to obtain a Gaming License or be qualified or found suitable under the laws of any applicable gaming jurisdiction in the absence of such transaction.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Notwithstanding the foregoing, a Guarantor may consolidate or merge with or into another Guarantor, or sell, assign, transfer, convey or otherwise dispose of all or substantially all of its properties or assets to another Guarantor, so long as (1) the conditions in clauses (3), (4) and (7) of the preceding paragraph are satisfied, and (2) such Guarantor or the Person formed by or surviving any such consolidation or merger, or the Guarantor to which such sale, assignment, transfer, conveyance or other disposition shall have been made, as the case may be, is Solvent.</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(excluding any sale, assignment, transfer, conveyance or disposition of assets that would otherwise be subject to this covenant from a Person that is a Guarantor to a Person, other than Wynn Las Vegas, that is not a Guarantor):</w:t>
      </w:r>
    </w:p>
    <w:p>
      <w:pPr>
        <w:spacing w:after="0" w:line="217" w:lineRule="exact"/>
        <w:rPr>
          <w:sz w:val="20"/>
          <w:szCs w:val="20"/>
          <w:color w:val="auto"/>
        </w:rPr>
      </w:pPr>
    </w:p>
    <w:p>
      <w:pPr>
        <w:ind w:left="540" w:hanging="532"/>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Wynn Las Vegas and/or its Restricted Subsidiaries,</w:t>
      </w:r>
    </w:p>
    <w:p>
      <w:pPr>
        <w:spacing w:after="0" w:line="238"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Wynn Resorts Holdings and Valvino Lamore, excluding a transfer of any or all of the Golf Course Land, unless such Golf Course Land is then a Released Asset,</w:t>
      </w:r>
    </w:p>
    <w:p>
      <w:pPr>
        <w:spacing w:after="0" w:line="187" w:lineRule="exact"/>
        <w:rPr>
          <w:rFonts w:ascii="Times New Roman" w:cs="Times New Roman" w:eastAsia="Times New Roman" w:hAnsi="Times New Roman"/>
          <w:sz w:val="18"/>
          <w:szCs w:val="18"/>
          <w:color w:val="auto"/>
        </w:rPr>
      </w:pPr>
    </w:p>
    <w:p>
      <w:pPr>
        <w:ind w:left="540" w:right="300" w:hanging="532"/>
        <w:spacing w:after="0" w:line="27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Wynn Group Entity to any Restricted Entity.</w:t>
      </w:r>
    </w:p>
    <w:p>
      <w:pPr>
        <w:spacing w:after="0" w:line="225" w:lineRule="exact"/>
        <w:rPr>
          <w:sz w:val="20"/>
          <w:szCs w:val="20"/>
          <w:color w:val="auto"/>
        </w:rPr>
      </w:pPr>
    </w:p>
    <w:p>
      <w:pPr>
        <w:ind w:right="200" w:firstLine="351"/>
        <w:spacing w:after="0" w:line="339" w:lineRule="auto"/>
        <w:rPr>
          <w:sz w:val="20"/>
          <w:szCs w:val="20"/>
          <w:color w:val="auto"/>
        </w:rPr>
      </w:pPr>
      <w:r>
        <w:rPr>
          <w:rFonts w:ascii="Times New Roman" w:cs="Times New Roman" w:eastAsia="Times New Roman" w:hAnsi="Times New Roman"/>
          <w:sz w:val="16"/>
          <w:szCs w:val="16"/>
          <w:color w:val="auto"/>
        </w:rPr>
        <w:t>For purposes of this covenant, a sale of properties or assets by a Guarantor shall not constitute a sale of "substantially all of the properties or assets" of that Guarantor if, following that sale, the Guarantor owns or holds any of the Phase II Land or the Golf Course Land, unless such land is then a Released Asset.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Notwithstanding the foregoing, Wynn Las Vegas and each Guarantor is permitted to reorganize as a corporation pursuant to a Permitted C-Corp. Conversion.</w:t>
      </w: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Designation of Restricted and Unrestricted Subsidiaries</w:t>
      </w:r>
    </w:p>
    <w:p>
      <w:pPr>
        <w:spacing w:after="0" w:line="22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board of directors of Wynn Las Vegas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Las Vegas may redesignate any Unrestricted Subsidiary of Wynn Las Vegas to be a Restricted Subsidiary of Wynn Las Vegas if the redesignation would not cause a Default or an Event of Default.</w:t>
      </w:r>
    </w:p>
    <w:p>
      <w:pPr>
        <w:spacing w:after="0" w:line="19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None of the Restricted Entities and their Subsidiaries (other than Wynn Las Vegas and its Subsidiaries and Desert Inn Water Company) is permitted to have Unrestricted Subsidiaries. As a result, all future Subsidiaries of the Restricted Entities (other than Wynn Las Vegas and</w:t>
      </w:r>
    </w:p>
    <w:p>
      <w:pPr>
        <w:sectPr>
          <w:pgSz w:w="11900" w:h="16838" w:orient="portrait"/>
          <w:cols w:equalWidth="0" w:num="1">
            <w:col w:w="11420"/>
          </w:cols>
          <w:pgMar w:left="240" w:top="138" w:right="239" w:bottom="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and Desert Inn Improvement Co.) will be Restricted Subsidiaries and subject to the restrictive covenants contained in the indenture.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Affiliates</w:t>
      </w:r>
    </w:p>
    <w:p>
      <w:pPr>
        <w:spacing w:after="0" w:line="229" w:lineRule="exact"/>
        <w:rPr>
          <w:sz w:val="20"/>
          <w:szCs w:val="20"/>
          <w:color w:val="auto"/>
        </w:rPr>
      </w:pPr>
    </w:p>
    <w:p>
      <w:pPr>
        <w:ind w:right="160" w:firstLine="348"/>
        <w:spacing w:after="0" w:line="310" w:lineRule="auto"/>
        <w:rPr>
          <w:sz w:val="20"/>
          <w:szCs w:val="20"/>
          <w:color w:val="auto"/>
        </w:rPr>
      </w:pPr>
      <w:r>
        <w:rPr>
          <w:rFonts w:ascii="Times New Roman" w:cs="Times New Roman" w:eastAsia="Times New Roman" w:hAnsi="Times New Roman"/>
          <w:sz w:val="16"/>
          <w:szCs w:val="16"/>
          <w:color w:val="auto"/>
        </w:rPr>
        <w:t>Wynn Las Vegas and the Restricted Entities will not, and will not permit any of their respective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65" w:lineRule="exact"/>
        <w:rPr>
          <w:sz w:val="20"/>
          <w:szCs w:val="20"/>
          <w:color w:val="auto"/>
        </w:rPr>
      </w:pPr>
    </w:p>
    <w:p>
      <w:pPr>
        <w:ind w:left="540" w:right="80" w:hanging="532"/>
        <w:spacing w:after="0" w:line="275"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relevant entity than those that would have been obtained in a comparable transaction by such entity with an unrelated Person; and</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or the applicable Restricted Entity or Restricted Subsidiary, as the case may be delivers to the trustee:</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160" w:hanging="532"/>
        <w:spacing w:after="0" w:line="339" w:lineRule="auto"/>
        <w:tabs>
          <w:tab w:leader="none" w:pos="1080"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w:t>
      </w:r>
    </w:p>
    <w:p>
      <w:pPr>
        <w:spacing w:after="0" w:line="128" w:lineRule="exact"/>
        <w:rPr>
          <w:rFonts w:ascii="Times New Roman" w:cs="Times New Roman" w:eastAsia="Times New Roman" w:hAnsi="Times New Roman"/>
          <w:sz w:val="16"/>
          <w:szCs w:val="16"/>
          <w:color w:val="auto"/>
        </w:rPr>
      </w:pPr>
    </w:p>
    <w:p>
      <w:pPr>
        <w:ind w:left="1080" w:right="2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complies with this covenant and that such Affiliate Transaction has been approved by a majority of the Independent Directors of the applicable entity; and</w:t>
      </w:r>
    </w:p>
    <w:p>
      <w:pPr>
        <w:spacing w:after="0" w:line="187" w:lineRule="exact"/>
        <w:rPr>
          <w:rFonts w:ascii="Times New Roman" w:cs="Times New Roman" w:eastAsia="Times New Roman" w:hAnsi="Times New Roman"/>
          <w:sz w:val="16"/>
          <w:szCs w:val="16"/>
          <w:color w:val="auto"/>
        </w:rPr>
      </w:pPr>
    </w:p>
    <w:p>
      <w:pPr>
        <w:jc w:val="both"/>
        <w:ind w:left="1080" w:hanging="532"/>
        <w:spacing w:after="0" w:line="262" w:lineRule="auto"/>
        <w:tabs>
          <w:tab w:leader="none" w:pos="10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Affiliate Transaction or series of related Affiliate Transactions involving aggregate consideration in excess of $10.0 million, an opinion as to the fairness to the applicable entity of such Affiliate Transaction from a financial point of view issued by an accounting, appraisal or investment banking firm of national standing prior to the consummation of such Affiliate Transaction.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items will not be deemed to be Affiliate Transactions and, therefore, will not be subject to the provisions of the prior paragraph:</w:t>
      </w:r>
    </w:p>
    <w:p>
      <w:pPr>
        <w:spacing w:after="0" w:line="252" w:lineRule="exact"/>
        <w:rPr>
          <w:sz w:val="20"/>
          <w:szCs w:val="20"/>
          <w:color w:val="auto"/>
        </w:rPr>
      </w:pPr>
    </w:p>
    <w:p>
      <w:pPr>
        <w:ind w:left="540" w:right="100" w:hanging="532"/>
        <w:spacing w:after="0" w:line="262"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Employment Agreement or any other employment agreement entered into by Wynn Las Vegas, any Restricted Entity or any of their Restricted Subsidiaries with any Person (other than the Principal) in the ordinary course of business on terms customary in the applicable Permitted Business in which it operates;</w:t>
      </w:r>
    </w:p>
    <w:p>
      <w:pPr>
        <w:spacing w:after="0" w:line="199" w:lineRule="exact"/>
        <w:rPr>
          <w:rFonts w:ascii="Times New Roman" w:cs="Times New Roman" w:eastAsia="Times New Roman" w:hAnsi="Times New Roman"/>
          <w:sz w:val="18"/>
          <w:szCs w:val="18"/>
          <w:color w:val="auto"/>
        </w:rPr>
      </w:pPr>
    </w:p>
    <w:p>
      <w:pPr>
        <w:ind w:left="540" w:right="320" w:hanging="532"/>
        <w:spacing w:after="0" w:line="275"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directors' fees to directors of Wynn Resorts, Wynn Capital or any Guarantor, and customary indemnification and insurance arrangements in favor of such directors, in each case in the ordinary course of business;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or among Wynn Las Vegas and/or its Restricted Subsidiaries,</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Valvino Lamore and Wynn Resorts Holdings, other than any transaction involving a transfer of any or all of the Golf Course Land to Valvino Lamore, unless such Golf Course Land is then a Released Asset, or</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or among any of the Wynn Group Entities, or by any Wynn Group Entity as a contribution to Wynn Las Vegas, any Restricted Entity or any of their Restricted Subsidiaries,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Rights Transfer,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that are permitted by the provisions of the indenture described above under the caption "—Restricted Payments;" and</w:t>
      </w:r>
    </w:p>
    <w:p>
      <w:pPr>
        <w:spacing w:after="0" w:line="238"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Construction</w:t>
      </w:r>
    </w:p>
    <w:p>
      <w:pPr>
        <w:spacing w:after="0" w:line="229"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Wynn Las Vegas and the Restricted Entities will, and will cause each of their respective Restricted Subsidiaries to, construct the Project, including the furnishing, fixturing and equipping of the Project, with diligence and continuity in a good and workmanlike manner substantially in accordance with the Plans and Specifications.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Use of Proceeds</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ectPr>
          <w:pgSz w:w="11900" w:h="16838" w:orient="portrait"/>
          <w:cols w:equalWidth="0" w:num="1">
            <w:col w:w="11380"/>
          </w:cols>
          <w:pgMar w:left="240" w:top="125" w:right="279" w:bottom="0" w:gutter="0" w:footer="0" w:header="0"/>
        </w:sectPr>
      </w:pP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Limitation on Status as Investment Company</w:t>
      </w:r>
    </w:p>
    <w:p>
      <w:pPr>
        <w:sectPr>
          <w:pgSz w:w="11900" w:h="16838" w:orient="portrait"/>
          <w:cols w:equalWidth="0" w:num="1">
            <w:col w:w="11380"/>
          </w:cols>
          <w:pgMar w:left="240" w:top="125" w:right="279" w:bottom="0" w:gutter="0" w:footer="0" w:header="0"/>
          <w:type w:val="continuous"/>
        </w:sectPr>
      </w:pPr>
    </w:p>
    <w:bookmarkStart w:id="90" w:name="page91"/>
    <w:bookmarkEnd w:id="90"/>
    <w:p>
      <w:pPr>
        <w:ind w:firstLine="348"/>
        <w:spacing w:after="0" w:line="275" w:lineRule="auto"/>
        <w:rPr>
          <w:sz w:val="20"/>
          <w:szCs w:val="20"/>
          <w:color w:val="auto"/>
        </w:rPr>
      </w:pPr>
      <w:r>
        <w:rPr>
          <w:rFonts w:ascii="Times New Roman" w:cs="Times New Roman" w:eastAsia="Times New Roman" w:hAnsi="Times New Roman"/>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Sale and Leaseback Transactions</w:t>
      </w:r>
    </w:p>
    <w:p>
      <w:pPr>
        <w:spacing w:after="0" w:line="22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enter into any sale and leaseback transaction (except with respect to the FF&amp;E Collateral or the Aircraft Assets so long as, and to the extent that, such FF&amp;E Collateral or Aircraft Assets, as the case may be, are not Collateral), unless:</w:t>
      </w:r>
    </w:p>
    <w:p>
      <w:pPr>
        <w:spacing w:after="0" w:line="200" w:lineRule="exact"/>
        <w:rPr>
          <w:sz w:val="20"/>
          <w:szCs w:val="20"/>
          <w:color w:val="auto"/>
        </w:rPr>
      </w:pPr>
    </w:p>
    <w:p>
      <w:pPr>
        <w:ind w:left="540" w:right="20" w:hanging="532"/>
        <w:spacing w:after="0" w:line="258"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pacing w:after="0" w:line="217" w:lineRule="exact"/>
        <w:rPr>
          <w:rFonts w:ascii="Times New Roman" w:cs="Times New Roman" w:eastAsia="Times New Roman" w:hAnsi="Times New Roman"/>
          <w:sz w:val="18"/>
          <w:szCs w:val="18"/>
          <w:color w:val="auto"/>
        </w:rPr>
      </w:pPr>
    </w:p>
    <w:p>
      <w:pPr>
        <w:ind w:left="540" w:right="240" w:hanging="532"/>
        <w:spacing w:after="0" w:line="26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cash proceeds of that sale and leaseback transaction are at least equal to the fair market value, as determined in good faith by the board of directors of Wynn Las Vegas, that Restricted Entity or that Restricted Subsidiary, as the case may be, and set forth in an officers' certificate delivered to the trustee, of the property that is the subject of that sale and leaseback transaction; and</w:t>
      </w:r>
    </w:p>
    <w:p>
      <w:pPr>
        <w:spacing w:after="0" w:line="199" w:lineRule="exact"/>
        <w:rPr>
          <w:rFonts w:ascii="Times New Roman" w:cs="Times New Roman" w:eastAsia="Times New Roman" w:hAnsi="Times New Roman"/>
          <w:sz w:val="18"/>
          <w:szCs w:val="18"/>
          <w:color w:val="auto"/>
        </w:rPr>
      </w:pPr>
    </w:p>
    <w:p>
      <w:pPr>
        <w:ind w:left="540" w:right="220" w:hanging="532"/>
        <w:spacing w:after="0" w:line="26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assets in that sale and leaseback transaction is permitted by, and Wynn Las Vegas, such Restricted Entity or such Restricted Subsidiary applies the proceeds of such transaction in compliance with, the covenant described above under the caption "—Repurchase at the Option of Holders— Asset Sales."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Line of Business</w:t>
      </w:r>
    </w:p>
    <w:p>
      <w:pPr>
        <w:spacing w:after="0" w:line="229"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engage in any business or investment activities other than the Permitted Business. Wynn Las Vegas and the Restricted Entities will not, and will not permit any of their respective Subsidiaries to, conduct a Permitted Business in any gaming jurisdiction in which such entity is not licensed on the date hereof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Development of Phase II Land</w:t>
      </w:r>
    </w:p>
    <w:p>
      <w:pPr>
        <w:spacing w:after="0" w:line="229"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Subsidiaries to, at any time prior to the date on which the security interests in the Phase II Land are released in accordance with the covenant captioned "—Release of Security Interests":</w:t>
      </w:r>
    </w:p>
    <w:p>
      <w:pPr>
        <w:spacing w:after="0" w:line="187" w:lineRule="exact"/>
        <w:rPr>
          <w:sz w:val="20"/>
          <w:szCs w:val="20"/>
          <w:color w:val="auto"/>
        </w:rPr>
      </w:pPr>
    </w:p>
    <w:p>
      <w:pPr>
        <w:ind w:left="540" w:right="100" w:hanging="532"/>
        <w:spacing w:after="0" w:line="275"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200" w:lineRule="exact"/>
        <w:rPr>
          <w:rFonts w:ascii="Times New Roman" w:cs="Times New Roman" w:eastAsia="Times New Roman" w:hAnsi="Times New Roman"/>
          <w:sz w:val="18"/>
          <w:szCs w:val="18"/>
          <w:color w:val="auto"/>
        </w:rPr>
      </w:pPr>
    </w:p>
    <w:p>
      <w:pPr>
        <w:jc w:val="both"/>
        <w:ind w:left="540" w:right="180" w:hanging="532"/>
        <w:spacing w:after="0" w:line="262"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199"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the proceeds of which are expected to be used, or are used, for the construction, development or improvement of the Phase II Land or any building on the Phase II Land.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anything herein or above, Wynn Las Vegas, the Restricted Entities and their respective subsidiaries may:</w:t>
      </w:r>
    </w:p>
    <w:p>
      <w:pPr>
        <w:spacing w:after="0" w:line="239" w:lineRule="exact"/>
        <w:rPr>
          <w:sz w:val="20"/>
          <w:szCs w:val="20"/>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excavate, refurbish, improve or otherwise develop the Phase II Land as contemplated in the Plans and Specifications and the Project Budget,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repair the Phase II Land and the improvements thereon,</w:t>
      </w:r>
    </w:p>
    <w:p>
      <w:pPr>
        <w:spacing w:after="0" w:line="238"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remodel or reconfigure the improvements on the Phase II Land to provide for an employment center, office space and associated amenities, gallery space or design support for the Project,</w:t>
      </w:r>
    </w:p>
    <w:p>
      <w:pPr>
        <w:spacing w:after="0" w:line="187"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loss or damage to the Phase II Land or the improvements thereon, rebuild or repair the Phase II Land and the improvements thereon to the extent permitted by the</w:t>
      </w:r>
    </w:p>
    <w:p>
      <w:pPr>
        <w:spacing w:after="0" w:line="17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described above under the caption "Repurchase at the Option of the Holders—Events of Loss, or</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Government Transfers and have Permitted Liens of the type described in clause (12) of the definition of Permitted Liens."</w:t>
      </w:r>
    </w:p>
    <w:p>
      <w:pPr>
        <w:spacing w:after="0" w:line="22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on Development of Golf Course Land</w:t>
      </w:r>
    </w:p>
    <w:p>
      <w:pPr>
        <w:spacing w:after="0" w:line="229"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Subsidiaries to, at any time prior to the date on which the security interests in all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Golf Course Land are released in accordance with the covenant entitled "—Release of Security Interests":</w:t>
      </w:r>
    </w:p>
    <w:p>
      <w:pPr>
        <w:sectPr>
          <w:pgSz w:w="11900" w:h="16838" w:orient="portrait"/>
          <w:cols w:equalWidth="0" w:num="1">
            <w:col w:w="11420"/>
          </w:cols>
          <w:pgMar w:left="240" w:top="125" w:right="239" w:bottom="0" w:gutter="0" w:footer="0" w:header="0"/>
          <w:type w:val="continuous"/>
        </w:sectPr>
      </w:pPr>
    </w:p>
    <w:bookmarkStart w:id="91" w:name="page92"/>
    <w:bookmarkEnd w:id="91"/>
    <w:p>
      <w:pPr>
        <w:ind w:left="540" w:right="500" w:hanging="532"/>
        <w:spacing w:after="0" w:line="275"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200" w:lineRule="exact"/>
        <w:rPr>
          <w:rFonts w:ascii="Times New Roman" w:cs="Times New Roman" w:eastAsia="Times New Roman" w:hAnsi="Times New Roman"/>
          <w:sz w:val="18"/>
          <w:szCs w:val="18"/>
          <w:color w:val="auto"/>
        </w:rPr>
      </w:pPr>
    </w:p>
    <w:p>
      <w:pPr>
        <w:jc w:val="both"/>
        <w:ind w:left="540" w:right="180" w:hanging="532"/>
        <w:spacing w:after="0" w:line="262"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199"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the proceeds of which are expected to be used, or are used, for the construction, development or improvement of the Golf Course Land.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anything herein or above, Wynn Las Vegas, the Restricted Entities and their respective Restricted Subsidiaries may:</w:t>
      </w:r>
    </w:p>
    <w:p>
      <w:pPr>
        <w:spacing w:after="0" w:line="239" w:lineRule="exact"/>
        <w:rPr>
          <w:sz w:val="20"/>
          <w:szCs w:val="20"/>
          <w:color w:val="auto"/>
        </w:rPr>
      </w:pPr>
    </w:p>
    <w:p>
      <w:pPr>
        <w:ind w:left="540" w:right="80" w:hanging="532"/>
        <w:spacing w:after="0" w:line="275"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construct the 18-hole championship golf course as contemplated by the Golf Course Lease and the Plans and Specifications prior to the Final Completion Date,</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repair such golf course on the Golf Course Land,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improvements to such golf course that enhance its use as a golf course for the benefit of the Project,</w:t>
      </w:r>
    </w:p>
    <w:p>
      <w:pPr>
        <w:spacing w:after="0" w:line="238"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reconfigure certain portions of the golf course in connection with the release of portions of the Golf Course Land in accordance with the provisions set forth under "Security Interests—Release of Golf Course Land and Phase II Land —Release of Portions of Golf Course Land" and "—Release of Homesite Acreage,"</w:t>
      </w:r>
    </w:p>
    <w:p>
      <w:pPr>
        <w:spacing w:after="0" w:line="213" w:lineRule="exact"/>
        <w:rPr>
          <w:sz w:val="20"/>
          <w:szCs w:val="20"/>
          <w:color w:val="auto"/>
        </w:rPr>
      </w:pPr>
    </w:p>
    <w:p>
      <w:pPr>
        <w:ind w:left="540" w:right="120" w:hanging="532"/>
        <w:spacing w:after="0" w:line="275"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spacing w:after="0" w:line="187" w:lineRule="exact"/>
        <w:rPr>
          <w:rFonts w:ascii="Times New Roman" w:cs="Times New Roman" w:eastAsia="Times New Roman" w:hAnsi="Times New Roman"/>
          <w:sz w:val="18"/>
          <w:szCs w:val="18"/>
          <w:color w:val="auto"/>
        </w:rPr>
      </w:pPr>
    </w:p>
    <w:p>
      <w:pPr>
        <w:ind w:left="540" w:right="320" w:hanging="532"/>
        <w:spacing w:after="0" w:line="275"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develop or improve the Golf Course Land for the purpose of constructing the Project as contemplated by the Plans and Specifications or the Disbursement Agreement,</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Government Transfers, and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Permitted Liens of the type described in clause (12) of the definition of Permitted Liens.</w:t>
      </w:r>
    </w:p>
    <w:p>
      <w:pPr>
        <w:spacing w:after="0" w:line="22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Payments of Management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directly or indirectly:</w:t>
      </w:r>
    </w:p>
    <w:p>
      <w:pPr>
        <w:spacing w:after="0" w:line="239" w:lineRule="exact"/>
        <w:rPr>
          <w:sz w:val="20"/>
          <w:szCs w:val="20"/>
          <w:color w:val="auto"/>
        </w:rPr>
      </w:pPr>
    </w:p>
    <w:p>
      <w:pPr>
        <w:ind w:left="540" w:hanging="532"/>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Management Fees: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220" w:hanging="532"/>
        <w:spacing w:after="0" w:line="258" w:lineRule="auto"/>
        <w:tabs>
          <w:tab w:leader="none" w:pos="10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payment would cause the Consolidated Leverage Ratio of the Issuers and their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w:t>
      </w:r>
    </w:p>
    <w:p>
      <w:pPr>
        <w:spacing w:after="0" w:line="1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proposed to be paid and any indebtedness proposed to be incurred to finance the payment of such Management Fees);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500" w:hanging="532"/>
        <w:spacing w:after="0" w:line="275" w:lineRule="auto"/>
        <w:tabs>
          <w:tab w:leader="none" w:pos="10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payment of such Management Fees, a Default or an Event of Default has occurred and is continuing or will occur as a result thereof;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any Management Fees.</w:t>
      </w:r>
    </w:p>
    <w:p>
      <w:pPr>
        <w:spacing w:after="0" w:line="22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Advances to Guarantors</w:t>
      </w:r>
    </w:p>
    <w:p>
      <w:pPr>
        <w:spacing w:after="0" w:line="229" w:lineRule="exact"/>
        <w:rPr>
          <w:sz w:val="20"/>
          <w:szCs w:val="20"/>
          <w:color w:val="auto"/>
        </w:rPr>
      </w:pPr>
    </w:p>
    <w:p>
      <w:pPr>
        <w:jc w:val="both"/>
        <w:ind w:right="140" w:firstLine="341"/>
        <w:spacing w:after="0" w:line="262" w:lineRule="auto"/>
        <w:rPr>
          <w:sz w:val="20"/>
          <w:szCs w:val="20"/>
          <w:color w:val="auto"/>
        </w:rPr>
      </w:pPr>
      <w:r>
        <w:rPr>
          <w:rFonts w:ascii="Times New Roman" w:cs="Times New Roman" w:eastAsia="Times New Roman" w:hAnsi="Times New Roman"/>
          <w:sz w:val="18"/>
          <w:szCs w:val="18"/>
          <w:color w:val="auto"/>
        </w:rPr>
        <w:t>All advances to Guarantors made by Wynn Las Vegas, any Restricted Entity or any of their respective Restricted Subsidiaries after the date of the indenture will be unsecured, will be evidenced by intercompany notes and will be pledged pursuant to the Collateral Documents. Each intercompany note will be payable upon demand and will bear interest at then current fair market interests rates.</w:t>
      </w:r>
    </w:p>
    <w:p>
      <w:pPr>
        <w:sectPr>
          <w:pgSz w:w="11900" w:h="16838" w:orient="portrait"/>
          <w:cols w:equalWidth="0" w:num="1">
            <w:col w:w="11420"/>
          </w:cols>
          <w:pgMar w:left="240" w:top="139" w:right="239" w:bottom="86" w:gutter="0" w:footer="0" w:header="0"/>
        </w:sectPr>
      </w:pP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Limitation on Issuances and Sales of Equity Interests in Wholly Owned Subsidiaries</w:t>
      </w:r>
    </w:p>
    <w:p>
      <w:pPr>
        <w:sectPr>
          <w:pgSz w:w="11900" w:h="16838" w:orient="portrait"/>
          <w:cols w:equalWidth="0" w:num="1">
            <w:col w:w="11420"/>
          </w:cols>
          <w:pgMar w:left="240" w:top="139" w:right="239" w:bottom="86" w:gutter="0" w:footer="0" w:header="0"/>
          <w:type w:val="continuous"/>
        </w:sectPr>
      </w:pPr>
    </w:p>
    <w:bookmarkStart w:id="92" w:name="page93"/>
    <w:bookmarkEnd w:id="92"/>
    <w:p>
      <w:pPr>
        <w:spacing w:after="0" w:line="36"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74" w:lineRule="exact"/>
        <w:rPr>
          <w:sz w:val="20"/>
          <w:szCs w:val="20"/>
          <w:color w:val="auto"/>
        </w:rPr>
      </w:pPr>
    </w:p>
    <w:p>
      <w:pPr>
        <w:jc w:val="both"/>
        <w:ind w:right="360" w:firstLine="348"/>
        <w:spacing w:after="0" w:line="310" w:lineRule="auto"/>
        <w:rPr>
          <w:sz w:val="20"/>
          <w:szCs w:val="20"/>
          <w:color w:val="auto"/>
        </w:rPr>
      </w:pPr>
      <w:r>
        <w:rPr>
          <w:rFonts w:ascii="Times New Roman" w:cs="Times New Roman" w:eastAsia="Times New Roman" w:hAnsi="Times New Roman"/>
          <w:sz w:val="16"/>
          <w:szCs w:val="16"/>
          <w:color w:val="auto"/>
        </w:rPr>
        <w:t>Wynn Las Vegas and the Restricted Entities will not, and will not permit any of their respective Restricted Subsidiaries to, transfer, convey, sell, lease or otherwise dispose of any Equity Interests in any of their respective Wholly Owned Restricted Subsidiaries or any Restricted Entity to any Person (other than Wynn Las Vegas, a Restricted Entity, or any of Wynn Las Vegas' or any Restricted Entity's Wholly Owned Subsidiaries that is a Guarantor), unless:</w:t>
      </w:r>
    </w:p>
    <w:p>
      <w:pPr>
        <w:spacing w:after="0" w:line="165" w:lineRule="exact"/>
        <w:rPr>
          <w:sz w:val="20"/>
          <w:szCs w:val="20"/>
          <w:color w:val="auto"/>
        </w:rPr>
      </w:pPr>
    </w:p>
    <w:p>
      <w:pPr>
        <w:ind w:left="540" w:hanging="532"/>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conveyance, sale, lease or other disposition is of all the Equity Interests in such entity; and</w:t>
      </w:r>
    </w:p>
    <w:p>
      <w:pPr>
        <w:spacing w:after="0" w:line="252"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174" w:lineRule="exact"/>
        <w:rPr>
          <w:sz w:val="20"/>
          <w:szCs w:val="20"/>
          <w:color w:val="auto"/>
        </w:rPr>
      </w:pPr>
    </w:p>
    <w:p>
      <w:pPr>
        <w:jc w:val="center"/>
        <w:ind w:right="340"/>
        <w:spacing w:after="0" w:line="310" w:lineRule="auto"/>
        <w:rPr>
          <w:sz w:val="20"/>
          <w:szCs w:val="20"/>
          <w:color w:val="auto"/>
        </w:rPr>
      </w:pPr>
      <w:r>
        <w:rPr>
          <w:rFonts w:ascii="Times New Roman" w:cs="Times New Roman" w:eastAsia="Times New Roman" w:hAnsi="Times New Roman"/>
          <w:sz w:val="16"/>
          <w:szCs w:val="16"/>
          <w:color w:val="auto"/>
        </w:rPr>
        <w:t>In addition, Wynn Las Vegas and the Restricted Entities (other than Valvino Lamore) will not, and will not permit any of their respective Restricted Subsidiaries to, issue any of their respective Equity Interests (other than, if necessary, shares of their respective capital stock constituting directors' qualifying shares) to any Person other than to Wynn Las Vegas, a Restricted Entity or any of their respective Wholly Owned Restricted Subsidiaries that is a Guarantor.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Issuances of Guarantees of, or Security Interests to Secure, Indebtedness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directly or indirectly, Guarantee or pledge any assets to secure the payment and/or performance of any Indebtedness of Wynn Resorts unless (1) such Guarantee or pledge is otherwise permitted under the covenants captioned "—Incurrence of Indebtedness and Issuance of Preferred Equity" and "—Liens" and (2) each applicable entity simultaneously executes and delivers:</w:t>
      </w:r>
    </w:p>
    <w:p>
      <w:pPr>
        <w:spacing w:after="0" w:line="202" w:lineRule="exact"/>
        <w:rPr>
          <w:sz w:val="20"/>
          <w:szCs w:val="20"/>
          <w:color w:val="auto"/>
        </w:rPr>
      </w:pPr>
    </w:p>
    <w:p>
      <w:pPr>
        <w:ind w:left="540" w:right="200" w:hanging="532"/>
        <w:spacing w:after="0" w:line="277"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provided, a Guarantee of the payment of the notes by such entity, which Guarantee will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entity's Guarantee of such other Indebtedness; and</w:t>
      </w:r>
    </w:p>
    <w:p>
      <w:pPr>
        <w:spacing w:after="0" w:line="185"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security interest granted by such entity to secure such other Indebtedness.</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Amendments to Certain Agreements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or prior to the Final Completion Date, except as contemplated by the Disbursement Agreement,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the Golf Course Construction Contract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any Restricted Entity or any of their respective Restricted Subsidiaries to develop, construct or operate the Project or (2) cause the Completion Date to occur or result in that date occurring after the Outside Completion Deadline.</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Following the Final Completion Date,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20" w:lineRule="exact"/>
        <w:rPr>
          <w:sz w:val="20"/>
          <w:szCs w:val="20"/>
          <w:color w:val="auto"/>
        </w:rPr>
      </w:pPr>
    </w:p>
    <w:p>
      <w:pPr>
        <w:ind w:left="540" w:right="80" w:hanging="532"/>
        <w:spacing w:after="0" w:line="275"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amounts payable to Persons other than Wynn Las Vegas and its Restricted Subsidiaries thereunder by Wynn Las Vegas, any Restricted Entity or any of their respective Restricted Subsidiaries,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dates on which such amounts are to be paid to dates earlier than those set forth in such agreement, as in effect on the date of the indenture,</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40" w:right="160" w:hanging="532"/>
        <w:spacing w:after="0" w:line="262"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services provided thereunder to Wynn Las Vegas, any Restricted Entity or any of their respective Restricted Subsidiaries unless accompanied by a corresponding decrease in the amounts payable by Wynn Las Vegas, any Restricted Entity or any of their respective Restricted Subsidiaries thereunder,</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impair the rights or remedies of the holders of the notes thereunder or under the indenture or the Collateral Documents, or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impair the development, use or operation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-1135380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Amendments to Limited Liability Company Agreements and Charter Documents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74" w:orient="portrait"/>
          <w:cols w:equalWidth="0" w:num="1">
            <w:col w:w="11400"/>
          </w:cols>
          <w:pgMar w:left="240" w:top="125" w:right="259" w:bottom="0" w:gutter="0" w:footer="0" w:header="0"/>
        </w:sectPr>
      </w:pPr>
    </w:p>
    <w:bookmarkStart w:id="93" w:name="page94"/>
    <w:bookmarkEnd w:id="93"/>
    <w:p>
      <w:pPr>
        <w:ind w:left="540"/>
        <w:spacing w:after="0"/>
        <w:rPr>
          <w:sz w:val="20"/>
          <w:szCs w:val="20"/>
          <w:color w:val="auto"/>
        </w:rPr>
      </w:pPr>
      <w:r>
        <w:rPr>
          <w:rFonts w:ascii="Times New Roman" w:cs="Times New Roman" w:eastAsia="Times New Roman" w:hAnsi="Times New Roman"/>
          <w:sz w:val="18"/>
          <w:szCs w:val="18"/>
          <w:color w:val="auto"/>
        </w:rPr>
        <w:t>dissolve, or</w:t>
      </w:r>
    </w:p>
    <w:p>
      <w:pPr>
        <w:spacing w:after="0" w:line="239" w:lineRule="exact"/>
        <w:rPr>
          <w:sz w:val="20"/>
          <w:szCs w:val="20"/>
          <w:color w:val="auto"/>
        </w:rPr>
      </w:pPr>
    </w:p>
    <w:p>
      <w:pPr>
        <w:ind w:left="540" w:right="120" w:hanging="532"/>
        <w:spacing w:after="0" w:line="301" w:lineRule="auto"/>
        <w:tabs>
          <w:tab w:leader="none" w:pos="54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w:t>
      </w:r>
    </w:p>
    <w:p>
      <w:pPr>
        <w:spacing w:after="0" w:line="153"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Wynn Las Vegas and the Restricted Entities will, and will cause their respective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86" w:lineRule="exact"/>
        <w:rPr>
          <w:sz w:val="20"/>
          <w:szCs w:val="20"/>
          <w:color w:val="auto"/>
        </w:rPr>
      </w:pPr>
    </w:p>
    <w:p>
      <w:pPr>
        <w:ind w:left="540"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16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Concurrently with (1) the formation or acquisition of any Restricted Subsidiary of Wynn Las Vegas or any Restricted Entity that, in either case, becomes or is required under the Credit Agreement to become a Guarantor of any of the obligations under the Credit Agreement, (2) the designation of an Unrestricted Subsidiary of Wynn Las Vegas as a Restricted Subsidiary, or (3) the reorganization by Wynn Las Vegas, any Restricted Entity or any of their respective Restricted Subsidiaries as a subchapter "C" corporation in a Permitted C-Corp. Conversion, Wynn Las Vegas and the Restricted Entities shall, to the extent not prohibited by Gaming Authorities or applicable Gaming Laws and subject to the Intercreditor Agreements:</w:t>
      </w:r>
    </w:p>
    <w:p>
      <w:pPr>
        <w:spacing w:after="0" w:line="220" w:lineRule="exact"/>
        <w:rPr>
          <w:sz w:val="20"/>
          <w:szCs w:val="20"/>
          <w:color w:val="auto"/>
        </w:rPr>
      </w:pPr>
    </w:p>
    <w:p>
      <w:pPr>
        <w:jc w:val="both"/>
        <w:ind w:left="540" w:right="100" w:hanging="532"/>
        <w:spacing w:after="0" w:line="262"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sz w:val="20"/>
          <w:szCs w:val="20"/>
          <w:color w:val="auto"/>
        </w:rPr>
      </w:pPr>
    </w:p>
    <w:p>
      <w:pPr>
        <w:spacing w:after="0" w:line="216" w:lineRule="exact"/>
        <w:rPr>
          <w:sz w:val="20"/>
          <w:szCs w:val="20"/>
          <w:color w:val="auto"/>
        </w:rPr>
      </w:pPr>
    </w:p>
    <w:p>
      <w:pPr>
        <w:ind w:left="1080" w:right="420" w:hanging="532"/>
        <w:spacing w:after="0" w:line="275"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subchapter "C" corporation is an Issuer, cause such subchapter "C" corporation to execute and deliver to the trustee (i) a supplemental indenture, (ii) an assumption agreement unconditionally and irrevocably assuming all of the right, title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080"/>
        <w:spacing w:after="0" w:line="310" w:lineRule="auto"/>
        <w:rPr>
          <w:sz w:val="20"/>
          <w:szCs w:val="20"/>
          <w:color w:val="auto"/>
        </w:rPr>
      </w:pPr>
      <w:r>
        <w:rPr>
          <w:rFonts w:ascii="Times New Roman" w:cs="Times New Roman" w:eastAsia="Times New Roman" w:hAnsi="Times New Roman"/>
          <w:sz w:val="16"/>
          <w:szCs w:val="16"/>
          <w:color w:val="auto"/>
        </w:rPr>
        <w:t>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65" w:lineRule="exact"/>
        <w:rPr>
          <w:sz w:val="20"/>
          <w:szCs w:val="20"/>
          <w:color w:val="auto"/>
        </w:rPr>
      </w:pPr>
    </w:p>
    <w:p>
      <w:pPr>
        <w:ind w:left="540" w:right="40" w:hanging="532"/>
        <w:spacing w:after="0" w:line="258"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Restricted Subsidiary or subchapter "C" corporation to execute and deliver to the trustee, (a) an assumption agreement in the form of Annex 1 to the applicable Guarantee and Collateral Agreement (under which such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217" w:lineRule="exact"/>
        <w:rPr>
          <w:rFonts w:ascii="Times New Roman" w:cs="Times New Roman" w:eastAsia="Times New Roman" w:hAnsi="Times New Roman"/>
          <w:sz w:val="18"/>
          <w:szCs w:val="18"/>
          <w:color w:val="auto"/>
        </w:rPr>
      </w:pPr>
    </w:p>
    <w:p>
      <w:pPr>
        <w:ind w:left="540" w:right="320" w:hanging="532"/>
        <w:spacing w:after="0" w:line="262"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Subsidiary or subchapter "C" corporation to execute and deliver to the trustee:</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jc w:val="both"/>
        <w:ind w:left="1080" w:right="280" w:hanging="532"/>
        <w:spacing w:after="0" w:line="262" w:lineRule="auto"/>
        <w:tabs>
          <w:tab w:leader="none" w:pos="10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199"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Restricted Subsidiary, title and extended coverage insurance covering such real property in an amount at least equal to the purchase price of such real property, and</w:t>
      </w:r>
    </w:p>
    <w:p>
      <w:pPr>
        <w:spacing w:after="0" w:line="200"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pledge, or cause to be pledged, to the trustee (i) all of the outstanding capital stock of such entity or subchapter "C" corporation owned by Wynn Las Vegas, any Restricted Entity or any of their respective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203"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take, and cause such Restricted Subsidiary or subchapter "C" corporation and each other Restricted Subsidiary to take all action necessary or, in the opinion of the trustee,</w:t>
      </w:r>
    </w:p>
    <w:p>
      <w:pPr>
        <w:spacing w:after="0" w:line="17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desirable to perfect and protect the security interests intended to be created by the Collateral Documents, as modified under this paragraph; and</w:t>
      </w:r>
    </w:p>
    <w:p>
      <w:pPr>
        <w:spacing w:after="0" w:line="252"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trustee such opinions of counsel, if any, as the trustee may reasonably require with respect to the foregoing (including opinions as to enforceability and perfection of security interests).</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1420"/>
          </w:cols>
          <w:pgMar w:left="240" w:top="125" w:right="239" w:bottom="0" w:gutter="0" w:footer="0" w:header="0"/>
          <w:type w:val="continuous"/>
        </w:sectPr>
      </w:pPr>
    </w:p>
    <w:bookmarkStart w:id="94" w:name="page95"/>
    <w:bookmarkEnd w:id="94"/>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Additional Collateral; Acquisition of Assets or Property</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Concurrently with the acquisition by Wynn Las Vegas, any Restricted Entity or any of their respective Restricted Subsidiaries of any assets or property (other than a Subsidiary of either Wynn Las Vegas or any Restricted Entity), to the extent not prohibited by Gaming Authorities or applicable Gaming Laws and subject to the Intercreditor Agreements, Wynn Las Vegas and the Restricted Entities will, and will cause their respective Restricted Subsidiaries to, cause the applicable entity to:</w:t>
      </w:r>
    </w:p>
    <w:p>
      <w:pPr>
        <w:spacing w:after="0" w:line="204" w:lineRule="exact"/>
        <w:rPr>
          <w:sz w:val="20"/>
          <w:szCs w:val="20"/>
          <w:color w:val="auto"/>
        </w:rPr>
      </w:pPr>
    </w:p>
    <w:p>
      <w:pPr>
        <w:jc w:val="both"/>
        <w:ind w:left="540" w:right="400" w:hanging="532"/>
        <w:spacing w:after="0" w:line="26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personal property with an aggregate fair market value in excess of $50,000 (other than FF&amp;E Collateral and Aircraft Assets) for all such acquired personal property, execute and deliver to the trustee such Uniform Commercial Code financing statements, if any, as are necessary or, in the opinion of the trustee, desirable to perfect and protect the trustee's security interest in such assets or property;</w:t>
      </w:r>
    </w:p>
    <w:p>
      <w:pPr>
        <w:spacing w:after="0" w:line="213" w:lineRule="exact"/>
        <w:rPr>
          <w:rFonts w:ascii="Times New Roman" w:cs="Times New Roman" w:eastAsia="Times New Roman" w:hAnsi="Times New Roman"/>
          <w:sz w:val="18"/>
          <w:szCs w:val="18"/>
          <w:color w:val="auto"/>
        </w:rPr>
      </w:pPr>
    </w:p>
    <w:p>
      <w:pPr>
        <w:ind w:left="540" w:right="400" w:hanging="532"/>
        <w:spacing w:after="0" w:line="275"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real property, that (i) is contiguous to any real property included in the Collateral (other than a Golf Course Home) or (ii) has a fair market value in excess of $5.0 million in the aggregate or $2.5 million individually, execute and deliver to the trustee:</w:t>
      </w:r>
    </w:p>
    <w:p>
      <w:pPr>
        <w:spacing w:after="0" w:line="200" w:lineRule="exact"/>
        <w:rPr>
          <w:sz w:val="20"/>
          <w:szCs w:val="20"/>
          <w:color w:val="auto"/>
        </w:rPr>
      </w:pPr>
    </w:p>
    <w:p>
      <w:pPr>
        <w:spacing w:after="0" w:line="204" w:lineRule="exact"/>
        <w:rPr>
          <w:sz w:val="20"/>
          <w:szCs w:val="20"/>
          <w:color w:val="auto"/>
        </w:rPr>
      </w:pPr>
    </w:p>
    <w:p>
      <w:pPr>
        <w:ind w:left="1080" w:right="180" w:hanging="532"/>
        <w:spacing w:after="0" w:line="262" w:lineRule="auto"/>
        <w:tabs>
          <w:tab w:leader="none" w:pos="10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deed of trust, substantially in the form of the Deeds of Trust (with such modifications as are necessary to comply with applicable law) (under which Wynn Las Vegas, such Restricted Entity or such Restricted Subsidiary will grant a security interest to the trustee in such real property and any related fixtures), and</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extended coverage insurance covering such real property in an amount at least equal to the purchase price of such real property;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Assurances</w:t>
      </w:r>
    </w:p>
    <w:p>
      <w:pPr>
        <w:spacing w:after="0" w:line="22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Wynn Las Vegas and the Restricted Entities will, and will cause their respective Restricted Subsidiaries to, execute and deliver such additional instruments, certificates or documents, and take all such actions as may be reasonably required from time to time in order to:</w:t>
      </w:r>
    </w:p>
    <w:p>
      <w:pPr>
        <w:spacing w:after="0" w:line="187" w:lineRule="exact"/>
        <w:rPr>
          <w:sz w:val="20"/>
          <w:szCs w:val="20"/>
          <w:color w:val="auto"/>
        </w:rPr>
      </w:pPr>
    </w:p>
    <w:p>
      <w:pPr>
        <w:ind w:left="540" w:hanging="532"/>
        <w:spacing w:after="0"/>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more effectively the purposes of the Collateral Documents;</w:t>
      </w:r>
    </w:p>
    <w:p>
      <w:pPr>
        <w:spacing w:after="0" w:line="238" w:lineRule="exact"/>
        <w:rPr>
          <w:rFonts w:ascii="Times New Roman" w:cs="Times New Roman" w:eastAsia="Times New Roman" w:hAnsi="Times New Roman"/>
          <w:sz w:val="18"/>
          <w:szCs w:val="18"/>
          <w:color w:val="auto"/>
        </w:rPr>
      </w:pPr>
    </w:p>
    <w:p>
      <w:pPr>
        <w:ind w:left="540" w:right="40" w:hanging="532"/>
        <w:spacing w:after="0" w:line="275" w:lineRule="auto"/>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200" w:lineRule="exact"/>
        <w:rPr>
          <w:rFonts w:ascii="Times New Roman" w:cs="Times New Roman" w:eastAsia="Times New Roman" w:hAnsi="Times New Roman"/>
          <w:sz w:val="18"/>
          <w:szCs w:val="18"/>
          <w:color w:val="auto"/>
        </w:rPr>
      </w:pPr>
    </w:p>
    <w:p>
      <w:pPr>
        <w:ind w:left="540" w:right="200" w:hanging="532"/>
        <w:spacing w:after="0" w:line="262" w:lineRule="auto"/>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any of the rights granted or intended to be granted to the trustee or any holder under the Collateral Documents or under any other instrument executed in connection therewith or granted to Wynn Las Vegas, any Restricted Entity or any of their respective Restricted Subsidiaries under the Collateral Documents or under any other instrument executed in connection therewith are protected and enforced.</w:t>
      </w:r>
    </w:p>
    <w:p>
      <w:pPr>
        <w:spacing w:after="0" w:line="186"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the Nevada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PUC or any Gaming Authority), Wynn Las Vegas and the Restricted Entities will, and will cause their respective Restricted Subsidiaries to, execute and deliver all applications, certifications, instruments and other documents and papers that may be required from Wynn Resorts, Wynn Las Vegas, any Restricted Entity or any of Wynn Las Vegas' or any Restricted Entity's Restricted Subsidiaries for such governmental consent, approval, recording, qualification or authorization.</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Nevada PUC Approvals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and the Restricted Entities will, and will cause each of their respective Restricted Subsidiaries and Desert Inn Improvement Co. to:</w:t>
      </w:r>
    </w:p>
    <w:p>
      <w:pPr>
        <w:spacing w:after="0" w:line="239" w:lineRule="exact"/>
        <w:rPr>
          <w:sz w:val="20"/>
          <w:szCs w:val="20"/>
          <w:color w:val="auto"/>
        </w:rPr>
      </w:pPr>
    </w:p>
    <w:p>
      <w:pPr>
        <w:jc w:val="both"/>
        <w:ind w:left="540" w:right="200" w:hanging="532"/>
        <w:spacing w:after="0" w:line="26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their commercially reasonable efforts to obtain as soon as reasonably practicable the consent of the Nevada PUC to the Water Rights Transfer to the grant of a security interest in favor of the trustee for the benefit of the note holders in any Water Rights held by any of the Water Companies, including, without limitation, the Water Rights for the Golf Course Land, owned by Desert Inn Improvement Co., and</w:t>
      </w:r>
    </w:p>
    <w:p>
      <w:pPr>
        <w:spacing w:after="0" w:line="199" w:lineRule="exact"/>
        <w:rPr>
          <w:rFonts w:ascii="Times New Roman" w:cs="Times New Roman" w:eastAsia="Times New Roman" w:hAnsi="Times New Roman"/>
          <w:sz w:val="18"/>
          <w:szCs w:val="18"/>
          <w:color w:val="auto"/>
        </w:rPr>
      </w:pPr>
    </w:p>
    <w:p>
      <w:pPr>
        <w:ind w:left="540" w:right="540" w:hanging="532"/>
        <w:spacing w:after="0" w:line="275"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any such consent, take such other actions as may be reasonably required from time to time to create, grant, perfect and maintain the validity, effectiveness, perfection and priority of the trustee's security interest in the applicable Water Rights.</w:t>
      </w:r>
    </w:p>
    <w:p>
      <w:pPr>
        <w:spacing w:after="0" w:line="16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Payments for Consent</w:t>
      </w:r>
    </w:p>
    <w:p>
      <w:pPr>
        <w:spacing w:after="0" w:line="229"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Wynn Las Vegas and the Restricted Entities will not, and will not permit any of their respective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Incurrence of Indebtedness and Guarantees by Wynn Resorts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terms of the Wynn Resorts Agreement, Wynn Resorts will agree that it will not:</w:t>
      </w:r>
    </w:p>
    <w:p>
      <w:pPr>
        <w:sectPr>
          <w:pgSz w:w="11900" w:h="16838" w:orient="portrait"/>
          <w:cols w:equalWidth="0" w:num="1">
            <w:col w:w="11420"/>
          </w:cols>
          <w:pgMar w:left="240" w:top="364" w:right="239" w:bottom="0" w:gutter="0" w:footer="0" w:header="0"/>
        </w:sectPr>
      </w:pPr>
    </w:p>
    <w:bookmarkStart w:id="95" w:name="page96"/>
    <w:bookmarkEnd w:id="95"/>
    <w:p>
      <w:pPr>
        <w:ind w:left="540" w:right="640" w:hanging="532"/>
        <w:spacing w:after="0" w:line="275"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 excess of $10.0 million in the aggregate (other than Project Related Indebtedness or Gaming Redemption Indebtedness) or guarantee the Indebtedness of any of its Affiliates (other than a guarantee of the Floor Plan Financing), unless: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concurrently becomes the Parent Guarantor of the notes, and</w:t>
      </w:r>
    </w:p>
    <w:p>
      <w:pPr>
        <w:spacing w:after="0" w:line="236" w:lineRule="exact"/>
        <w:rPr>
          <w:rFonts w:ascii="Times New Roman" w:cs="Times New Roman" w:eastAsia="Times New Roman" w:hAnsi="Times New Roman"/>
          <w:sz w:val="18"/>
          <w:szCs w:val="18"/>
          <w:color w:val="auto"/>
        </w:rPr>
      </w:pPr>
    </w:p>
    <w:p>
      <w:pPr>
        <w:ind w:left="1080" w:right="120" w:hanging="532"/>
        <w:spacing w:after="0" w:line="277" w:lineRule="auto"/>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Wynn Resorts' Parent Guarantee of the notes ranks senior to or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obligations of Wynn Resorts under the Indebtedness or the guarantee by Wynn Resorts of the Affiliate's Indebtedness,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security interests in any of its assets or properties (other than a security interest in favor of the trustee for the benefit of the noteholders and security interests granted in Excluded Project Assets or assets or properties that individually and in the aggregate have a fair market value of less than $10.0 million) in favor of any Person to secure (i) any Indebtedness of any of its Affiliates, (ii) any Guarantee by Wynn Resorts of Indebtedness of any of its Affiliates, or (iii) any Indebtedness incurred by Wynn Resorts, unless:</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concurrently grants a security interest in those assets or properties in favor of the trustee to secure the guarantee given by Wynn Resorts under clause (1) above or, if no such guarantee has been given, to secure the notes, and</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80" w:right="80" w:hanging="532"/>
        <w:spacing w:after="0" w:line="277"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described in clause (a) above ranks senior to or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security interest granted by Wynn Resorts in respect of its Indebtedness, the Affiliate's Indebtedness or its guarantee of the Affiliate's Indebtedness, as the case may be.</w:t>
      </w:r>
    </w:p>
    <w:p>
      <w:pPr>
        <w:spacing w:after="0" w:line="172"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However, the restrictions contained in clauses (1) and (2) of the immediately preceding paragraph will cease to apply to Wynn Resorts and any Parent Guarantee or Parent Security Agreement will be automatically released, at such time as either:</w:t>
      </w:r>
    </w:p>
    <w:p>
      <w:pPr>
        <w:spacing w:after="0" w:line="187" w:lineRule="exact"/>
        <w:rPr>
          <w:sz w:val="20"/>
          <w:szCs w:val="20"/>
          <w:color w:val="auto"/>
        </w:rPr>
      </w:pPr>
    </w:p>
    <w:p>
      <w:pPr>
        <w:ind w:left="540" w:hanging="532"/>
        <w:spacing w:after="0"/>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Date has occurred,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is continuing immediately prior to or after giving effect to such release,</w:t>
      </w:r>
    </w:p>
    <w:p>
      <w:pPr>
        <w:spacing w:after="0" w:line="238"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prior to such release and after giving pro forma effect to such release (as if, for purposes of calculating the Consolidated Leverage Ratio, such release had been made at the beginning of the applicable four-quarter period):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200"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secured long-term Indebtedness under the Credit Agreement is rated BB+ or higher by S&amp;P and Ba1 or higher by Moody's,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lenders under the Credit Agreement concurrently release the Guarantee and/or security interests granted by Wynn Resorts in their favor, and</w:t>
      </w:r>
    </w:p>
    <w:p>
      <w:pPr>
        <w:spacing w:after="0" w:line="261"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delivers an officers' certificate (including supporting calculations in reasonable detail) to the trustee confirming that the conditions in (a), (b), (c) and (d) of this clause (1) have been satisfied,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Default or Event of Default exists or is continuing immediately prior to or after giving effect to that release,</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lenders under the Credit Agreement and the Person whose Indebtedness Wynn Resorts guaranteed or granted security interest to secure (thereby triggering Wynn Resorts' obligations to enter into the Parent Guarantee or the Parent Security Agreement, as applicable, pursuant to the covenant captioned "—Restrictions on Incurrence of Indebtedness and Guarantees by Wynn Resorts") concurrently release the guarantee or security interests, as applicable, granted by Wynn Resorts in their favor, and</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delivers an officers' certificate to the trustee confirming that the conditions in (a) and (b) of this clause (2) have been satisfied.</w:t>
      </w:r>
    </w:p>
    <w:p>
      <w:pPr>
        <w:spacing w:after="0" w:line="225"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In addition, under the terms of the Wynn Resorts Agreement, Wynn Resorts will agree that it will not amend, modify, waive or otherwise change, or consent or agree to any amendment, modification, waiver or other change to, or otherwise fail to enforce, or terminate or abandon, any of the provisions of the Wynn Put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71" w:lineRule="exact"/>
        <w:rPr>
          <w:sz w:val="20"/>
          <w:szCs w:val="20"/>
          <w:color w:val="auto"/>
        </w:rPr>
      </w:pPr>
    </w:p>
    <w:p>
      <w:pPr>
        <w:ind w:left="540" w:right="460" w:hanging="532"/>
        <w:spacing w:after="0" w:line="275"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affect on the ability of Wynn Las Vegas, any Restricted Entity or any of their respective Restricted Subsidiaries to develop, construct or operate the Project,</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9" w:right="31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139" w:right="319" w:bottom="0" w:gutter="0" w:footer="0" w:header="0"/>
          <w:type w:val="continuous"/>
        </w:sectPr>
      </w:pPr>
    </w:p>
    <w:bookmarkStart w:id="96" w:name="page97"/>
    <w:bookmarkEnd w:id="96"/>
    <w:p>
      <w:pPr>
        <w:ind w:left="540"/>
        <w:spacing w:after="0"/>
        <w:rPr>
          <w:sz w:val="20"/>
          <w:szCs w:val="20"/>
          <w:color w:val="auto"/>
        </w:rPr>
      </w:pPr>
      <w:r>
        <w:rPr>
          <w:rFonts w:ascii="Times New Roman" w:cs="Times New Roman" w:eastAsia="Times New Roman" w:hAnsi="Times New Roman"/>
          <w:sz w:val="18"/>
          <w:szCs w:val="18"/>
          <w:color w:val="auto"/>
        </w:rPr>
        <w:t>cause the Completion Date to occur or result in that date occurring after the Outside Completion Deadline,</w:t>
      </w:r>
    </w:p>
    <w:p>
      <w:pPr>
        <w:spacing w:after="0" w:line="239" w:lineRule="exact"/>
        <w:rPr>
          <w:sz w:val="20"/>
          <w:szCs w:val="20"/>
          <w:color w:val="auto"/>
        </w:rPr>
      </w:pPr>
    </w:p>
    <w:p>
      <w:pPr>
        <w:ind w:left="540" w:hanging="532"/>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impair the rights or remedies of the holders of the notes under the indenture or the Collateral Documents, or</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impair the development, use or operation of the Project.</w:t>
      </w:r>
    </w:p>
    <w:p>
      <w:pPr>
        <w:spacing w:after="0" w:line="225"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Notwithstanding the provisions of this covenant, in no event shall Wynn Resorts be required, by reason of granting the Parent Guarantee or any security interest pursuant to this covenant, to become a Restricted Entity.</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Activities of Wynn Capital</w:t>
      </w:r>
    </w:p>
    <w:p>
      <w:pPr>
        <w:spacing w:after="0" w:line="229"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Wynn Capital will not hold any material assets, hold any Equity Securities, incur any Indebtedness, become liable for any obligations, engage in any business activities or have any Subsidiaries. However,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229"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87" w:lineRule="exact"/>
        <w:rPr>
          <w:sz w:val="20"/>
          <w:szCs w:val="20"/>
          <w:color w:val="auto"/>
        </w:rPr>
      </w:pPr>
    </w:p>
    <w:p>
      <w:pPr>
        <w:ind w:left="540" w:hanging="532"/>
        <w:spacing w:after="0"/>
        <w:tabs>
          <w:tab w:leader="none" w:pos="5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quarterly and annual financial information that would be required to be contained in a filing with the Commission on Forms 10-Q and 10-K if each of</w:t>
      </w:r>
    </w:p>
    <w:p>
      <w:pPr>
        <w:spacing w:after="0" w:line="44" w:lineRule="exact"/>
        <w:rPr>
          <w:rFonts w:ascii="Times New Roman" w:cs="Times New Roman" w:eastAsia="Times New Roman" w:hAnsi="Times New Roman"/>
          <w:sz w:val="16"/>
          <w:szCs w:val="16"/>
          <w:color w:val="auto"/>
        </w:rPr>
      </w:pPr>
    </w:p>
    <w:p>
      <w:pPr>
        <w:jc w:val="both"/>
        <w:ind w:left="540" w:right="2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Wynn Las Vegas and (b) the Restricted Entities were required to file such Forms, including a "Management's Discussion and Analysis of Financial Condition and Results of Operations" and, with respect to the annual information only, a report on the annual financial statements by Wynn Las Vegas' and the Restricted Entities' certified independent accountants; and</w:t>
      </w:r>
    </w:p>
    <w:p>
      <w:pPr>
        <w:spacing w:after="0" w:line="205" w:lineRule="exact"/>
        <w:rPr>
          <w:rFonts w:ascii="Times New Roman" w:cs="Times New Roman" w:eastAsia="Times New Roman" w:hAnsi="Times New Roman"/>
          <w:sz w:val="16"/>
          <w:szCs w:val="16"/>
          <w:color w:val="auto"/>
        </w:rPr>
      </w:pPr>
    </w:p>
    <w:p>
      <w:pPr>
        <w:ind w:left="540" w:right="60" w:hanging="532"/>
        <w:spacing w:after="0" w:line="275"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Commission on Form 8-K if each of (a) Wynn Las Vegas and (b) the Restricted Entities was required to file such reports.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52" w:lineRule="exact"/>
        <w:rPr>
          <w:sz w:val="20"/>
          <w:szCs w:val="20"/>
          <w:color w:val="auto"/>
        </w:rPr>
      </w:pPr>
    </w:p>
    <w:p>
      <w:pPr>
        <w:ind w:left="540" w:hanging="532"/>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premium, if any, on the notes;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Wynn Capital, Wynn Las Vegas, any Restricted Entity or any of their respective Restricted Subsidiaries: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99"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0" w:right="40" w:hanging="532"/>
        <w:spacing w:after="0" w:line="310" w:lineRule="auto"/>
        <w:tabs>
          <w:tab w:leader="none" w:pos="5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Wynn Capital, any Restricted Entity or any of their respective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78"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under the Disbursement Agreement;</w:t>
      </w:r>
    </w:p>
    <w:p>
      <w:pPr>
        <w:spacing w:after="0" w:line="238" w:lineRule="exact"/>
        <w:rPr>
          <w:rFonts w:ascii="Times New Roman" w:cs="Times New Roman" w:eastAsia="Times New Roman" w:hAnsi="Times New Roman"/>
          <w:sz w:val="18"/>
          <w:szCs w:val="18"/>
          <w:color w:val="auto"/>
        </w:rPr>
      </w:pPr>
    </w:p>
    <w:p>
      <w:pPr>
        <w:ind w:left="540" w:right="360" w:hanging="532"/>
        <w:spacing w:after="0" w:line="275"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Wynn Capital, any Restricted Entity or any of their respective Restricted Subsidiaries, the Completion Guarantor or any other party thereto (other than the trustee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75" w:lineRule="auto"/>
        <w:rPr>
          <w:sz w:val="20"/>
          <w:szCs w:val="20"/>
          <w:color w:val="auto"/>
        </w:rPr>
      </w:pPr>
      <w:r>
        <w:rPr>
          <w:rFonts w:ascii="Times New Roman" w:cs="Times New Roman" w:eastAsia="Times New Roman" w:hAnsi="Times New Roman"/>
          <w:sz w:val="18"/>
          <w:szCs w:val="18"/>
          <w:color w:val="auto"/>
        </w:rPr>
        <w:t>or any representative of the lenders under the Credit Agreement or other lenders party thereto) for 60 days after receipt of written notice from the trustee to comply with any of its agreements, as applicable, in any Collateral Document;</w:t>
      </w:r>
    </w:p>
    <w:p>
      <w:pPr>
        <w:spacing w:after="0" w:line="187" w:lineRule="exact"/>
        <w:rPr>
          <w:sz w:val="20"/>
          <w:szCs w:val="20"/>
          <w:color w:val="auto"/>
        </w:rPr>
      </w:pPr>
    </w:p>
    <w:p>
      <w:pPr>
        <w:ind w:left="540" w:right="120" w:hanging="532"/>
        <w:spacing w:after="0" w:line="339" w:lineRule="auto"/>
        <w:tabs>
          <w:tab w:leader="none" w:pos="54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under any mortgage, indenture or instrument under which there may be issued or by which there may be secured or evidenced any Indebtedness for money borrowed by Wynn Las Vegas, any Restricted Entity or any of their respective Restricted Subsidiaries (or the payment of which is guaranteed</w:t>
      </w:r>
    </w:p>
    <w:p>
      <w:pPr>
        <w:sectPr>
          <w:pgSz w:w="11900" w:h="16838" w:orient="portrait"/>
          <w:cols w:equalWidth="0" w:num="1">
            <w:col w:w="11380"/>
          </w:cols>
          <w:pgMar w:left="240" w:top="125" w:right="279" w:bottom="0" w:gutter="0" w:footer="0" w:header="0"/>
        </w:sectPr>
      </w:pPr>
    </w:p>
    <w:bookmarkStart w:id="97" w:name="page98"/>
    <w:bookmarkEnd w:id="97"/>
    <w:p>
      <w:pPr>
        <w:ind w:left="540"/>
        <w:spacing w:after="0"/>
        <w:rPr>
          <w:sz w:val="20"/>
          <w:szCs w:val="20"/>
          <w:color w:val="auto"/>
        </w:rPr>
      </w:pPr>
      <w:r>
        <w:rPr>
          <w:rFonts w:ascii="Times New Roman" w:cs="Times New Roman" w:eastAsia="Times New Roman" w:hAnsi="Times New Roman"/>
          <w:sz w:val="18"/>
          <w:szCs w:val="18"/>
          <w:color w:val="auto"/>
        </w:rPr>
        <w:t>by any such Person) whether such Indebtedness or guarantee now exists, or is created after the date of the indenture, if that default:</w:t>
      </w:r>
    </w:p>
    <w:p>
      <w:pPr>
        <w:spacing w:after="0" w:line="200" w:lineRule="exact"/>
        <w:rPr>
          <w:sz w:val="20"/>
          <w:szCs w:val="20"/>
          <w:color w:val="auto"/>
        </w:rPr>
      </w:pPr>
    </w:p>
    <w:p>
      <w:pPr>
        <w:spacing w:after="0" w:line="255" w:lineRule="exact"/>
        <w:rPr>
          <w:sz w:val="20"/>
          <w:szCs w:val="20"/>
          <w:color w:val="auto"/>
        </w:rPr>
      </w:pPr>
    </w:p>
    <w:p>
      <w:pPr>
        <w:ind w:left="1080" w:right="160" w:hanging="532"/>
        <w:spacing w:after="0" w:line="275"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187" w:lineRule="exact"/>
        <w:rPr>
          <w:sz w:val="20"/>
          <w:szCs w:val="20"/>
          <w:color w:val="auto"/>
        </w:rPr>
      </w:pPr>
    </w:p>
    <w:p>
      <w:pPr>
        <w:ind w:left="540" w:right="40" w:hanging="532"/>
        <w:spacing w:after="0" w:line="262"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Wynn Capital, Wynn Las Vegas, any Restricted Entity or any of their respective Restricted Subsidiaries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9"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Collateral Documents shall cease, for any reason (other than pursuant to their terms), to be in full force and effect, or Wynn Capital, Wynn Las Vegas, any Restricted Entity or any of their respective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217" w:lineRule="exact"/>
        <w:rPr>
          <w:rFonts w:ascii="Times New Roman" w:cs="Times New Roman" w:eastAsia="Times New Roman" w:hAnsi="Times New Roman"/>
          <w:sz w:val="18"/>
          <w:szCs w:val="18"/>
          <w:color w:val="auto"/>
        </w:rPr>
      </w:pPr>
    </w:p>
    <w:p>
      <w:pPr>
        <w:ind w:left="540" w:right="140" w:hanging="532"/>
        <w:spacing w:after="0" w:line="258"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Wynn Capital, Wynn Las Vegas, any Restricted Entity or any of their respective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w:t>
      </w:r>
    </w:p>
    <w:p>
      <w:pPr>
        <w:spacing w:after="0" w:line="203" w:lineRule="exact"/>
        <w:rPr>
          <w:rFonts w:ascii="Times New Roman" w:cs="Times New Roman" w:eastAsia="Times New Roman" w:hAnsi="Times New Roman"/>
          <w:sz w:val="18"/>
          <w:szCs w:val="18"/>
          <w:color w:val="auto"/>
        </w:rPr>
      </w:pPr>
    </w:p>
    <w:p>
      <w:pPr>
        <w:ind w:left="540" w:right="240" w:hanging="532"/>
        <w:spacing w:after="0" w:line="258"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therein, the Completion Guarantee, the Construction Contract Guarantee, any Guarantee issued by a Restricted Entity, a Restricted Subsidiary of Wynn Las Vegas or any Restricted Entity, or the Parent Guarantee, if any, shall be held in any judicial proceeding to be unenforceable or invalid or shall cease for any reason to be in full force and effect or the Completion Guarantor, any Restricted Entity or any Restricted Subsidiary, or any Person acting on behalf of any such Person, shall deny or disaffirm its obligations under its Guarantee;</w:t>
      </w:r>
    </w:p>
    <w:p>
      <w:pPr>
        <w:spacing w:after="0" w:line="203" w:lineRule="exact"/>
        <w:rPr>
          <w:rFonts w:ascii="Times New Roman" w:cs="Times New Roman" w:eastAsia="Times New Roman" w:hAnsi="Times New Roman"/>
          <w:sz w:val="18"/>
          <w:szCs w:val="18"/>
          <w:color w:val="auto"/>
        </w:rPr>
      </w:pPr>
    </w:p>
    <w:p>
      <w:pPr>
        <w:ind w:left="540" w:right="40" w:hanging="532"/>
        <w:spacing w:after="0" w:line="289" w:lineRule="auto"/>
        <w:tabs>
          <w:tab w:leader="none" w:pos="5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events of bankruptcy or insolvency described in the indenture with respect to (a) either Issuer, (b) any Significant Restricted Entity, (c) any group of Restricted Entities that, taken together, would constitute a Significant Restricted Entity, (d) any Significant Restricted Subsidiary of Wynn Las Vegas or</w:t>
      </w:r>
    </w:p>
    <w:p>
      <w:pPr>
        <w:spacing w:after="0" w:line="1"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 any group of Restricted Subsidiaries of</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Wynn Las Vegas that, taken together, would constitute a Significant Restricted Subsidiary of Wynn Las Vegas;</w:t>
      </w:r>
    </w:p>
    <w:p>
      <w:pPr>
        <w:spacing w:after="0" w:line="252" w:lineRule="exact"/>
        <w:rPr>
          <w:sz w:val="20"/>
          <w:szCs w:val="20"/>
          <w:color w:val="auto"/>
        </w:rPr>
      </w:pPr>
    </w:p>
    <w:p>
      <w:pPr>
        <w:ind w:left="540" w:hanging="532"/>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has not achieved Completion on or before the Outside Completion Deadline;</w:t>
      </w:r>
    </w:p>
    <w:p>
      <w:pPr>
        <w:spacing w:after="0" w:line="238"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of Wynn Las Vegas, or any group of Restricted Subsidiaries that, taken together, would constitute a Significant Restricted Subsidiary of Wynn Las Vegas,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Holders of the notes may not enforce the indenture or the notes except as provided in the indenture, the Intercreditor Agreements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86" w:lineRule="exact"/>
        <w:rPr>
          <w:sz w:val="20"/>
          <w:szCs w:val="20"/>
          <w:color w:val="auto"/>
        </w:rPr>
      </w:pPr>
    </w:p>
    <w:p>
      <w:pPr>
        <w:ind w:right="60" w:firstLine="351"/>
        <w:spacing w:after="0" w:line="285" w:lineRule="auto"/>
        <w:rPr>
          <w:sz w:val="20"/>
          <w:szCs w:val="20"/>
          <w:color w:val="auto"/>
        </w:rPr>
      </w:pPr>
      <w:r>
        <w:rPr>
          <w:rFonts w:ascii="Times New Roman" w:cs="Times New Roman" w:eastAsia="Times New Roman" w:hAnsi="Times New Roman"/>
          <w:sz w:val="16"/>
          <w:szCs w:val="16"/>
          <w:color w:val="auto"/>
        </w:rPr>
        <w:t>In the case of any Event of Default occurring by reason of any willful action or inaction taken or not taken by or on behalf of either Issuer, any Restricted Entity, any Restricted Subsidiary of Wynn Las Vegas or any Restricted Entity, any Guarantor or any of their respective Subsidiaries with the intention of avoiding payment of the premium that the Issuers would have had to pay if the Issuers then had elected to redeem the notes pursuant to the optional redemption provisions of the indenture, an equivalent premium will also become and be immediately due and payable to the extent permitted by law upon the acceleration of the notes.</w:t>
      </w:r>
    </w:p>
    <w:p>
      <w:pPr>
        <w:spacing w:after="0" w:line="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If an Event of Default occurs prior to , 2006, by reason of any willful action (or inaction) taken (or not taken) by or on behalf of either Issuer, any Restricted Entity, any Restricted Subsidiary of Wynn Las Vegas or any Restricted Entity, any Guarantor or any of their respective Subsidiaries with the intention</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of avoiding the prohibition on redemption of the notes prior to , 2006, then the premium specified in the indenture will also become immediately due and payable to the extent permitted by law upon the acceleration of the notes.</w:t>
      </w:r>
    </w:p>
    <w:p>
      <w:pPr>
        <w:spacing w:after="0" w:line="186" w:lineRule="exact"/>
        <w:rPr>
          <w:sz w:val="20"/>
          <w:szCs w:val="20"/>
          <w:color w:val="auto"/>
        </w:rPr>
      </w:pPr>
    </w:p>
    <w:p>
      <w:pPr>
        <w:ind w:right="720" w:firstLine="348"/>
        <w:spacing w:after="0" w:line="275" w:lineRule="auto"/>
        <w:rPr>
          <w:sz w:val="20"/>
          <w:szCs w:val="20"/>
          <w:color w:val="auto"/>
        </w:rPr>
      </w:pPr>
      <w:r>
        <w:rPr>
          <w:rFonts w:ascii="Times New Roman" w:cs="Times New Roman" w:eastAsia="Times New Roman" w:hAnsi="Times New Roman"/>
          <w:sz w:val="18"/>
          <w:szCs w:val="18"/>
          <w:color w:val="auto"/>
        </w:rPr>
        <w:t>The Issuers are required to deliver to the trustee annually a statement regarding compliance with the indenture and the Collateral Documents. Upon becoming aware of any</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Default or Event of Default, the Issuers are required to deliver to the trustee a statement specifying such Default or Event of Default.</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Remedies upon Default Under the Notes</w:t>
      </w:r>
    </w:p>
    <w:p>
      <w:pPr>
        <w:spacing w:after="0" w:line="229" w:lineRule="exact"/>
        <w:rPr>
          <w:sz w:val="20"/>
          <w:szCs w:val="20"/>
          <w:color w:val="auto"/>
        </w:rPr>
      </w:pPr>
    </w:p>
    <w:p>
      <w:pPr>
        <w:ind w:right="460" w:firstLine="351"/>
        <w:spacing w:after="0" w:line="262" w:lineRule="auto"/>
        <w:rPr>
          <w:sz w:val="20"/>
          <w:szCs w:val="20"/>
          <w:color w:val="auto"/>
        </w:rPr>
      </w:pPr>
      <w:r>
        <w:rPr>
          <w:rFonts w:ascii="Times New Roman" w:cs="Times New Roman" w:eastAsia="Times New Roman" w:hAnsi="Times New Roman"/>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Collateral Documents</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Generally, 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of Wynn Las Vegas or any Restricted Entity, and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"—Nevada Public Utility Commission Limitations on Foreclosure."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Rights in the Pledged Collateral</w:t>
      </w:r>
    </w:p>
    <w:p>
      <w:pPr>
        <w:spacing w:after="0" w:line="229" w:lineRule="exact"/>
        <w:rPr>
          <w:sz w:val="20"/>
          <w:szCs w:val="20"/>
          <w:color w:val="auto"/>
        </w:rPr>
      </w:pPr>
    </w:p>
    <w:p>
      <w:pPr>
        <w:ind w:right="260" w:firstLine="351"/>
        <w:spacing w:after="0" w:line="256" w:lineRule="auto"/>
        <w:rPr>
          <w:sz w:val="20"/>
          <w:szCs w:val="20"/>
          <w:color w:val="auto"/>
        </w:rPr>
      </w:pPr>
      <w:r>
        <w:rPr>
          <w:rFonts w:ascii="Times New Roman" w:cs="Times New Roman" w:eastAsia="Times New Roman" w:hAnsi="Times New Roman"/>
          <w:sz w:val="18"/>
          <w:szCs w:val="18"/>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206" w:lineRule="exact"/>
        <w:rPr>
          <w:sz w:val="20"/>
          <w:szCs w:val="20"/>
          <w:color w:val="auto"/>
        </w:rPr>
      </w:pPr>
    </w:p>
    <w:p>
      <w:pPr>
        <w:ind w:left="540" w:right="400" w:hanging="532"/>
        <w:spacing w:after="0" w:line="339" w:lineRule="auto"/>
        <w:tabs>
          <w:tab w:leader="none" w:pos="54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55" w:lineRule="exact"/>
        <w:rPr>
          <w:rFonts w:ascii="Times New Roman" w:cs="Times New Roman" w:eastAsia="Times New Roman" w:hAnsi="Times New Roman"/>
          <w:sz w:val="16"/>
          <w:szCs w:val="16"/>
          <w:color w:val="auto"/>
        </w:rPr>
      </w:pPr>
    </w:p>
    <w:p>
      <w:pPr>
        <w:ind w:left="540" w:right="380" w:hanging="532"/>
        <w:spacing w:after="0" w:line="275"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187"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Nothing contained in this paragraph shall be deemed to restrict the ability of Wynn Las Vegas to make the Restricted Payments permitted to be made during the occurrence of an Event of Default under the covenant captioned "Certain Covenants—Restricted Payments."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Intercreditor Agreements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Intercreditor Agreements may prevent timely payment on the notes if a default has occurred.</w:t>
      </w:r>
    </w:p>
    <w:p>
      <w:pPr>
        <w:spacing w:after="0" w:line="22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Under the intercreditor agreement between the trustee and the agent under the Credit Agreement, until the debt under the Credit Agreement has been repaid in full, the lenders under the Credit Agreement will have the exclusive right to exercise remedies against the Collateral and to determine the circumstances and manner in which the Collateral may be disposed, subject to the rights of the lenders under the FF&amp;E Facility with respect to the FF&amp;E Collateral. Similarly, until the debt under the FF&amp;E Facility has been repaid in full, the lenders under the FF&amp;E Facility will have the exclusive right to sell the FF&amp;E Collateral or exercise other remedies against the FF&amp;E Collateral.</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Gaming Law Limitations on Granting of Security Interests</w:t>
      </w:r>
    </w:p>
    <w:p>
      <w:pPr>
        <w:spacing w:after="0" w:line="229"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 (2) unless consented to in advance by the Nevada Gaming Authorities, the ownership interests of any person that holds any such license.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Gaming Law Limitations on Foreclosure</w:t>
      </w:r>
    </w:p>
    <w:p>
      <w:pPr>
        <w:spacing w:after="0" w:line="229"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ectPr>
          <w:pgSz w:w="11900" w:h="16838" w:orient="portrait"/>
          <w:cols w:equalWidth="0" w:num="1">
            <w:col w:w="11420"/>
          </w:cols>
          <w:pgMar w:left="240" w:top="584" w:right="239" w:bottom="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Bankruptcy Limitations on Foreclosure</w:t>
      </w:r>
    </w:p>
    <w:p>
      <w:pPr>
        <w:spacing w:after="0" w:line="229" w:lineRule="exact"/>
        <w:rPr>
          <w:sz w:val="20"/>
          <w:szCs w:val="20"/>
          <w:color w:val="auto"/>
        </w:rPr>
      </w:pPr>
    </w:p>
    <w:p>
      <w:pPr>
        <w:jc w:val="both"/>
        <w:ind w:right="60" w:firstLine="348"/>
        <w:spacing w:after="0" w:line="258" w:lineRule="auto"/>
        <w:rPr>
          <w:sz w:val="20"/>
          <w:szCs w:val="20"/>
          <w:color w:val="auto"/>
        </w:rPr>
      </w:pPr>
      <w:r>
        <w:rPr>
          <w:rFonts w:ascii="Times New Roman" w:cs="Times New Roman" w:eastAsia="Times New Roman" w:hAnsi="Times New Roman"/>
          <w:sz w:val="18"/>
          <w:szCs w:val="18"/>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9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97"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Public Utilities Commission of Nevada Limitations on Foreclosure</w:t>
      </w:r>
    </w:p>
    <w:p>
      <w:pPr>
        <w:spacing w:after="0" w:line="229" w:lineRule="exact"/>
        <w:rPr>
          <w:sz w:val="20"/>
          <w:szCs w:val="20"/>
          <w:color w:val="auto"/>
        </w:rPr>
      </w:pPr>
    </w:p>
    <w:p>
      <w:pPr>
        <w:ind w:right="200" w:firstLine="351"/>
        <w:spacing w:after="0" w:line="296" w:lineRule="auto"/>
        <w:rPr>
          <w:sz w:val="20"/>
          <w:szCs w:val="20"/>
          <w:color w:val="auto"/>
        </w:rPr>
      </w:pPr>
      <w:r>
        <w:rPr>
          <w:rFonts w:ascii="Times New Roman" w:cs="Times New Roman" w:eastAsia="Times New Roman" w:hAnsi="Times New Roman"/>
          <w:sz w:val="16"/>
          <w:szCs w:val="16"/>
          <w:color w:val="auto"/>
        </w:rPr>
        <w:t>Nevada Revised Statutes 704.668 prohibits small water utilities such as Desert Inn Improvement Co. from selling or otherwise disposing of water rights without the prior approval of the Nevada PUC. In a separate subsection of the statute, prior Nevada PUC approval is also required in order for a small water utility to encumber its water rights by way of mortgage, deed of trust, security agreement or otherwise. Desert Inn Improvement Co. will seek Nevada PUC approval to encumber the water rights held by it. See "Certain Covenants—Nevada PUC Approvals." The Nevada PUC may also require a prior application if a sale or transfer were to occur by way of a foreclosure, since such an event would result in the water rights being taken out of the total control of the utility.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Real Property Collateral</w:t>
      </w:r>
    </w:p>
    <w:p>
      <w:pPr>
        <w:spacing w:after="0" w:line="229" w:lineRule="exact"/>
        <w:rPr>
          <w:sz w:val="20"/>
          <w:szCs w:val="20"/>
          <w:color w:val="auto"/>
        </w:rPr>
      </w:pPr>
    </w:p>
    <w:p>
      <w:pPr>
        <w:ind w:right="180" w:firstLine="351"/>
        <w:spacing w:after="0" w:line="301" w:lineRule="auto"/>
        <w:rPr>
          <w:sz w:val="20"/>
          <w:szCs w:val="20"/>
          <w:color w:val="auto"/>
        </w:rPr>
      </w:pPr>
      <w:r>
        <w:rPr>
          <w:rFonts w:ascii="Times New Roman" w:cs="Times New Roman" w:eastAsia="Times New Roman" w:hAnsi="Times New Roman"/>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93"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Equity Holders</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No director, officer, employee, incorporator, organizer, equity holder or member of either Issuer, any Restricted Entity, any of the Restricted Subsidiaries of Wynn Las Vegas or any Restricted Entity, or any Guarantor, as such, shall have any liability for any obligations of either Issuer, any Restricted Entity, any such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0" w:gutter="0" w:footer="0" w:header="0"/>
        </w:sectPr>
      </w:pPr>
    </w:p>
    <w:bookmarkStart w:id="100" w:name="page101"/>
    <w:bookmarkEnd w:id="100"/>
    <w:p>
      <w:pPr>
        <w:ind w:left="540" w:right="540"/>
        <w:spacing w:after="0" w:line="275" w:lineRule="auto"/>
        <w:rPr>
          <w:sz w:val="20"/>
          <w:szCs w:val="20"/>
          <w:color w:val="auto"/>
        </w:rPr>
      </w:pPr>
      <w:r>
        <w:rPr>
          <w:rFonts w:ascii="Times New Roman" w:cs="Times New Roman" w:eastAsia="Times New Roman" w:hAnsi="Times New Roman"/>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60" w:hanging="532"/>
        <w:spacing w:after="0" w:line="275"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Issuers' and the Guarantors' obligations in connection therewith;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provisions of the indenture.</w:t>
      </w:r>
    </w:p>
    <w:p>
      <w:pPr>
        <w:spacing w:after="0" w:line="225"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addition, the Issuers may, at their option and at any time, elect to have the obligations of the Issuers, the Restricted Entities, the Restricted Subsidiaries of Wynn Las Vegas and the Restricted Entities,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39" w:lineRule="exact"/>
        <w:rPr>
          <w:sz w:val="20"/>
          <w:szCs w:val="20"/>
          <w:color w:val="auto"/>
        </w:rPr>
      </w:pPr>
    </w:p>
    <w:p>
      <w:pPr>
        <w:ind w:left="540" w:hanging="532"/>
        <w:spacing w:after="0" w:line="256"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irrevocably deposit with the trustee, in trust, for the benefit of the holders of the notes, cash in U.S. dollars, government securities, or a combination of cash in U.S. dollars and government securities, in amounts as will be sufficient, in the opinion of a nationally recognized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219"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06"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0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either: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such deposit (other than a Default or Event of Default resulting from the borrowing of funds to be applied to such deposit), or</w:t>
      </w:r>
    </w:p>
    <w:p>
      <w:pPr>
        <w:spacing w:after="0" w:line="238"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insofar as Events of Default of the type specified in clause (12) of the section above under the caption "Events of Default and Remedies" are concerned, at any time in the period ending on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the date of deposit;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20" w:hanging="532"/>
        <w:spacing w:after="0" w:line="262"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of Wynn Las Vegas or any Restricted Entity, or any Guarantor is a party or by which any such Person is bound;</w:t>
      </w:r>
    </w:p>
    <w:p>
      <w:pPr>
        <w:spacing w:after="0" w:line="213" w:lineRule="exact"/>
        <w:rPr>
          <w:rFonts w:ascii="Times New Roman" w:cs="Times New Roman" w:eastAsia="Times New Roman" w:hAnsi="Times New Roman"/>
          <w:sz w:val="18"/>
          <w:szCs w:val="18"/>
          <w:color w:val="auto"/>
        </w:rPr>
      </w:pPr>
    </w:p>
    <w:p>
      <w:pPr>
        <w:ind w:left="540" w:right="100" w:hanging="532"/>
        <w:spacing w:after="0" w:line="212"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Issuers must deliver to the trustee an opinion of counsel to the effect that, assuming no intervening bankruptcy of the Issuers or any Guarantor between the date of deposit and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following the deposit and assuming that no holder of notes is an "insider" of either Issuer under applicable bankruptcy law, after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220" w:lineRule="exact"/>
        <w:rPr>
          <w:rFonts w:ascii="Times New Roman" w:cs="Times New Roman" w:eastAsia="Times New Roman" w:hAnsi="Times New Roman"/>
          <w:sz w:val="18"/>
          <w:szCs w:val="18"/>
          <w:color w:val="auto"/>
        </w:rPr>
      </w:pPr>
    </w:p>
    <w:p>
      <w:pPr>
        <w:ind w:left="540" w:right="40" w:hanging="532"/>
        <w:spacing w:after="0" w:line="339" w:lineRule="auto"/>
        <w:tabs>
          <w:tab w:leader="none" w:pos="54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41" w:lineRule="exact"/>
        <w:rPr>
          <w:rFonts w:ascii="Times New Roman" w:cs="Times New Roman" w:eastAsia="Times New Roman" w:hAnsi="Times New Roman"/>
          <w:sz w:val="16"/>
          <w:szCs w:val="16"/>
          <w:color w:val="auto"/>
        </w:rPr>
      </w:pPr>
    </w:p>
    <w:p>
      <w:pPr>
        <w:ind w:left="540" w:right="420" w:hanging="532"/>
        <w:spacing w:after="0" w:line="275"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Release Mechanics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w:t>
      </w:r>
    </w:p>
    <w:p>
      <w:pPr>
        <w:sectPr>
          <w:pgSz w:w="11900" w:h="16838" w:orient="portrait"/>
          <w:cols w:equalWidth="0" w:num="1">
            <w:col w:w="11420"/>
          </w:cols>
          <w:pgMar w:left="240" w:top="125" w:right="239" w:bottom="0" w:gutter="0" w:footer="0" w:header="0"/>
        </w:sectPr>
      </w:pPr>
    </w:p>
    <w:bookmarkStart w:id="101" w:name="page102"/>
    <w:bookmarkEnd w:id="101"/>
    <w:p>
      <w:pPr>
        <w:ind w:right="300"/>
        <w:spacing w:after="0" w:line="275" w:lineRule="auto"/>
        <w:rPr>
          <w:sz w:val="20"/>
          <w:szCs w:val="20"/>
          <w:color w:val="auto"/>
        </w:rPr>
      </w:pPr>
      <w:r>
        <w:rPr>
          <w:rFonts w:ascii="Times New Roman" w:cs="Times New Roman" w:eastAsia="Times New Roman" w:hAnsi="Times New Roman"/>
          <w:sz w:val="18"/>
          <w:szCs w:val="18"/>
          <w:color w:val="auto"/>
        </w:rPr>
        <w:t>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Subject to the provisions of the Intercreditor Agreements, the trustee will release the Liens in favor of the trustee (at the sole cost and expense of the Issuers)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26" w:lineRule="exact"/>
        <w:rPr>
          <w:sz w:val="20"/>
          <w:szCs w:val="20"/>
          <w:color w:val="auto"/>
        </w:rPr>
      </w:pPr>
    </w:p>
    <w:p>
      <w:pPr>
        <w:ind w:left="540" w:right="60" w:hanging="532"/>
        <w:spacing w:after="0" w:line="275"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that is contributed, sold, leased, conveyed, transferred or otherwise disposed of (a) in an Asset Sale in accordance with the indenture and the Collateral Documents or (b) to an Unrestricted Subsidiary of Wynn Las Vegas in accordance with the indenture and the Collateral Documents;</w:t>
      </w:r>
    </w:p>
    <w:p>
      <w:pPr>
        <w:spacing w:after="0" w:line="198" w:lineRule="exact"/>
        <w:rPr>
          <w:rFonts w:ascii="Times New Roman" w:cs="Times New Roman" w:eastAsia="Times New Roman" w:hAnsi="Times New Roman"/>
          <w:sz w:val="18"/>
          <w:szCs w:val="18"/>
          <w:color w:val="auto"/>
        </w:rPr>
      </w:pPr>
    </w:p>
    <w:p>
      <w:pPr>
        <w:ind w:left="540" w:right="80" w:hanging="532"/>
        <w:spacing w:after="0" w:line="264"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Collateral that is condemned, seized or taken by the power of eminent domain or otherwise confiscated pursuant to an Event of Loss;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Net Loss Proceeds, if any, from the Event of Loss are or will be applied in accordance with the covenant described above under "—Repurchase at the Option of Holders—Events of Loss";</w:t>
      </w:r>
    </w:p>
    <w:p>
      <w:pPr>
        <w:spacing w:after="0" w:line="196"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187" w:lineRule="exact"/>
        <w:rPr>
          <w:rFonts w:ascii="Times New Roman" w:cs="Times New Roman" w:eastAsia="Times New Roman" w:hAnsi="Times New Roman"/>
          <w:sz w:val="18"/>
          <w:szCs w:val="18"/>
          <w:color w:val="auto"/>
        </w:rPr>
      </w:pPr>
    </w:p>
    <w:p>
      <w:pPr>
        <w:ind w:left="540" w:right="600" w:hanging="532"/>
        <w:spacing w:after="0" w:line="275"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upon the payment in full in cash of all Obligations of the Issuers and the Guarantors under the indenture, the notes and the Collateral Documents;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line="275" w:lineRule="auto"/>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indenture, the Collateral Documents or the Wynn Resorts Agreement, Collateral of a Guarantor or of Wynn Resorts, as applicable, whose</w:t>
      </w:r>
    </w:p>
    <w:p>
      <w:pPr>
        <w:spacing w:after="0" w:line="173" w:lineRule="exact"/>
        <w:rPr>
          <w:rFonts w:ascii="Times New Roman" w:cs="Times New Roman" w:eastAsia="Times New Roman" w:hAnsi="Times New Roman"/>
          <w:sz w:val="18"/>
          <w:szCs w:val="18"/>
          <w:color w:val="auto"/>
        </w:rPr>
      </w:pPr>
    </w:p>
    <w:p>
      <w:pPr>
        <w:ind w:left="540" w:right="6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or Parent Guarantee or Parent Security Agreement is released or terminated pursuant to the terms of the indenture or the Wynn Resorts Agreement, as the case may be;</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Released Assets;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Transfers consisting of transfers of fee interests in real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227"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Except as provided in the next three succeeding paragraphs, the indenture and the notes,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 (with respect to any notes held by a non-consenting holder):</w:t>
      </w:r>
    </w:p>
    <w:p>
      <w:pPr>
        <w:spacing w:after="0" w:line="252" w:lineRule="exact"/>
        <w:rPr>
          <w:sz w:val="20"/>
          <w:szCs w:val="20"/>
          <w:color w:val="auto"/>
        </w:rPr>
      </w:pPr>
    </w:p>
    <w:p>
      <w:pPr>
        <w:ind w:left="540" w:hanging="532"/>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38"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252" w:lineRule="exact"/>
        <w:rPr>
          <w:rFonts w:ascii="Times New Roman" w:cs="Times New Roman" w:eastAsia="Times New Roman" w:hAnsi="Times New Roman"/>
          <w:sz w:val="18"/>
          <w:szCs w:val="18"/>
          <w:color w:val="auto"/>
        </w:rPr>
      </w:pPr>
    </w:p>
    <w:p>
      <w:pPr>
        <w:ind w:left="540" w:right="80" w:hanging="532"/>
        <w:spacing w:after="0" w:line="339"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41"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238"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200" w:lineRule="exact"/>
        <w:rPr>
          <w:rFonts w:ascii="Times New Roman" w:cs="Times New Roman" w:eastAsia="Times New Roman" w:hAnsi="Times New Roman"/>
          <w:sz w:val="18"/>
          <w:szCs w:val="18"/>
          <w:color w:val="auto"/>
        </w:rPr>
      </w:pPr>
    </w:p>
    <w:p>
      <w:pPr>
        <w:ind w:left="540" w:right="460" w:hanging="532"/>
        <w:spacing w:after="0" w:line="275"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 (other than a payment required by one of the covenants described above under the caption "— Repurchase at the Option of Holders");</w:t>
      </w:r>
    </w:p>
    <w:p>
      <w:pPr>
        <w:spacing w:after="0" w:line="187"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or release assets or properties other than Material Project Assets from the Collateral, in each case except in accordance with the provisions of the Collateral Documents;</w:t>
      </w:r>
    </w:p>
    <w:p>
      <w:pPr>
        <w:spacing w:after="0" w:line="200" w:lineRule="exact"/>
        <w:rPr>
          <w:rFonts w:ascii="Times New Roman" w:cs="Times New Roman" w:eastAsia="Times New Roman" w:hAnsi="Times New Roman"/>
          <w:sz w:val="18"/>
          <w:szCs w:val="18"/>
          <w:color w:val="auto"/>
        </w:rPr>
      </w:pPr>
    </w:p>
    <w:p>
      <w:pPr>
        <w:ind w:left="540" w:right="240" w:hanging="532"/>
        <w:spacing w:after="0" w:line="275"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Guarantee if the assets or properties of that Guarantor (a) constitute all or substantially all of the Collateral or (b) include Material Project Assets; and</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Any amendment to, or waiver of, the provisions of any of the Collateral Documents relating to the covenant entitled "—Liens" or any of the other security or collateral provisions of the indenture will require the consent of the holders of at least 85% in principal amount of the notes then outstanding.</w:t>
      </w:r>
    </w:p>
    <w:p>
      <w:pPr>
        <w:sectPr>
          <w:pgSz w:w="11900" w:h="16838" w:orient="portrait"/>
          <w:cols w:equalWidth="0" w:num="1">
            <w:col w:w="11420"/>
          </w:cols>
          <w:pgMar w:left="240" w:top="125" w:right="239" w:bottom="0" w:gutter="0" w:footer="0" w:header="0"/>
        </w:sectPr>
      </w:pPr>
    </w:p>
    <w:bookmarkStart w:id="102" w:name="page103"/>
    <w:bookmarkEnd w:id="102"/>
    <w:p>
      <w:pPr>
        <w:ind w:left="360"/>
        <w:spacing w:after="0"/>
        <w:rPr>
          <w:sz w:val="20"/>
          <w:szCs w:val="20"/>
          <w:color w:val="auto"/>
        </w:rPr>
      </w:pPr>
      <w:r>
        <w:rPr>
          <w:rFonts w:ascii="Times New Roman" w:cs="Times New Roman" w:eastAsia="Times New Roman" w:hAnsi="Times New Roman"/>
          <w:sz w:val="16"/>
          <w:szCs w:val="16"/>
          <w:color w:val="auto"/>
        </w:rPr>
        <w:t>Notwithstanding the preceding, without the consent of any holder, the Issuers, any Restricted Entity, any Restricted Subsidiary of Wynn Las Vegas or 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Entity, or any Guarantor, the Issuers, the Guarantors and the trustee may amend or supplement the indenture, the notes or the Collateral Documents to:</w:t>
      </w:r>
    </w:p>
    <w:p>
      <w:pPr>
        <w:spacing w:after="0" w:line="249" w:lineRule="exact"/>
        <w:rPr>
          <w:sz w:val="20"/>
          <w:szCs w:val="20"/>
          <w:color w:val="auto"/>
        </w:rPr>
      </w:pPr>
    </w:p>
    <w:p>
      <w:pPr>
        <w:ind w:left="540" w:hanging="532"/>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w:t>
      </w:r>
    </w:p>
    <w:p>
      <w:pPr>
        <w:spacing w:after="0" w:line="238"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the Issuers' obligations to holders of notes in the case of a merger or consolidation or sale of all or substantially all of the Issuers' assets;</w:t>
      </w:r>
    </w:p>
    <w:p>
      <w:pPr>
        <w:spacing w:after="0" w:line="187" w:lineRule="exact"/>
        <w:rPr>
          <w:rFonts w:ascii="Times New Roman" w:cs="Times New Roman" w:eastAsia="Times New Roman" w:hAnsi="Times New Roman"/>
          <w:sz w:val="18"/>
          <w:szCs w:val="18"/>
          <w:color w:val="auto"/>
        </w:rPr>
      </w:pPr>
    </w:p>
    <w:p>
      <w:pPr>
        <w:ind w:left="540" w:right="320" w:hanging="532"/>
        <w:spacing w:after="0" w:line="275" w:lineRule="auto"/>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notes or that does not adversely affect the legal rights under the indenture of any such holder;</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Commission in order to effect or maintain the qualification of the indenture under the Trust Indenture Act; or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or supplemental Collateral Documents or guarantees or an intercreditor agreement with respect thereto.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and the Collateral Documents will be discharged and will cease to be of further effect as to all notes issued under the indenture, when:</w:t>
      </w:r>
    </w:p>
    <w:p>
      <w:pPr>
        <w:spacing w:after="0" w:line="239" w:lineRule="exact"/>
        <w:rPr>
          <w:sz w:val="20"/>
          <w:szCs w:val="20"/>
          <w:color w:val="auto"/>
        </w:rPr>
      </w:pPr>
    </w:p>
    <w:p>
      <w:pPr>
        <w:ind w:left="540" w:hanging="532"/>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government securities, or a combination of cash in U.S. dollars and government securities, in amounts as will be sufficient without consideration of any reinvestment of interest, to pay and discharge the entire indebtedness on the notes not</w:t>
      </w:r>
    </w:p>
    <w:p>
      <w:pPr>
        <w:spacing w:after="0" w:line="19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 the trustee for cancellation for principal, premium and accrued interest to the date of maturity or redemption;</w:t>
      </w:r>
    </w:p>
    <w:p>
      <w:pPr>
        <w:spacing w:after="0" w:line="238" w:lineRule="exact"/>
        <w:rPr>
          <w:rFonts w:ascii="Times New Roman" w:cs="Times New Roman" w:eastAsia="Times New Roman" w:hAnsi="Times New Roman"/>
          <w:sz w:val="18"/>
          <w:szCs w:val="18"/>
          <w:color w:val="auto"/>
        </w:rPr>
      </w:pPr>
    </w:p>
    <w:p>
      <w:pPr>
        <w:ind w:left="540" w:right="220" w:hanging="532"/>
        <w:spacing w:after="0" w:line="262" w:lineRule="auto"/>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 Issuer or any Guarantor is bound;</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or any Guarantor have paid or caused to be paid all sums payable by the Issuers under the indenture;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20" w:hanging="532"/>
        <w:spacing w:after="0" w:line="275"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74"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In addition, the Issuers must deliver an officers' certificate and an opinion of counsel to the trustee stating that all conditions precedent to satisfaction and discharge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will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Except as described in the next paragraph, the notes will be issued in the form of one or more global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ectPr>
          <w:pgSz w:w="11900" w:h="16838" w:orient="portrait"/>
          <w:cols w:equalWidth="0" w:num="1">
            <w:col w:w="11420"/>
          </w:cols>
          <w:pgMar w:left="240" w:top="125" w:right="239" w:bottom="0" w:gutter="0" w:footer="0" w:header="0"/>
        </w:sectPr>
      </w:pPr>
    </w:p>
    <w:bookmarkStart w:id="103" w:name="page104"/>
    <w:bookmarkEnd w:id="103"/>
    <w:p>
      <w:pPr>
        <w:ind w:firstLine="351"/>
        <w:spacing w:after="0" w:line="258" w:lineRule="auto"/>
        <w:rPr>
          <w:sz w:val="20"/>
          <w:szCs w:val="20"/>
          <w:color w:val="auto"/>
        </w:rPr>
      </w:pPr>
      <w:r>
        <w:rPr>
          <w:rFonts w:ascii="Times New Roman" w:cs="Times New Roman" w:eastAsia="Times New Roman" w:hAnsi="Times New Roman"/>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75"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Issuers with portions of the principal amount of the Global Notes; and</w:t>
      </w:r>
    </w:p>
    <w:p>
      <w:pPr>
        <w:spacing w:after="0" w:line="200" w:lineRule="exact"/>
        <w:rPr>
          <w:rFonts w:ascii="Times New Roman" w:cs="Times New Roman" w:eastAsia="Times New Roman" w:hAnsi="Times New Roman"/>
          <w:sz w:val="18"/>
          <w:szCs w:val="18"/>
          <w:color w:val="auto"/>
        </w:rPr>
      </w:pPr>
    </w:p>
    <w:p>
      <w:pPr>
        <w:ind w:left="540" w:right="20" w:hanging="532"/>
        <w:spacing w:after="0" w:line="26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86"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pacing w:after="0" w:line="174"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3"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206" w:lineRule="exact"/>
        <w:rPr>
          <w:sz w:val="20"/>
          <w:szCs w:val="20"/>
          <w:color w:val="auto"/>
        </w:rPr>
      </w:pPr>
    </w:p>
    <w:p>
      <w:pPr>
        <w:ind w:left="540" w:right="20" w:hanging="532"/>
        <w:spacing w:after="0" w:line="262"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w:t>
      </w:r>
    </w:p>
    <w:p>
      <w:pPr>
        <w:spacing w:after="0" w:line="252" w:lineRule="exact"/>
        <w:rPr>
          <w:sz w:val="20"/>
          <w:szCs w:val="20"/>
          <w:color w:val="auto"/>
        </w:rPr>
      </w:pPr>
    </w:p>
    <w:p>
      <w:pPr>
        <w:ind w:left="540" w:right="500" w:hanging="532"/>
        <w:spacing w:after="0" w:line="275"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notifies the trustee in writing that DTC is no longer willing or able to act as a depository and Wynn Las Vegas is unable to locate a qualified successor within 90 days or</w:t>
      </w:r>
    </w:p>
    <w:p>
      <w:pPr>
        <w:spacing w:after="0" w:line="187"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to the trustee by any Person having a beneficial interest in a Global Note, following the occurrence and during the continuation of a Default or Event of Default,</w:t>
      </w:r>
    </w:p>
    <w:p>
      <w:pPr>
        <w:sectPr>
          <w:pgSz w:w="11900" w:h="16838" w:orient="portrait"/>
          <w:cols w:equalWidth="0" w:num="1">
            <w:col w:w="11420"/>
          </w:cols>
          <w:pgMar w:left="240" w:top="125" w:right="239" w:bottom="89" w:gutter="0" w:footer="0" w:header="0"/>
        </w:sectPr>
      </w:pPr>
    </w:p>
    <w:bookmarkStart w:id="104" w:name="page105"/>
    <w:bookmarkEnd w:id="104"/>
    <w:p>
      <w:pPr>
        <w:ind w:right="40"/>
        <w:spacing w:after="0" w:line="339" w:lineRule="auto"/>
        <w:rPr>
          <w:sz w:val="20"/>
          <w:szCs w:val="20"/>
          <w:color w:val="auto"/>
        </w:rPr>
      </w:pPr>
      <w:r>
        <w:rPr>
          <w:rFonts w:ascii="Times New Roman" w:cs="Times New Roman" w:eastAsia="Times New Roman" w:hAnsi="Times New Roman"/>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28" w:lineRule="exact"/>
        <w:rPr>
          <w:sz w:val="20"/>
          <w:szCs w:val="20"/>
          <w:color w:val="auto"/>
        </w:rPr>
      </w:pPr>
    </w:p>
    <w:p>
      <w:pPr>
        <w:ind w:right="520" w:firstLine="351"/>
        <w:spacing w:after="0" w:line="339" w:lineRule="auto"/>
        <w:rPr>
          <w:sz w:val="20"/>
          <w:szCs w:val="20"/>
          <w:color w:val="auto"/>
        </w:rPr>
      </w:pPr>
      <w:r>
        <w:rPr>
          <w:rFonts w:ascii="Times New Roman" w:cs="Times New Roman" w:eastAsia="Times New Roman" w:hAnsi="Times New Roman"/>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with respect to any specified Person:</w:t>
      </w:r>
    </w:p>
    <w:p>
      <w:pPr>
        <w:spacing w:after="0" w:line="241" w:lineRule="exact"/>
        <w:rPr>
          <w:sz w:val="20"/>
          <w:szCs w:val="20"/>
          <w:color w:val="auto"/>
        </w:rPr>
      </w:pPr>
    </w:p>
    <w:p>
      <w:pPr>
        <w:ind w:left="540" w:right="20" w:hanging="532"/>
        <w:spacing w:after="0" w:line="262" w:lineRule="auto"/>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jc w:val="both"/>
        <w:ind w:right="60" w:firstLine="351"/>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w:t>
      </w:r>
    </w:p>
    <w:p>
      <w:pPr>
        <w:ind w:right="580"/>
        <w:spacing w:after="0" w:line="261" w:lineRule="auto"/>
        <w:rPr>
          <w:sz w:val="20"/>
          <w:szCs w:val="20"/>
          <w:color w:val="auto"/>
        </w:rPr>
      </w:pPr>
      <w:r>
        <w:rPr>
          <w:rFonts w:ascii="Times New Roman" w:cs="Times New Roman" w:eastAsia="Times New Roman" w:hAnsi="Times New Roman"/>
          <w:sz w:val="18"/>
          <w:szCs w:val="18"/>
          <w:color w:val="auto"/>
        </w:rPr>
        <w:t>Beneficial ownership of 10% or more of the voting stock of a Person will be deemed to be control. For purposes of this definition, the terms "controlling," "controlled by" and "under common control with" will have correlative meanings.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 Agreements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Show Entertainment Production Agreement,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Lease and Easement Agreements,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Rights Agreement,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 Rental and Licensing Agreement,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Employment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Aircraft Agreement,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Design Agreement, and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Indemnification Agreement,</w:t>
      </w:r>
    </w:p>
    <w:p>
      <w:pPr>
        <w:spacing w:after="0" w:line="225"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in each case as amended, modified or otherwise supplemented from time to time in accordance with the covenant captioned "—Amendments to Certain Agreements."</w:t>
      </w:r>
    </w:p>
    <w:p>
      <w:pPr>
        <w:spacing w:after="0" w:line="172"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Aircraft Agreement</w:t>
      </w:r>
      <w:r>
        <w:rPr>
          <w:rFonts w:ascii="Times New Roman" w:cs="Times New Roman" w:eastAsia="Times New Roman" w:hAnsi="Times New Roman"/>
          <w:sz w:val="18"/>
          <w:szCs w:val="18"/>
          <w:color w:val="auto"/>
        </w:rPr>
        <w:t>" means the Aircraft Agreement, dated as of the date of the indenture, between World Travel, LLC, as lessor, and Wynn Las Vegas, as lessee, with respect to the use of the Aircraft Assets, as amended, modified or otherwise supplemented from time to time in accordance with the covenant captioned "—Amendments to Certain Agreements."</w:t>
      </w:r>
    </w:p>
    <w:p>
      <w:pPr>
        <w:spacing w:after="0" w:line="181"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Aircraft Assets</w:t>
      </w:r>
      <w:r>
        <w:rPr>
          <w:rFonts w:ascii="Times New Roman" w:cs="Times New Roman" w:eastAsia="Times New Roman" w:hAnsi="Times New Roman"/>
          <w:sz w:val="18"/>
          <w:szCs w:val="18"/>
          <w:color w:val="auto"/>
        </w:rPr>
        <w:t>" means the Bombardier Global Express aircraft (serial number 9065) owned by World Travel, LLC and leased to Las Vegas Jet, LLC, in each case, together with the products and proceeds thereof.</w:t>
      </w:r>
    </w:p>
    <w:p>
      <w:pPr>
        <w:spacing w:after="0" w:line="17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Allocable Overhead</w:t>
      </w:r>
      <w:r>
        <w:rPr>
          <w:rFonts w:ascii="Times New Roman" w:cs="Times New Roman" w:eastAsia="Times New Roman" w:hAnsi="Times New Roman"/>
          <w:sz w:val="18"/>
          <w:szCs w:val="18"/>
          <w:color w:val="auto"/>
        </w:rPr>
        <w:t>" means, at any time,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gaming and/or hotel projects of Wynn Resorts and its Subsidiaries which are operating or for which debt and/or equity financing has been obtained to finance, in whole or in part, the development, construction and/or opening thereof. For purposes of this definition, the Project and the Macau Project shall each count as separate projects. In addition, any such amounts that are applied in connection with the Phase II Land or the Golf Course Land shall be applied in accordance with the covenants captioned "—Limitation on Development of Phase II Land" and "—Limitation on Development of Golf Course Land," respectively.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in the aggregate, the greater of:</w:t>
      </w:r>
    </w:p>
    <w:p>
      <w:pPr>
        <w:spacing w:after="0" w:line="210" w:lineRule="exact"/>
        <w:rPr>
          <w:sz w:val="20"/>
          <w:szCs w:val="20"/>
          <w:color w:val="auto"/>
        </w:rPr>
      </w:pPr>
    </w:p>
    <w:p>
      <w:pPr>
        <w:ind w:left="1080" w:hanging="532"/>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million, and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Consolidated Leverage Ratio of the Issuers and their Restricted Subsidiaries for the period of four full consecutive fiscal quarters of Wynn Las Vegas ending immediately prior to the commencement of such 12-month period is 3.5 to 1.0 or less, 1.29% of Net Revenues of Wynn Las Vegas and its Restricted Subsidiaries for such period of four full consecutive fiscal quarters.</w:t>
      </w:r>
    </w:p>
    <w:p>
      <w:pPr>
        <w:sectPr>
          <w:pgSz w:w="11900" w:h="16838" w:orient="portrait"/>
          <w:cols w:equalWidth="0" w:num="1">
            <w:col w:w="11420"/>
          </w:cols>
          <w:pgMar w:left="240" w:top="125" w:right="239" w:bottom="0" w:gutter="0" w:footer="0" w:header="0"/>
        </w:sectPr>
      </w:pPr>
    </w:p>
    <w:bookmarkStart w:id="105" w:name="page106"/>
    <w:bookmarkEnd w:id="105"/>
    <w:p>
      <w:pPr>
        <w:ind w:right="2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 Rental and Licensing Agreement</w:t>
      </w:r>
      <w:r>
        <w:rPr>
          <w:rFonts w:ascii="Times New Roman" w:cs="Times New Roman" w:eastAsia="Times New Roman" w:hAnsi="Times New Roman"/>
          <w:sz w:val="18"/>
          <w:szCs w:val="18"/>
          <w:color w:val="auto"/>
        </w:rPr>
        <w:t>" means the Amended and Restated Art Rental and Licensing Agreement, dated August 19, 2002, by and between Stephen A. Wynn and Wynn Resorts Holdings, as amended, modified or otherwise supplemented from time to time in accordance with the covenant captioned "—Certain Covenants—Amendments to Certain Agreements."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Aruze Corp.</w:t>
      </w:r>
      <w:r>
        <w:rPr>
          <w:rFonts w:ascii="Times New Roman" w:cs="Times New Roman" w:eastAsia="Times New Roman" w:hAnsi="Times New Roman"/>
          <w:sz w:val="18"/>
          <w:szCs w:val="18"/>
          <w:color w:val="auto"/>
        </w:rPr>
        <w:t>" means Aruze Corp., a Japanese public corporation.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Aruze USA</w:t>
      </w:r>
      <w:r>
        <w:rPr>
          <w:rFonts w:ascii="Times New Roman" w:cs="Times New Roman" w:eastAsia="Times New Roman" w:hAnsi="Times New Roman"/>
          <w:sz w:val="18"/>
          <w:szCs w:val="18"/>
          <w:color w:val="auto"/>
        </w:rPr>
        <w:t>" means Aruze USA, Inc., a Nevada corporation.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conveyance or other disposition of any assets;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20" w:hanging="532"/>
        <w:spacing w:after="0" w:line="275"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by either Issuer, any Restricted Entity or any of their respective Restricted Subsidiaries or the sale of Equity Interests in either Issuer, any Restricted Entity or any of their respective Subsidiaries.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Notwithstanding the above, the sale, conveyance or other disposition of all or substantially all of the assets of Wynn Las Vegas, the Restricted Entities and their respective Restricted Subsidiaries,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none of the following items will be deemed to be an Asset Sale (except for purposes of the definition of "Consolidated Cash Flow"):</w:t>
      </w:r>
    </w:p>
    <w:p>
      <w:pPr>
        <w:spacing w:after="0" w:line="239" w:lineRule="exact"/>
        <w:rPr>
          <w:sz w:val="20"/>
          <w:szCs w:val="20"/>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having a fair market value of less than $1,000,000;</w:t>
      </w:r>
    </w:p>
    <w:p>
      <w:pPr>
        <w:spacing w:after="0" w:line="238" w:lineRule="exact"/>
        <w:rPr>
          <w:rFonts w:ascii="Times New Roman" w:cs="Times New Roman" w:eastAsia="Times New Roman" w:hAnsi="Times New Roman"/>
          <w:sz w:val="18"/>
          <w:szCs w:val="18"/>
          <w:color w:val="auto"/>
        </w:rPr>
      </w:pPr>
    </w:p>
    <w:p>
      <w:pPr>
        <w:ind w:left="540" w:right="300" w:hanging="532"/>
        <w:spacing w:after="0" w:line="275"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conveyance or other disposition of any assets (excluding any transfer of assets from a Person that is a Guarantor to a Person, other than Wynn Las Vegas, that is not a Guarantor):</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Wynn Las Vegas and/or its Restricted Subsidiaries,</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Wynn Resorts Holdings to Valvino Lamore, excluding a transfer of any or all of the Golf Course Land or any related Water Rights, unless such Golf Course Land is then a Released Asset,</w:t>
      </w:r>
    </w:p>
    <w:p>
      <w:pPr>
        <w:spacing w:after="0" w:line="187"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Wynn Group Entity to any Restricted Entity,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Rights Transfer,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Wynn Las Vegas or any Restricted Entity or any of their respective Restricted Subsidiaries to a Guarantor;</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equipment, inventory, accounts receivable or other assets in the ordinary course of business;</w:t>
      </w:r>
    </w:p>
    <w:p>
      <w:pPr>
        <w:spacing w:after="0" w:line="238" w:lineRule="exact"/>
        <w:rPr>
          <w:rFonts w:ascii="Times New Roman" w:cs="Times New Roman" w:eastAsia="Times New Roman" w:hAnsi="Times New Roman"/>
          <w:sz w:val="18"/>
          <w:szCs w:val="18"/>
          <w:color w:val="auto"/>
        </w:rPr>
      </w:pPr>
    </w:p>
    <w:p>
      <w:pPr>
        <w:ind w:left="540" w:right="160" w:hanging="532"/>
        <w:spacing w:after="0" w:line="275"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obsolete, damaged or worn-out property that is no longer necessary for the conduct of the business of Wynn Las Vegas, any Restricted Entity or any of their respective Restricted Subsidiaries;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w:t>
      </w:r>
    </w:p>
    <w:p>
      <w:pPr>
        <w:spacing w:after="0" w:line="252" w:lineRule="exact"/>
        <w:rPr>
          <w:rFonts w:ascii="Times New Roman" w:cs="Times New Roman" w:eastAsia="Times New Roman" w:hAnsi="Times New Roman"/>
          <w:sz w:val="18"/>
          <w:szCs w:val="18"/>
          <w:color w:val="auto"/>
        </w:rPr>
      </w:pPr>
    </w:p>
    <w:p>
      <w:pPr>
        <w:ind w:left="540" w:right="360" w:hanging="532"/>
        <w:spacing w:after="0" w:line="275"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or Permitted Investment that is permitted by the covenant described above under the caption "—Certain Covenants—Restricted Payments";</w:t>
      </w:r>
    </w:p>
    <w:p>
      <w:pPr>
        <w:spacing w:after="0" w:line="187"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like-kind exchanges of personal property if the fair market value of the personal property transferred by Wynn Las Vegas, any Restricted Entity or any of their respective Restricted Subsidiaries in such exchanges does not exceed $10.0 million in the aggregate in any calendar year;</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dedication of space within the Project as necessary for the development of the Project and as permitted by the Collateral Documents;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40" w:hanging="532"/>
        <w:spacing w:after="0" w:line="262"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sale or disposition of any Released Assets;</w:t>
      </w:r>
    </w:p>
    <w:p>
      <w:pPr>
        <w:spacing w:after="0" w:line="252" w:lineRule="exact"/>
        <w:rPr>
          <w:rFonts w:ascii="Times New Roman" w:cs="Times New Roman" w:eastAsia="Times New Roman" w:hAnsi="Times New Roman"/>
          <w:sz w:val="18"/>
          <w:szCs w:val="18"/>
          <w:color w:val="auto"/>
        </w:rPr>
      </w:pPr>
    </w:p>
    <w:p>
      <w:pPr>
        <w:ind w:left="540" w:right="500" w:hanging="532"/>
        <w:spacing w:after="0" w:line="275"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Wynn Las Vegas, the Restricted Entities and their respective Restricted Subsidiaries pursuant to any Affiliate Agreement, as in effect on the date of the indenture;</w:t>
      </w:r>
    </w:p>
    <w:p>
      <w:pPr>
        <w:sectPr>
          <w:pgSz w:w="11900" w:h="16838" w:orient="portrait"/>
          <w:cols w:equalWidth="0" w:num="1">
            <w:col w:w="11400"/>
          </w:cols>
          <w:pgMar w:left="240" w:top="123" w:right="259" w:bottom="0" w:gutter="0" w:footer="0" w:header="0"/>
        </w:sectPr>
      </w:pPr>
    </w:p>
    <w:bookmarkStart w:id="106" w:name="page107"/>
    <w:bookmarkEnd w:id="106"/>
    <w:p>
      <w:pPr>
        <w:ind w:left="540" w:right="80" w:hanging="532"/>
        <w:spacing w:after="0" w:line="301" w:lineRule="auto"/>
        <w:tabs>
          <w:tab w:leader="none" w:pos="54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any Restricted Entity or any of their respective Restricted Subsidiaries shall be treated as if they were Net Proceeds of an Asset Sale and applied in accordance with the covenant captioned "—Asset Sales"; and</w:t>
      </w:r>
    </w:p>
    <w:p>
      <w:pPr>
        <w:spacing w:after="0" w:line="184" w:lineRule="exact"/>
        <w:rPr>
          <w:rFonts w:ascii="Times New Roman" w:cs="Times New Roman" w:eastAsia="Times New Roman" w:hAnsi="Times New Roman"/>
          <w:sz w:val="16"/>
          <w:szCs w:val="16"/>
          <w:color w:val="auto"/>
        </w:rPr>
      </w:pPr>
    </w:p>
    <w:p>
      <w:pPr>
        <w:ind w:left="540" w:right="200" w:hanging="532"/>
        <w:spacing w:after="0" w:line="262" w:lineRule="auto"/>
        <w:tabs>
          <w:tab w:leader="none" w:pos="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Transfers or Permitted Liens of the type described in clause (12) of the definition of Permitted Liens, so long as the net proceeds, if any, of any such disposition received by Wynn Las Vegas, any Restricted Entity or any of their respective Restricted Subsidiaries in respect thereof shall be treated as if they were Net Proceeds of an Asset Sale and applied in accordance with the covenant captioned "—Asset Sales."</w:t>
      </w:r>
    </w:p>
    <w:p>
      <w:pPr>
        <w:spacing w:after="0" w:line="184"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87" w:lineRule="exact"/>
        <w:rPr>
          <w:sz w:val="20"/>
          <w:szCs w:val="20"/>
          <w:color w:val="auto"/>
        </w:rPr>
      </w:pPr>
    </w:p>
    <w:p>
      <w:pPr>
        <w:ind w:firstLine="35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Beneficial Owner</w:t>
      </w:r>
      <w:r>
        <w:rPr>
          <w:rFonts w:ascii="Times New Roman" w:cs="Times New Roman" w:eastAsia="Times New Roman" w:hAnsi="Times New Roman"/>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54"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Budgeted Overhead Final Payment Date</w:t>
      </w:r>
      <w:r>
        <w:rPr>
          <w:rFonts w:ascii="Times New Roman" w:cs="Times New Roman" w:eastAsia="Times New Roman" w:hAnsi="Times New Roman"/>
          <w:sz w:val="16"/>
          <w:szCs w:val="16"/>
          <w:color w:val="auto"/>
        </w:rPr>
        <w:t>" means the date on which the final payments in respect of corporate or other organizational overhead expenses of Wynn Resorts and its Subsidiaries included in the Project Budget are disbursed pursuant to the Disbursement Agreement. Wynn Las Vegas shall deliver an officers' certificate to the trustee, within 30 days following a written request therefor from the trustee or any note holder, confirming and setting forth such date.</w:t>
      </w:r>
    </w:p>
    <w:p>
      <w:pPr>
        <w:spacing w:after="0" w:line="147" w:lineRule="exact"/>
        <w:rPr>
          <w:sz w:val="20"/>
          <w:szCs w:val="20"/>
          <w:color w:val="auto"/>
        </w:rPr>
      </w:pPr>
    </w:p>
    <w:p>
      <w:pPr>
        <w:ind w:left="360"/>
        <w:spacing w:after="0"/>
        <w:tabs>
          <w:tab w:leader="none" w:pos="55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Buy-Sell Agreement"</w:t>
      </w:r>
      <w:r>
        <w:rPr>
          <w:rFonts w:ascii="Times New Roman" w:cs="Times New Roman" w:eastAsia="Times New Roman" w:hAnsi="Times New Roman"/>
          <w:sz w:val="18"/>
          <w:szCs w:val="18"/>
          <w:color w:val="auto"/>
        </w:rPr>
        <w:t xml:space="preserve"> means the Buy-Sell Agreement, dated as of June</w:t>
      </w:r>
      <w:r>
        <w:rPr>
          <w:sz w:val="20"/>
          <w:szCs w:val="20"/>
          <w:color w:val="auto"/>
        </w:rPr>
        <w:tab/>
      </w:r>
      <w:r>
        <w:rPr>
          <w:rFonts w:ascii="Times New Roman" w:cs="Times New Roman" w:eastAsia="Times New Roman" w:hAnsi="Times New Roman"/>
          <w:sz w:val="16"/>
          <w:szCs w:val="16"/>
          <w:color w:val="auto"/>
        </w:rPr>
        <w:t>, 2002, among Stephen A. Wynn, Kazuo Okada, Aruze USA and Aruze Corp.</w:t>
      </w:r>
    </w:p>
    <w:p>
      <w:pPr>
        <w:spacing w:after="0" w:line="225"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238" w:lineRule="exact"/>
        <w:rPr>
          <w:rFonts w:ascii="Times New Roman" w:cs="Times New Roman" w:eastAsia="Times New Roman" w:hAnsi="Times New Roman"/>
          <w:sz w:val="18"/>
          <w:szCs w:val="18"/>
          <w:color w:val="auto"/>
        </w:rPr>
      </w:pPr>
    </w:p>
    <w:p>
      <w:pPr>
        <w:ind w:left="540" w:right="520" w:hanging="532"/>
        <w:spacing w:after="0" w:line="262"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213" w:lineRule="exact"/>
        <w:rPr>
          <w:rFonts w:ascii="Times New Roman" w:cs="Times New Roman" w:eastAsia="Times New Roman" w:hAnsi="Times New Roman"/>
          <w:sz w:val="18"/>
          <w:szCs w:val="18"/>
          <w:color w:val="auto"/>
        </w:rPr>
      </w:pPr>
    </w:p>
    <w:p>
      <w:pPr>
        <w:ind w:left="540" w:right="220" w:hanging="532"/>
        <w:spacing w:after="0" w:line="310" w:lineRule="auto"/>
        <w:tabs>
          <w:tab w:leader="none" w:pos="5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64" w:lineRule="exact"/>
        <w:rPr>
          <w:rFonts w:ascii="Times New Roman" w:cs="Times New Roman" w:eastAsia="Times New Roman" w:hAnsi="Times New Roman"/>
          <w:sz w:val="16"/>
          <w:szCs w:val="16"/>
          <w:color w:val="auto"/>
        </w:rPr>
      </w:pPr>
    </w:p>
    <w:p>
      <w:pPr>
        <w:ind w:left="540" w:right="200" w:hanging="532"/>
        <w:spacing w:after="0" w:line="275"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87" w:lineRule="exact"/>
        <w:rPr>
          <w:rFonts w:ascii="Times New Roman" w:cs="Times New Roman" w:eastAsia="Times New Roman" w:hAnsi="Times New Roman"/>
          <w:sz w:val="18"/>
          <w:szCs w:val="18"/>
          <w:color w:val="auto"/>
        </w:rPr>
      </w:pPr>
    </w:p>
    <w:p>
      <w:pPr>
        <w:ind w:left="540" w:right="240" w:hanging="532"/>
        <w:spacing w:after="0" w:line="275"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the highest rating obtainable from Moody's or S&amp;P and in each case maturing within six months after the date of acquisition; and</w:t>
      </w:r>
    </w:p>
    <w:p>
      <w:pPr>
        <w:spacing w:after="0" w:line="200"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or mutual funds at least 95% of the assets of which constitute Cash Equivalents of the kinds described in clauses (1) through (5) of this definition.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41" w:lineRule="exact"/>
        <w:rPr>
          <w:sz w:val="20"/>
          <w:szCs w:val="20"/>
          <w:color w:val="auto"/>
        </w:rPr>
      </w:pPr>
    </w:p>
    <w:p>
      <w:pPr>
        <w:ind w:left="540" w:right="160" w:hanging="532"/>
        <w:spacing w:after="0" w:line="258"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a series of related transactions, of all or substantially all of the properties or assets of Wynn Las Vegas, the Restricted Entities and their respective Restricted Subsidiaries, taken as a whole, or of Wynn Las Vegas and its Restricted Subsidiaries, taken as a whole, to any "person" (as that term is used in Section 13(d)(3) of the Exchange Act), other than to the Principal or a Related Party of the Principal;</w:t>
      </w:r>
    </w:p>
    <w:p>
      <w:pPr>
        <w:spacing w:after="0" w:line="20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either Issuer or any successor thereto;</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right="180" w:hanging="532"/>
        <w:spacing w:after="0" w:line="339" w:lineRule="auto"/>
        <w:tabs>
          <w:tab w:leader="none" w:pos="108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41" w:lineRule="exact"/>
        <w:rPr>
          <w:rFonts w:ascii="Times New Roman" w:cs="Times New Roman" w:eastAsia="Times New Roman" w:hAnsi="Times New Roman"/>
          <w:sz w:val="16"/>
          <w:szCs w:val="16"/>
          <w:color w:val="auto"/>
        </w:rPr>
      </w:pPr>
    </w:p>
    <w:p>
      <w:pPr>
        <w:ind w:left="1080" w:right="40" w:hanging="532"/>
        <w:spacing w:after="0" w:line="287" w:lineRule="auto"/>
        <w:tabs>
          <w:tab w:leader="none" w:pos="108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ind w:left="1080" w:right="20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w:t>
      </w:r>
    </w:p>
    <w:p>
      <w:pPr>
        <w:sectPr>
          <w:pgSz w:w="11900" w:h="16838" w:orient="portrait"/>
          <w:cols w:equalWidth="0" w:num="1">
            <w:col w:w="11400"/>
          </w:cols>
          <w:pgMar w:left="240" w:top="139" w:right="259" w:bottom="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20"/>
        <w:spacing w:after="0" w:line="275" w:lineRule="auto"/>
        <w:rPr>
          <w:sz w:val="20"/>
          <w:szCs w:val="20"/>
          <w:color w:val="auto"/>
        </w:rPr>
      </w:pPr>
      <w:r>
        <w:rPr>
          <w:rFonts w:ascii="Times New Roman" w:cs="Times New Roman" w:eastAsia="Times New Roman" w:hAnsi="Times New Roman"/>
          <w:sz w:val="18"/>
          <w:szCs w:val="18"/>
          <w:color w:val="auto"/>
        </w:rPr>
        <w:t>measured by voting power rather than number of equity interests, than is at that time Beneficially Owned by the Principal and his Related Parties as a group;</w:t>
      </w:r>
    </w:p>
    <w:p>
      <w:pPr>
        <w:spacing w:after="0" w:line="187" w:lineRule="exact"/>
        <w:rPr>
          <w:sz w:val="20"/>
          <w:szCs w:val="20"/>
          <w:color w:val="auto"/>
        </w:rPr>
      </w:pPr>
    </w:p>
    <w:p>
      <w:pPr>
        <w:ind w:left="1080" w:right="200" w:hanging="532"/>
        <w:spacing w:after="0" w:line="258" w:lineRule="auto"/>
        <w:tabs>
          <w:tab w:leader="none" w:pos="10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and his Related Parties as a group own less than 20% of the outstanding Voting Stock of Wynn Resorts, measured by voting power rather than number of equity interests (excluding, for purposes of calculating the outstanding voting stock of Wynn Resorts pursuant to this clause 3(c), shares of voting stock issued in a primary issuance by Wynn Resorts in one or more bona fide public offerings of additional voting stock of Wynn Resorts (other than the IPO)); or</w:t>
      </w:r>
    </w:p>
    <w:p>
      <w:pPr>
        <w:spacing w:after="0" w:line="21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and his Related Parties as a group own less than 10% of the outstanding voting stock of Wynn Resorts, measured by voting power rather than number of equity interests;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0" w:right="420" w:hanging="532"/>
        <w:spacing w:after="0" w:line="275"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the Wynn Employment Agreement for any reason (other than in accordance with the terms thereof) is terminated or any of the provisions thereof otherwise cease to be in full force and effect, or the Principal shall so assert;</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Wynn Resorts or Wynn Las Vegas are not Continuing Directors;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Wynn Resorts ceases to own, directly or indirectly, 100% of the outstanding Equity Interests of Wynn Las Vegas; or</w:t>
      </w:r>
    </w:p>
    <w:p>
      <w:pPr>
        <w:spacing w:after="0" w:line="238"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above, a Change of Control will not occur solely by reason of a Permitted C-Corp. Conversion.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all assets, now owned or hereafter acquired, of either Issuer, any Guarantor, any Restricted Entity, any Restricted Subsidiary of Wynn Las Vegas or any 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Guarantee,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Deeds of Trust,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Agreement,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and Collateral Agreements,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Security Agreements,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Guarantee, if any,</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Security Agreement, if any,</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Account Agreement,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Fees Subordination Agreement, and</w:t>
      </w:r>
    </w:p>
    <w:p>
      <w:pPr>
        <w:spacing w:after="0" w:line="238"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documents, pledges or filings that create, evidence, perfect, set forth, consent to, acknowledge or limit the security interest of the trustee in the Collateral,</w:t>
      </w:r>
    </w:p>
    <w:p>
      <w:pPr>
        <w:spacing w:after="0" w:line="17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in each case, as amended, modified or otherwise supplemented from time to time in accordance with their respective terms and with the indenture and the Collateral Documents.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Completion</w:t>
      </w:r>
      <w:r>
        <w:rPr>
          <w:rFonts w:ascii="Times New Roman" w:cs="Times New Roman" w:eastAsia="Times New Roman" w:hAnsi="Times New Roman"/>
          <w:sz w:val="18"/>
          <w:szCs w:val="18"/>
          <w:color w:val="auto"/>
        </w:rPr>
        <w:t>" means that each of the following has occurred: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5" w:right="259" w:bottom="0" w:gutter="0" w:footer="0" w:header="0"/>
        </w:sectPr>
      </w:pPr>
    </w:p>
    <w:bookmarkStart w:id="108" w:name="page109"/>
    <w:bookmarkEnd w:id="108"/>
    <w:p>
      <w:pPr>
        <w:ind w:left="532"/>
        <w:spacing w:after="0"/>
        <w:rPr>
          <w:sz w:val="20"/>
          <w:szCs w:val="20"/>
          <w:color w:val="auto"/>
        </w:rPr>
      </w:pPr>
      <w:r>
        <w:rPr>
          <w:rFonts w:ascii="Times New Roman" w:cs="Times New Roman" w:eastAsia="Times New Roman" w:hAnsi="Times New Roman"/>
          <w:sz w:val="18"/>
          <w:szCs w:val="18"/>
          <w:color w:val="auto"/>
        </w:rPr>
        <w:t>the Opening Date has occurred under the Disbursement Agreement;</w:t>
      </w:r>
    </w:p>
    <w:p>
      <w:pPr>
        <w:spacing w:after="0" w:line="239" w:lineRule="exact"/>
        <w:rPr>
          <w:sz w:val="20"/>
          <w:szCs w:val="20"/>
          <w:color w:val="auto"/>
        </w:rPr>
      </w:pPr>
    </w:p>
    <w:p>
      <w:pPr>
        <w:ind w:left="532" w:right="100" w:hanging="532"/>
        <w:spacing w:after="0" w:line="275" w:lineRule="auto"/>
        <w:tabs>
          <w:tab w:leader="none" w:pos="53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contractors and subcontractors have been paid in full (other than (A) retainage amounts, and other amounts, that, as of the Completion Date, are being withheld from the contractors and subcontractors in accordance with the provisions of the Project documents, (B) amounts</w:t>
      </w:r>
    </w:p>
    <w:p>
      <w:pPr>
        <w:spacing w:after="0" w:line="173" w:lineRule="exact"/>
        <w:rPr>
          <w:rFonts w:ascii="Times New Roman" w:cs="Times New Roman" w:eastAsia="Times New Roman" w:hAnsi="Times New Roman"/>
          <w:sz w:val="18"/>
          <w:szCs w:val="18"/>
          <w:color w:val="auto"/>
        </w:rPr>
      </w:pPr>
    </w:p>
    <w:p>
      <w:pPr>
        <w:ind w:left="532" w:right="12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being contested in accordance with the financing agreements so long as adequate reserves have been established in accordance with GAAP and any requirements of such financing agreements and (C) amounts payable in respect of Project punchlist items to the extent not covered by clause (A) above);</w:t>
      </w:r>
    </w:p>
    <w:p>
      <w:pPr>
        <w:spacing w:after="0" w:line="15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 punchlist items: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jc w:val="both"/>
        <w:ind w:left="1072" w:hanging="532"/>
        <w:spacing w:after="0" w:line="262" w:lineRule="auto"/>
        <w:tabs>
          <w:tab w:leader="none" w:pos="1072"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any remaining Project punchlist items shall have been delivered to the Construction Consultant and the Disbursement Agent by the Issuers and Wynn Design &amp; Development, LLC and approved by the Construction Consultant and the Disbursement Agent as a reasonable final punchlist (such approval not to be unreasonably withheld); and</w:t>
      </w:r>
    </w:p>
    <w:p>
      <w:pPr>
        <w:spacing w:after="0" w:line="199" w:lineRule="exact"/>
        <w:rPr>
          <w:rFonts w:ascii="Times New Roman" w:cs="Times New Roman" w:eastAsia="Times New Roman" w:hAnsi="Times New Roman"/>
          <w:sz w:val="18"/>
          <w:szCs w:val="18"/>
          <w:color w:val="auto"/>
        </w:rPr>
      </w:pPr>
    </w:p>
    <w:p>
      <w:pPr>
        <w:ind w:left="1072" w:right="140" w:hanging="532"/>
        <w:spacing w:after="0" w:line="258" w:lineRule="auto"/>
        <w:tabs>
          <w:tab w:leader="none" w:pos="1072"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agreement with all contractors performing work with respect to Project punchlist items shall have been entered into by the Issuers and Wynn Design &amp; Development, LLC and such contractors detailing the cost of remaining Project punchlist items and shall have been delivered to the Construction Consultant and the Disbursement Agent by the Issuers and Wynn Design &amp; Development, LLC and approved by the Construction Consultant and the Disbursement Agent;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FF&amp;E component: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72" w:hanging="532"/>
        <w:spacing w:after="0" w:line="293" w:lineRule="auto"/>
        <w:tabs>
          <w:tab w:leader="none" w:pos="1072"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and Wynn Design &amp; Development, LLC shall have delivered an appraisal demonstrating the fair market value of the items comprising the FF&amp;E component (excluding the Aircraft Assets) in their brand new condition (and without giving effect to depreciation caused by the fact that such items may have been delivered and/or installed prior to such appraisal). If the aggregate amount of loans advanced under the FF&amp;E Facility is more than 75% of the fair market value of the FF&amp;E component as determined by such appraisal, the agent under the FF&amp;E Facility and the Issuers and Wynn Design &amp; Development, LLC shall have substituted certain items previously constituting the FF&amp;E component for other items of eligible FF&amp;E equipment or, if substitution is not feasible, have added items of eligible FF&amp;E equipment to the FF&amp;E</w:t>
      </w:r>
    </w:p>
    <w:p>
      <w:pPr>
        <w:spacing w:after="0" w:line="1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540"/>
        <w:spacing w:after="0" w:line="275" w:lineRule="auto"/>
        <w:rPr>
          <w:sz w:val="20"/>
          <w:szCs w:val="20"/>
          <w:color w:val="auto"/>
        </w:rPr>
      </w:pPr>
      <w:r>
        <w:rPr>
          <w:rFonts w:ascii="Times New Roman" w:cs="Times New Roman" w:eastAsia="Times New Roman" w:hAnsi="Times New Roman"/>
          <w:sz w:val="18"/>
          <w:szCs w:val="18"/>
          <w:color w:val="auto"/>
        </w:rPr>
        <w:t>component such that the aggregate amount of loans advanced under the FF&amp;E Facility shall equal 75% of the appraised value of the FF&amp;E component; and</w:t>
      </w:r>
    </w:p>
    <w:p>
      <w:pPr>
        <w:spacing w:after="0" w:line="187" w:lineRule="exact"/>
        <w:rPr>
          <w:sz w:val="20"/>
          <w:szCs w:val="20"/>
          <w:color w:val="auto"/>
        </w:rPr>
      </w:pPr>
    </w:p>
    <w:p>
      <w:pPr>
        <w:ind w:left="1072" w:right="660" w:hanging="532"/>
        <w:spacing w:after="0" w:line="275" w:lineRule="auto"/>
        <w:tabs>
          <w:tab w:leader="none" w:pos="1072"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list of the fixtures, furniture and equipment that constitutes the FF&amp;E component shall have been delivered by the Company to the Construction Consultant and the Disbursement Agent;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32" w:right="260" w:hanging="532"/>
        <w:spacing w:after="0" w:line="262" w:lineRule="auto"/>
        <w:tabs>
          <w:tab w:leader="none" w:pos="5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insurance shall have issued (i) a title insurance endorsement with respect to all work performed by any contractor or subcontractor prior to Completion Date and (ii) a title insurance endorsement or bond with respect to Project punchlist items remaining to be completed after the Completion Date;</w:t>
      </w:r>
    </w:p>
    <w:p>
      <w:pPr>
        <w:spacing w:after="0" w:line="199" w:lineRule="exact"/>
        <w:rPr>
          <w:rFonts w:ascii="Times New Roman" w:cs="Times New Roman" w:eastAsia="Times New Roman" w:hAnsi="Times New Roman"/>
          <w:sz w:val="18"/>
          <w:szCs w:val="18"/>
          <w:color w:val="auto"/>
        </w:rPr>
      </w:pPr>
    </w:p>
    <w:p>
      <w:pPr>
        <w:ind w:left="532" w:right="20" w:hanging="532"/>
        <w:spacing w:after="0" w:line="262" w:lineRule="auto"/>
        <w:tabs>
          <w:tab w:leader="none" w:pos="5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business plan and a written analysis satisfactory to the lenders under the Credit Agreement and the FF&amp;E Facility of the business and prospects of Wynn Las Vegas, the Restricted Entities and their respective Restricted Subsidiaries for the period from the Completion Date through the end of the calendar year in which the Completion Date occurs;</w:t>
      </w:r>
    </w:p>
    <w:p>
      <w:pPr>
        <w:spacing w:after="0" w:line="199" w:lineRule="exact"/>
        <w:rPr>
          <w:rFonts w:ascii="Times New Roman" w:cs="Times New Roman" w:eastAsia="Times New Roman" w:hAnsi="Times New Roman"/>
          <w:sz w:val="18"/>
          <w:szCs w:val="18"/>
          <w:color w:val="auto"/>
        </w:rPr>
      </w:pPr>
    </w:p>
    <w:p>
      <w:pPr>
        <w:ind w:left="532" w:right="840" w:hanging="532"/>
        <w:spacing w:after="0" w:line="275" w:lineRule="auto"/>
        <w:tabs>
          <w:tab w:leader="none" w:pos="5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Contractor and the Golf Course contractor each shall have delivered its completion certificate certifying, among other things, as to "substantial completion" of the work under the Construction Contract and the Golf Course Construction Contract, respectively; and</w:t>
      </w:r>
    </w:p>
    <w:p>
      <w:pPr>
        <w:spacing w:after="0" w:line="200" w:lineRule="exact"/>
        <w:rPr>
          <w:rFonts w:ascii="Times New Roman" w:cs="Times New Roman" w:eastAsia="Times New Roman" w:hAnsi="Times New Roman"/>
          <w:sz w:val="18"/>
          <w:szCs w:val="18"/>
          <w:color w:val="auto"/>
        </w:rPr>
      </w:pPr>
    </w:p>
    <w:p>
      <w:pPr>
        <w:ind w:left="532" w:right="20" w:hanging="532"/>
        <w:spacing w:after="0" w:line="275" w:lineRule="auto"/>
        <w:tabs>
          <w:tab w:leader="none" w:pos="5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Wynn Design &amp; Development, LLC shall have delivered from the surety under each Payment and Performance Bond a "Consent of Surety to Reduction in or Partial Release of Retainage" (AIA form G707A).</w:t>
      </w:r>
    </w:p>
    <w:p>
      <w:pPr>
        <w:spacing w:after="0" w:line="172"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Completion Date"</w:t>
      </w:r>
      <w:r>
        <w:rPr>
          <w:rFonts w:ascii="Times New Roman" w:cs="Times New Roman" w:eastAsia="Times New Roman" w:hAnsi="Times New Roman"/>
          <w:sz w:val="18"/>
          <w:szCs w:val="18"/>
          <w:color w:val="auto"/>
        </w:rPr>
        <w:t xml:space="preserve"> means the date on which Completion occurs.</w:t>
      </w:r>
    </w:p>
    <w:p>
      <w:pPr>
        <w:spacing w:after="0" w:line="225"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Completion Guarantee</w:t>
      </w:r>
      <w:r>
        <w:rPr>
          <w:rFonts w:ascii="Times New Roman" w:cs="Times New Roman" w:eastAsia="Times New Roman" w:hAnsi="Times New Roman"/>
          <w:sz w:val="18"/>
          <w:szCs w:val="18"/>
          <w:color w:val="auto"/>
        </w:rPr>
        <w:t>" means the Completion Guarantee, dated as of the date of indenture, by the Completion Guarantor in favor of the trustee.</w:t>
      </w:r>
    </w:p>
    <w:p>
      <w:pPr>
        <w:spacing w:after="0" w:line="225"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Cash Flow</w:t>
      </w:r>
      <w:r>
        <w:rPr>
          <w:rFonts w:ascii="Times New Roman" w:cs="Times New Roman" w:eastAsia="Times New Roman" w:hAnsi="Times New Roman"/>
          <w:sz w:val="18"/>
          <w:szCs w:val="18"/>
          <w:color w:val="auto"/>
        </w:rPr>
        <w:t xml:space="preserve">" means, with respect to any specified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532" w:right="60" w:hanging="532"/>
        <w:spacing w:after="0" w:line="275" w:lineRule="auto"/>
        <w:tabs>
          <w:tab w:leader="none" w:pos="5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87" w:lineRule="exact"/>
        <w:rPr>
          <w:rFonts w:ascii="Times New Roman" w:cs="Times New Roman" w:eastAsia="Times New Roman" w:hAnsi="Times New Roman"/>
          <w:sz w:val="18"/>
          <w:szCs w:val="18"/>
          <w:color w:val="auto"/>
        </w:rPr>
      </w:pPr>
    </w:p>
    <w:p>
      <w:pPr>
        <w:ind w:left="532" w:right="260" w:hanging="532"/>
        <w:spacing w:after="0" w:line="275" w:lineRule="auto"/>
        <w:tabs>
          <w:tab w:leader="none" w:pos="5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Times New Roman" w:cs="Times New Roman" w:eastAsia="Times New Roman" w:hAnsi="Times New Roman"/>
          <w:sz w:val="18"/>
          <w:szCs w:val="18"/>
          <w:i w:val="1"/>
          <w:iCs w:val="1"/>
          <w:color w:val="auto"/>
        </w:rPr>
        <w:t>plus</w:t>
      </w:r>
    </w:p>
    <w:p>
      <w:pPr>
        <w:spacing w:after="0" w:line="200" w:lineRule="exact"/>
        <w:rPr>
          <w:rFonts w:ascii="Times New Roman" w:cs="Times New Roman" w:eastAsia="Times New Roman" w:hAnsi="Times New Roman"/>
          <w:sz w:val="18"/>
          <w:szCs w:val="18"/>
          <w:color w:val="auto"/>
        </w:rPr>
      </w:pPr>
    </w:p>
    <w:p>
      <w:pPr>
        <w:ind w:left="532" w:right="140" w:hanging="532"/>
        <w:spacing w:after="0" w:line="296" w:lineRule="auto"/>
        <w:tabs>
          <w:tab w:leader="none" w:pos="532"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w:t>
      </w:r>
    </w:p>
    <w:p>
      <w:pPr>
        <w:sectPr>
          <w:pgSz w:w="11900" w:h="16838" w:orient="portrait"/>
          <w:cols w:equalWidth="0" w:num="1">
            <w:col w:w="11392"/>
          </w:cols>
          <w:pgMar w:left="248" w:top="125" w:right="259" w:bottom="0" w:gutter="0" w:footer="0" w:header="0"/>
        </w:sectPr>
      </w:pPr>
    </w:p>
    <w:bookmarkStart w:id="109" w:name="page110"/>
    <w:bookmarkEnd w:id="109"/>
    <w:p>
      <w:pPr>
        <w:ind w:left="540"/>
        <w:spacing w:after="0"/>
        <w:rPr>
          <w:sz w:val="20"/>
          <w:szCs w:val="20"/>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i w:val="1"/>
          <w:iCs w:val="1"/>
          <w:color w:val="auto"/>
        </w:rPr>
        <w:t>plus</w:t>
      </w:r>
    </w:p>
    <w:p>
      <w:pPr>
        <w:spacing w:after="0" w:line="241" w:lineRule="exact"/>
        <w:rPr>
          <w:sz w:val="20"/>
          <w:szCs w:val="20"/>
          <w:color w:val="auto"/>
        </w:rPr>
      </w:pPr>
    </w:p>
    <w:p>
      <w:pPr>
        <w:ind w:left="540" w:hanging="532"/>
        <w:spacing w:after="0" w:line="275"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 xml:space="preserve">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211" w:lineRule="exact"/>
        <w:rPr>
          <w:sz w:val="20"/>
          <w:szCs w:val="20"/>
          <w:color w:val="auto"/>
        </w:rPr>
      </w:pPr>
    </w:p>
    <w:p>
      <w:pPr>
        <w:ind w:left="540" w:hanging="532"/>
        <w:spacing w:after="0"/>
        <w:tabs>
          <w:tab w:leader="none" w:pos="54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pre-opening expenses, to the extent such pre-opening expenses were deducted in calculating Consolidated Net Income on a consolidated basis; </w:t>
      </w:r>
      <w:r>
        <w:rPr>
          <w:rFonts w:ascii="Times New Roman" w:cs="Times New Roman" w:eastAsia="Times New Roman" w:hAnsi="Times New Roman"/>
          <w:sz w:val="16"/>
          <w:szCs w:val="16"/>
          <w:i w:val="1"/>
          <w:iCs w:val="1"/>
          <w:color w:val="auto"/>
        </w:rPr>
        <w:t>plus</w:t>
      </w:r>
    </w:p>
    <w:p>
      <w:pPr>
        <w:spacing w:after="0" w:line="261"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reducing Consolidated Net Income for such period, </w:t>
      </w:r>
      <w:r>
        <w:rPr>
          <w:rFonts w:ascii="Times New Roman" w:cs="Times New Roman" w:eastAsia="Times New Roman" w:hAnsi="Times New Roman"/>
          <w:sz w:val="18"/>
          <w:szCs w:val="18"/>
          <w:i w:val="1"/>
          <w:iCs w:val="1"/>
          <w:color w:val="auto"/>
        </w:rPr>
        <w:t>minus</w:t>
      </w:r>
    </w:p>
    <w:p>
      <w:pPr>
        <w:spacing w:after="0" w:line="24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period, other than the accrual of revenue in the ordinary course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9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xml:space="preserve">" of any Person for any period, means consolidated net income of such Person and its 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without duplication and to the extent reflected as a charge in the statement of such consolidated net income for such period, the sum of (a) income tax expense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organization costs and (e) any extraordinary, unusual or non-recurring expenses or losses (including, whether or not otherwise includable as a separate item in the statement of such consolidated net income for such period, losses on sales of assets outside of the ordinary course of business) and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included in the statement of such consolidated net income for such period, the sum of (a) interest income (except to the extent deducted in determining consolidated interest expense) and (b) any extraordinary, unusual or non-recurring income or gains (including, whether or not otherwise includable as a separate item in the statement of such consolidated net income for such period, gains on the sales of assets outside of the ordinary course of business), all as determined on a consolidated basis.</w:t>
      </w:r>
    </w:p>
    <w:p>
      <w:pPr>
        <w:spacing w:after="0" w:line="193"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Leverage Ratio</w:t>
      </w:r>
      <w:r>
        <w:rPr>
          <w:rFonts w:ascii="Times New Roman" w:cs="Times New Roman" w:eastAsia="Times New Roman" w:hAnsi="Times New Roman"/>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70"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Member</w:t>
      </w:r>
      <w:r>
        <w:rPr>
          <w:rFonts w:ascii="Times New Roman" w:cs="Times New Roman" w:eastAsia="Times New Roman" w:hAnsi="Times New Roman"/>
          <w:sz w:val="18"/>
          <w:szCs w:val="18"/>
          <w:color w:val="auto"/>
        </w:rPr>
        <w:t>" means a corporation, other than the common parent, that is a member of an affiliated group (as defined in Section 1504 of the Code) of which Wynn Resorts, any Restricted Entity or any Restricted Subsidiary of Wynn Las Vegas or any Restricted Entity is the common parent.</w:t>
      </w:r>
    </w:p>
    <w:p>
      <w:pPr>
        <w:spacing w:after="0" w:line="170"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means, with respect to any specified Person for any period, the aggregate of the Net Income of such Person and its Restricted Subsidiaries for such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on a consolidated basis, determined in accordance with GAAP. For purposes of determining Consolidated Net Income:</w:t>
      </w:r>
    </w:p>
    <w:p>
      <w:pPr>
        <w:spacing w:after="0" w:line="252" w:lineRule="exact"/>
        <w:rPr>
          <w:sz w:val="20"/>
          <w:szCs w:val="20"/>
          <w:color w:val="auto"/>
        </w:rPr>
      </w:pPr>
    </w:p>
    <w:p>
      <w:pPr>
        <w:ind w:left="540" w:right="240" w:hanging="532"/>
        <w:spacing w:after="0" w:line="339" w:lineRule="auto"/>
        <w:tabs>
          <w:tab w:leader="none" w:pos="5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141" w:lineRule="exact"/>
        <w:rPr>
          <w:rFonts w:ascii="Times New Roman" w:cs="Times New Roman" w:eastAsia="Times New Roman" w:hAnsi="Times New Roman"/>
          <w:sz w:val="16"/>
          <w:szCs w:val="16"/>
          <w:color w:val="auto"/>
        </w:rPr>
      </w:pPr>
    </w:p>
    <w:p>
      <w:pPr>
        <w:ind w:left="540" w:right="320" w:hanging="532"/>
        <w:spacing w:after="0" w:line="258" w:lineRule="auto"/>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20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Person acquired in a pooling of interests transaction for any period prior to the date of such acquisition will be excluded;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Unrestricted Subsidiary will be excluded, whether or not distributed to the specified Person or one of its Subsidiaries;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Worth</w:t>
      </w:r>
      <w:r>
        <w:rPr>
          <w:rFonts w:ascii="Times New Roman" w:cs="Times New Roman" w:eastAsia="Times New Roman" w:hAnsi="Times New Roman"/>
          <w:sz w:val="18"/>
          <w:szCs w:val="18"/>
          <w:color w:val="auto"/>
        </w:rPr>
        <w:t>" means, with respect to any specified Person as of any date, the sum of:</w:t>
      </w:r>
    </w:p>
    <w:p>
      <w:pPr>
        <w:spacing w:after="0" w:line="241" w:lineRule="exact"/>
        <w:rPr>
          <w:sz w:val="20"/>
          <w:szCs w:val="20"/>
          <w:color w:val="auto"/>
        </w:rPr>
      </w:pPr>
    </w:p>
    <w:p>
      <w:pPr>
        <w:ind w:left="540" w:hanging="532"/>
        <w:spacing w:after="0"/>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equity of the common stockholders of such Person and its consolidated Restricted Subsidiaries as of such date; plus</w:t>
      </w:r>
    </w:p>
    <w:p>
      <w:pPr>
        <w:spacing w:after="0" w:line="252" w:lineRule="exact"/>
        <w:rPr>
          <w:rFonts w:ascii="Times New Roman" w:cs="Times New Roman" w:eastAsia="Times New Roman" w:hAnsi="Times New Roman"/>
          <w:sz w:val="18"/>
          <w:szCs w:val="18"/>
          <w:color w:val="auto"/>
        </w:rPr>
      </w:pPr>
    </w:p>
    <w:p>
      <w:pPr>
        <w:ind w:left="540" w:right="200" w:hanging="532"/>
        <w:spacing w:after="0" w:line="310" w:lineRule="auto"/>
        <w:tabs>
          <w:tab w:leader="none" w:pos="54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ectPr>
          <w:pgSz w:w="11900" w:h="16838" w:orient="portrait"/>
          <w:cols w:equalWidth="0" w:num="1">
            <w:col w:w="11420"/>
          </w:cols>
          <w:pgMar w:left="240" w:top="123" w:right="239" w:bottom="0" w:gutter="0" w:footer="0" w:header="0"/>
        </w:sectPr>
      </w:pPr>
    </w:p>
    <w:bookmarkStart w:id="110" w:name="page111"/>
    <w:bookmarkEnd w:id="110"/>
    <w:p>
      <w:pPr>
        <w:ind w:right="5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Debt</w:t>
      </w:r>
      <w:r>
        <w:rPr>
          <w:rFonts w:ascii="Times New Roman" w:cs="Times New Roman" w:eastAsia="Times New Roman" w:hAnsi="Times New Roman"/>
          <w:sz w:val="18"/>
          <w:szCs w:val="18"/>
          <w:color w:val="auto"/>
        </w:rPr>
        <w:t>" means at any date, the aggregate principal amount of all indebtedness of Wynn Las Vegas and its Subsidiaries at such date, determined on a consolidated basis in accordance with GAAP.</w:t>
      </w:r>
    </w:p>
    <w:p>
      <w:pPr>
        <w:spacing w:after="0" w:line="170"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Construction Consultant</w:t>
      </w:r>
      <w:r>
        <w:rPr>
          <w:rFonts w:ascii="Times New Roman" w:cs="Times New Roman" w:eastAsia="Times New Roman" w:hAnsi="Times New Roman"/>
          <w:sz w:val="18"/>
          <w:szCs w:val="18"/>
          <w:color w:val="auto"/>
        </w:rPr>
        <w:t>" means Inspection &amp; Valuation International, Inc., or any other construction consultant designated under the Disbursement Agreement.</w:t>
      </w:r>
    </w:p>
    <w:p>
      <w:pPr>
        <w:spacing w:after="0" w:line="170"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Construction Contract</w:t>
      </w:r>
      <w:r>
        <w:rPr>
          <w:rFonts w:ascii="Times New Roman" w:cs="Times New Roman" w:eastAsia="Times New Roman" w:hAnsi="Times New Roman"/>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pacing w:after="0" w:line="181"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Construction Contract Guarantee</w:t>
      </w:r>
      <w:r>
        <w:rPr>
          <w:rFonts w:ascii="Times New Roman" w:cs="Times New Roman" w:eastAsia="Times New Roman" w:hAnsi="Times New Roman"/>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Construction Contract Guarantor</w:t>
      </w:r>
      <w:r>
        <w:rPr>
          <w:rFonts w:ascii="Times New Roman" w:cs="Times New Roman" w:eastAsia="Times New Roman" w:hAnsi="Times New Roman"/>
          <w:sz w:val="18"/>
          <w:szCs w:val="18"/>
          <w:color w:val="auto"/>
        </w:rPr>
        <w:t>" means Austi, Inc., a Nevada corporation.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Directors</w:t>
      </w:r>
      <w:r>
        <w:rPr>
          <w:rFonts w:ascii="Times New Roman" w:cs="Times New Roman" w:eastAsia="Times New Roman" w:hAnsi="Times New Roman"/>
          <w:sz w:val="18"/>
          <w:szCs w:val="18"/>
          <w:color w:val="auto"/>
        </w:rPr>
        <w:t>" means, as of any date of determination, with respect to any Person, any member of the board of directors of such Person who:</w:t>
      </w:r>
    </w:p>
    <w:p>
      <w:pPr>
        <w:spacing w:after="0" w:line="241" w:lineRule="exact"/>
        <w:rPr>
          <w:sz w:val="20"/>
          <w:szCs w:val="20"/>
          <w:color w:val="auto"/>
        </w:rPr>
      </w:pPr>
    </w:p>
    <w:p>
      <w:pPr>
        <w:ind w:left="540" w:hanging="532"/>
        <w:spacing w:after="0"/>
        <w:tabs>
          <w:tab w:leader="none" w:pos="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the indenture;</w:t>
      </w:r>
    </w:p>
    <w:p>
      <w:pPr>
        <w:spacing w:after="0" w:line="252"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in the case of a limited liability company, was nominated by the direct or indirect board of directors of its managing member or sole member.</w:t>
      </w:r>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and Deutsche Bank AG., New York Branch, as arranger and joint documentation agent, including any related notes, guarantees, collateral documents, instruments and agreements executed in connection therewith, and in each case (1) as amended, supplemented, amended and restated or otherwise modified from time to time, or (2) as renewed, refunded, replaced or refinanced from time to time, whether with the same or different lenders or holders.</w:t>
      </w:r>
    </w:p>
    <w:p>
      <w:pPr>
        <w:spacing w:after="0" w:line="189" w:lineRule="exact"/>
        <w:rPr>
          <w:sz w:val="20"/>
          <w:szCs w:val="20"/>
          <w:color w:val="auto"/>
        </w:rPr>
      </w:pPr>
    </w:p>
    <w:p>
      <w:pPr>
        <w:ind w:right="36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Dealership Lease Agreement</w:t>
      </w:r>
      <w:r>
        <w:rPr>
          <w:rFonts w:ascii="Times New Roman" w:cs="Times New Roman" w:eastAsia="Times New Roman" w:hAnsi="Times New Roman"/>
          <w:sz w:val="16"/>
          <w:szCs w:val="16"/>
          <w:color w:val="auto"/>
        </w:rPr>
        <w:t>" means the Dealership Lease Agreement, dated as of the date of the indenture, between Wynn Las Vegas, as lessor, and Kevyn, LLC, as lessee, with respect to the lease of space at the Project for the development and operation of a Ferrari and Maserati automobile dealership, as amended, modified or otherwise supplemented from time to time in accordance with the covenant captioned "—Amendments to Certain Agreements."</w:t>
      </w:r>
    </w:p>
    <w:p>
      <w:pPr>
        <w:spacing w:after="0" w:line="147"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Deeds of Trust</w:t>
      </w:r>
      <w:r>
        <w:rPr>
          <w:rFonts w:ascii="Times New Roman" w:cs="Times New Roman" w:eastAsia="Times New Roman" w:hAnsi="Times New Roman"/>
          <w:sz w:val="18"/>
          <w:szCs w:val="18"/>
          <w:color w:val="auto"/>
        </w:rPr>
        <w:t>" means the deeds of trust entered into by the Issuers, the Guarantors and, if applicable, Wynn Resorts, from time to time in accordance with the provisions of the indenture and the Collateral Documents.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Desert Inn Improvement Co.</w:t>
      </w:r>
      <w:r>
        <w:rPr>
          <w:rFonts w:ascii="Times New Roman" w:cs="Times New Roman" w:eastAsia="Times New Roman" w:hAnsi="Times New Roman"/>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Desert Inn Water Company</w:t>
      </w:r>
      <w:r>
        <w:rPr>
          <w:rFonts w:ascii="Times New Roman" w:cs="Times New Roman" w:eastAsia="Times New Roman" w:hAnsi="Times New Roman"/>
          <w:sz w:val="18"/>
          <w:szCs w:val="18"/>
          <w:color w:val="auto"/>
        </w:rPr>
        <w:t>" means Desert Inn Water Company, LLC, a Nevada limited liability company.</w:t>
      </w:r>
    </w:p>
    <w:p>
      <w:pPr>
        <w:spacing w:after="0" w:line="225" w:lineRule="exact"/>
        <w:rPr>
          <w:sz w:val="20"/>
          <w:szCs w:val="20"/>
          <w:color w:val="auto"/>
        </w:rPr>
      </w:pPr>
    </w:p>
    <w:p>
      <w:pPr>
        <w:ind w:right="6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Design/Build Contract</w:t>
      </w:r>
      <w:r>
        <w:rPr>
          <w:rFonts w:ascii="Times New Roman" w:cs="Times New Roman" w:eastAsia="Times New Roman" w:hAnsi="Times New Roman"/>
          <w:sz w:val="16"/>
          <w:szCs w:val="16"/>
          <w:color w:val="auto"/>
        </w:rPr>
        <w:t>" means the Design/Build Agreement, dated June 6, 2002, by and between Wynn Las Vegas and Bomel Construction Company, Inc., as amended, modified or otherwise supplemented from time to time in accordance with the covenant captioned "—Amendments to Certain Agreements."</w:t>
      </w:r>
    </w:p>
    <w:p>
      <w:pPr>
        <w:spacing w:after="0" w:line="124"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Disbursement Agent</w:t>
      </w:r>
      <w:r>
        <w:rPr>
          <w:rFonts w:ascii="Times New Roman" w:cs="Times New Roman" w:eastAsia="Times New Roman" w:hAnsi="Times New Roman"/>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70"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Disbursement Agreement</w:t>
      </w:r>
      <w:r>
        <w:rPr>
          <w:rFonts w:ascii="Times New Roman" w:cs="Times New Roman" w:eastAsia="Times New Roman" w:hAnsi="Times New Roman"/>
          <w:sz w:val="18"/>
          <w:szCs w:val="18"/>
          <w:color w:val="auto"/>
        </w:rPr>
        <w:t>" means the Master Disbursement Agreement, dated the date of the indenture, among Wynn Las Vegas, Wynn Capital, Wynn Design &amp; Development, LLC, the trustee, a representative of the lenders under the Credit Agreement, a representative of the lenders under the FF&amp;E Facility and the Disbursement Agent in connection with the Project, as amended, modified or otherwise supplemented from time to time in accordance with its terms.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351"/>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Disqualified Stock</w:t>
      </w:r>
      <w:r>
        <w:rPr>
          <w:rFonts w:ascii="Times New Roman" w:cs="Times New Roman" w:eastAsia="Times New Roman" w:hAnsi="Times New Roman"/>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Wynn Las Vegas, any Restricted Entity or any of their respective Restricted Subsidiaries to repurchase such capital stock upon the occurrence of a change of control or an asset sale shall not constitute Disqualified Stock if the terms of such capital stock provide that Wynn Las Vegas, such Restricted Entity or such Restricted Subsidiary may not repurchase or redeem any such capital stock pursuant to such provisions unless such repurchase or redemption complies with the covenant described above under the caption "—Certain Covenants—Restricted Payments."</w:t>
      </w:r>
    </w:p>
    <w:p>
      <w:pPr>
        <w:spacing w:after="0" w:line="166"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Driving Range Lease</w:t>
      </w:r>
      <w:r>
        <w:rPr>
          <w:rFonts w:ascii="Times New Roman" w:cs="Times New Roman" w:eastAsia="Times New Roman" w:hAnsi="Times New Roman"/>
          <w:sz w:val="18"/>
          <w:szCs w:val="18"/>
          <w:color w:val="auto"/>
        </w:rPr>
        <w:t>" means the lease, dated as of the date of the indenture between Valvino Lamore, as lessor, and Wynn Las Vegas, as lessee, with respect to the lease of land on which the driving range for the 18-hole championship golf course will be located, as amended, modified or otherwise supplemented from time to time in accordance with the covenant captioned "—Amendments to Certain Agreements."</w:t>
      </w:r>
    </w:p>
    <w:p>
      <w:pPr>
        <w:sectPr>
          <w:pgSz w:w="11900" w:h="16838" w:orient="portrait"/>
          <w:cols w:equalWidth="0" w:num="1">
            <w:col w:w="11400"/>
          </w:cols>
          <w:pgMar w:left="240" w:top="123" w:right="259" w:bottom="0" w:gutter="0" w:footer="0" w:header="0"/>
        </w:sectPr>
      </w:pPr>
    </w:p>
    <w:bookmarkStart w:id="111" w:name="page112"/>
    <w:bookmarkEnd w:id="111"/>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Entertainment Facility</w:t>
      </w:r>
      <w:r>
        <w:rPr>
          <w:rFonts w:ascii="Times New Roman" w:cs="Times New Roman" w:eastAsia="Times New Roman" w:hAnsi="Times New Roman"/>
          <w:sz w:val="18"/>
          <w:szCs w:val="18"/>
          <w:color w:val="auto"/>
        </w:rPr>
        <w:t>" means a showroom or entertainment facility adjoining the Le Rêve hotel on the Project and connected directly to such hotel.</w:t>
      </w:r>
    </w:p>
    <w:p>
      <w:pPr>
        <w:spacing w:after="0" w:line="225"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4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Loss</w:t>
      </w:r>
      <w:r>
        <w:rPr>
          <w:rFonts w:ascii="Times New Roman" w:cs="Times New Roman" w:eastAsia="Times New Roman" w:hAnsi="Times New Roman"/>
          <w:sz w:val="18"/>
          <w:szCs w:val="18"/>
          <w:color w:val="auto"/>
        </w:rPr>
        <w:t>" means, with respect to any property or asset (tangible or intangible, real or personal), whether in respect of a single event or a series of related events, any of the following:</w:t>
      </w:r>
    </w:p>
    <w:p>
      <w:pPr>
        <w:spacing w:after="0" w:line="186" w:lineRule="exact"/>
        <w:rPr>
          <w:sz w:val="20"/>
          <w:szCs w:val="20"/>
          <w:color w:val="auto"/>
        </w:rPr>
      </w:pPr>
    </w:p>
    <w:p>
      <w:pPr>
        <w:ind w:left="540" w:hanging="532"/>
        <w:spacing w:after="0"/>
        <w:tabs>
          <w:tab w:leader="none" w:pos="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destruction or damage of such property or asset;</w:t>
      </w:r>
    </w:p>
    <w:p>
      <w:pPr>
        <w:spacing w:after="0" w:line="252" w:lineRule="exact"/>
        <w:rPr>
          <w:rFonts w:ascii="Times New Roman" w:cs="Times New Roman" w:eastAsia="Times New Roman" w:hAnsi="Times New Roman"/>
          <w:sz w:val="18"/>
          <w:szCs w:val="18"/>
          <w:color w:val="auto"/>
        </w:rPr>
      </w:pPr>
    </w:p>
    <w:p>
      <w:pPr>
        <w:ind w:left="540" w:right="320" w:hanging="532"/>
        <w:spacing w:after="0" w:line="275" w:lineRule="auto"/>
        <w:tabs>
          <w:tab w:leader="none" w:pos="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in lieu of clause (2) above.</w:t>
      </w:r>
    </w:p>
    <w:p>
      <w:pPr>
        <w:spacing w:after="0" w:line="223"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Project Assets</w:t>
      </w:r>
      <w:r>
        <w:rPr>
          <w:rFonts w:ascii="Times New Roman" w:cs="Times New Roman" w:eastAsia="Times New Roman" w:hAnsi="Times New Roman"/>
          <w:sz w:val="18"/>
          <w:szCs w:val="18"/>
          <w:color w:val="auto"/>
        </w:rPr>
        <w:t>" means (1) any Equity Interests held by Wynn Resorts, other than Equity Interests in Valvino Lamore or any other Restricted Entity and (2) the Released Assets.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Stockholders</w:t>
      </w:r>
      <w:r>
        <w:rPr>
          <w:rFonts w:ascii="Times New Roman" w:cs="Times New Roman" w:eastAsia="Times New Roman" w:hAnsi="Times New Roman"/>
          <w:sz w:val="18"/>
          <w:szCs w:val="18"/>
          <w:color w:val="auto"/>
        </w:rPr>
        <w:t>" means Stephen A. Wynn, Aruze, USA, Inc., Baron Asset Fund and the Kenneth R. Wynn Family Trust.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FF&amp;E</w:t>
      </w:r>
      <w:r>
        <w:rPr>
          <w:rFonts w:ascii="Times New Roman" w:cs="Times New Roman" w:eastAsia="Times New Roman" w:hAnsi="Times New Roman"/>
          <w:sz w:val="18"/>
          <w:szCs w:val="18"/>
          <w:color w:val="auto"/>
        </w:rPr>
        <w:t>" means furniture, fixtures or equipment used in the ordinary course of the business of Wynn Las Vegas and its Restricted Subsidiaries.</w:t>
      </w:r>
    </w:p>
    <w:p>
      <w:pPr>
        <w:spacing w:after="0" w:line="225" w:lineRule="exact"/>
        <w:rPr>
          <w:sz w:val="20"/>
          <w:szCs w:val="20"/>
          <w:color w:val="auto"/>
        </w:rPr>
      </w:pPr>
    </w:p>
    <w:p>
      <w:pPr>
        <w:ind w:right="22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FF&amp;E Collateral</w:t>
      </w:r>
      <w:r>
        <w:rPr>
          <w:rFonts w:ascii="Times New Roman" w:cs="Times New Roman" w:eastAsia="Times New Roman" w:hAnsi="Times New Roman"/>
          <w:sz w:val="18"/>
          <w:szCs w:val="18"/>
          <w:color w:val="auto"/>
        </w:rPr>
        <w:t xml:space="preserve">" means all assets, now owned or hereafter acquired, of either Issuer, any Guarantor or any other Person, to the extent such assets are pledged or assigned or purport to be pledged or assigned, or are required to be pledged or assigned, on a first lien priority basis, under the FF&amp;E Facility or the related collateral documents to the lenders under the FF&amp;E Facility, or a representative on their behalf, as security for the obligations under the FF&amp;E Facility, together with the proceeds and products thereof,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Aircraft Assets.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FF&amp;E Financing</w:t>
      </w:r>
      <w:r>
        <w:rPr>
          <w:rFonts w:ascii="Times New Roman" w:cs="Times New Roman" w:eastAsia="Times New Roman" w:hAnsi="Times New Roman"/>
          <w:sz w:val="18"/>
          <w:szCs w:val="18"/>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70"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FF&amp;E Facility</w:t>
      </w:r>
      <w:r>
        <w:rPr>
          <w:rFonts w:ascii="Times New Roman" w:cs="Times New Roman" w:eastAsia="Times New Roman" w:hAnsi="Times New Roman"/>
          <w:sz w:val="18"/>
          <w:szCs w:val="18"/>
          <w:color w:val="auto"/>
        </w:rPr>
        <w:t>" means the Credit Agreement, dated as of the date of the indenture, among Wynn Las Vegas, the administrative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means that:</w:t>
      </w:r>
    </w:p>
    <w:p>
      <w:pPr>
        <w:spacing w:after="0" w:line="241" w:lineRule="exact"/>
        <w:rPr>
          <w:sz w:val="20"/>
          <w:szCs w:val="20"/>
          <w:color w:val="auto"/>
        </w:rPr>
      </w:pPr>
    </w:p>
    <w:p>
      <w:pPr>
        <w:ind w:left="540" w:hanging="532"/>
        <w:spacing w:after="0"/>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shall have occurred,</w:t>
      </w:r>
    </w:p>
    <w:p>
      <w:pPr>
        <w:spacing w:after="0" w:line="252" w:lineRule="exact"/>
        <w:rPr>
          <w:rFonts w:ascii="Times New Roman" w:cs="Times New Roman" w:eastAsia="Times New Roman" w:hAnsi="Times New Roman"/>
          <w:sz w:val="18"/>
          <w:szCs w:val="18"/>
          <w:color w:val="auto"/>
        </w:rPr>
      </w:pPr>
    </w:p>
    <w:p>
      <w:pPr>
        <w:jc w:val="both"/>
        <w:ind w:left="540" w:right="60" w:hanging="532"/>
        <w:spacing w:after="0" w:line="339" w:lineRule="auto"/>
        <w:tabs>
          <w:tab w:leader="none" w:pos="5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Project shall have received a permanent certificate of occupancy from the Clark County, Nevada Building Department (and copies of such certificates shall have been delivered to the Disbursement Agent, the agent for the lenders under the Credit Agreement, the trustee and the Construction Consultant),</w:t>
      </w:r>
    </w:p>
    <w:p>
      <w:pPr>
        <w:spacing w:after="0" w:line="141"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completion has been posted with respect to the Project and recorded in the Office of the County Recorder of Clark County, Nevada,</w:t>
      </w:r>
    </w:p>
    <w:p>
      <w:pPr>
        <w:spacing w:after="0" w:line="238"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pacing w:after="0" w:line="200" w:lineRule="exact"/>
        <w:rPr>
          <w:rFonts w:ascii="Times New Roman" w:cs="Times New Roman" w:eastAsia="Times New Roman" w:hAnsi="Times New Roman"/>
          <w:sz w:val="18"/>
          <w:szCs w:val="18"/>
          <w:color w:val="auto"/>
        </w:rPr>
      </w:pPr>
    </w:p>
    <w:p>
      <w:pPr>
        <w:ind w:left="540" w:right="220" w:hanging="532"/>
        <w:spacing w:after="0" w:line="301" w:lineRule="auto"/>
        <w:tabs>
          <w:tab w:leader="none" w:pos="5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and Wynn Design &amp; Development, LLC shall have delivered to the Disbursement Agent, the trustee and the agents for the lenders under the Credit Agreement and the FF&amp;E Facility its Final Completion certificate certifying that (a) all Project punchlist items have been completed, and (b) the Issuers and Wynn Design &amp; Development, LLC have settled with the contractors all claims for payments and amounts due under the construction contracts and the Issuers and Wynn Design &amp; Development, LLC have received a final lien release from each contractor and subcontractor,</w:t>
      </w:r>
    </w:p>
    <w:p>
      <w:pPr>
        <w:spacing w:after="0" w:line="170"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the Project architect and the General Contractor each shall have delivered its Final Completion certificate,</w:t>
      </w:r>
    </w:p>
    <w:p>
      <w:pPr>
        <w:spacing w:after="0" w:line="238" w:lineRule="exact"/>
        <w:rPr>
          <w:rFonts w:ascii="Times New Roman" w:cs="Times New Roman" w:eastAsia="Times New Roman" w:hAnsi="Times New Roman"/>
          <w:sz w:val="18"/>
          <w:szCs w:val="18"/>
          <w:color w:val="auto"/>
        </w:rPr>
      </w:pPr>
    </w:p>
    <w:p>
      <w:pPr>
        <w:ind w:left="540" w:right="140" w:hanging="532"/>
        <w:spacing w:after="0" w:line="275" w:lineRule="auto"/>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Wynn Design &amp; Development, LLC shall have delivered to the trustee and the agents for the lenders under the Credit Agreement and the FF&amp;E Facility an "as built survey" of the Project, and</w:t>
      </w:r>
    </w:p>
    <w:p>
      <w:pPr>
        <w:spacing w:after="0" w:line="200"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agents for the lenders under the Credit Agreement and the FF&amp;E Facility shall have delivered from the surety under each Payment and Performance Bond a "Consent of Surety to Final Payment" (AIA form G707).</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 Date</w:t>
      </w:r>
      <w:r>
        <w:rPr>
          <w:rFonts w:ascii="Times New Roman" w:cs="Times New Roman" w:eastAsia="Times New Roman" w:hAnsi="Times New Roman"/>
          <w:sz w:val="18"/>
          <w:szCs w:val="18"/>
          <w:color w:val="auto"/>
        </w:rPr>
        <w:t>" means the date on which Final Completion occurs.</w:t>
      </w:r>
    </w:p>
    <w:p>
      <w:pPr>
        <w:spacing w:after="0" w:line="225"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w:t>
      </w:r>
    </w:p>
    <w:p>
      <w:pPr>
        <w:sectPr>
          <w:pgSz w:w="11900" w:h="16838" w:orient="portrait"/>
          <w:cols w:equalWidth="0" w:num="1">
            <w:col w:w="11400"/>
          </w:cols>
          <w:pgMar w:left="240" w:top="123" w:right="259" w:bottom="42"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42" w:gutter="0" w:footer="0" w:header="0"/>
          <w:type w:val="continuous"/>
        </w:sectPr>
      </w:pPr>
    </w:p>
    <w:bookmarkStart w:id="112" w:name="page113"/>
    <w:bookmarkEnd w:id="112"/>
    <w:p>
      <w:pPr>
        <w:ind w:right="40"/>
        <w:spacing w:after="0" w:line="262" w:lineRule="auto"/>
        <w:rPr>
          <w:sz w:val="20"/>
          <w:szCs w:val="20"/>
          <w:color w:val="auto"/>
        </w:rPr>
      </w:pPr>
      <w:r>
        <w:rPr>
          <w:rFonts w:ascii="Times New Roman" w:cs="Times New Roman" w:eastAsia="Times New Roman" w:hAnsi="Times New Roman"/>
          <w:sz w:val="18"/>
          <w:szCs w:val="18"/>
          <w:color w:val="auto"/>
        </w:rPr>
        <w:t>(the "Calculation Date"), then the Fixed Charge Coverage Ratio will be calculated giving pro forma effect to such incurrence, assumption, Guarantee, repayment, repurchase or redemption of Indebtedness, or such issuance, repurchase or redemption of preferred equity, and the use of the proceeds therefrom as if the same had occurred at the beginning of the applicable four-quarter reference period.</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239" w:lineRule="exact"/>
        <w:rPr>
          <w:sz w:val="20"/>
          <w:szCs w:val="20"/>
          <w:color w:val="auto"/>
        </w:rPr>
      </w:pPr>
    </w:p>
    <w:p>
      <w:pPr>
        <w:ind w:left="540" w:right="80" w:hanging="532"/>
        <w:spacing w:after="0" w:line="256" w:lineRule="auto"/>
        <w:tabs>
          <w:tab w:leader="none" w:pos="5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219"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187" w:lineRule="exact"/>
        <w:rPr>
          <w:rFonts w:ascii="Times New Roman" w:cs="Times New Roman" w:eastAsia="Times New Roman" w:hAnsi="Times New Roman"/>
          <w:sz w:val="18"/>
          <w:szCs w:val="18"/>
          <w:color w:val="auto"/>
        </w:rPr>
      </w:pPr>
    </w:p>
    <w:p>
      <w:pPr>
        <w:ind w:left="540" w:right="120" w:hanging="532"/>
        <w:spacing w:after="0" w:line="262" w:lineRule="auto"/>
        <w:tabs>
          <w:tab w:leader="none" w:pos="5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241" w:lineRule="exact"/>
        <w:rPr>
          <w:sz w:val="20"/>
          <w:szCs w:val="20"/>
          <w:color w:val="auto"/>
        </w:rPr>
      </w:pPr>
    </w:p>
    <w:p>
      <w:pPr>
        <w:ind w:left="540" w:right="160" w:hanging="532"/>
        <w:spacing w:after="0" w:line="256" w:lineRule="auto"/>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Times New Roman" w:cs="Times New Roman" w:eastAsia="Times New Roman" w:hAnsi="Times New Roman"/>
          <w:sz w:val="18"/>
          <w:szCs w:val="18"/>
          <w:i w:val="1"/>
          <w:iCs w:val="1"/>
          <w:color w:val="auto"/>
        </w:rPr>
        <w:t>plus</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240"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8"/>
          <w:szCs w:val="18"/>
          <w:i w:val="1"/>
          <w:iCs w:val="1"/>
          <w:color w:val="auto"/>
        </w:rPr>
        <w:t>plus</w:t>
      </w:r>
    </w:p>
    <w:p>
      <w:pPr>
        <w:spacing w:after="0" w:line="187"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on a consolidated basis and in accordance with GAAP.</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Floor Plan Financing</w:t>
      </w:r>
      <w:r>
        <w:rPr>
          <w:rFonts w:ascii="Times New Roman" w:cs="Times New Roman" w:eastAsia="Times New Roman" w:hAnsi="Times New Roman"/>
          <w:sz w:val="18"/>
          <w:szCs w:val="18"/>
          <w:color w:val="auto"/>
        </w:rPr>
        <w:t xml:space="preserve">" means the floor plan financing to be obtained by Kevyn, LLC in respect of the Ferrari and Maserati automobile dealership forming part of the Project and located on the Project Site in an aggregate principal amount at any time outstanding not to exceed $5.0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Issuer, no Restricted Entity nor any Restricted Subsidiary of Wynn Las Vegas or any Restricted Entity:</w:t>
      </w:r>
    </w:p>
    <w:p>
      <w:pPr>
        <w:spacing w:after="0" w:line="210" w:lineRule="exact"/>
        <w:rPr>
          <w:sz w:val="20"/>
          <w:szCs w:val="20"/>
          <w:color w:val="auto"/>
        </w:rPr>
      </w:pPr>
    </w:p>
    <w:p>
      <w:pPr>
        <w:ind w:left="540" w:hanging="532"/>
        <w:spacing w:after="0"/>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credit support of any kind (including any undertaking, agreement or instrument that would constitute Indebtedness) as to such Indebtedness,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or indirectly liable as a guarantor or otherwise as to such Indebtedness, or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lender of such Indebtedness.</w:t>
      </w:r>
    </w:p>
    <w:p>
      <w:pPr>
        <w:spacing w:after="0" w:line="223"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xml:space="preserve"> "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1"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Authority</w:t>
      </w:r>
      <w:r>
        <w:rPr>
          <w:rFonts w:ascii="Times New Roman" w:cs="Times New Roman" w:eastAsia="Times New Roman" w:hAnsi="Times New Roman"/>
          <w:sz w:val="18"/>
          <w:szCs w:val="18"/>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Restricted Entity or any of their respective Restricted Subsidiaries.</w:t>
      </w:r>
    </w:p>
    <w:p>
      <w:pPr>
        <w:spacing w:after="0" w:line="188"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Facility</w:t>
      </w:r>
      <w:r>
        <w:rPr>
          <w:rFonts w:ascii="Times New Roman" w:cs="Times New Roman" w:eastAsia="Times New Roman" w:hAnsi="Times New Roman"/>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87"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Law</w:t>
      </w:r>
      <w:r>
        <w:rPr>
          <w:rFonts w:ascii="Times New Roman" w:cs="Times New Roman" w:eastAsia="Times New Roman" w:hAnsi="Times New Roman"/>
          <w:sz w:val="18"/>
          <w:szCs w:val="18"/>
          <w:color w:val="auto"/>
        </w:rPr>
        <w:t>" means the gaming laws, rules, regulations or ordinances of any jurisdiction or jurisdictions to which Wynn Las Vegas, any Restricted Entity or any of their respective Restricted Subsidiaries is, or may be at any time after the date of the indenture, subject.</w:t>
      </w:r>
    </w:p>
    <w:p>
      <w:pPr>
        <w:spacing w:after="0" w:line="170"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License</w:t>
      </w:r>
      <w:r>
        <w:rPr>
          <w:rFonts w:ascii="Times New Roman" w:cs="Times New Roman" w:eastAsia="Times New Roman" w:hAnsi="Times New Roman"/>
          <w:sz w:val="18"/>
          <w:szCs w:val="18"/>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ectPr>
          <w:pgSz w:w="11900" w:h="16838" w:orient="portrait"/>
          <w:cols w:equalWidth="0" w:num="1">
            <w:col w:w="11380"/>
          </w:cols>
          <w:pgMar w:left="240" w:top="584" w:right="279" w:bottom="101" w:gutter="0" w:footer="0" w:header="0"/>
        </w:sectPr>
      </w:pPr>
    </w:p>
    <w:bookmarkStart w:id="113" w:name="page114"/>
    <w:bookmarkEnd w:id="113"/>
    <w:p>
      <w:pPr>
        <w:spacing w:after="0" w:line="3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Redemption Indebtedness</w:t>
      </w:r>
      <w:r>
        <w:rPr>
          <w:rFonts w:ascii="Times New Roman" w:cs="Times New Roman" w:eastAsia="Times New Roman" w:hAnsi="Times New Roman"/>
          <w:sz w:val="18"/>
          <w:szCs w:val="18"/>
          <w:color w:val="auto"/>
        </w:rPr>
        <w:t xml:space="preserve">" means Indebtedness of Wynn Resorts incurred solely to finance the repurchase by Wynn Resorts of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such efforts do not jeopardize any Gaming License, Wynn Resorts and its Subsidiaries shall have diligently attempted to find a third-party purchaser for such Equity Interests or Indebtedness and no third-party purchaser acceptable to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Gaming Authority was willing to purchase such Equity Interests or Indebtedness within a time period acceptable to such Gaming Authority.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Contractor</w:t>
      </w:r>
      <w:r>
        <w:rPr>
          <w:rFonts w:ascii="Times New Roman" w:cs="Times New Roman" w:eastAsia="Times New Roman" w:hAnsi="Times New Roman"/>
          <w:sz w:val="18"/>
          <w:szCs w:val="18"/>
          <w:color w:val="auto"/>
        </w:rPr>
        <w:t>" means Marnell Corrao Associates, Inc., a Nevada corporation.</w:t>
      </w:r>
    </w:p>
    <w:p>
      <w:pPr>
        <w:spacing w:after="0" w:line="225" w:lineRule="exact"/>
        <w:rPr>
          <w:sz w:val="20"/>
          <w:szCs w:val="20"/>
          <w:color w:val="auto"/>
        </w:rPr>
      </w:pPr>
    </w:p>
    <w:p>
      <w:pPr>
        <w:jc w:val="both"/>
        <w:ind w:right="3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Golf Course Construction Contract</w:t>
      </w:r>
      <w:r>
        <w:rPr>
          <w:rFonts w:ascii="Times New Roman" w:cs="Times New Roman" w:eastAsia="Times New Roman" w:hAnsi="Times New Roman"/>
          <w:sz w:val="18"/>
          <w:szCs w:val="18"/>
          <w:color w:val="auto"/>
        </w:rPr>
        <w:t>" means the agreement to be entered into following the date of the indenture between Wynn Resorts Holdings and/or Wynn Las Vegas and a golf course contractor for the construction of the new golf course on the Project Site, as amended, modified or otherwise supplemented from time to time in accordance with the Disbursement Agreement.</w:t>
      </w:r>
    </w:p>
    <w:p>
      <w:pPr>
        <w:spacing w:after="0" w:line="181"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Golf Course Homes</w:t>
      </w:r>
      <w:r>
        <w:rPr>
          <w:rFonts w:ascii="Times New Roman" w:cs="Times New Roman" w:eastAsia="Times New Roman" w:hAnsi="Times New Roman"/>
          <w:sz w:val="18"/>
          <w:szCs w:val="18"/>
          <w:color w:val="auto"/>
        </w:rPr>
        <w:t>" means the golf course homes located on the periphery of the Golf Course Land not acquired by Wynn Las Vegas, any Restricted Entity or any of their respective Subsidiaries as of the date of the indenture.</w:t>
      </w:r>
    </w:p>
    <w:p>
      <w:pPr>
        <w:spacing w:after="0" w:line="170"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Golf Course Land</w:t>
      </w:r>
      <w:r>
        <w:rPr>
          <w:rFonts w:ascii="Times New Roman" w:cs="Times New Roman" w:eastAsia="Times New Roman" w:hAnsi="Times New Roman"/>
          <w:sz w:val="18"/>
          <w:szCs w:val="18"/>
          <w:color w:val="auto"/>
        </w:rPr>
        <w:t>" means that portion of the Project Site designated as the Golf Course Land in the Collateral Documents, together with all improvements thereon and all rights appurtenant thereto.</w:t>
      </w:r>
    </w:p>
    <w:p>
      <w:pPr>
        <w:spacing w:after="0" w:line="170"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Golf Course Lease</w:t>
      </w:r>
      <w:r>
        <w:rPr>
          <w:rFonts w:ascii="Times New Roman" w:cs="Times New Roman" w:eastAsia="Times New Roman" w:hAnsi="Times New Roman"/>
          <w:sz w:val="18"/>
          <w:szCs w:val="18"/>
          <w:color w:val="auto"/>
        </w:rPr>
        <w:t>" means the Golf Course Lease, dated as of the date of the indenture, between Wynn Resorts Holdings, as lessor, and Wynn Las Vegas, as lessee, with respect to the lease of land on which the 18-hole championship golf course will be located, as amended, modified or otherwise supplemented from time to time in accordance with the covenant captioned "—Amendments to Certain Agreements."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Transfers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right="20" w:hanging="532"/>
        <w:spacing w:after="0" w:line="275"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seizures, condemnations, confiscations or takings by the power of eminent domain or other similar mandatory actions, in each case by a governmental authority against real property held by Wynn Las Vegas, any Restricted Entity or any of their respective Restricted Subsidiaries, or</w:t>
      </w:r>
    </w:p>
    <w:p>
      <w:pPr>
        <w:spacing w:after="0" w:line="200" w:lineRule="exact"/>
        <w:rPr>
          <w:rFonts w:ascii="Times New Roman" w:cs="Times New Roman" w:eastAsia="Times New Roman" w:hAnsi="Times New Roman"/>
          <w:sz w:val="18"/>
          <w:szCs w:val="18"/>
          <w:color w:val="auto"/>
        </w:rPr>
      </w:pPr>
    </w:p>
    <w:p>
      <w:pPr>
        <w:ind w:left="540" w:right="140" w:hanging="532"/>
        <w:spacing w:after="0" w:line="255"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of interests in real property held by Wynn Las Vegas, any Restricted Entity or any of their respective Restricted Subsidiaries to any State of Nevada, Clark County or local governmental authority consisting of easements, rights-of-way, dedications, exchanges or swaps or other similar transfers undertaken in the ordinary course of business in furtherance of the development, construction or operation of the Project, so long as; (a) in each case, the transferring entity receives reasonably equivalent value for the real property transferred, and (b) such transfers, individually and in the aggregate, do not materially interfere with the ordinary course of business or the assets or operations of Wynn Las Vegas, any Restricted Entity or any of their respective Restricted Subsidiaries, or materially detract from the value of the real property subject thereto.</w:t>
      </w:r>
    </w:p>
    <w:p>
      <w:pPr>
        <w:spacing w:after="0" w:line="191"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 and Collateral Agreements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and Collateral Agreement, dated as of the date of the indenture, among the Issuers, the Restricted Entities and the trustee,</w:t>
      </w:r>
    </w:p>
    <w:p>
      <w:pPr>
        <w:spacing w:after="0" w:line="238"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guarantee and collateral agreement entered into by any Wynn Resorts, either Issuer, any Restricted Entity or any Restricted Subsidiary of Wynn Las Vegas or any Restricted Entity from time to time in accordance with the provisions of the indenture,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each case, as amended, modified or otherwise supplemented from time to time in accordance with their respective terms and with the indenture and the other Collateral Documents.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each of:</w:t>
      </w:r>
    </w:p>
    <w:p>
      <w:pPr>
        <w:spacing w:after="0" w:line="254" w:lineRule="exact"/>
        <w:rPr>
          <w:sz w:val="20"/>
          <w:szCs w:val="20"/>
          <w:color w:val="auto"/>
        </w:rPr>
      </w:pPr>
    </w:p>
    <w:p>
      <w:pPr>
        <w:ind w:left="540" w:hanging="532"/>
        <w:spacing w:after="0"/>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Entities,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Subsidiaries, if any, of Wynn Las Vegas or any Restricted Entity, and</w:t>
      </w:r>
    </w:p>
    <w:p>
      <w:pPr>
        <w:spacing w:after="0" w:line="238"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the Parent Guarantor) that executes a Guarantee (including pursuant to a Guarantee and Collateral Agreement) in accordance with the provisions of the indenture,</w:t>
      </w:r>
    </w:p>
    <w:p>
      <w:pPr>
        <w:spacing w:after="0" w:line="17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and, except to the extent the applicable Guarantee is released in accordance with the caption "—Release of Security Interests," their respective successors and assigns (other than the Issuers). A Person shall cease to be a Guarantor following the release of its Guarantee as described above under that caption.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w:t>
      </w:r>
    </w:p>
    <w:p>
      <w:pPr>
        <w:spacing w:after="0" w:line="254" w:lineRule="exact"/>
        <w:rPr>
          <w:sz w:val="20"/>
          <w:szCs w:val="20"/>
          <w:color w:val="auto"/>
        </w:rPr>
      </w:pPr>
    </w:p>
    <w:p>
      <w:pPr>
        <w:ind w:left="540" w:hanging="532"/>
        <w:spacing w:after="0"/>
        <w:tabs>
          <w:tab w:leader="none" w:pos="5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interest rate cap agreements and interest rate collar agreements;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interest rates.</w:t>
      </w:r>
    </w:p>
    <w:p>
      <w:pPr>
        <w:sectPr>
          <w:pgSz w:w="11900" w:h="16874" w:orient="portrait"/>
          <w:cols w:equalWidth="0" w:num="1">
            <w:col w:w="11420"/>
          </w:cols>
          <w:pgMar w:left="240" w:top="123" w:right="239" w:bottom="0" w:gutter="0" w:footer="0" w:header="0"/>
        </w:sectPr>
      </w:pPr>
    </w:p>
    <w:bookmarkStart w:id="114" w:name="page115"/>
    <w:bookmarkEnd w:id="114"/>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any registered holder, from time to time, of the notes. Only registered holders will have any rights under the indenture.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whether or not contingent, but without duplication:</w:t>
      </w:r>
    </w:p>
    <w:p>
      <w:pPr>
        <w:spacing w:after="0" w:line="241" w:lineRule="exact"/>
        <w:rPr>
          <w:sz w:val="20"/>
          <w:szCs w:val="20"/>
          <w:color w:val="auto"/>
        </w:rPr>
      </w:pPr>
    </w:p>
    <w:p>
      <w:pPr>
        <w:ind w:left="540" w:hanging="532"/>
        <w:spacing w:after="0"/>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252" w:lineRule="exact"/>
        <w:rPr>
          <w:rFonts w:ascii="Times New Roman" w:cs="Times New Roman" w:eastAsia="Times New Roman" w:hAnsi="Times New Roman"/>
          <w:sz w:val="18"/>
          <w:szCs w:val="18"/>
          <w:color w:val="auto"/>
        </w:rPr>
      </w:pPr>
    </w:p>
    <w:p>
      <w:pPr>
        <w:ind w:left="540" w:right="160" w:hanging="532"/>
        <w:spacing w:after="0" w:line="275" w:lineRule="auto"/>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except any such balance that constitutes an accrued expense or trade payable; or</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239" w:lineRule="exact"/>
        <w:rPr>
          <w:sz w:val="20"/>
          <w:szCs w:val="20"/>
          <w:color w:val="auto"/>
        </w:rPr>
      </w:pPr>
    </w:p>
    <w:p>
      <w:pPr>
        <w:ind w:left="5580" w:right="3360" w:hanging="5572"/>
        <w:spacing w:after="0" w:line="525" w:lineRule="auto"/>
        <w:tabs>
          <w:tab w:leader="none" w:pos="5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 202</w:t>
      </w:r>
    </w:p>
    <w:p>
      <w:pPr>
        <w:spacing w:after="0" w:line="228" w:lineRule="exact"/>
        <w:rPr>
          <w:rFonts w:ascii="Times New Roman" w:cs="Times New Roman" w:eastAsia="Times New Roman" w:hAnsi="Times New Roman"/>
          <w:sz w:val="18"/>
          <w:szCs w:val="18"/>
          <w:color w:val="auto"/>
        </w:rPr>
      </w:pPr>
    </w:p>
    <w:p>
      <w:pPr>
        <w:ind w:left="540" w:right="500" w:hanging="532"/>
        <w:spacing w:after="0" w:line="275"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together with any interest on the Indebtedness that is more than 30 days past due, in the case of any other Indebtedness;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Guarantee of Indebtedness, the maximum amount of the Indebtedness guaranteed under such Guarantee;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Indebtedness of others secured by a Lien on any asset of the specified Person, the lesser of:</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such Indebtedness (plus, in the case of any letter of credit or similar instrument, the amount of any reimbursement obligations in respect thereof),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-1847215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Director</w:t>
      </w:r>
      <w:r>
        <w:rPr>
          <w:rFonts w:ascii="Times New Roman" w:cs="Times New Roman" w:eastAsia="Times New Roman" w:hAnsi="Times New Roman"/>
          <w:sz w:val="18"/>
          <w:szCs w:val="18"/>
          <w:color w:val="auto"/>
        </w:rPr>
        <w:t>" means, in the case of any Person, a member of the board of directors of such Person who:</w:t>
      </w:r>
    </w:p>
    <w:p>
      <w:pPr>
        <w:spacing w:after="0" w:line="241" w:lineRule="exact"/>
        <w:rPr>
          <w:sz w:val="20"/>
          <w:szCs w:val="20"/>
          <w:color w:val="auto"/>
        </w:rPr>
      </w:pPr>
    </w:p>
    <w:p>
      <w:pPr>
        <w:ind w:left="540" w:right="80" w:hanging="532"/>
        <w:spacing w:after="0" w:line="275" w:lineRule="auto"/>
        <w:tabs>
          <w:tab w:leader="none" w:pos="5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(and whom the board of directors of such Person has affirmatively determined does not have) any material relationship (including, without limitation, any</w:t>
      </w:r>
    </w:p>
    <w:p>
      <w:pPr>
        <w:spacing w:after="0" w:line="173" w:lineRule="exact"/>
        <w:rPr>
          <w:rFonts w:ascii="Times New Roman" w:cs="Times New Roman" w:eastAsia="Times New Roman" w:hAnsi="Times New Roman"/>
          <w:sz w:val="18"/>
          <w:szCs w:val="18"/>
          <w:color w:val="auto"/>
        </w:rPr>
      </w:pPr>
    </w:p>
    <w:p>
      <w:pPr>
        <w:ind w:left="540"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the Principal or a Related Party,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this definition, no member of the board of directors of any Person who is, or who has a Related Party who:</w:t>
      </w:r>
    </w:p>
    <w:p>
      <w:pPr>
        <w:spacing w:after="0" w:line="239" w:lineRule="exact"/>
        <w:rPr>
          <w:sz w:val="20"/>
          <w:szCs w:val="20"/>
          <w:color w:val="auto"/>
        </w:rPr>
      </w:pPr>
    </w:p>
    <w:p>
      <w:pPr>
        <w:ind w:left="540" w:right="220" w:hanging="532"/>
        <w:spacing w:after="0" w:line="275"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former employee of such Person will be eligible for consideration as an "Independent Director" until the fifth anniversary of the date on which that employment ended,</w:t>
      </w:r>
    </w:p>
    <w:p>
      <w:pPr>
        <w:spacing w:after="0" w:line="200"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199"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 Security Agreements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Security Agreement, dated as of the date of the indenture, among the Issuers, the Restricted Entities and the trustee, and</w:t>
      </w:r>
    </w:p>
    <w:p>
      <w:pPr>
        <w:spacing w:after="0" w:line="252"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intellectual property security agreement entered into by Wynn Resorts, either Issuers, any Restricted Entity or any Restricted Subsidiary of Wynn Las Vegas, or any Restricted Entity from time to time in accordance with the provisions of the indenture,</w:t>
      </w:r>
    </w:p>
    <w:p>
      <w:pPr>
        <w:spacing w:after="0" w:line="17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each case, as amended, modified or otherwise supplemented from time to time in accordance with their respective terms and with the indenture and the other Collateral Documents.</w:t>
      </w:r>
    </w:p>
    <w:p>
      <w:pPr>
        <w:sectPr>
          <w:pgSz w:w="11900" w:h="16838" w:orient="portrait"/>
          <w:cols w:equalWidth="0" w:num="1">
            <w:col w:w="11380"/>
          </w:cols>
          <w:pgMar w:left="240" w:top="123" w:right="279" w:bottom="0" w:gutter="0" w:footer="0" w:header="0"/>
        </w:sectPr>
      </w:pPr>
    </w:p>
    <w:bookmarkStart w:id="115" w:name="page116"/>
    <w:bookmarkEnd w:id="115"/>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Intercreditor Agreements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jc w:val="center"/>
        <w:ind w:left="5580" w:hanging="5572"/>
        <w:spacing w:after="0" w:line="525" w:lineRule="auto"/>
        <w:tabs>
          <w:tab w:leader="none" w:pos="5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dated as of the date of the indenture, between the trustee, and a representative of the lenders under the Credit Agreement, and 203</w:t>
      </w:r>
    </w:p>
    <w:p>
      <w:pPr>
        <w:spacing w:after="0" w:line="228" w:lineRule="exact"/>
        <w:rPr>
          <w:rFonts w:ascii="Times New Roman" w:cs="Times New Roman" w:eastAsia="Times New Roman" w:hAnsi="Times New Roman"/>
          <w:sz w:val="18"/>
          <w:szCs w:val="18"/>
          <w:color w:val="auto"/>
        </w:rPr>
      </w:pPr>
    </w:p>
    <w:p>
      <w:pPr>
        <w:ind w:left="540" w:right="340" w:hanging="532"/>
        <w:spacing w:after="0" w:line="275"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dated as of the date of the indenture, among the trustee, a representative of the lenders under the Credit Agreement and a representative of the lenders under the FF&amp;E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2"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Investments</w:t>
      </w:r>
      <w:r>
        <w:rPr>
          <w:rFonts w:ascii="Times New Roman" w:cs="Times New Roman" w:eastAsia="Times New Roman" w:hAnsi="Times New Roman"/>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their respective Restricted Subsidiaries sells or otherwise disposes of any Equity Interests of any Restricted Entity or any direct or indirect Restricted Subsidiary of such selling Person such that, after giving effect to any such sale or disposition, such Person is no longer a Subsidiary of Wynn Las Vegas, such Restricted Entity or any of their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 Certain Covenants—Restricted Payments." The acquisition by Wynn Las Vegas, a Restricted Entity or any of their respective Restricted Subsidiaries of a Person that holds an Investment in a third Person will be deemed to be an Investment by Wynn Las Vegas, that Restricted Entity or that Restricted Subsidiary, as the case may be, in such third Person in an amount equal to the fair market value of the Investments held by the acquired Person in such third Person in an amount determined as provided in the final paragraph of the covenant described above under the caption "—Certain Covenants—Restricted Payments."</w:t>
      </w:r>
    </w:p>
    <w:p>
      <w:pPr>
        <w:spacing w:after="0" w:line="38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Key Project Documents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Agreements,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Contract,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Contract Guarantee,</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Design/Build Contract,</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thereof, the Golf Course Construction Contract,</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and Performance Bond,</w:t>
      </w:r>
    </w:p>
    <w:p>
      <w:pPr>
        <w:spacing w:after="0" w:line="238"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material agreements, instruments or documents entered into by Wynn Resorts, any Restricted Entity or any Restricted Subsidiary of Wynn Las Vegas or any Restricted Entity that are necessary for the construction, ownership and operation of the Project,</w:t>
      </w:r>
    </w:p>
    <w:p>
      <w:pPr>
        <w:spacing w:after="0" w:line="174"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Macau Project</w:t>
      </w:r>
      <w:r>
        <w:rPr>
          <w:rFonts w:ascii="Times New Roman" w:cs="Times New Roman" w:eastAsia="Times New Roman" w:hAnsi="Times New Roman"/>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Agreement</w:t>
      </w:r>
      <w:r>
        <w:rPr>
          <w:rFonts w:ascii="Times New Roman" w:cs="Times New Roman" w:eastAsia="Times New Roman" w:hAnsi="Times New Roman"/>
          <w:sz w:val="18"/>
          <w:szCs w:val="18"/>
          <w:color w:val="auto"/>
        </w:rPr>
        <w:t>" means the Management Services Agreement dated as of the date of the indenture, among the Issuers, on the one hand, and Wynn Resorts and the Restricted Entities, as in effect on the date of the indenture or as amended, modified or supplemented from time to time in accordance with the covenant captioned "Amendments to Certain Agreements.</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81"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Fees Subordination Agreement</w:t>
      </w:r>
      <w:r>
        <w:rPr>
          <w:rFonts w:ascii="Times New Roman" w:cs="Times New Roman" w:eastAsia="Times New Roman" w:hAnsi="Times New Roman"/>
          <w:sz w:val="18"/>
          <w:szCs w:val="18"/>
          <w:color w:val="auto"/>
        </w:rPr>
        <w:t>" means the Management Fees Subordination Agreement, dated as of the date of the indenture, among the Issuers, Wynn Resorts, the trustee, on behalf of the note holders, and a representative of the lenders under the Credit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Project Assets</w:t>
      </w:r>
      <w:r>
        <w:rPr>
          <w:rFonts w:ascii="Times New Roman" w:cs="Times New Roman" w:eastAsia="Times New Roman" w:hAnsi="Times New Roman"/>
          <w:sz w:val="18"/>
          <w:szCs w:val="18"/>
          <w:color w:val="auto"/>
        </w:rPr>
        <w:t>" means:</w:t>
      </w:r>
    </w:p>
    <w:p>
      <w:pPr>
        <w:sectPr>
          <w:pgSz w:w="11900" w:h="16838" w:orient="portrait"/>
          <w:cols w:equalWidth="0" w:num="1">
            <w:col w:w="11400"/>
          </w:cols>
          <w:pgMar w:left="240" w:top="123" w:right="259" w:bottom="0" w:gutter="0" w:footer="0" w:header="0"/>
        </w:sectPr>
      </w:pPr>
    </w:p>
    <w:bookmarkStart w:id="116" w:name="page117"/>
    <w:bookmarkEnd w:id="116"/>
    <w:p>
      <w:pPr>
        <w:ind w:left="540" w:right="140" w:hanging="532"/>
        <w:spacing w:after="0" w:line="275"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that, individually or in the aggregate, are necessary to the development, construction and operation of the Project in accordance with the Plans and Specifications, or</w:t>
      </w:r>
    </w:p>
    <w:p>
      <w:pPr>
        <w:spacing w:after="0" w:line="200" w:lineRule="exact"/>
        <w:rPr>
          <w:rFonts w:ascii="Times New Roman" w:cs="Times New Roman" w:eastAsia="Times New Roman" w:hAnsi="Times New Roman"/>
          <w:sz w:val="18"/>
          <w:szCs w:val="18"/>
          <w:color w:val="auto"/>
        </w:rPr>
      </w:pPr>
    </w:p>
    <w:p>
      <w:pPr>
        <w:ind w:left="540" w:right="20" w:hanging="532"/>
        <w:spacing w:after="0" w:line="275"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the absence of which, individually or in the aggregate, would result in the Completion Date occurring after the Outside Completion Deadline. In no event shall Released Assets be considered Material Project Assets.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Minimum Facilities</w:t>
      </w:r>
      <w:r>
        <w:rPr>
          <w:rFonts w:ascii="Times New Roman" w:cs="Times New Roman" w:eastAsia="Times New Roman" w:hAnsi="Times New Roman"/>
          <w:sz w:val="18"/>
          <w:szCs w:val="18"/>
          <w:color w:val="auto"/>
        </w:rPr>
        <w:t>" means, with respect to the Project:</w:t>
      </w:r>
    </w:p>
    <w:p>
      <w:pPr>
        <w:spacing w:after="0" w:line="241" w:lineRule="exact"/>
        <w:rPr>
          <w:sz w:val="20"/>
          <w:szCs w:val="20"/>
          <w:color w:val="auto"/>
        </w:rPr>
      </w:pPr>
    </w:p>
    <w:p>
      <w:pPr>
        <w:ind w:left="540" w:hanging="532"/>
        <w:spacing w:after="0"/>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casino which has in operation at least 1,900 slot machines and 120 table games,</w:t>
      </w:r>
    </w:p>
    <w:p>
      <w:pPr>
        <w:spacing w:after="0" w:line="238" w:lineRule="exact"/>
        <w:rPr>
          <w:rFonts w:ascii="Times New Roman" w:cs="Times New Roman" w:eastAsia="Times New Roman" w:hAnsi="Times New Roman"/>
          <w:sz w:val="18"/>
          <w:szCs w:val="18"/>
          <w:color w:val="auto"/>
        </w:rPr>
      </w:pPr>
    </w:p>
    <w:p>
      <w:pPr>
        <w:ind w:left="540" w:right="200" w:hanging="532"/>
        <w:spacing w:after="0" w:line="258" w:lineRule="auto"/>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3,500 parking spaces for employees, guests and other visitors, including approximately 1,600 parking spaces for guests and other visitors,</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hotel with at least 2,565 guest rooms and suites,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70"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means, with respect to any specified Person, the net income (loss) of such Person, determined in accordance with GAAP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and excluding however:</w:t>
      </w:r>
    </w:p>
    <w:p>
      <w:pPr>
        <w:spacing w:after="0" w:line="202" w:lineRule="exact"/>
        <w:rPr>
          <w:sz w:val="20"/>
          <w:szCs w:val="20"/>
          <w:color w:val="auto"/>
        </w:rPr>
      </w:pPr>
    </w:p>
    <w:p>
      <w:pPr>
        <w:ind w:left="540" w:right="100" w:hanging="532"/>
        <w:spacing w:after="0" w:line="262"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(but not loss), together with any related provision for taxes on such extraordinary gain (but not loss).</w:t>
      </w:r>
    </w:p>
    <w:p>
      <w:pPr>
        <w:spacing w:after="0" w:line="223" w:lineRule="exact"/>
        <w:rPr>
          <w:sz w:val="20"/>
          <w:szCs w:val="20"/>
          <w:color w:val="auto"/>
        </w:rPr>
      </w:pPr>
    </w:p>
    <w:p>
      <w:pPr>
        <w:ind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Net Loss Proceeds</w:t>
      </w:r>
      <w:r>
        <w:rPr>
          <w:rFonts w:ascii="Times New Roman" w:cs="Times New Roman" w:eastAsia="Times New Roman" w:hAnsi="Times New Roman"/>
          <w:sz w:val="16"/>
          <w:szCs w:val="16"/>
          <w:color w:val="auto"/>
        </w:rPr>
        <w:t>" means the aggregate cash proceeds received by Wynn Las Vegas, any Restricted Entity or any of their respective Restricted Subsidiaries in respect of any Event of Loss, including, without limitation, insurance proceeds from condemnation awards or damages awarded by any judgment, net of:</w:t>
      </w:r>
    </w:p>
    <w:p>
      <w:pPr>
        <w:spacing w:after="0" w:line="139" w:lineRule="exact"/>
        <w:rPr>
          <w:sz w:val="20"/>
          <w:szCs w:val="20"/>
          <w:color w:val="auto"/>
        </w:rPr>
      </w:pPr>
    </w:p>
    <w:p>
      <w:pPr>
        <w:ind w:left="540" w:right="420" w:hanging="532"/>
        <w:spacing w:after="0" w:line="275"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187" w:lineRule="exact"/>
        <w:rPr>
          <w:rFonts w:ascii="Times New Roman" w:cs="Times New Roman" w:eastAsia="Times New Roman" w:hAnsi="Times New Roman"/>
          <w:sz w:val="18"/>
          <w:szCs w:val="18"/>
          <w:color w:val="auto"/>
        </w:rPr>
      </w:pPr>
    </w:p>
    <w:p>
      <w:pPr>
        <w:ind w:left="540" w:right="140" w:hanging="532"/>
        <w:spacing w:after="0" w:line="262"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w:t>
      </w:r>
    </w:p>
    <w:p>
      <w:pPr>
        <w:spacing w:after="0" w:line="186" w:lineRule="exact"/>
        <w:rPr>
          <w:rFonts w:ascii="Times New Roman" w:cs="Times New Roman" w:eastAsia="Times New Roman" w:hAnsi="Times New Roman"/>
          <w:sz w:val="18"/>
          <w:szCs w:val="18"/>
          <w:color w:val="auto"/>
        </w:rPr>
      </w:pPr>
    </w:p>
    <w:p>
      <w:pPr>
        <w:ind w:left="54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in those assets, after giving effect to any provisions in the Collateral Documents and the Intercreditor Agreements as to the relative ranking of security interests, and</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or Tax Distributions paid or payable as a result of the receipt of such cash proceeds.</w:t>
      </w:r>
    </w:p>
    <w:p>
      <w:pPr>
        <w:spacing w:after="0" w:line="223" w:lineRule="exact"/>
        <w:rPr>
          <w:sz w:val="20"/>
          <w:szCs w:val="20"/>
          <w:color w:val="auto"/>
        </w:rPr>
      </w:pPr>
    </w:p>
    <w:p>
      <w:pPr>
        <w:jc w:val="both"/>
        <w:ind w:right="22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Net New Equity Proceeds</w:t>
      </w:r>
      <w:r>
        <w:rPr>
          <w:rFonts w:ascii="Times New Roman" w:cs="Times New Roman" w:eastAsia="Times New Roman" w:hAnsi="Times New Roman"/>
          <w:sz w:val="16"/>
          <w:szCs w:val="16"/>
          <w:color w:val="auto"/>
        </w:rPr>
        <w:t>" means the aggregate net cash proceeds received by Wynn Las Vegas from any Person other than Wynn Capital, any Restricted Entity or any Restricted Subsidiary of Wynn Las Vegas or any Restricted Entity, directly or indirectly, as a contribution to its common equity capital excluding:</w:t>
      </w:r>
    </w:p>
    <w:p>
      <w:pPr>
        <w:spacing w:after="0" w:line="139" w:lineRule="exact"/>
        <w:rPr>
          <w:sz w:val="20"/>
          <w:szCs w:val="20"/>
          <w:color w:val="auto"/>
        </w:rPr>
      </w:pPr>
    </w:p>
    <w:p>
      <w:pPr>
        <w:ind w:left="540" w:right="480" w:hanging="532"/>
        <w:spacing w:after="0" w:line="275"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contribution made on the Closing Date to Wynn Las Vegas in respect of the Completion Guarantee Capital Contribution or the Liquidity Reserve Capital Contribution;</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Steve Wynn Capital Contribution; and</w:t>
      </w:r>
    </w:p>
    <w:p>
      <w:pPr>
        <w:spacing w:after="0" w:line="252"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contribution from a Qualified Equity Offering to the extent those proceeds are used to redeem the notes in compliance with the provisions described under the caption "—Optional Redemption."</w:t>
      </w:r>
    </w:p>
    <w:p>
      <w:pPr>
        <w:spacing w:after="0" w:line="172"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received by Wynn Las Vegas, any Restricted Entity, or any of their respective Restricted Subsidiaries in respect of any Asset Sale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any cash received upon the sale or other disposition of any non-cash consideration received in any Asset Sale), net of:</w:t>
      </w:r>
    </w:p>
    <w:p>
      <w:pPr>
        <w:spacing w:after="0" w:line="239" w:lineRule="exact"/>
        <w:rPr>
          <w:sz w:val="20"/>
          <w:szCs w:val="20"/>
          <w:color w:val="auto"/>
        </w:rPr>
      </w:pPr>
    </w:p>
    <w:p>
      <w:pPr>
        <w:ind w:left="540" w:right="140" w:hanging="532"/>
        <w:spacing w:after="0" w:line="339" w:lineRule="auto"/>
        <w:tabs>
          <w:tab w:leader="none" w:pos="54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w:t>
      </w:r>
    </w:p>
    <w:p>
      <w:pPr>
        <w:sectPr>
          <w:pgSz w:w="11900" w:h="16838" w:orient="portrait"/>
          <w:cols w:equalWidth="0" w:num="1">
            <w:col w:w="11420"/>
          </w:cols>
          <w:pgMar w:left="240" w:top="139" w:right="239" w:bottom="0" w:gutter="0" w:footer="0" w:header="0"/>
        </w:sectPr>
      </w:pPr>
    </w:p>
    <w:bookmarkStart w:id="117" w:name="page118"/>
    <w:bookmarkEnd w:id="117"/>
    <w:p>
      <w:pPr>
        <w:ind w:left="540"/>
        <w:spacing w:after="0"/>
        <w:rPr>
          <w:sz w:val="20"/>
          <w:szCs w:val="20"/>
          <w:color w:val="auto"/>
        </w:rPr>
      </w:pPr>
      <w:r>
        <w:rPr>
          <w:rFonts w:ascii="Times New Roman" w:cs="Times New Roman" w:eastAsia="Times New Roman" w:hAnsi="Times New Roman"/>
          <w:sz w:val="18"/>
          <w:szCs w:val="18"/>
          <w:color w:val="auto"/>
        </w:rPr>
        <w:t>taking into account any available tax credits or deductions and any tax sharing arrangements,</w:t>
      </w:r>
    </w:p>
    <w:p>
      <w:pPr>
        <w:spacing w:after="0" w:line="239" w:lineRule="exact"/>
        <w:rPr>
          <w:sz w:val="20"/>
          <w:szCs w:val="20"/>
          <w:color w:val="auto"/>
        </w:rPr>
      </w:pPr>
    </w:p>
    <w:p>
      <w:pPr>
        <w:ind w:left="540" w:right="140" w:hanging="532"/>
        <w:spacing w:after="0" w:line="258" w:lineRule="auto"/>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 for adjustment in respect of the sale price of such asset or assets established in accordance with GAAP.</w:t>
      </w:r>
    </w:p>
    <w:p>
      <w:pPr>
        <w:spacing w:after="0" w:line="223"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Revenues</w:t>
      </w:r>
      <w:r>
        <w:rPr>
          <w:rFonts w:ascii="Times New Roman" w:cs="Times New Roman" w:eastAsia="Times New Roman" w:hAnsi="Times New Roman"/>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Nevada PUC</w:t>
      </w:r>
      <w:r>
        <w:rPr>
          <w:rFonts w:ascii="Times New Roman" w:cs="Times New Roman" w:eastAsia="Times New Roman" w:hAnsi="Times New Roman"/>
          <w:sz w:val="18"/>
          <w:szCs w:val="18"/>
          <w:color w:val="auto"/>
        </w:rPr>
        <w:t>" means the Public Utilities Commission of Nevada.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Non-Project Assets</w:t>
      </w:r>
      <w:r>
        <w:rPr>
          <w:rFonts w:ascii="Times New Roman" w:cs="Times New Roman" w:eastAsia="Times New Roman" w:hAnsi="Times New Roman"/>
          <w:sz w:val="18"/>
          <w:szCs w:val="18"/>
          <w:color w:val="auto"/>
        </w:rPr>
        <w:t>" means the Released Assets and:</w:t>
      </w:r>
    </w:p>
    <w:p>
      <w:pPr>
        <w:spacing w:after="0" w:line="241" w:lineRule="exact"/>
        <w:rPr>
          <w:sz w:val="20"/>
          <w:szCs w:val="20"/>
          <w:color w:val="auto"/>
        </w:rPr>
      </w:pPr>
    </w:p>
    <w:p>
      <w:pPr>
        <w:ind w:left="540" w:right="60" w:hanging="532"/>
        <w:spacing w:after="0" w:line="275" w:lineRule="auto"/>
        <w:tabs>
          <w:tab w:leader="none" w:pos="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that, individually and in the aggregate, are not necessary to the development, construction and operation of the Project in accordance with the Plans and Specifications, and</w:t>
      </w:r>
    </w:p>
    <w:p>
      <w:pPr>
        <w:spacing w:after="0" w:line="187" w:lineRule="exact"/>
        <w:rPr>
          <w:rFonts w:ascii="Times New Roman" w:cs="Times New Roman" w:eastAsia="Times New Roman" w:hAnsi="Times New Roman"/>
          <w:sz w:val="18"/>
          <w:szCs w:val="18"/>
          <w:color w:val="auto"/>
        </w:rPr>
      </w:pPr>
    </w:p>
    <w:p>
      <w:pPr>
        <w:ind w:left="360" w:right="160" w:hanging="352"/>
        <w:spacing w:after="0" w:line="501" w:lineRule="auto"/>
        <w:tabs>
          <w:tab w:leader="none" w:pos="54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the absence of which, individually or in the aggregate, would not result in the Completion Date occurring after the Outside Completion Deadline. "</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w:t>
      </w:r>
    </w:p>
    <w:p>
      <w:pPr>
        <w:spacing w:after="0" w:line="27" w:lineRule="exact"/>
        <w:rPr>
          <w:sz w:val="20"/>
          <w:szCs w:val="20"/>
          <w:color w:val="auto"/>
        </w:rPr>
      </w:pPr>
    </w:p>
    <w:p>
      <w:pPr>
        <w:ind w:left="540" w:right="40" w:hanging="532"/>
        <w:spacing w:after="0" w:line="262"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Issuer, no Restricted Entity or any Restricted Subsidiary of Wynn Las Vegas or any Restricted Entity (a) provides credit support of any kind (including any undertaking, agreement or instrument that would constitute Indebtedness), (b) is directly or indirectly liable as a guarantor or otherwise, or (c) constitutes the lender;</w:t>
      </w:r>
    </w:p>
    <w:p>
      <w:pPr>
        <w:spacing w:after="0" w:line="199" w:lineRule="exact"/>
        <w:rPr>
          <w:rFonts w:ascii="Times New Roman" w:cs="Times New Roman" w:eastAsia="Times New Roman" w:hAnsi="Times New Roman"/>
          <w:sz w:val="18"/>
          <w:szCs w:val="18"/>
          <w:color w:val="auto"/>
        </w:rPr>
      </w:pPr>
    </w:p>
    <w:p>
      <w:pPr>
        <w:ind w:left="540" w:right="160" w:hanging="532"/>
        <w:spacing w:after="0" w:line="258"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which (including any rights that the holders thereof may have to take enforcement action against an Unrestricted Subsidiary of Wynn Las Vegas) would permit upon notice, lapse of time or both any holder of any other Indebtedness of either Issuer, any Restricted Entity or any Restricted Subsidiary of Wynn Las Vegas or any Restricted Entity to declare a default on such other Indebtedness or cause the payment thereof to be accelerated or payable prior to its stated maturity; and</w:t>
      </w:r>
    </w:p>
    <w:p>
      <w:pPr>
        <w:spacing w:after="0" w:line="203" w:lineRule="exact"/>
        <w:rPr>
          <w:rFonts w:ascii="Times New Roman" w:cs="Times New Roman" w:eastAsia="Times New Roman" w:hAnsi="Times New Roman"/>
          <w:sz w:val="18"/>
          <w:szCs w:val="18"/>
          <w:color w:val="auto"/>
        </w:rPr>
      </w:pPr>
    </w:p>
    <w:p>
      <w:pPr>
        <w:ind w:left="540" w:right="300" w:hanging="532"/>
        <w:spacing w:after="0" w:line="275"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have been notified in writing that they will not have any recourse to the stock or assets of either Issuer, any Restricted Entity or any Restricted Subsidiary of Wynn Las Vegas or any Restricted Entity.</w:t>
      </w:r>
    </w:p>
    <w:p>
      <w:pPr>
        <w:spacing w:after="0" w:line="172" w:lineRule="exact"/>
        <w:rPr>
          <w:sz w:val="20"/>
          <w:szCs w:val="20"/>
          <w:color w:val="auto"/>
        </w:rPr>
      </w:pPr>
    </w:p>
    <w:p>
      <w:pPr>
        <w:ind w:right="10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88"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 Building Lease</w:t>
      </w:r>
      <w:r>
        <w:rPr>
          <w:rFonts w:ascii="Times New Roman" w:cs="Times New Roman" w:eastAsia="Times New Roman" w:hAnsi="Times New Roman"/>
          <w:sz w:val="18"/>
          <w:szCs w:val="18"/>
          <w:color w:val="auto"/>
        </w:rPr>
        <w:t>" means the Lease, dated as of the date of the indenture, between Valvino Lamore, as lessor, and Wynn Las Vegas, as lessee, with respect to the lease of space in the building existing, on the date of the indenture, on the Phase II Land, as amended, modified or otherwise supplemented from time to time in accordance with the covenant captioned "—Amendments to Certain Agreements."</w:t>
      </w:r>
    </w:p>
    <w:p>
      <w:pPr>
        <w:spacing w:after="0" w:line="181"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Opening Date</w:t>
      </w:r>
      <w:r>
        <w:rPr>
          <w:rFonts w:ascii="Times New Roman" w:cs="Times New Roman" w:eastAsia="Times New Roman" w:hAnsi="Times New Roman"/>
          <w:sz w:val="18"/>
          <w:szCs w:val="18"/>
          <w:color w:val="auto"/>
        </w:rPr>
        <w:t>" means the date on which all or any portion of the Project is open for business, and the opening conditions set forth in the Disbursement Agreement have been satisfied.</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Completion Deadline</w:t>
      </w:r>
      <w:r>
        <w:rPr>
          <w:rFonts w:ascii="Times New Roman" w:cs="Times New Roman" w:eastAsia="Times New Roman" w:hAnsi="Times New Roman"/>
          <w:sz w:val="18"/>
          <w:szCs w:val="18"/>
          <w:color w:val="auto"/>
        </w:rPr>
        <w:t>" means August 31, 2005, as that date may be extended from time to time pursuant to the Disbursement Agreement.</w:t>
      </w:r>
    </w:p>
    <w:p>
      <w:pPr>
        <w:spacing w:after="0" w:line="225"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Guarantee</w:t>
      </w:r>
      <w:r>
        <w:rPr>
          <w:rFonts w:ascii="Times New Roman" w:cs="Times New Roman" w:eastAsia="Times New Roman" w:hAnsi="Times New Roman"/>
          <w:sz w:val="18"/>
          <w:szCs w:val="18"/>
          <w:color w:val="auto"/>
        </w:rPr>
        <w:t>" means a Guarantee by Wynn Resorts, in the event that it is required to provide a Guarantee by the provisions of the covenant under the caption "—Restrictions on Incurrence of Indebtedness and Guarantees by Wynn Resorts."</w:t>
      </w:r>
    </w:p>
    <w:p>
      <w:pPr>
        <w:spacing w:after="0" w:line="170"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Guarantor</w:t>
      </w:r>
      <w:r>
        <w:rPr>
          <w:rFonts w:ascii="Times New Roman" w:cs="Times New Roman" w:eastAsia="Times New Roman" w:hAnsi="Times New Roman"/>
          <w:sz w:val="18"/>
          <w:szCs w:val="18"/>
          <w:color w:val="auto"/>
        </w:rPr>
        <w:t>" means Wynn Resorts, in the event that it is required to provide a Guarantee by the provisions of the covenant under the caption "— Restrictions on Incurrence of Indebtedness and Guarantees by Wynn Resorts."</w:t>
      </w:r>
    </w:p>
    <w:p>
      <w:pPr>
        <w:spacing w:after="0" w:line="170"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Security Agreement</w:t>
      </w:r>
      <w:r>
        <w:rPr>
          <w:rFonts w:ascii="Times New Roman" w:cs="Times New Roman" w:eastAsia="Times New Roman" w:hAnsi="Times New Roman"/>
          <w:sz w:val="18"/>
          <w:szCs w:val="18"/>
          <w:color w:val="auto"/>
        </w:rPr>
        <w:t>" means a security agreement entered into by Wynn Resorts, in the event that it is required to provide a security interest by the provisions of the covenant under the caption "—Restrictions on Incurrence of Indebtedness and Guarantees by Wynn Resorts."</w:t>
      </w:r>
    </w:p>
    <w:p>
      <w:pPr>
        <w:spacing w:after="0" w:line="170"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Parking Facility Lease</w:t>
      </w:r>
      <w:r>
        <w:rPr>
          <w:rFonts w:ascii="Times New Roman" w:cs="Times New Roman" w:eastAsia="Times New Roman" w:hAnsi="Times New Roman"/>
          <w:sz w:val="18"/>
          <w:szCs w:val="18"/>
          <w:color w:val="auto"/>
        </w:rPr>
        <w:t>" means the Parking Facility Lease, dated as of the date of the indenture, between Valvino Lamore, as lessor, and Wynn Las Vegas, as lessee, with respect to the lease of land on which the parking lot structure for use by Wynn Las Vegas' employees will be located, as amended, modified or otherwise supplemented from time to time in accordance with the covenant captioned "—Amendments to Certain Agreements."</w:t>
      </w:r>
    </w:p>
    <w:p>
      <w:pPr>
        <w:spacing w:after="0" w:line="181"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Pass Through Entity</w:t>
      </w:r>
      <w:r>
        <w:rPr>
          <w:rFonts w:ascii="Times New Roman" w:cs="Times New Roman" w:eastAsia="Times New Roman" w:hAnsi="Times New Roman"/>
          <w:sz w:val="18"/>
          <w:szCs w:val="18"/>
          <w:color w:val="auto"/>
        </w:rPr>
        <w:t>" means any of (1) a grantor trust for federal or state income tax purposes or (2) an entity treated as a partnership or a disregarded entity for federal or state income tax purposes.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w:t>
      </w:r>
      <w:r>
        <w:rPr>
          <w:rFonts w:ascii="Times New Roman" w:cs="Times New Roman" w:eastAsia="Times New Roman" w:hAnsi="Times New Roman"/>
          <w:sz w:val="18"/>
          <w:szCs w:val="18"/>
          <w:color w:val="auto"/>
        </w:rPr>
        <w:t>" means:</w:t>
      </w:r>
    </w:p>
    <w:p>
      <w:pPr>
        <w:sectPr>
          <w:pgSz w:w="11900" w:h="16838" w:orient="portrait"/>
          <w:cols w:equalWidth="0" w:num="1">
            <w:col w:w="11420"/>
          </w:cols>
          <w:pgMar w:left="240" w:top="125" w:right="239" w:bottom="0" w:gutter="0" w:footer="0" w:header="0"/>
        </w:sectPr>
      </w:pPr>
    </w:p>
    <w:bookmarkStart w:id="118" w:name="page119"/>
    <w:bookmarkEnd w:id="118"/>
    <w:p>
      <w:pPr>
        <w:ind w:left="540" w:hanging="532"/>
        <w:spacing w:after="0"/>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business;</w:t>
      </w:r>
    </w:p>
    <w:p>
      <w:pPr>
        <w:spacing w:after="0" w:line="252" w:lineRule="exact"/>
        <w:rPr>
          <w:rFonts w:ascii="Times New Roman" w:cs="Times New Roman" w:eastAsia="Times New Roman" w:hAnsi="Times New Roman"/>
          <w:sz w:val="18"/>
          <w:szCs w:val="18"/>
          <w:color w:val="auto"/>
        </w:rPr>
      </w:pPr>
    </w:p>
    <w:p>
      <w:pPr>
        <w:ind w:left="540" w:right="140" w:hanging="532"/>
        <w:spacing w:after="0" w:line="275"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87" w:lineRule="exact"/>
        <w:rPr>
          <w:rFonts w:ascii="Times New Roman" w:cs="Times New Roman" w:eastAsia="Times New Roman" w:hAnsi="Times New Roman"/>
          <w:sz w:val="18"/>
          <w:szCs w:val="18"/>
          <w:color w:val="auto"/>
        </w:rPr>
      </w:pPr>
    </w:p>
    <w:p>
      <w:pPr>
        <w:ind w:left="540" w:right="100" w:hanging="532"/>
        <w:spacing w:after="0" w:line="262"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operation of lodging, retail and restaurant facilities, sports or entertainment facilities, food and beverage distribution operations, transportation services (including operation of the Aircraft Assets), sales, leasing and repair of automobiles, parking services, or other activities related to the foregoing;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60" w:hanging="532"/>
        <w:spacing w:after="0" w:line="275"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(including any related and legally permissible internet business) that is a reasonable extension, development or expansion of any of the foregoing.</w:t>
      </w:r>
    </w:p>
    <w:p>
      <w:pPr>
        <w:spacing w:after="0" w:line="172"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C-Corp. Conversion</w:t>
      </w:r>
      <w:r>
        <w:rPr>
          <w:rFonts w:ascii="Times New Roman" w:cs="Times New Roman" w:eastAsia="Times New Roman" w:hAnsi="Times New Roman"/>
          <w:sz w:val="18"/>
          <w:szCs w:val="18"/>
          <w:color w:val="auto"/>
        </w:rPr>
        <w:t>" means a transaction resulting in Wynn Las Vegas, any Restricted Entity or any of their respective Restricted Subsidiaries becoming a subchapter "C" corporation under the Code, so long as, in connection with such transaction:</w:t>
      </w:r>
    </w:p>
    <w:p>
      <w:pPr>
        <w:spacing w:after="0" w:line="199" w:lineRule="exact"/>
        <w:rPr>
          <w:sz w:val="20"/>
          <w:szCs w:val="20"/>
          <w:color w:val="auto"/>
        </w:rPr>
      </w:pPr>
    </w:p>
    <w:p>
      <w:pPr>
        <w:jc w:val="both"/>
        <w:ind w:left="540" w:right="160" w:hanging="532"/>
        <w:spacing w:after="0" w:line="262"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99"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03"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subchapter "C" corporation resulting from such transaction complies with the covenant entitled "—Additional Collateral; Formation or Acquisition of Restricted Subsidiaries, Designation of Unrestricted Subsidiaries as Restricted Subsidiaries or Permitted C-Corp. Conversion";</w:t>
      </w:r>
    </w:p>
    <w:p>
      <w:pPr>
        <w:spacing w:after="0" w:line="200" w:lineRule="exact"/>
        <w:rPr>
          <w:rFonts w:ascii="Times New Roman" w:cs="Times New Roman" w:eastAsia="Times New Roman" w:hAnsi="Times New Roman"/>
          <w:sz w:val="18"/>
          <w:szCs w:val="18"/>
          <w:color w:val="auto"/>
        </w:rPr>
      </w:pPr>
    </w:p>
    <w:p>
      <w:pPr>
        <w:jc w:val="both"/>
        <w:ind w:left="540" w:right="20" w:hanging="532"/>
        <w:spacing w:after="0" w:line="262"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would not cause or result in a Default or an Event of Default;</w:t>
      </w:r>
    </w:p>
    <w:p>
      <w:pPr>
        <w:spacing w:after="0" w:line="238"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200"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does not require any holder or Beneficial Owner of the notes to obtain a Gaming License or be qualified or found suitable under the laws of any applicable gaming jurisdiction;</w:t>
      </w:r>
    </w:p>
    <w:p>
      <w:pPr>
        <w:spacing w:after="0" w:line="187" w:lineRule="exact"/>
        <w:rPr>
          <w:rFonts w:ascii="Times New Roman" w:cs="Times New Roman" w:eastAsia="Times New Roman" w:hAnsi="Times New Roman"/>
          <w:sz w:val="18"/>
          <w:szCs w:val="18"/>
          <w:color w:val="auto"/>
        </w:rPr>
      </w:pPr>
    </w:p>
    <w:p>
      <w:pPr>
        <w:ind w:left="540" w:right="60" w:hanging="532"/>
        <w:spacing w:after="0" w:line="310" w:lineRule="auto"/>
        <w:tabs>
          <w:tab w:leader="none" w:pos="54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Las Vegas shall have delivered to the trustee an opinion of counsel of national repute in the United States reasonably acceptable to the trustee confirming that neither Issuer, nor any Restricted Entity nor any Restricted Subsidiary of Wynn Las Vegas or any Restricted Entity, nor any Guarantor nor any of the holders will recognize income, gain or loss for U.S. federal or state income tax purposes as a result of such Permitted C-Corp. Conversion; and</w:t>
      </w:r>
    </w:p>
    <w:p>
      <w:pPr>
        <w:spacing w:after="0" w:line="164"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Las Vegas shall have delivered to the trustee a certificate of the chief financial officer of Wynn Las Vegas confirming that the conditions in clauses</w:t>
      </w:r>
    </w:p>
    <w:p>
      <w:pPr>
        <w:spacing w:after="0" w:line="44"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through (8) have been satisfied.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254" w:lineRule="exact"/>
        <w:rPr>
          <w:sz w:val="20"/>
          <w:szCs w:val="20"/>
          <w:color w:val="auto"/>
        </w:rPr>
      </w:pPr>
    </w:p>
    <w:p>
      <w:pPr>
        <w:ind w:left="540" w:hanging="532"/>
        <w:spacing w:after="0"/>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(excluding any Investment by a Person that is a Guarantor in a Person, other than Wynn Las Vegas, that is not a Guarantor):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entity in Wynn Las Vegas or in a Wholly Owned Subsidiary of Wynn Las Vegas;</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Wynn Resorts Holdings and Valvino Lamore, excluding an Investment that includes any or all of the Golf Course Land, unless such Golf Course Land is then a Released Asset,</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 any Restricted Entity or any Restricted Subsidiary of a Restricted Entity, that, in each case, is not a Guarantor in (ii) any Restricted Entity or any Restricted Subsidiary of a Restricted Entity that, in each case, is a Guarantor,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Wynn Group Entity in any Restricted Entity,</w:t>
      </w:r>
    </w:p>
    <w:p>
      <w:pPr>
        <w:spacing w:after="0" w:line="225"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so long as (i) the entity in which any such Investment is made is engaged in a Permitted Business, and (ii) such Investment is evidenced by capital stock or intercompany notes that are pledged to the trustee as Primary Note Collateral</w:t>
      </w:r>
    </w:p>
    <w:p>
      <w:pPr>
        <w:spacing w:after="0" w:line="201" w:lineRule="exact"/>
        <w:rPr>
          <w:sz w:val="20"/>
          <w:szCs w:val="20"/>
          <w:color w:val="auto"/>
        </w:rPr>
      </w:pPr>
    </w:p>
    <w:p>
      <w:pPr>
        <w:ind w:left="540" w:hanging="532"/>
        <w:spacing w:after="0"/>
        <w:tabs>
          <w:tab w:leader="none" w:pos="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Equivalents;</w:t>
      </w:r>
    </w:p>
    <w:p>
      <w:pPr>
        <w:spacing w:after="0" w:line="238" w:lineRule="exact"/>
        <w:rPr>
          <w:rFonts w:ascii="Times New Roman" w:cs="Times New Roman" w:eastAsia="Times New Roman" w:hAnsi="Times New Roman"/>
          <w:sz w:val="18"/>
          <w:szCs w:val="18"/>
          <w:color w:val="auto"/>
        </w:rPr>
      </w:pPr>
    </w:p>
    <w:p>
      <w:pPr>
        <w:ind w:left="540" w:right="520" w:hanging="532"/>
        <w:spacing w:after="0" w:line="339" w:lineRule="auto"/>
        <w:tabs>
          <w:tab w:leader="none" w:pos="54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ectPr>
          <w:pgSz w:w="11900" w:h="16838" w:orient="portrait"/>
          <w:cols w:equalWidth="0" w:num="1">
            <w:col w:w="11420"/>
          </w:cols>
          <w:pgMar w:left="240" w:top="139" w:right="239" w:bottom="0" w:gutter="0" w:footer="0" w:header="0"/>
        </w:sectPr>
      </w:pPr>
    </w:p>
    <w:bookmarkStart w:id="119" w:name="page120"/>
    <w:bookmarkEnd w:id="119"/>
    <w:p>
      <w:pPr>
        <w:ind w:left="1072" w:hanging="532"/>
        <w:spacing w:after="0"/>
        <w:tabs>
          <w:tab w:leader="none" w:pos="1072"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Wholly Owned Restricted Subsidiary of Wynn Las Vegas; or</w:t>
      </w:r>
    </w:p>
    <w:p>
      <w:pPr>
        <w:spacing w:after="0" w:line="252" w:lineRule="exact"/>
        <w:rPr>
          <w:rFonts w:ascii="Times New Roman" w:cs="Times New Roman" w:eastAsia="Times New Roman" w:hAnsi="Times New Roman"/>
          <w:sz w:val="18"/>
          <w:szCs w:val="18"/>
          <w:color w:val="auto"/>
        </w:rPr>
      </w:pPr>
    </w:p>
    <w:p>
      <w:pPr>
        <w:jc w:val="both"/>
        <w:ind w:left="1072" w:right="320" w:hanging="532"/>
        <w:spacing w:after="0" w:line="262" w:lineRule="auto"/>
        <w:tabs>
          <w:tab w:leader="none" w:pos="1072"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captioned "—Merger, Consolidation or Sale of Assets";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both"/>
        <w:ind w:left="532" w:right="80" w:hanging="532"/>
        <w:spacing w:after="0" w:line="262" w:lineRule="auto"/>
        <w:tabs>
          <w:tab w:leader="none" w:pos="53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or an Event of Loss of the type contemplated by clause (3) of the definition of "Event of Loss" that was made pursuant to and in compliance with the covenant described above under the caption "—Repurchase at the Option of Holders—Asset Sales" or "—Events of Loss";</w:t>
      </w:r>
    </w:p>
    <w:p>
      <w:pPr>
        <w:spacing w:after="0" w:line="199"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acquired solely with Net New Equity Proceeds;</w:t>
      </w:r>
    </w:p>
    <w:p>
      <w:pPr>
        <w:spacing w:after="0" w:line="252" w:lineRule="exact"/>
        <w:rPr>
          <w:rFonts w:ascii="Times New Roman" w:cs="Times New Roman" w:eastAsia="Times New Roman" w:hAnsi="Times New Roman"/>
          <w:sz w:val="18"/>
          <w:szCs w:val="18"/>
          <w:color w:val="auto"/>
        </w:rPr>
      </w:pPr>
    </w:p>
    <w:p>
      <w:pPr>
        <w:ind w:left="532" w:right="60" w:hanging="532"/>
        <w:spacing w:after="0" w:line="339" w:lineRule="auto"/>
        <w:tabs>
          <w:tab w:leader="none" w:pos="532"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41" w:lineRule="exact"/>
        <w:rPr>
          <w:rFonts w:ascii="Times New Roman" w:cs="Times New Roman" w:eastAsia="Times New Roman" w:hAnsi="Times New Roman"/>
          <w:sz w:val="16"/>
          <w:szCs w:val="16"/>
          <w:color w:val="auto"/>
        </w:rPr>
      </w:pPr>
    </w:p>
    <w:p>
      <w:pPr>
        <w:ind w:left="532" w:hanging="532"/>
        <w:spacing w:after="0"/>
        <w:tabs>
          <w:tab w:leader="none" w:pos="53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w:t>
      </w:r>
    </w:p>
    <w:p>
      <w:pPr>
        <w:spacing w:after="0" w:line="238" w:lineRule="exact"/>
        <w:rPr>
          <w:rFonts w:ascii="Times New Roman" w:cs="Times New Roman" w:eastAsia="Times New Roman" w:hAnsi="Times New Roman"/>
          <w:sz w:val="18"/>
          <w:szCs w:val="18"/>
          <w:color w:val="auto"/>
        </w:rPr>
      </w:pPr>
    </w:p>
    <w:p>
      <w:pPr>
        <w:ind w:left="532" w:right="140" w:hanging="532"/>
        <w:spacing w:after="0" w:line="262" w:lineRule="auto"/>
        <w:tabs>
          <w:tab w:leader="none" w:pos="53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 and</w:t>
      </w:r>
    </w:p>
    <w:p>
      <w:pPr>
        <w:spacing w:after="0" w:line="21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Company Rights Transfer.</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32" w:right="20" w:hanging="532"/>
        <w:spacing w:after="0" w:line="258"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into or consolidated with Wynn Las Vegas, any Restricted Entity or any of their respective Restricted Subsidiaries, so long as such Liens were in existence prior to the contemplation of such merger or consolidation and do not extend to any assets other than those of the Person merged into or consolidated with Wynn Las Vegas, any Restricted Entity or any of their respective Restricted Subsidiaries;</w:t>
      </w:r>
    </w:p>
    <w:p>
      <w:pPr>
        <w:spacing w:after="0" w:line="203" w:lineRule="exact"/>
        <w:rPr>
          <w:rFonts w:ascii="Times New Roman" w:cs="Times New Roman" w:eastAsia="Times New Roman" w:hAnsi="Times New Roman"/>
          <w:sz w:val="18"/>
          <w:szCs w:val="18"/>
          <w:color w:val="auto"/>
        </w:rPr>
      </w:pPr>
    </w:p>
    <w:p>
      <w:pPr>
        <w:ind w:left="532" w:right="140" w:hanging="532"/>
        <w:spacing w:after="0" w:line="262"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Wynn Las Vegas, any Restricted Entity or any of their respective Restricted Subsidiaries (other than Liens granted by Wynn Las Vegas, any Restricted Entity or any of their respective Restricted Subsidiaries), so long as if any such Liens are on any or all of the Collateral, such Liens are either:</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collaterally assigned to the trustee, or</w:t>
      </w:r>
    </w:p>
    <w:p>
      <w:pPr>
        <w:spacing w:after="0" w:line="238" w:lineRule="exact"/>
        <w:rPr>
          <w:rFonts w:ascii="Times New Roman" w:cs="Times New Roman" w:eastAsia="Times New Roman" w:hAnsi="Times New Roman"/>
          <w:sz w:val="18"/>
          <w:szCs w:val="18"/>
          <w:color w:val="auto"/>
        </w:rPr>
      </w:pPr>
    </w:p>
    <w:p>
      <w:pPr>
        <w:ind w:left="1072" w:right="40" w:hanging="532"/>
        <w:spacing w:after="0" w:line="262" w:lineRule="auto"/>
        <w:tabs>
          <w:tab w:leader="none" w:pos="1072"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 representative of the lenders under the Credit Agreement pursuant to the Project Intercreditor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32" w:right="220" w:hanging="532"/>
        <w:spacing w:after="0" w:line="262"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by Wynn Las Vegas, any Restricted Entity or any of their respective Restricted Subsidiaries (other than materials, supplies or FF&amp;E acquired in connection with developing, constructing, expanding or equipping of the Project), so long as such Liens were in existence prior to the contemplation of such acquisition;</w:t>
      </w:r>
    </w:p>
    <w:p>
      <w:pPr>
        <w:spacing w:after="0" w:line="213" w:lineRule="exact"/>
        <w:rPr>
          <w:rFonts w:ascii="Times New Roman" w:cs="Times New Roman" w:eastAsia="Times New Roman" w:hAnsi="Times New Roman"/>
          <w:sz w:val="18"/>
          <w:szCs w:val="18"/>
          <w:color w:val="auto"/>
        </w:rPr>
      </w:pPr>
    </w:p>
    <w:p>
      <w:pPr>
        <w:ind w:left="532" w:right="680" w:hanging="532"/>
        <w:spacing w:after="0" w:line="275"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187" w:lineRule="exact"/>
        <w:rPr>
          <w:rFonts w:ascii="Times New Roman" w:cs="Times New Roman" w:eastAsia="Times New Roman" w:hAnsi="Times New Roman"/>
          <w:sz w:val="18"/>
          <w:szCs w:val="18"/>
          <w:color w:val="auto"/>
        </w:rPr>
      </w:pPr>
    </w:p>
    <w:p>
      <w:pPr>
        <w:jc w:val="both"/>
        <w:ind w:left="532" w:right="60" w:hanging="532"/>
        <w:spacing w:after="0" w:line="258"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21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Final Completion, any Liens permitted under the Disbursement Agreement;</w:t>
      </w:r>
    </w:p>
    <w:p>
      <w:pPr>
        <w:spacing w:after="0" w:line="238" w:lineRule="exact"/>
        <w:rPr>
          <w:rFonts w:ascii="Times New Roman" w:cs="Times New Roman" w:eastAsia="Times New Roman" w:hAnsi="Times New Roman"/>
          <w:sz w:val="18"/>
          <w:szCs w:val="18"/>
          <w:color w:val="auto"/>
        </w:rPr>
      </w:pPr>
    </w:p>
    <w:p>
      <w:pPr>
        <w:ind w:left="532" w:right="300" w:hanging="532"/>
        <w:spacing w:after="0" w:line="262"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99" w:lineRule="exact"/>
        <w:rPr>
          <w:rFonts w:ascii="Times New Roman" w:cs="Times New Roman" w:eastAsia="Times New Roman" w:hAnsi="Times New Roman"/>
          <w:sz w:val="18"/>
          <w:szCs w:val="18"/>
          <w:color w:val="auto"/>
        </w:rPr>
      </w:pPr>
    </w:p>
    <w:p>
      <w:pPr>
        <w:ind w:left="532" w:hanging="532"/>
        <w:spacing w:after="0" w:line="275"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created by the indenture and the Collateral Documents securing the Indebtedness and other Obligations under the indenture and the Collateral Documents;</w:t>
      </w:r>
    </w:p>
    <w:p>
      <w:pPr>
        <w:spacing w:after="0" w:line="200" w:lineRule="exact"/>
        <w:rPr>
          <w:rFonts w:ascii="Times New Roman" w:cs="Times New Roman" w:eastAsia="Times New Roman" w:hAnsi="Times New Roman"/>
          <w:sz w:val="18"/>
          <w:szCs w:val="18"/>
          <w:color w:val="auto"/>
        </w:rPr>
      </w:pPr>
    </w:p>
    <w:p>
      <w:pPr>
        <w:ind w:left="532" w:right="420" w:hanging="532"/>
        <w:spacing w:after="0" w:line="275" w:lineRule="auto"/>
        <w:tabs>
          <w:tab w:leader="none" w:pos="53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(other than the Exclusive Note Collateral) securing Indebtedness and other Obligations under the Credit Agreement that were permitted by the terms of the indenture to be incurred;</w:t>
      </w:r>
    </w:p>
    <w:p>
      <w:pPr>
        <w:sectPr>
          <w:pgSz w:w="11900" w:h="16838" w:orient="portrait"/>
          <w:cols w:equalWidth="0" w:num="1">
            <w:col w:w="11412"/>
          </w:cols>
          <w:pgMar w:left="248" w:top="571" w:right="239" w:bottom="0" w:gutter="0" w:footer="0" w:header="0"/>
        </w:sectPr>
      </w:pPr>
    </w:p>
    <w:bookmarkStart w:id="120" w:name="page121"/>
    <w:bookmarkEnd w:id="120"/>
    <w:p>
      <w:pPr>
        <w:ind w:left="540" w:right="340" w:hanging="532"/>
        <w:spacing w:after="0" w:line="275" w:lineRule="auto"/>
        <w:tabs>
          <w:tab w:leader="none" w:pos="5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FF&amp;E or other property or assets to secure Indebtedness permitted by clause (7) of the second paragraph of the covenant described under the caption "—Certain Covenants—Incurrence of Indebtedness and Issuance of Preferred Equity," so long 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740"/>
        <w:spacing w:after="0" w:line="275" w:lineRule="auto"/>
        <w:rPr>
          <w:sz w:val="20"/>
          <w:szCs w:val="20"/>
          <w:color w:val="auto"/>
        </w:rPr>
      </w:pPr>
      <w:r>
        <w:rPr>
          <w:rFonts w:ascii="Times New Roman" w:cs="Times New Roman" w:eastAsia="Times New Roman" w:hAnsi="Times New Roman"/>
          <w:sz w:val="18"/>
          <w:szCs w:val="18"/>
          <w:color w:val="auto"/>
        </w:rPr>
        <w:t>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01" w:lineRule="exact"/>
        <w:rPr>
          <w:sz w:val="20"/>
          <w:szCs w:val="20"/>
          <w:color w:val="auto"/>
        </w:rPr>
      </w:pPr>
    </w:p>
    <w:p>
      <w:pPr>
        <w:ind w:left="540" w:right="54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in the ordinary course of business to secure lease obligations or nondelinquent obligations under workers' compensation, unemployment insurance or similar legislation;</w:t>
      </w:r>
    </w:p>
    <w:p>
      <w:pPr>
        <w:spacing w:after="0" w:line="187" w:lineRule="exact"/>
        <w:rPr>
          <w:rFonts w:ascii="Times New Roman" w:cs="Times New Roman" w:eastAsia="Times New Roman" w:hAnsi="Times New Roman"/>
          <w:sz w:val="18"/>
          <w:szCs w:val="18"/>
          <w:color w:val="auto"/>
        </w:rPr>
      </w:pPr>
    </w:p>
    <w:p>
      <w:pPr>
        <w:ind w:left="540" w:right="320" w:hanging="532"/>
        <w:spacing w:after="0" w:line="262"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any Restricted Entity or any of their respective Restricted Subsidiaries incurred in the ordinary course of business;</w:t>
      </w:r>
    </w:p>
    <w:p>
      <w:pPr>
        <w:spacing w:after="0" w:line="19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in, and assets of, Unrestricted Subsidiaries of Wynn Las Vegas that secure Non-Recourse Debt of Unrestricted Subsidiaries;</w:t>
      </w:r>
    </w:p>
    <w:p>
      <w:pPr>
        <w:spacing w:after="0" w:line="252"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Wynn Las Vegas, any Restricted Entity or any of their respective Restricted Subsidiaries arising by reason of any judgment not constituting an Event of Default under the indenture, so long as: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are being contested in good faith by appropriate proceedings,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are adequately bonded or adequate reserves have been established on the books of the applicable Person in accordance with GAAP;</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0" w:right="30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Liens, ground leases in respect of the real property owned or leased by Wynn Las Vegas, any Restricted Entity or any of their respective Restricted Subsidiaries, to the extent that such ground leases are permitted under the indenture and the Collateral Documents;</w:t>
      </w:r>
    </w:p>
    <w:p>
      <w:pPr>
        <w:spacing w:after="0" w:line="187" w:lineRule="exact"/>
        <w:rPr>
          <w:rFonts w:ascii="Times New Roman" w:cs="Times New Roman" w:eastAsia="Times New Roman" w:hAnsi="Times New Roman"/>
          <w:sz w:val="18"/>
          <w:szCs w:val="18"/>
          <w:color w:val="auto"/>
        </w:rPr>
      </w:pPr>
    </w:p>
    <w:p>
      <w:pPr>
        <w:jc w:val="both"/>
        <w:ind w:left="540" w:hanging="532"/>
        <w:spacing w:after="0" w:line="310" w:lineRule="auto"/>
        <w:tabs>
          <w:tab w:leader="none" w:pos="54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Uniform Commercial Code financing statements filed for precautionary purposes in connection with any true lease of property leased by Wynn Las Vegas, any Restricted Entity or any of their respective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64" w:lineRule="exact"/>
        <w:rPr>
          <w:rFonts w:ascii="Times New Roman" w:cs="Times New Roman" w:eastAsia="Times New Roman" w:hAnsi="Times New Roman"/>
          <w:sz w:val="16"/>
          <w:szCs w:val="16"/>
          <w:color w:val="auto"/>
        </w:rPr>
      </w:pPr>
    </w:p>
    <w:p>
      <w:pPr>
        <w:ind w:left="540" w:right="58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Refinancing Indebtedness incurred in accordance with the covenant described under the caption "—Certain Covenants— Incurrence of Indebtedness and Issuance of Preferred Equity," so long as: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being refinanced by such Permitted Refinancing Indebtedness was secured, and</w:t>
      </w:r>
    </w:p>
    <w:p>
      <w:pPr>
        <w:spacing w:after="0" w:line="238" w:lineRule="exact"/>
        <w:rPr>
          <w:rFonts w:ascii="Times New Roman" w:cs="Times New Roman" w:eastAsia="Times New Roman" w:hAnsi="Times New Roman"/>
          <w:sz w:val="18"/>
          <w:szCs w:val="18"/>
          <w:color w:val="auto"/>
        </w:rPr>
      </w:pPr>
    </w:p>
    <w:p>
      <w:pPr>
        <w:jc w:val="both"/>
        <w:ind w:left="1080" w:right="180" w:hanging="532"/>
        <w:spacing w:after="0" w:line="262" w:lineRule="auto"/>
        <w:tabs>
          <w:tab w:leader="none" w:pos="10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0" w:right="16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00" w:lineRule="exact"/>
        <w:rPr>
          <w:rFonts w:ascii="Times New Roman" w:cs="Times New Roman" w:eastAsia="Times New Roman" w:hAnsi="Times New Roman"/>
          <w:sz w:val="18"/>
          <w:szCs w:val="18"/>
          <w:color w:val="auto"/>
        </w:rPr>
      </w:pPr>
    </w:p>
    <w:p>
      <w:pPr>
        <w:ind w:left="540" w:right="240" w:hanging="532"/>
        <w:spacing w:after="0" w:line="275" w:lineRule="auto"/>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or expressly contemplated by the Affiliate Agreements, in each case as in effect on the date of the indenture, so long as such Liens do not secure Indebtedness;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20" w:hanging="532"/>
        <w:spacing w:after="0" w:line="275"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200" w:lineRule="exact"/>
        <w:rPr>
          <w:rFonts w:ascii="Times New Roman" w:cs="Times New Roman" w:eastAsia="Times New Roman" w:hAnsi="Times New Roman"/>
          <w:sz w:val="18"/>
          <w:szCs w:val="18"/>
          <w:color w:val="auto"/>
        </w:rPr>
      </w:pPr>
    </w:p>
    <w:p>
      <w:pPr>
        <w:ind w:left="540" w:right="360" w:hanging="532"/>
        <w:spacing w:after="0" w:line="262"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 and</w:t>
      </w:r>
    </w:p>
    <w:p>
      <w:pPr>
        <w:spacing w:after="0" w:line="199" w:lineRule="exact"/>
        <w:rPr>
          <w:rFonts w:ascii="Times New Roman" w:cs="Times New Roman" w:eastAsia="Times New Roman" w:hAnsi="Times New Roman"/>
          <w:sz w:val="18"/>
          <w:szCs w:val="18"/>
          <w:color w:val="auto"/>
        </w:rPr>
      </w:pPr>
    </w:p>
    <w:p>
      <w:pPr>
        <w:ind w:left="540" w:right="40" w:hanging="532"/>
        <w:spacing w:after="0" w:line="262" w:lineRule="auto"/>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specified in clauses (1) through (21) above and not otherwise permitted by the covenant described under the caption "—Certain Covenants— Liens," so long as the aggregate outstanding principal amount of the obligations secured by all such Liens in the aggregate does not exceed $1.0 million at any one time (collectively for all assets and property subject to such Liens).</w:t>
      </w:r>
    </w:p>
    <w:p>
      <w:pPr>
        <w:spacing w:after="0" w:line="186"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126"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Refinancing Indebtedness</w:t>
      </w:r>
      <w:r>
        <w:rPr>
          <w:rFonts w:ascii="Times New Roman" w:cs="Times New Roman" w:eastAsia="Times New Roman" w:hAnsi="Times New Roman"/>
          <w:sz w:val="18"/>
          <w:szCs w:val="18"/>
          <w:color w:val="auto"/>
        </w:rPr>
        <w:t>" means any Indebtedness of Wynn Las Vegas, any Restricted Entity or any of their respective Restricted Subsidiaries issued in exchange for, or the net proceeds of which are used to extend, refinance, renew, replace, amend and restate, restate, defease or refund other Indebtedness of any Person (other than intercompany Indebtedness), so long as:</w:t>
      </w:r>
    </w:p>
    <w:p>
      <w:pPr>
        <w:sectPr>
          <w:pgSz w:w="11900" w:h="16838" w:orient="portrait"/>
          <w:cols w:equalWidth="0" w:num="1">
            <w:col w:w="11420"/>
          </w:cols>
          <w:pgMar w:left="240" w:top="139" w:right="239" w:bottom="0" w:gutter="0" w:footer="0" w:header="0"/>
        </w:sectPr>
      </w:pPr>
    </w:p>
    <w:bookmarkStart w:id="121" w:name="page122"/>
    <w:bookmarkEnd w:id="121"/>
    <w:p>
      <w:pPr>
        <w:ind w:left="540" w:right="100" w:hanging="532"/>
        <w:spacing w:after="0" w:line="256" w:lineRule="auto"/>
        <w:tabs>
          <w:tab w:leader="none" w:pos="5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219" w:lineRule="exact"/>
        <w:rPr>
          <w:rFonts w:ascii="Times New Roman" w:cs="Times New Roman" w:eastAsia="Times New Roman" w:hAnsi="Times New Roman"/>
          <w:sz w:val="18"/>
          <w:szCs w:val="18"/>
          <w:color w:val="auto"/>
        </w:rPr>
      </w:pPr>
    </w:p>
    <w:p>
      <w:pPr>
        <w:ind w:left="540" w:right="20" w:hanging="532"/>
        <w:spacing w:after="0" w:line="339" w:lineRule="auto"/>
        <w:tabs>
          <w:tab w:leader="none" w:pos="54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41" w:lineRule="exact"/>
        <w:rPr>
          <w:rFonts w:ascii="Times New Roman" w:cs="Times New Roman" w:eastAsia="Times New Roman" w:hAnsi="Times New Roman"/>
          <w:sz w:val="16"/>
          <w:szCs w:val="16"/>
          <w:color w:val="auto"/>
        </w:rPr>
      </w:pPr>
    </w:p>
    <w:p>
      <w:pPr>
        <w:ind w:left="540" w:hanging="532"/>
        <w:spacing w:after="0" w:line="258" w:lineRule="auto"/>
        <w:tabs>
          <w:tab w:leader="none" w:pos="5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03" w:lineRule="exact"/>
        <w:rPr>
          <w:rFonts w:ascii="Times New Roman" w:cs="Times New Roman" w:eastAsia="Times New Roman" w:hAnsi="Times New Roman"/>
          <w:sz w:val="18"/>
          <w:szCs w:val="18"/>
          <w:color w:val="auto"/>
        </w:rPr>
      </w:pPr>
    </w:p>
    <w:p>
      <w:pPr>
        <w:ind w:left="360" w:right="140" w:hanging="352"/>
        <w:spacing w:after="0" w:line="501" w:lineRule="auto"/>
        <w:tabs>
          <w:tab w:leader="none" w:pos="54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by the Person that is the obligor on the Indebtedness being extended, refinanced, renewed, replaced, defeased or refunded. "</w:t>
      </w:r>
      <w:r>
        <w:rPr>
          <w:rFonts w:ascii="Times New Roman" w:cs="Times New Roman" w:eastAsia="Times New Roman" w:hAnsi="Times New Roman"/>
          <w:sz w:val="18"/>
          <w:szCs w:val="18"/>
          <w:i w:val="1"/>
          <w:iCs w:val="1"/>
          <w:color w:val="auto"/>
        </w:rPr>
        <w:t>Permitted Securities"</w:t>
      </w:r>
      <w:r>
        <w:rPr>
          <w:rFonts w:ascii="Times New Roman" w:cs="Times New Roman" w:eastAsia="Times New Roman" w:hAnsi="Times New Roman"/>
          <w:sz w:val="18"/>
          <w:szCs w:val="18"/>
          <w:color w:val="auto"/>
        </w:rPr>
        <w:t xml:space="preserve"> means:</w:t>
      </w:r>
    </w:p>
    <w:p>
      <w:pPr>
        <w:spacing w:after="0" w:line="27" w:lineRule="exact"/>
        <w:rPr>
          <w:sz w:val="20"/>
          <w:szCs w:val="20"/>
          <w:color w:val="auto"/>
        </w:rPr>
      </w:pPr>
    </w:p>
    <w:p>
      <w:pPr>
        <w:ind w:left="540" w:right="200" w:hanging="532"/>
        <w:spacing w:after="0" w:line="275" w:lineRule="auto"/>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or unconditionally quaranteed by, the United States government or issued by any agency thereof and backed by the full faith and credit of the United States, in each case maturing within 18 months from the date of acquisition;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62"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or overnight bank deposits having maturities of 18 months or less from the date of acquisition issued by any Lender or by any commercial bank organized under the laws of the United States of America or any state thereof having general obligations rated at the time of acquisition at least "A" or the equivalent by S&amp;P or Moody's;</w:t>
      </w:r>
    </w:p>
    <w:p>
      <w:pPr>
        <w:spacing w:after="0" w:line="199"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of any lender under the Credit Agreement or of any commercial bank satisfying the requirements of clause (2) of this definition, having a term of not more than 30 days with respect to securities issued or fully guaranteed or insured by the United States government;</w:t>
      </w:r>
    </w:p>
    <w:p>
      <w:pPr>
        <w:spacing w:after="0" w:line="200" w:lineRule="exact"/>
        <w:rPr>
          <w:rFonts w:ascii="Times New Roman" w:cs="Times New Roman" w:eastAsia="Times New Roman" w:hAnsi="Times New Roman"/>
          <w:sz w:val="18"/>
          <w:szCs w:val="18"/>
          <w:color w:val="auto"/>
        </w:rPr>
      </w:pPr>
    </w:p>
    <w:p>
      <w:pPr>
        <w:ind w:left="540" w:right="440" w:hanging="532"/>
        <w:spacing w:after="0" w:line="275"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18 months or less from the date of acquisition issued or fully quaranteed by any state, commonwealth or territory of the United States, by any political</w:t>
      </w:r>
    </w:p>
    <w:p>
      <w:pPr>
        <w:spacing w:after="0" w:line="173" w:lineRule="exact"/>
        <w:rPr>
          <w:rFonts w:ascii="Times New Roman" w:cs="Times New Roman" w:eastAsia="Times New Roman" w:hAnsi="Times New Roman"/>
          <w:sz w:val="18"/>
          <w:szCs w:val="18"/>
          <w:color w:val="auto"/>
        </w:rPr>
      </w:pPr>
    </w:p>
    <w:p>
      <w:pPr>
        <w:ind w:left="54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 or taxing authority of any such state, commonwealth or territory or by any foreign government, the securities of which state, commonwealth, territory, political subdivision, taxing authority or foreign government (as the case may be) rated at the time of acquisition thereof at least "A" or the equivalent by S&amp;P or Moody's;</w:t>
      </w:r>
    </w:p>
    <w:p>
      <w:pPr>
        <w:spacing w:after="0" w:line="199" w:lineRule="exact"/>
        <w:rPr>
          <w:rFonts w:ascii="Times New Roman" w:cs="Times New Roman" w:eastAsia="Times New Roman" w:hAnsi="Times New Roman"/>
          <w:sz w:val="18"/>
          <w:szCs w:val="18"/>
          <w:color w:val="auto"/>
        </w:rPr>
      </w:pPr>
    </w:p>
    <w:p>
      <w:pPr>
        <w:ind w:left="540" w:right="580" w:hanging="532"/>
        <w:spacing w:after="0" w:line="275"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18 months or less from the date of acquisition backed by standby letters of credit issued by an lender under the Credit Agreement or any commercial bank satisfying the requirements of clause (2) of this definition; or</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money market mutual or similar funds which invest exclusively in assets satisfying the requirements of clauses (1) through (5) of this definition.</w:t>
      </w:r>
    </w:p>
    <w:p>
      <w:pPr>
        <w:spacing w:after="0" w:line="246"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II Land</w:t>
      </w:r>
      <w:r>
        <w:rPr>
          <w:rFonts w:ascii="Times New Roman" w:cs="Times New Roman" w:eastAsia="Times New Roman" w:hAnsi="Times New Roman"/>
          <w:sz w:val="18"/>
          <w:szCs w:val="18"/>
          <w:color w:val="auto"/>
        </w:rPr>
        <w:t>" means the approximately 20 acre portion of the Project Site designated as the Phase II Land in the Collateral Documents, together with all improvements thereon and all rights appurtenant thereto.</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Plans and Specifications</w:t>
      </w:r>
      <w:r>
        <w:rPr>
          <w:rFonts w:ascii="Times New Roman" w:cs="Times New Roman" w:eastAsia="Times New Roman" w:hAnsi="Times New Roman"/>
          <w:sz w:val="18"/>
          <w:szCs w:val="18"/>
          <w:color w:val="auto"/>
        </w:rPr>
        <w:t>" has the meaning given that term in the Disbursement Agreement.</w:t>
      </w:r>
    </w:p>
    <w:p>
      <w:pPr>
        <w:spacing w:after="0" w:line="225" w:lineRule="exact"/>
        <w:rPr>
          <w:sz w:val="20"/>
          <w:szCs w:val="20"/>
          <w:color w:val="auto"/>
        </w:rPr>
      </w:pPr>
    </w:p>
    <w:p>
      <w:pPr>
        <w:jc w:val="both"/>
        <w:ind w:right="80" w:firstLine="35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Presumed Tax Liability</w:t>
      </w:r>
      <w:r>
        <w:rPr>
          <w:rFonts w:ascii="Times New Roman" w:cs="Times New Roman" w:eastAsia="Times New Roman" w:hAnsi="Times New Roman"/>
          <w:sz w:val="16"/>
          <w:szCs w:val="16"/>
          <w:color w:val="auto"/>
        </w:rPr>
        <w:t>" means, for any Person that is not a Pass Through Entity or a Consolidated Member for any period, an amount equal to the product of (a) the Taxable Income allocated or attributable to such Person (directly or through one or more tiers of Pass Through Entities) (net of taxable losses allocated to such Person with respect to Wynn Las Vegas, the Completion Guarantor, any Restricted Entity or any of their respective Restricted Subsidiaries that (i) are, or were previously, deductible by such Person and (ii) have not previously reduced Taxable Income), and (b) the Presumed Tax Rate.</w:t>
      </w:r>
    </w:p>
    <w:p>
      <w:pPr>
        <w:spacing w:after="0" w:line="15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Presumed Tax Rate</w:t>
      </w:r>
      <w:r>
        <w:rPr>
          <w:rFonts w:ascii="Times New Roman" w:cs="Times New Roman" w:eastAsia="Times New Roman" w:hAnsi="Times New Roman"/>
          <w:sz w:val="18"/>
          <w:szCs w:val="18"/>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any Restricted Entity or any of their respective Restricted Subsidiaries that is a Pass Through Entity.) In determining the Presumed Tax Rate, the character of the items of</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gain comprising Taxable Income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ordinary income or long term capital gain) shall be taken into account.</w:t>
      </w:r>
    </w:p>
    <w:p>
      <w:pPr>
        <w:spacing w:after="0" w:line="225" w:lineRule="exact"/>
        <w:rPr>
          <w:sz w:val="20"/>
          <w:szCs w:val="20"/>
          <w:color w:val="auto"/>
        </w:rPr>
      </w:pPr>
    </w:p>
    <w:p>
      <w:pPr>
        <w:ind w:right="6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Primary Note Collateral</w:t>
      </w:r>
      <w:r>
        <w:rPr>
          <w:rFonts w:ascii="Times New Roman" w:cs="Times New Roman" w:eastAsia="Times New Roman" w:hAnsi="Times New Roman"/>
          <w:sz w:val="18"/>
          <w:szCs w:val="18"/>
          <w:color w:val="auto"/>
        </w:rPr>
        <w:t>" means all Collateral, other than the FF&amp;E Collateral, together with the proceeds and products thereof (including, without limitation, the proceeds of Asset Sales).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means Stephen A. Wynn.</w:t>
      </w:r>
    </w:p>
    <w:p>
      <w:pPr>
        <w:sectPr>
          <w:pgSz w:w="11900" w:h="16838" w:orient="portrait"/>
          <w:cols w:equalWidth="0" w:num="1">
            <w:col w:w="11380"/>
          </w:cols>
          <w:pgMar w:left="240" w:top="139" w:right="279" w:bottom="0" w:gutter="0" w:footer="0" w:header="0"/>
        </w:sectPr>
      </w:pPr>
    </w:p>
    <w:bookmarkStart w:id="122" w:name="page123"/>
    <w:bookmarkEnd w:id="122"/>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means the Le Rêve Casino Resort, a large scale luxury hotel and destination casino resort, with related parking structure and golf course facilities to be developed on the Project Site, all as more particularly described in the applicable exhibit to the Disbursement Agreement.</w:t>
      </w:r>
    </w:p>
    <w:p>
      <w:pPr>
        <w:spacing w:after="0" w:line="170"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Assets</w:t>
      </w:r>
      <w:r>
        <w:rPr>
          <w:rFonts w:ascii="Times New Roman" w:cs="Times New Roman" w:eastAsia="Times New Roman" w:hAnsi="Times New Roman"/>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Budget</w:t>
      </w:r>
      <w:r>
        <w:rPr>
          <w:rFonts w:ascii="Times New Roman" w:cs="Times New Roman" w:eastAsia="Times New Roman" w:hAnsi="Times New Roman"/>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Lease and Easement Agreements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Golf Course Lease,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Parking Facility Lease,</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Driving Range Lease,</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Building Lease,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Shuttle Easement Agreement,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Dealership Lease Agreement,</w:t>
      </w:r>
    </w:p>
    <w:p>
      <w:pPr>
        <w:spacing w:after="0" w:line="225"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in each case, as amended, modified or otherwise supplemented from time to time in accordance with the covenant captioned "Amendments to Certain Agreements."</w:t>
      </w:r>
    </w:p>
    <w:p>
      <w:pPr>
        <w:spacing w:after="0" w:line="172" w:lineRule="exact"/>
        <w:rPr>
          <w:sz w:val="20"/>
          <w:szCs w:val="20"/>
          <w:color w:val="auto"/>
        </w:rPr>
      </w:pPr>
    </w:p>
    <w:p>
      <w:pPr>
        <w:ind w:right="5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Related Indebtedness</w:t>
      </w:r>
      <w:r>
        <w:rPr>
          <w:rFonts w:ascii="Times New Roman" w:cs="Times New Roman" w:eastAsia="Times New Roman" w:hAnsi="Times New Roman"/>
          <w:sz w:val="18"/>
          <w:szCs w:val="18"/>
          <w:color w:val="auto"/>
        </w:rPr>
        <w:t>" means Indebtedness for borrowed money incurred by Wynn Resorts, the proceeds of which are contributed, directly or indirectly, as common equity capital to Wynn Las Vegas and its Restricted Subsidiaries, so long as neither Issuer, no Restricted Entity nor any Restricted Subsidiary of Wynn Las Vegas or any Restricted Entity:</w:t>
      </w:r>
    </w:p>
    <w:p>
      <w:pPr>
        <w:spacing w:after="0" w:line="197" w:lineRule="exact"/>
        <w:rPr>
          <w:sz w:val="20"/>
          <w:szCs w:val="20"/>
          <w:color w:val="auto"/>
        </w:rPr>
      </w:pPr>
    </w:p>
    <w:p>
      <w:pPr>
        <w:ind w:left="540" w:hanging="532"/>
        <w:spacing w:after="0"/>
        <w:tabs>
          <w:tab w:leader="none" w:pos="5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credit support of any kind (including any undertaking, agreement or instrument that would constitute Indebtedness) as to such Indebtedness,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or indirectly liable as a guarantor or otherwise as to such Indebtedness, or</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lender of such Indebtedness.</w:t>
      </w:r>
    </w:p>
    <w:p>
      <w:pPr>
        <w:spacing w:after="0" w:line="223"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Site</w:t>
      </w:r>
      <w:r>
        <w:rPr>
          <w:rFonts w:ascii="Times New Roman" w:cs="Times New Roman" w:eastAsia="Times New Roman" w:hAnsi="Times New Roman"/>
          <w:sz w:val="18"/>
          <w:szCs w:val="18"/>
          <w:color w:val="auto"/>
        </w:rPr>
        <w:t>" means the approximately 212 acre site upon which the Project will be located, together with all easements, licenses and other rights running for the benefit of Wynn Las Vegas, any Restricted Entity or any of their respective Restricted Subsidiaries and/or appurtenant thereto, and all as more particularly described in the exhibit captioned "Project Site" in the indenture.</w:t>
      </w:r>
    </w:p>
    <w:p>
      <w:pPr>
        <w:spacing w:after="0" w:line="181"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Equity Offering</w:t>
      </w:r>
      <w:r>
        <w:rPr>
          <w:rFonts w:ascii="Times New Roman" w:cs="Times New Roman" w:eastAsia="Times New Roman" w:hAnsi="Times New Roman"/>
          <w:sz w:val="18"/>
          <w:szCs w:val="18"/>
          <w:color w:val="auto"/>
        </w:rPr>
        <w:t>" means a bona fide offering of common stock (other than Disqualified Stock) of Wynn Resorts which results in gross proceeds to Wynn Resorts of at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$50.0 million, to the extent that such gross receipts are contributed as a cash common equity contribution to Wynn Las Vegas.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80% (or more) owned Subsidiary, heir, estate, lineal descendent or immediate family member of the Principal; or</w:t>
      </w:r>
    </w:p>
    <w:p>
      <w:pPr>
        <w:spacing w:after="0" w:line="252" w:lineRule="exact"/>
        <w:rPr>
          <w:rFonts w:ascii="Times New Roman" w:cs="Times New Roman" w:eastAsia="Times New Roman" w:hAnsi="Times New Roman"/>
          <w:sz w:val="18"/>
          <w:szCs w:val="18"/>
          <w:color w:val="auto"/>
        </w:rPr>
      </w:pPr>
    </w:p>
    <w:p>
      <w:pPr>
        <w:ind w:left="540" w:right="480" w:hanging="532"/>
        <w:spacing w:after="0" w:line="275" w:lineRule="auto"/>
        <w:tabs>
          <w:tab w:leader="none" w:pos="5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pacing w:after="0" w:line="17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Released Assets</w:t>
      </w:r>
      <w:r>
        <w:rPr>
          <w:rFonts w:ascii="Times New Roman" w:cs="Times New Roman" w:eastAsia="Times New Roman" w:hAnsi="Times New Roman"/>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 Any such item of Collateral shall cease to be a Released Asset in the event, and to the extent, that Wynn Las Vegas, any Restricted Entity or any of their respective Restricted Subsidiaries is required to grant a security interest therein in favor of the trustee to secure the notes or a guarantee of the notes pursuant to the covenants captioned "—Release of Golf Course Land and Phase II Land—Release of Portions of the Golf Course Land" and "—Release of Golf Course Land and Phase II Land— Release of the Phase II Land."</w:t>
      </w:r>
    </w:p>
    <w:p>
      <w:pPr>
        <w:spacing w:after="0" w:line="192"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Entity</w:t>
      </w:r>
      <w:r>
        <w:rPr>
          <w:rFonts w:ascii="Times New Roman" w:cs="Times New Roman" w:eastAsia="Times New Roman" w:hAnsi="Times New Roman"/>
          <w:sz w:val="18"/>
          <w:szCs w:val="18"/>
          <w:color w:val="auto"/>
        </w:rPr>
        <w:t>" means any of Desert Inn Water Company, LLC, Valvino Lamore, Wynn Design &amp; Development, LLC, Wynn Resorts Holdings, Las Vegas Jet, LLC, World Travel, LLC and Palo, LLC.</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(1) as to Wynn Las Vegas, any Subsidiary of Wynn Las Vegas that is not an Unrestricted Subsidiary, or (2) as to any Restricted Entity, any Subsidiary of a Restricted Entity, other than (a) any other Restricted Entity, (b) the Issuers, (c) any Subsidiary of either Issuer or (d) Desert Inn Improvement Co.</w:t>
      </w:r>
    </w:p>
    <w:p>
      <w:pPr>
        <w:sectPr>
          <w:pgSz w:w="11900" w:h="16838" w:orient="portrait"/>
          <w:cols w:equalWidth="0" w:num="1">
            <w:col w:w="11420"/>
          </w:cols>
          <w:pgMar w:left="240" w:top="123" w:right="239" w:bottom="0" w:gutter="0" w:footer="0" w:header="0"/>
        </w:sectPr>
      </w:pPr>
    </w:p>
    <w:bookmarkStart w:id="123" w:name="page124"/>
    <w:bookmarkEnd w:id="123"/>
    <w:p>
      <w:pPr>
        <w:spacing w:after="0" w:line="31"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70" w:lineRule="exact"/>
        <w:rPr>
          <w:sz w:val="20"/>
          <w:szCs w:val="20"/>
          <w:color w:val="auto"/>
        </w:rPr>
      </w:pPr>
    </w:p>
    <w:p>
      <w:pPr>
        <w:ind w:right="2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Shuttle Easement Agreement</w:t>
      </w:r>
      <w:r>
        <w:rPr>
          <w:rFonts w:ascii="Times New Roman" w:cs="Times New Roman" w:eastAsia="Times New Roman" w:hAnsi="Times New Roman"/>
          <w:sz w:val="18"/>
          <w:szCs w:val="18"/>
          <w:color w:val="auto"/>
        </w:rPr>
        <w:t>" means the Easement Agreement, dated as of the date of the indenture, among Wynn Resorts Holdings, Valvino Lamore and Wynn Las Vegas, as amended, modified or otherwise supplemented from time to time in accordance with the covenant captioned "—Amendments to Certain Agreements."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Restricted Entity</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Valvino Lamore,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Holdings, or</w:t>
      </w:r>
    </w:p>
    <w:p>
      <w:pPr>
        <w:spacing w:after="0" w:line="238"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Entity if it (a) contributes at least 10% of the Restricted Entities' total consolidated income from continuing operations before income taxes, extraordinary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items, or (b) owns at least 10% of the Restricted Entities' total assets on a consolidated basis.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Restricted Subsidiary</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right="20" w:hanging="532"/>
        <w:spacing w:after="0" w:line="262" w:lineRule="auto"/>
        <w:tabs>
          <w:tab w:leader="none" w:pos="5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Restricted Subsidiary of Wynn Las Vegas, such Subsidiary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 and</w:t>
      </w:r>
    </w:p>
    <w:p>
      <w:pPr>
        <w:spacing w:after="0" w:line="213" w:lineRule="exact"/>
        <w:rPr>
          <w:rFonts w:ascii="Times New Roman" w:cs="Times New Roman" w:eastAsia="Times New Roman" w:hAnsi="Times New Roman"/>
          <w:sz w:val="18"/>
          <w:szCs w:val="18"/>
          <w:color w:val="auto"/>
        </w:rPr>
      </w:pPr>
    </w:p>
    <w:p>
      <w:pPr>
        <w:ind w:left="540" w:right="260" w:hanging="532"/>
        <w:spacing w:after="0" w:line="262" w:lineRule="auto"/>
        <w:tabs>
          <w:tab w:leader="none" w:pos="5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Restricted Subsidiary of a Restricted Entity, such Subsidiary if it (a) contributes at least 10% of the Restricted Entities' and their Restricted Subsidiaries' total consolidated income from continuing operations before income taxes, extraordinary items, or (b) owns at least 10% of the Restricted Entities' and their Restricted Subsidiaries' total assets on a consolidated basis.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Solvent</w:t>
      </w:r>
      <w:r>
        <w:rPr>
          <w:rFonts w:ascii="Times New Roman" w:cs="Times New Roman" w:eastAsia="Times New Roman" w:hAnsi="Times New Roman"/>
          <w:sz w:val="18"/>
          <w:szCs w:val="18"/>
          <w:color w:val="auto"/>
        </w:rPr>
        <w:t>" means, when used with respect to any Person, as of any date of determination:</w:t>
      </w:r>
    </w:p>
    <w:p>
      <w:pPr>
        <w:spacing w:after="0" w:line="241" w:lineRule="exact"/>
        <w:rPr>
          <w:sz w:val="20"/>
          <w:szCs w:val="20"/>
          <w:color w:val="auto"/>
        </w:rPr>
      </w:pPr>
    </w:p>
    <w:p>
      <w:pPr>
        <w:ind w:left="540" w:right="420" w:hanging="532"/>
        <w:spacing w:after="0" w:line="262" w:lineRule="auto"/>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"present fair saleable value" of the assets of such Person will,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199"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reasonably expect that such person may be unable to pay the liability of such Person on its debts as such debts become absolute and matured,</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not have, as of such date, an unreasonably small amount of capital with which to conduct its business,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be able to pay its undisputed debts generally as they mature,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insolvent within the meaning of any applicable Requirements of Law.</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addition, for purposes of this definition, (a) "debt" means liability on a "claim," and (b) "claim" means any (i) right to payment, whether or not such a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8"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81"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 Agreement</w:t>
      </w:r>
      <w:r>
        <w:rPr>
          <w:rFonts w:ascii="Times New Roman" w:cs="Times New Roman" w:eastAsia="Times New Roman" w:hAnsi="Times New Roman"/>
          <w:sz w:val="18"/>
          <w:szCs w:val="18"/>
          <w:color w:val="auto"/>
        </w:rPr>
        <w:t>" means that certain Stockholders Agreement, dated as of April 11, 2002, by and among Stephen A. Wynn, Baron Asset Fund and Aruze USA, as in effect on the date of the indenture.</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254" w:lineRule="exact"/>
        <w:rPr>
          <w:sz w:val="20"/>
          <w:szCs w:val="20"/>
          <w:color w:val="auto"/>
        </w:rPr>
      </w:pPr>
    </w:p>
    <w:p>
      <w:pPr>
        <w:ind w:left="540" w:right="100" w:hanging="532"/>
        <w:spacing w:after="0" w:line="262" w:lineRule="auto"/>
        <w:tabs>
          <w:tab w:leader="none" w:pos="5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indirectly, by that Person or one or more of the other Subsidiaries of that Person (or a combination thereof); and</w:t>
      </w:r>
    </w:p>
    <w:p>
      <w:pPr>
        <w:spacing w:after="0" w:line="239" w:lineRule="exact"/>
        <w:rPr>
          <w:sz w:val="20"/>
          <w:szCs w:val="20"/>
          <w:color w:val="auto"/>
        </w:rPr>
      </w:pPr>
    </w:p>
    <w:p>
      <w:pPr>
        <w:ind w:left="540" w:right="180" w:hanging="532"/>
        <w:spacing w:after="0" w:line="275" w:lineRule="auto"/>
        <w:tabs>
          <w:tab w:leader="none" w:pos="5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pacing w:after="0" w:line="172" w:lineRule="exact"/>
        <w:rPr>
          <w:sz w:val="20"/>
          <w:szCs w:val="20"/>
          <w:color w:val="auto"/>
        </w:rPr>
      </w:pPr>
    </w:p>
    <w:p>
      <w:pPr>
        <w:ind w:right="16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Amount</w:t>
      </w:r>
      <w:r>
        <w:rPr>
          <w:rFonts w:ascii="Times New Roman" w:cs="Times New Roman" w:eastAsia="Times New Roman" w:hAnsi="Times New Roman"/>
          <w:sz w:val="16"/>
          <w:szCs w:val="16"/>
          <w:color w:val="auto"/>
        </w:rPr>
        <w:t>" means, with respect to any period, (i) in the case of any direct or indirect member of any of Wynn Las Vegas, the Completion Guarantor, any Restricted Entity or any of their respective Restricted Subsidiaries that is a Pass Through Entity, the Presumed Tax Liability of such direct or indirect member, and (ii) with respect to any of Wynn Las Vegas, the Completion Guarantor, the Restricted Entities or any of their respective Restricted Subsidiaries that are</w:t>
      </w:r>
    </w:p>
    <w:p>
      <w:pPr>
        <w:sectPr>
          <w:pgSz w:w="11900" w:h="16869" w:orient="portrait"/>
          <w:cols w:equalWidth="0" w:num="1">
            <w:col w:w="11420"/>
          </w:cols>
          <w:pgMar w:left="240" w:top="123" w:right="239" w:bottom="0" w:gutter="0" w:footer="0" w:header="0"/>
        </w:sectPr>
      </w:pPr>
    </w:p>
    <w:bookmarkStart w:id="124" w:name="page125"/>
    <w:bookmarkEnd w:id="124"/>
    <w:p>
      <w:pPr>
        <w:ind w:right="220"/>
        <w:spacing w:after="0" w:line="301" w:lineRule="auto"/>
        <w:rPr>
          <w:sz w:val="20"/>
          <w:szCs w:val="20"/>
          <w:color w:val="auto"/>
        </w:rPr>
      </w:pPr>
      <w:r>
        <w:rPr>
          <w:rFonts w:ascii="Times New Roman" w:cs="Times New Roman" w:eastAsia="Times New Roman" w:hAnsi="Times New Roman"/>
          <w:sz w:val="16"/>
          <w:szCs w:val="16"/>
          <w:color w:val="auto"/>
        </w:rPr>
        <w:t>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5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Distribution</w:t>
      </w:r>
      <w:r>
        <w:rPr>
          <w:rFonts w:ascii="Times New Roman" w:cs="Times New Roman" w:eastAsia="Times New Roman" w:hAnsi="Times New Roman"/>
          <w:sz w:val="18"/>
          <w:szCs w:val="18"/>
          <w:color w:val="auto"/>
        </w:rPr>
        <w:t>" means a distribution in respect of taxes pursuant to clause (5) of the second paragraph of the covenant described above under the caption "Certain Covenants—Restricted Payments."</w:t>
      </w:r>
    </w:p>
    <w:p>
      <w:pPr>
        <w:spacing w:after="0" w:line="170"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Indemnification Agreement</w:t>
      </w:r>
      <w:r>
        <w:rPr>
          <w:rFonts w:ascii="Times New Roman" w:cs="Times New Roman" w:eastAsia="Times New Roman" w:hAnsi="Times New Roman"/>
          <w:sz w:val="18"/>
          <w:szCs w:val="18"/>
          <w:color w:val="auto"/>
        </w:rPr>
        <w:t>" means the Tax Indemnification Agreement, dated as of the date of the indenture,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 as amended, modified or otherwise supplemented from time to time in accordance with the covenant captioned "—Amendments to Certain Agreements."</w:t>
      </w:r>
    </w:p>
    <w:p>
      <w:pPr>
        <w:spacing w:after="0" w:line="187"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Taxable Income</w:t>
      </w:r>
      <w:r>
        <w:rPr>
          <w:rFonts w:ascii="Times New Roman" w:cs="Times New Roman" w:eastAsia="Times New Roman" w:hAnsi="Times New Roman"/>
          <w:sz w:val="18"/>
          <w:szCs w:val="18"/>
          <w:color w:val="auto"/>
        </w:rPr>
        <w:t>" means, with respect to any Person for any period, the taxable income or loss of such Person for such period for federal income tax purposes as a result of such Persons equity ownership of Wynn Las Vegas, the Completion Guarantor, any Restricted Entity or any of their respective Restrictive Subsidiaries that are Pass Through Entities for such period, so long as all items of income, gain, loss or deduction required to be stated separately pursuant to Section 703(a)(1) of the Code are included in taxable income or loss.</w:t>
      </w:r>
    </w:p>
    <w:p>
      <w:pPr>
        <w:spacing w:after="0" w:line="187"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(1) Desert Inn Improvement Co. and (2) any Subsidiary of Wynn Las Vegas, other than Wynn Capital that is designated by the board of directors of Wynn Las Vegas as an Unrestricted Subsidiary pursuant to a resolution of the board of directors (and any Subsidiary of each such Unrestricted Subsidiary), but only to the extent that such Subsidiary of Wynn Las Vegas:</w:t>
      </w:r>
    </w:p>
    <w:p>
      <w:pPr>
        <w:spacing w:after="0" w:line="197" w:lineRule="exact"/>
        <w:rPr>
          <w:sz w:val="20"/>
          <w:szCs w:val="20"/>
          <w:color w:val="auto"/>
        </w:rPr>
      </w:pPr>
    </w:p>
    <w:p>
      <w:pPr>
        <w:ind w:left="540" w:hanging="532"/>
        <w:spacing w:after="0"/>
        <w:tabs>
          <w:tab w:leader="none" w:pos="5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w:t>
      </w:r>
    </w:p>
    <w:p>
      <w:pPr>
        <w:spacing w:after="0" w:line="252" w:lineRule="exact"/>
        <w:rPr>
          <w:rFonts w:ascii="Times New Roman" w:cs="Times New Roman" w:eastAsia="Times New Roman" w:hAnsi="Times New Roman"/>
          <w:sz w:val="18"/>
          <w:szCs w:val="18"/>
          <w:color w:val="auto"/>
        </w:rPr>
      </w:pPr>
    </w:p>
    <w:p>
      <w:pPr>
        <w:ind w:left="540" w:right="40" w:hanging="532"/>
        <w:spacing w:after="0" w:line="301" w:lineRule="auto"/>
        <w:tabs>
          <w:tab w:leader="none" w:pos="54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party to any agreement, contract, arrangement or understanding with either Issuer, any Restricted Entity, any Restricted Subsidiary of Wynn Las Vegas or any Restricted Entity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20"/>
        <w:spacing w:after="0" w:line="275" w:lineRule="auto"/>
        <w:rPr>
          <w:sz w:val="20"/>
          <w:szCs w:val="20"/>
          <w:color w:val="auto"/>
        </w:rPr>
      </w:pPr>
      <w:r>
        <w:rPr>
          <w:rFonts w:ascii="Times New Roman" w:cs="Times New Roman" w:eastAsia="Times New Roman" w:hAnsi="Times New Roman"/>
          <w:sz w:val="18"/>
          <w:szCs w:val="18"/>
          <w:color w:val="auto"/>
        </w:rPr>
        <w:t>Affiliate Transactions permitted under the first paragraph of the covenant described above under the caption "Certain Covenants—Transactions with Affiliates";</w:t>
      </w:r>
    </w:p>
    <w:p>
      <w:pPr>
        <w:spacing w:after="0" w:line="187" w:lineRule="exact"/>
        <w:rPr>
          <w:sz w:val="20"/>
          <w:szCs w:val="20"/>
          <w:color w:val="auto"/>
        </w:rPr>
      </w:pPr>
    </w:p>
    <w:p>
      <w:pPr>
        <w:ind w:left="540" w:right="100" w:hanging="532"/>
        <w:spacing w:after="0" w:line="262" w:lineRule="auto"/>
        <w:tabs>
          <w:tab w:leader="none" w:pos="5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with respect to which neither Issuer, nor any Restricted Entity, nor any Restricted Subsidiary of Wynn Las Vegas or any Restricted Entity,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99"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directly or indirectly provided credit support for any Indebtedness of either Issuer, any Restricted Entity, any Restricted Subsidiary of Wynn Las Vegas or any Restricted Entity, or any Guarantor; and</w:t>
      </w:r>
    </w:p>
    <w:p>
      <w:pPr>
        <w:spacing w:after="0" w:line="200"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at least one director on its board of directors that is not a director or executive officer of either Issuer, any Restricted Entity, any Restricted Subsidiary of Wynn Las Vegas or any Restricted Entity, or any Guarantor and has at least one executive officer that is not a director</w:t>
      </w:r>
    </w:p>
    <w:p>
      <w:pPr>
        <w:spacing w:after="0" w:line="17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executive officer of either Issuer, any Restricted Entity, any Restricted Subsidiary of Wynn Las Vegas or any Restricted Entity, or any Guarantor.</w:t>
      </w:r>
    </w:p>
    <w:p>
      <w:pPr>
        <w:spacing w:after="0" w:line="225"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any Unrestricted Subsidiary of Wynn Las Vegas to be a Restricted Subsidiary. Such designation shall be deemed to be an incurrence of Indebtedness by a Restricted Subsidiary of Wynn Las Vegas of any outstanding Indebtedness of such Unrestricted Subsidiary and such designation shall only be permitted if (1) such Indebtedness is permitted under the covenant described under the caption "Certain Covenants—Incurrence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Water Companies</w:t>
      </w:r>
      <w:r>
        <w:rPr>
          <w:rFonts w:ascii="Times New Roman" w:cs="Times New Roman" w:eastAsia="Times New Roman" w:hAnsi="Times New Roman"/>
          <w:sz w:val="18"/>
          <w:szCs w:val="18"/>
          <w:color w:val="auto"/>
        </w:rPr>
        <w:t>" means:</w:t>
      </w:r>
    </w:p>
    <w:p>
      <w:pPr>
        <w:spacing w:after="0" w:line="241" w:lineRule="exact"/>
        <w:rPr>
          <w:sz w:val="20"/>
          <w:szCs w:val="20"/>
          <w:color w:val="auto"/>
        </w:rPr>
      </w:pPr>
    </w:p>
    <w:p>
      <w:pPr>
        <w:ind w:left="540" w:hanging="532"/>
        <w:spacing w:after="0"/>
        <w:tabs>
          <w:tab w:leader="none" w:pos="5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Desert Inn Water Company, LLC, a Nevada limited liability company, and</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Desert Inn Improvement Co., a Nevada corporation.</w:t>
      </w:r>
    </w:p>
    <w:p>
      <w:pPr>
        <w:spacing w:after="0" w:line="223"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Water Rights</w:t>
      </w:r>
      <w:r>
        <w:rPr>
          <w:rFonts w:ascii="Times New Roman" w:cs="Times New Roman" w:eastAsia="Times New Roman" w:hAnsi="Times New Roman"/>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81"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Water Rights Agreement</w:t>
      </w:r>
      <w:r>
        <w:rPr>
          <w:rFonts w:ascii="Times New Roman" w:cs="Times New Roman" w:eastAsia="Times New Roman" w:hAnsi="Times New Roman"/>
          <w:sz w:val="18"/>
          <w:szCs w:val="18"/>
          <w:color w:val="auto"/>
        </w:rPr>
        <w:t>" means the Water Rights Agreement, dated as of the date of the indenture, among the Issuers and the Restricted Entities, as amended, modified or</w:t>
      </w:r>
    </w:p>
    <w:p>
      <w:pPr>
        <w:sectPr>
          <w:pgSz w:w="11900" w:h="16838" w:orient="portrait"/>
          <w:cols w:equalWidth="0" w:num="1">
            <w:col w:w="11400"/>
          </w:cols>
          <w:pgMar w:left="240" w:top="125" w:right="259" w:bottom="42"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42" w:gutter="0" w:footer="0" w:header="0"/>
          <w:type w:val="continuous"/>
        </w:sectPr>
      </w:pPr>
    </w:p>
    <w:bookmarkStart w:id="125" w:name="page126"/>
    <w:bookmarkEnd w:id="125"/>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supplemented from time to time in accordance with the covenant captioned "—Amendments to Certain Agreements."</w:t>
      </w:r>
    </w:p>
    <w:p>
      <w:pPr>
        <w:spacing w:after="0" w:line="223"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Water Rights Transfer</w:t>
      </w:r>
      <w:r>
        <w:rPr>
          <w:rFonts w:ascii="Times New Roman" w:cs="Times New Roman" w:eastAsia="Times New Roman" w:hAnsi="Times New Roman"/>
          <w:sz w:val="18"/>
          <w:szCs w:val="18"/>
          <w:color w:val="auto"/>
        </w:rPr>
        <w:t>" means a transfer, following receipt of Nevada PUC approval, of Water Rights from Desert Inn Improvement Co. to Wynn Resorts Holdings to be used in connection with the Golf Course Land.</w:t>
      </w:r>
    </w:p>
    <w:p>
      <w:pPr>
        <w:spacing w:after="0" w:line="170"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Water Show Entertainment Production Agreement</w:t>
      </w:r>
      <w:r>
        <w:rPr>
          <w:rFonts w:ascii="Times New Roman" w:cs="Times New Roman" w:eastAsia="Times New Roman" w:hAnsi="Times New Roman"/>
          <w:sz w:val="18"/>
          <w:szCs w:val="18"/>
          <w:color w:val="auto"/>
        </w:rPr>
        <w:t>" means the Agreement, dated January 25, 2001, between Wynn Resorts Holdings and Calitri Services and Licensing Limited Liability Company, as amended, modified or otherwise supplemented from time to time in accordance with the covenant captioned "— Amendments to Certain Agreements."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41" w:lineRule="exact"/>
        <w:rPr>
          <w:sz w:val="20"/>
          <w:szCs w:val="20"/>
          <w:color w:val="auto"/>
        </w:rPr>
      </w:pPr>
    </w:p>
    <w:p>
      <w:pPr>
        <w:ind w:left="540" w:right="100" w:hanging="532"/>
        <w:spacing w:after="0" w:line="262" w:lineRule="auto"/>
        <w:tabs>
          <w:tab w:leader="none" w:pos="5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3" w:lineRule="exact"/>
        <w:rPr>
          <w:sz w:val="20"/>
          <w:szCs w:val="20"/>
          <w:color w:val="auto"/>
        </w:rPr>
      </w:pPr>
    </w:p>
    <w:p>
      <w:pPr>
        <w:jc w:val="both"/>
        <w:ind w:right="2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Restricted Subsidiary</w:t>
      </w:r>
      <w:r>
        <w:rPr>
          <w:rFonts w:ascii="Times New Roman" w:cs="Times New Roman" w:eastAsia="Times New Roman" w:hAnsi="Times New Roman"/>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81" w:lineRule="exact"/>
        <w:rPr>
          <w:sz w:val="20"/>
          <w:szCs w:val="20"/>
          <w:color w:val="auto"/>
        </w:rPr>
      </w:pPr>
    </w:p>
    <w:p>
      <w:pPr>
        <w:ind w:right="18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Wholly Owned Subsidiary</w:t>
      </w:r>
      <w:r>
        <w:rPr>
          <w:rFonts w:ascii="Times New Roman" w:cs="Times New Roman" w:eastAsia="Times New Roman" w:hAnsi="Times New Roman"/>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Capital</w:t>
      </w:r>
      <w:r>
        <w:rPr>
          <w:rFonts w:ascii="Times New Roman" w:cs="Times New Roman" w:eastAsia="Times New Roman" w:hAnsi="Times New Roman"/>
          <w:sz w:val="18"/>
          <w:szCs w:val="18"/>
          <w:color w:val="auto"/>
        </w:rPr>
        <w:t>" means Wynn Las Vegas Capital Corp., a Nevada corporation.</w:t>
      </w:r>
    </w:p>
    <w:p>
      <w:pPr>
        <w:spacing w:after="0" w:line="225"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Design Agreement</w:t>
      </w:r>
      <w:r>
        <w:rPr>
          <w:rFonts w:ascii="Times New Roman" w:cs="Times New Roman" w:eastAsia="Times New Roman" w:hAnsi="Times New Roman"/>
          <w:sz w:val="18"/>
          <w:szCs w:val="18"/>
          <w:color w:val="auto"/>
        </w:rPr>
        <w:t>" means the Wynn Design Agreement, dated as of the date of the indenture, between Wynn Las Vegas and Wynn Design &amp; Development, LLC, as amended, modified or otherwise supplemented from time to time in accordance with the covenant captioned "—Amendments to Certain Agreements."</w:t>
      </w:r>
    </w:p>
    <w:p>
      <w:pPr>
        <w:spacing w:after="0" w:line="181" w:lineRule="exact"/>
        <w:rPr>
          <w:sz w:val="20"/>
          <w:szCs w:val="20"/>
          <w:color w:val="auto"/>
        </w:rPr>
      </w:pPr>
    </w:p>
    <w:p>
      <w:pPr>
        <w:ind w:right="10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Wynn Employment Agreement</w:t>
      </w:r>
      <w:r>
        <w:rPr>
          <w:rFonts w:ascii="Times New Roman" w:cs="Times New Roman" w:eastAsia="Times New Roman" w:hAnsi="Times New Roman"/>
          <w:sz w:val="16"/>
          <w:szCs w:val="16"/>
          <w:color w:val="auto"/>
        </w:rPr>
        <w:t>" means the Employment Agreement, dated as of the date of the indenture, between Wynn Resorts and Stephen A. Wynn, as amended, modified or otherwise supplemented from time to time in accordance with the covenant captioned "—Amendments to Certain Agreements."</w:t>
      </w:r>
    </w:p>
    <w:p>
      <w:pPr>
        <w:spacing w:after="0" w:line="124"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Group Entities</w:t>
      </w:r>
      <w:r>
        <w:rPr>
          <w:rFonts w:ascii="Times New Roman" w:cs="Times New Roman" w:eastAsia="Times New Roman" w:hAnsi="Times New Roman"/>
          <w:sz w:val="18"/>
          <w:szCs w:val="18"/>
          <w:color w:val="auto"/>
        </w:rPr>
        <w:t>" means (1) Palo, LLC, (2) Wynn Design &amp; Development, LLC, (3) World Travel, LLC, (4) Las Vegas Jet, LLC, and (5) each of their respective Subsidiaries.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Las Vegas</w:t>
      </w:r>
      <w:r>
        <w:rPr>
          <w:rFonts w:ascii="Times New Roman" w:cs="Times New Roman" w:eastAsia="Times New Roman" w:hAnsi="Times New Roman"/>
          <w:sz w:val="18"/>
          <w:szCs w:val="18"/>
          <w:color w:val="auto"/>
        </w:rPr>
        <w:t>" means Wynn Las Vegas, LLC, a Nevada limited liability company.</w:t>
      </w:r>
    </w:p>
    <w:p>
      <w:pPr>
        <w:spacing w:after="0" w:line="225"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Put Agreement"</w:t>
      </w:r>
      <w:r>
        <w:rPr>
          <w:rFonts w:ascii="Times New Roman" w:cs="Times New Roman" w:eastAsia="Times New Roman" w:hAnsi="Times New Roman"/>
          <w:sz w:val="18"/>
          <w:szCs w:val="18"/>
          <w:color w:val="auto"/>
        </w:rPr>
        <w:t xml:space="preserve"> means the Agreement, dated as of June , 2002, among Stephen A. Wynn and Wynn Resorts, relating to the Buy-Sell Agreement, as amended, modified or otherwise supplemented from time to time in accordance with the covenant captioned "—Restrictions on Incurrence of Indebtedness and Guarantees by Wynn Resorts."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Resorts</w:t>
      </w:r>
      <w:r>
        <w:rPr>
          <w:rFonts w:ascii="Times New Roman" w:cs="Times New Roman" w:eastAsia="Times New Roman" w:hAnsi="Times New Roman"/>
          <w:sz w:val="18"/>
          <w:szCs w:val="18"/>
          <w:color w:val="auto"/>
        </w:rPr>
        <w:t>" means Wynn Resorts, Limited, a Nevada corporation.</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Resorts Agreement</w:t>
      </w:r>
      <w:r>
        <w:rPr>
          <w:rFonts w:ascii="Times New Roman" w:cs="Times New Roman" w:eastAsia="Times New Roman" w:hAnsi="Times New Roman"/>
          <w:sz w:val="18"/>
          <w:szCs w:val="18"/>
          <w:color w:val="auto"/>
        </w:rPr>
        <w:t>" means the Letter Agreement, dated as of the date of the indenture, among Wynn Resorts, the trustee and a representative of the lenders under the Credit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Wynn Resorts Holdings</w:t>
      </w:r>
      <w:r>
        <w:rPr>
          <w:rFonts w:ascii="Times New Roman" w:cs="Times New Roman" w:eastAsia="Times New Roman" w:hAnsi="Times New Roman"/>
          <w:sz w:val="18"/>
          <w:szCs w:val="18"/>
          <w:color w:val="auto"/>
        </w:rPr>
        <w:t>" means Wynn Resorts Holdings, LLC, a Nevada limited liability company (formerly known as Wynn Resorts, LLC).</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87" w:lineRule="exact"/>
        <w:rPr>
          <w:sz w:val="20"/>
          <w:szCs w:val="20"/>
          <w:color w:val="auto"/>
        </w:rPr>
      </w:pPr>
    </w:p>
    <w:p>
      <w:pPr>
        <w:ind w:left="1080" w:hanging="532"/>
        <w:spacing w:after="0" w:line="26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99" w:lineRule="exact"/>
        <w:rPr>
          <w:rFonts w:ascii="Times New Roman" w:cs="Times New Roman" w:eastAsia="Times New Roman" w:hAnsi="Times New Roman"/>
          <w:sz w:val="18"/>
          <w:szCs w:val="18"/>
          <w:color w:val="auto"/>
        </w:rPr>
      </w:pPr>
    </w:p>
    <w:p>
      <w:pPr>
        <w:ind w:left="1080" w:right="20" w:hanging="532"/>
        <w:spacing w:after="0" w:line="339" w:lineRule="auto"/>
        <w:tabs>
          <w:tab w:leader="none" w:pos="108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w:t>
      </w:r>
    </w:p>
    <w:p>
      <w:pPr>
        <w:sectPr>
          <w:pgSz w:w="11900" w:h="16903" w:orient="portrait"/>
          <w:cols w:equalWidth="0" w:num="1">
            <w:col w:w="11340"/>
          </w:cols>
          <w:pgMar w:left="240" w:top="584" w:right="319" w:bottom="0" w:gutter="0" w:footer="0" w:header="0"/>
        </w:sectPr>
      </w:pPr>
    </w:p>
    <w:bookmarkStart w:id="126" w:name="page127"/>
    <w:bookmarkEnd w:id="126"/>
    <w:p>
      <w:pPr>
        <w:ind w:left="1080"/>
        <w:spacing w:after="0"/>
        <w:rPr>
          <w:sz w:val="20"/>
          <w:szCs w:val="20"/>
          <w:color w:val="auto"/>
        </w:rPr>
      </w:pPr>
      <w:r>
        <w:rPr>
          <w:rFonts w:ascii="Times New Roman" w:cs="Times New Roman" w:eastAsia="Times New Roman" w:hAnsi="Times New Roman"/>
          <w:sz w:val="18"/>
          <w:szCs w:val="18"/>
          <w:color w:val="auto"/>
        </w:rPr>
        <w:t>after Le Rêve opens.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 borrowings outstanding under our revolving facility equal or exceed $200 million, the lenders' agent will have the right to convert $100 to</w:t>
      </w:r>
    </w:p>
    <w:p>
      <w:pPr>
        <w:spacing w:after="0" w:line="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92"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 and Fees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400" w:hanging="532"/>
        <w:spacing w:after="0" w:line="275"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Le Rêve opens, borrowings will bear interest, at Wynn Las Vegas' election, at the prime rate plus a margin still to be determined or the reserve adjusted Eurodollar Rate plus 4.00% per annum; and</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Le Rêve opens, the interest rate will be the prime rate or reserve adjusted Eurodollar Rate, as Wynn Las Vegas elects, plus, in either case, a margin based on our leverage ratio.</w:t>
      </w:r>
    </w:p>
    <w:p>
      <w:pPr>
        <w:spacing w:after="0" w:line="174" w:lineRule="exact"/>
        <w:rPr>
          <w:sz w:val="20"/>
          <w:szCs w:val="20"/>
          <w:color w:val="auto"/>
        </w:rPr>
      </w:pPr>
    </w:p>
    <w:p>
      <w:pPr>
        <w:ind w:right="100" w:firstLine="348"/>
        <w:spacing w:after="0" w:line="339" w:lineRule="auto"/>
        <w:rPr>
          <w:sz w:val="20"/>
          <w:szCs w:val="20"/>
          <w:color w:val="auto"/>
        </w:rPr>
      </w:pPr>
      <w:r>
        <w:rPr>
          <w:rFonts w:ascii="Times New Roman" w:cs="Times New Roman" w:eastAsia="Times New Roman" w:hAnsi="Times New Roman"/>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Until Le Rêve opens, Wynn Las Vegas will pay, quarterly in arrears, 2.00% per annum on unborrowed availability under our revolving credit facility. The amount Wynn Las Vegas will pay will be calculated on the daily average of the unborrowed availability under the revolving credit facility.</w:t>
      </w:r>
    </w:p>
    <w:p>
      <w:pPr>
        <w:spacing w:after="0" w:line="174"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7" w:lineRule="exact"/>
        <w:rPr>
          <w:sz w:val="20"/>
          <w:szCs w:val="20"/>
          <w:color w:val="auto"/>
        </w:rPr>
      </w:pPr>
    </w:p>
    <w:p>
      <w:pPr>
        <w:ind w:right="20" w:firstLine="341"/>
        <w:spacing w:after="0" w:line="288" w:lineRule="auto"/>
        <w:rPr>
          <w:sz w:val="20"/>
          <w:szCs w:val="20"/>
          <w:color w:val="auto"/>
        </w:rPr>
      </w:pPr>
      <w:r>
        <w:rPr>
          <w:rFonts w:ascii="Times New Roman" w:cs="Times New Roman" w:eastAsia="Times New Roman" w:hAnsi="Times New Roman"/>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Upon the completion and opening of Le Rêve, any amounts remaining in this account will be released to Wynn Resorts.</w:t>
      </w:r>
    </w:p>
    <w:p>
      <w:pPr>
        <w:spacing w:after="0" w:line="169"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Under the credit facilities, subsidiaries and certain affiliates of Wynn Las Vegas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Subject to certain exceptions, compliance with all applicable laws, including gaming laws and regulations, and obtaining any necessary regulatory approvals, our obligations under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facilities will be secured by first priority security interests (subject to permitted liens) in the following:</w:t>
      </w:r>
    </w:p>
    <w:p>
      <w:pPr>
        <w:spacing w:after="0" w:line="239" w:lineRule="exact"/>
        <w:rPr>
          <w:sz w:val="20"/>
          <w:szCs w:val="20"/>
          <w:color w:val="auto"/>
        </w:rPr>
      </w:pPr>
    </w:p>
    <w:p>
      <w:pPr>
        <w:ind w:left="1080" w:hanging="532"/>
        <w:spacing w:after="0" w:line="291" w:lineRule="auto"/>
        <w:tabs>
          <w:tab w:leader="none" w:pos="108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consecutive fiscal</w:t>
      </w:r>
    </w:p>
    <w:p>
      <w:pPr>
        <w:sectPr>
          <w:pgSz w:w="11900" w:h="16838" w:orient="portrait"/>
          <w:cols w:equalWidth="0" w:num="1">
            <w:col w:w="11420"/>
          </w:cols>
          <w:pgMar w:left="240" w:top="125" w:right="239" w:bottom="0" w:gutter="0" w:footer="0" w:header="0"/>
        </w:sectPr>
      </w:pPr>
    </w:p>
    <w:bookmarkStart w:id="127" w:name="page128"/>
    <w:bookmarkEnd w:id="127"/>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quarters after Le Rêve opens, any remaining amounts in the liquidity reserve account will be released to us;</w:t>
      </w:r>
    </w:p>
    <w:p>
      <w:pPr>
        <w:spacing w:after="0" w:line="239" w:lineRule="exact"/>
        <w:rPr>
          <w:sz w:val="20"/>
          <w:szCs w:val="20"/>
          <w:color w:val="auto"/>
        </w:rPr>
      </w:pPr>
    </w:p>
    <w:p>
      <w:pPr>
        <w:ind w:left="1080" w:hanging="532"/>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pledge of all equity interests in the restricted entities to the extent permitted by applicable law;</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06"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security interest in substantially all of the other existing and future assets of Wynn Las Vegas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03"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security interest on the furniture, fixtures and equipment securing the FF&amp;E facility, excluding the aircraft. See "—FF&amp;E Facility."</w:t>
      </w:r>
    </w:p>
    <w:p>
      <w:pPr>
        <w:spacing w:after="0" w:line="174"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86"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Wynn Las Vegas' obligations under the credit facilities will not be secured by any interest in the secured account holding the proceeds of the second mortgage notes.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Prepayments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Wynn Las Vegas will be required to make mandatory prepayments of indebtedness under the credit facilities from specified percentages, ranging from a specified percentage (not to 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restricted entities will be required to comply with negative and affirmative covenants, including, among other things, limitations on:</w:t>
      </w:r>
    </w:p>
    <w:p>
      <w:pPr>
        <w:spacing w:after="0" w:line="252" w:lineRule="exact"/>
        <w:rPr>
          <w:sz w:val="20"/>
          <w:szCs w:val="20"/>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pledges;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changes and modifications to material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assets;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fixed charge coverage;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earnings before interest, taxes, depreciation and amortization;</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0"/>
          <w:numId w:val="284"/>
        </w:numPr>
        <w:rPr>
          <w:rFonts w:ascii="Times New Roman" w:cs="Times New Roman" w:eastAsia="Times New Roman" w:hAnsi="Times New Roman"/>
          <w:sz w:val="18"/>
          <w:szCs w:val="18"/>
          <w:color w:val="auto"/>
        </w:rPr>
      </w:pPr>
    </w:p>
    <w:p>
      <w:pPr>
        <w:sectPr>
          <w:pgSz w:w="11900" w:h="16874" w:orient="portrait"/>
          <w:cols w:equalWidth="0" w:num="1">
            <w:col w:w="11400"/>
          </w:cols>
          <w:pgMar w:left="240" w:top="125" w:right="259" w:bottom="0" w:gutter="0" w:footer="0" w:header="0"/>
        </w:sectPr>
      </w:pPr>
    </w:p>
    <w:bookmarkStart w:id="128" w:name="page129"/>
    <w:bookmarkEnd w:id="128"/>
    <w:p>
      <w:pPr>
        <w:ind w:left="1080"/>
        <w:spacing w:after="0"/>
        <w:rPr>
          <w:sz w:val="20"/>
          <w:szCs w:val="20"/>
          <w:color w:val="auto"/>
        </w:rPr>
      </w:pPr>
      <w:r>
        <w:rPr>
          <w:rFonts w:ascii="Times New Roman" w:cs="Times New Roman" w:eastAsia="Times New Roman" w:hAnsi="Times New Roman"/>
          <w:sz w:val="18"/>
          <w:szCs w:val="18"/>
          <w:color w:val="auto"/>
        </w:rPr>
        <w:t>total debt to earnings before interest, taxes, depreciation and amortization; and</w:t>
      </w:r>
    </w:p>
    <w:p>
      <w:pPr>
        <w:spacing w:after="0" w:line="239" w:lineRule="exact"/>
        <w:rPr>
          <w:sz w:val="20"/>
          <w:szCs w:val="20"/>
          <w:color w:val="auto"/>
        </w:rPr>
      </w:pPr>
    </w:p>
    <w:p>
      <w:pPr>
        <w:ind w:left="1080" w:hanging="532"/>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net worth.</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Availability of Funds</w:t>
      </w:r>
    </w:p>
    <w:p>
      <w:pPr>
        <w:spacing w:after="0" w:line="22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FF&amp;E Facility</w:t>
      </w:r>
    </w:p>
    <w:p>
      <w:pPr>
        <w:spacing w:after="0" w:line="227"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6"/>
          <w:szCs w:val="16"/>
          <w:color w:val="auto"/>
        </w:rPr>
        <w:t>Wynn Las Vegas has entered into an engagement letter with Bank of America, N.A., Banc of America Leasing &amp; Capital LLC and Deutsche Bank Securities Inc. for a $178.5 million FF&amp;E facility, which is currently being syndicated, as part of the financing of Le Rêve.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loan. Wynn Las Vegas may use additional proceeds of the FF&amp;E facility to refinance other furniture, fixtures or equipment purchased with the proceeds of this offering or other funds. Entering into the FF&amp;E facility will be a condition to the consummation of this offering. However, the availability of these funds is subject to, among other things, negotiation and execution of definitive agreements. For more information, see "Use of Proceeds," "Management's Discussion and Analysis of Financial Condition and Results of Operations" and "Certain Relationships and Related Transactions—Aircraft Arrangements."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Lenders Intercreditor Agreement</w:t>
      </w:r>
    </w:p>
    <w:p>
      <w:pPr>
        <w:spacing w:after="0" w:line="227" w:lineRule="exact"/>
        <w:rPr>
          <w:sz w:val="20"/>
          <w:szCs w:val="20"/>
          <w:color w:val="auto"/>
        </w:rPr>
      </w:pPr>
    </w:p>
    <w:p>
      <w:pPr>
        <w:jc w:val="both"/>
        <w:ind w:right="40" w:firstLine="348"/>
        <w:spacing w:after="0" w:line="287" w:lineRule="auto"/>
        <w:rPr>
          <w:sz w:val="20"/>
          <w:szCs w:val="20"/>
          <w:color w:val="auto"/>
        </w:rPr>
      </w:pPr>
      <w:r>
        <w:rPr>
          <w:rFonts w:ascii="Times New Roman" w:cs="Times New Roman" w:eastAsia="Times New Roman" w:hAnsi="Times New Roman"/>
          <w:sz w:val="16"/>
          <w:szCs w:val="16"/>
          <w:color w:val="auto"/>
        </w:rPr>
        <w:t>The project lenders intercreditor agreement will be entered into between the agent under our credit facilities and the trustee on behalf of the second mortgage note holders. The project lenders intercreditor agreement confirms that the liens granted to second mortgage note holders with respect to our assets and the assets pledged by the guarantors of the credit facilities and the second mortgage notes are junior to liens on such assets granted to the lenders under the credit facilities.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project lenders intercreditor agreement also provides the lenders under our credit facilities with certain rights to make decisions regarding us, the guarantors and the pledged assets without the consent of the second mortgage note holders, and the agreement further materially limits the rights of the second mortgage note holders to object to these decisions or to pursue remedies against us, the guarantors or the pledged assets. You should review the project lenders intercreditor agreement for a complete statement of its terms and conditions.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"Permanent" Standstill With Respect to Second Mortgage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project lenders intercreditor agreement provides that:</w:t>
      </w:r>
    </w:p>
    <w:p>
      <w:pPr>
        <w:spacing w:after="0" w:line="252" w:lineRule="exact"/>
        <w:rPr>
          <w:sz w:val="20"/>
          <w:szCs w:val="20"/>
          <w:color w:val="auto"/>
        </w:rPr>
      </w:pPr>
    </w:p>
    <w:p>
      <w:pPr>
        <w:ind w:left="1080" w:right="100" w:hanging="532"/>
        <w:spacing w:after="0" w:line="258"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payment default or an acceleration with respect to the credit facilities then the agent under the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03"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there is any outstanding indebtedness under our credit facilities, 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trustee shall have the right upon a default:</w:t>
      </w:r>
    </w:p>
    <w:p>
      <w:pPr>
        <w:spacing w:after="0" w:line="239" w:lineRule="exact"/>
        <w:rPr>
          <w:sz w:val="20"/>
          <w:szCs w:val="20"/>
          <w:color w:val="auto"/>
        </w:rPr>
      </w:pPr>
    </w:p>
    <w:p>
      <w:pPr>
        <w:ind w:left="1080" w:right="180" w:hanging="532"/>
        <w:spacing w:after="0" w:line="275"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actions to preserve or protect the liens securing the second mortgage notes (so long as the actions are not adverse to the lenders under the credit facilities);</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off all amounts owed under the credit facilities (provided that the second mortgage note holders shall not be required in such circumstances to pay any prepayment charges payable under the terms of the credit facilities);</w:t>
      </w:r>
    </w:p>
    <w:p>
      <w:pPr>
        <w:sectPr>
          <w:pgSz w:w="11900" w:h="16838" w:orient="portrait"/>
          <w:cols w:equalWidth="0" w:num="1">
            <w:col w:w="11420"/>
          </w:cols>
          <w:pgMar w:left="240" w:top="125" w:right="239" w:bottom="0" w:gutter="0" w:footer="0" w:header="0"/>
        </w:sectPr>
      </w:pPr>
    </w:p>
    <w:bookmarkStart w:id="129" w:name="page130"/>
    <w:bookmarkEnd w:id="129"/>
    <w:p>
      <w:pPr>
        <w:spacing w:after="0" w:line="6" w:lineRule="exact"/>
        <w:rPr>
          <w:sz w:val="20"/>
          <w:szCs w:val="20"/>
          <w:color w:val="auto"/>
        </w:rPr>
      </w:pPr>
    </w:p>
    <w:p>
      <w:pPr>
        <w:ind w:left="1080" w:hanging="532"/>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the indebtedness under the second mortgage notes; and</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commence an involuntary bankruptcy proceeding with respect to Wynn Las Vegas, Wynn Capital and/or any of the guarantors of the second mortgage notes.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Enforcement of Security Documents</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evidencing the liens in favor of the lenders under the credit facilities. Such enforcement actions may include:</w:t>
      </w:r>
    </w:p>
    <w:p>
      <w:pPr>
        <w:spacing w:after="0" w:line="239" w:lineRule="exact"/>
        <w:rPr>
          <w:sz w:val="20"/>
          <w:szCs w:val="20"/>
          <w:color w:val="auto"/>
        </w:rPr>
      </w:pPr>
    </w:p>
    <w:p>
      <w:pPr>
        <w:ind w:left="1080" w:hanging="532"/>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the FF&amp;E intercreditor agreement on behalf of the lenders under the credit facilities and the second mortgage note holders;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rights of setoff; and</w:t>
      </w:r>
    </w:p>
    <w:p>
      <w:pPr>
        <w:spacing w:after="0" w:line="252"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notices, claims and demands relating to the collateral, including instructions to depositary institutions holding pledged accounts to suspend further disbursements from such accounts.</w:t>
      </w:r>
    </w:p>
    <w:p>
      <w:pPr>
        <w:spacing w:after="0" w:line="17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187" w:lineRule="exact"/>
        <w:rPr>
          <w:sz w:val="20"/>
          <w:szCs w:val="20"/>
          <w:color w:val="auto"/>
        </w:rPr>
      </w:pPr>
    </w:p>
    <w:p>
      <w:pPr>
        <w:ind w:left="1080" w:right="220" w:hanging="532"/>
        <w:spacing w:after="0" w:line="258"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there is a payment default or an acceleration with respect to the indebtedness under the credit facilities, the agent shall not instruct any depositary institutions holding pledged accounts to suspend disbursements for expenses reasonably necessary or appropriate for the conduct of the business of Wynn Las Vegas or Wynn Capital, or for payment of debt service on permitted secured debt (including the second mortgage notes and the FF&amp;E facility), and</w:t>
      </w:r>
    </w:p>
    <w:p>
      <w:pPr>
        <w:spacing w:after="0" w:line="203"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 outstanding indebtedness under the credit facilities is less than $100,000,000 and unless otherwise agreed by the trustee, the agent under our credit facilities shall not complete a foreclosure sale with respect to the pledged collateral on account of a particular default until at least 180 days after the trustee has received written notice of the default; provided that this limitation shall not limit foreclosure of liens granted by any of the guarantors with respect to the credit facilities to the extent that such liens encumber equity interests in Wynn Las Vegas, Wynn Capital or any of their affiliates, or the foreclosure of other assets that are not related in a material respect to the operation of the business at the project.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Further Authority of the Agent under our Credit Facilities to Effect Waivers and Amendments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project lenders intercreditor agreement provides that from and after the first funding under the credit facilities, the agent under our credit facilities shall have the right to waive defaults and effect amendments under the disbursement agreement and the security documents without being required to obtain the consent of the trustee or the holders of the second mortgage notes. Any such waivers or amendments shall be effective with respect to the second mortgage notes. Notwithstanding the foregoing, except with respect to the phase II land and the golf course parcel and related collateral, any such waiver or amendment approved by the lenders under the credit facilities shall not release liens on the collateral or modify any provisions of the second mortgage notes indenture without the consent of the trustee. The agent under our credit facilities is further authorized to effect certain amendments regarding the scope of the project without the consent of the trustee, the holders of the second mortgage notes or the FF&amp;E lenders. See "Disbursement Agreement."</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Intercreditor Arrangements in Bankruptcy</w:t>
      </w:r>
    </w:p>
    <w:p>
      <w:pPr>
        <w:spacing w:after="0" w:line="22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project lenders intercreditor agreement provides that in any bankruptcy of Wynn Las Vegas, Wynn Capital or any of the guarantors, the trustee and the second mortgage note holders shall not:</w:t>
      </w:r>
    </w:p>
    <w:p>
      <w:pPr>
        <w:spacing w:after="0" w:line="201" w:lineRule="exact"/>
        <w:rPr>
          <w:sz w:val="20"/>
          <w:szCs w:val="20"/>
          <w:color w:val="auto"/>
        </w:rPr>
      </w:pPr>
    </w:p>
    <w:p>
      <w:pPr>
        <w:ind w:left="1080" w:hanging="532"/>
        <w:spacing w:after="0" w:line="275"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the liens of the lenders under the credit facilities (and the lenders correspondingly shall agree not to take any action challenging the liens in favor of the second mortgage note holders);</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 or contest any motion of the agent under our credit facilities for relief from the automatic stay or any injunction against foreclosure or enforcement of the credit facilities;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 or contest a credit bid of indebtedness under the credit facilities at any foreclosure sale;</w:t>
      </w:r>
    </w:p>
    <w:p>
      <w:pPr>
        <w:spacing w:after="0" w:line="252"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 or contest any use of cash collateral that has been approved by the agent under our credit facilities, so long as such use of cash collateral calls for:</w:t>
      </w:r>
    </w:p>
    <w:p>
      <w:pPr>
        <w:spacing w:after="0" w:line="173" w:lineRule="exact"/>
        <w:rPr>
          <w:rFonts w:ascii="Times New Roman" w:cs="Times New Roman" w:eastAsia="Times New Roman" w:hAnsi="Times New Roman"/>
          <w:sz w:val="18"/>
          <w:szCs w:val="18"/>
          <w:color w:val="auto"/>
        </w:rPr>
      </w:pPr>
    </w:p>
    <w:p>
      <w:pPr>
        <w:ind w:left="1080" w:right="80" w:firstLine="360"/>
        <w:spacing w:after="0" w:line="275" w:lineRule="auto"/>
        <w:tabs>
          <w:tab w:leader="none" w:pos="172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expenses reasonably necessary or appropriate for the conduct of the business of Wynn Las Vegas or Wynn Capital, or for the preservation of the collateral;</w:t>
      </w:r>
    </w:p>
    <w:p>
      <w:pPr>
        <w:spacing w:after="0" w:line="173"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debt secured by liens upon the collateral that are senior to the liens securing the second mortgage notes; or</w:t>
      </w:r>
    </w:p>
    <w:p>
      <w:pPr>
        <w:spacing w:after="0" w:line="225"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bankruptcy administrative expenses;</w:t>
      </w:r>
    </w:p>
    <w:p>
      <w:pPr>
        <w:spacing w:after="0" w:line="238"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accept any plan of reorganization or restructuring plan unless lenders holding two-thirds of the outstanding amount of loans under the credit facilities have voted to accept such plan.</w:t>
      </w:r>
    </w:p>
    <w:p>
      <w:pPr>
        <w:sectPr>
          <w:pgSz w:w="11900" w:h="16844" w:orient="portrait"/>
          <w:cols w:equalWidth="0" w:num="1">
            <w:col w:w="11400"/>
          </w:cols>
          <w:pgMar w:left="240" w:top="139" w:right="259" w:bottom="0" w:gutter="0" w:footer="0" w:header="0"/>
        </w:sectPr>
      </w:pPr>
    </w:p>
    <w:bookmarkStart w:id="130" w:name="page131"/>
    <w:bookmarkEnd w:id="130"/>
    <w:p>
      <w:pPr>
        <w:ind w:right="140"/>
        <w:spacing w:after="0" w:line="301" w:lineRule="auto"/>
        <w:rPr>
          <w:sz w:val="20"/>
          <w:szCs w:val="20"/>
          <w:color w:val="auto"/>
        </w:rPr>
      </w:pPr>
      <w:r>
        <w:rPr>
          <w:rFonts w:ascii="Times New Roman" w:cs="Times New Roman" w:eastAsia="Times New Roman" w:hAnsi="Times New Roman"/>
          <w:sz w:val="16"/>
          <w:szCs w:val="16"/>
          <w:color w:val="auto"/>
        </w:rPr>
        <w:t>The foregoing provisions shall not restrict the trustee and the second mortgage note holders from voting unsecured claims based upon the indebtedness owed on the second mortgage notes, or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as a basis for opposing relief sought in the bankruptcy that has been approved by the agent under our credit facilities.)</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Certain Waivers by Second Mortgage Noteholders</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Under the project lenders intercreditor agreement, the second mortgage note holders waive certain rights generally afforded junior creditors relative to senior creditors under applicable law, including each of the following:</w:t>
      </w:r>
    </w:p>
    <w:p>
      <w:pPr>
        <w:spacing w:after="0" w:line="187" w:lineRule="exact"/>
        <w:rPr>
          <w:sz w:val="20"/>
          <w:szCs w:val="20"/>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marshaling accorded to a junior lienholder under equitable principles.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challenge the liens of the lenders under the credit facilities based upon any of the following:</w:t>
      </w:r>
    </w:p>
    <w:p>
      <w:pPr>
        <w:spacing w:after="0" w:line="225" w:lineRule="exact"/>
        <w:rPr>
          <w:rFonts w:ascii="Times New Roman" w:cs="Times New Roman" w:eastAsia="Times New Roman" w:hAnsi="Times New Roman"/>
          <w:sz w:val="18"/>
          <w:szCs w:val="18"/>
          <w:color w:val="auto"/>
        </w:rPr>
      </w:pPr>
    </w:p>
    <w:p>
      <w:pPr>
        <w:ind w:left="1080" w:right="20" w:firstLine="360"/>
        <w:spacing w:after="0" w:line="262" w:lineRule="auto"/>
        <w:tabs>
          <w:tab w:leader="none" w:pos="172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of any funds under the credit facilities (even if conditions to such advances have not been satisfied, so long as the maximum amount of senior lien debt permitted by the second mortgage notes indenture is not exceeded, See "Description of the Second Mortgage Notes");</w:t>
      </w:r>
    </w:p>
    <w:p>
      <w:pPr>
        <w:spacing w:after="0" w:line="186"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dates or terms for payments under our credit facilities;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firstLine="360"/>
        <w:spacing w:after="0" w:line="262" w:lineRule="auto"/>
        <w:tabs>
          <w:tab w:leader="none" w:pos="172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reduction in the available credit under the credit facilities or the amounts payable on debt outstanding thereunder (provided that the maximum amount of senior lien debt permitted by the second mortgage notes indenture is not exceeded, See "Description of the Second Mortgage Notes");</w:t>
      </w:r>
    </w:p>
    <w:p>
      <w:pPr>
        <w:spacing w:after="0" w:line="186"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take necessary or appropriate action to enforce or perfect any lien; or</w:t>
      </w:r>
    </w:p>
    <w:p>
      <w:pPr>
        <w:spacing w:after="0" w:line="225"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rights or remedies under any security documents with respect to the credit facilities.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out of any action or failure to act or any error of judgment or negligence on the part of the agent under our credit facilities other than gross negligence or willful misconduct, to the maximum extent permitted by law.</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second mortgage note holders further waive any claim that the agent under our credit facilities has any duty, to keep the trustee or the second mortgage note holders informed as to circumstances bearing upon the risk of non payment of the credit facilities or the second mortgage notes.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Intercreditor Arrangements Also Applicable to Refinancing</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project lenders intercreditor agreement provides that the intercreditor arrangements described above also shall apply to any replacement debt arising as a consequence of refinancing of the credit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FF&amp;E Intercreditor Agreement</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 following summary of the material provisions of the FF&amp;E intercreditor agreement is not meant to be complete and you should review the FF&amp;E intercreditor agreement for a complete statement of its terms and conditions, including the definitions of terms used below. The FF&amp;E intercreditor agreement focuses in particular on the exercise of remedies in respect of the furniture, fixtures, equipment and aircraft financed under the FF&amp;E facility, referred to as the FF&amp;E collateral, and includes the following material provisions: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Lien Priorities.</w:t>
      </w:r>
    </w:p>
    <w:p>
      <w:pPr>
        <w:spacing w:after="0" w:line="227"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42" w:lineRule="exact"/>
        <w:rPr>
          <w:sz w:val="20"/>
          <w:szCs w:val="20"/>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FF&amp;E lenders will have a senior, first priority security interest in the FF&amp;E collateral, including the aircraft collateral;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credit facilities will have a second priority security interest in the FF&amp;E collateral excluding the aircraft collateral;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mortgage note holders will have a third priority security interest in the FF&amp;E collateral excluding the aircraft collateral;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80" w:hanging="532"/>
        <w:spacing w:after="0" w:line="275"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credit facilities and the second mortgage note holders shall have a first and second priority liens, respectively, upon all other assets pledged by us and the restricted entities;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FF&amp;E lenders shall not have a lien upon any of our assets or the assets of the restricted entities other than the FF&amp;E collateral.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each party has agreed not to challenge the other's liens.</w:t>
      </w:r>
    </w:p>
    <w:p>
      <w:pPr>
        <w:sectPr>
          <w:pgSz w:w="11900" w:h="16838" w:orient="portrait"/>
          <w:cols w:equalWidth="0" w:num="1">
            <w:col w:w="11400"/>
          </w:cols>
          <w:pgMar w:left="240" w:top="125" w:right="25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Standstill Period.</w:t>
      </w:r>
    </w:p>
    <w:p>
      <w:pPr>
        <w:sectPr>
          <w:pgSz w:w="11900" w:h="16838" w:orient="portrait"/>
          <w:cols w:equalWidth="0" w:num="1">
            <w:col w:w="11400"/>
          </w:cols>
          <w:pgMar w:left="240" w:top="125" w:right="259" w:bottom="0" w:gutter="0" w:footer="0" w:header="0"/>
          <w:type w:val="continuous"/>
        </w:sectPr>
      </w:pPr>
    </w:p>
    <w:bookmarkStart w:id="131" w:name="page132"/>
    <w:bookmarkEnd w:id="131"/>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before completion of Le Rêve, so long as all interest, fees, indemnities and expenses of the FF&amp;E lenders have been paid current.</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Subject to certain limitations, exceptions and exclusions, 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 Vegas, Wynn Capital and the FF&amp;E collateral if a bankruptcy proceeding has been initiated by or against against Wynn Las Vegas, Wynn Capital or the guarantors.</w:t>
      </w:r>
    </w:p>
    <w:p>
      <w:pPr>
        <w:spacing w:after="0" w:line="193"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Payoff of Debt Allocable to FF&amp;E Collateral and Release of FF&amp;E Lenders Lien on FF&amp;E Collateral.</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Relating to Junior Liens on FF&amp;E Collateral.</w:t>
      </w:r>
    </w:p>
    <w:p>
      <w:pPr>
        <w:spacing w:after="0" w:line="227"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The FF&amp;E intercreditor agreement includes the following provisions which apply to the liens of the lenders under the credit facilities and the second mortgage note holders on the FF&amp;E collateral:</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Until and unless the indebtedness under the FF&amp;E facility (other than the portion thereof allocable to the aircraft collateral) is paid in full as described under the subheading "Payoff of Debt Allocable to FF&amp;E Collateral and Release of FF&amp;E Lenders Lien on FF&amp;E Collateral"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3"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pacing w:after="0" w:line="200" w:lineRule="exact"/>
        <w:rPr>
          <w:sz w:val="20"/>
          <w:szCs w:val="20"/>
          <w:color w:val="auto"/>
        </w:rPr>
      </w:pPr>
    </w:p>
    <w:p>
      <w:pPr>
        <w:ind w:left="1080" w:hanging="532"/>
        <w:spacing w:after="0"/>
        <w:tabs>
          <w:tab w:leader="none" w:pos="108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enforce remedies with respect to the FF&amp;E collateral if the default occurs when there is no outstanding indebtedness under the FF&amp;E facility;</w:t>
      </w:r>
    </w:p>
    <w:p>
      <w:pPr>
        <w:spacing w:after="0" w:line="275"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199"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off the outstanding FF&amp;E indebtedness as provided under the subheading Payoff of Debt Allocable to FF&amp;E Collateral and Release of FF&amp;E Lenders Lien on FF&amp;E Collateral above;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the indebtedness under the credit facilities or second mortgage notes, as the case may be; and</w:t>
      </w:r>
    </w:p>
    <w:p>
      <w:pPr>
        <w:spacing w:after="0" w:line="252"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commence an involuntary bankruptcy proceeding with respect to Wynn Las Vegas, Wynn Capital and/or any of the guarantors of the credit facilities or second mortgage notes, as the case may be.</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87" w:lineRule="exact"/>
        <w:rPr>
          <w:sz w:val="20"/>
          <w:szCs w:val="20"/>
          <w:color w:val="auto"/>
        </w:rPr>
      </w:pPr>
    </w:p>
    <w:p>
      <w:pPr>
        <w:ind w:left="1080" w:right="100" w:hanging="532"/>
        <w:spacing w:after="0" w:line="275"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187"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opposing or otherwise contesting any motion of the FF&amp;E lenders for relief from the automatic stay or any injunction against foreclosure or enforcement of any liens of the FF&amp;E lenders; or</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opposing or otherwise contesting any exercise by the FF&amp;E lenders of the right to credit bid any portion of the FF&amp;E facility debt at any sale in foreclosure of any of the liens of the FF&amp;E lenders.</w:t>
      </w:r>
    </w:p>
    <w:p>
      <w:pPr>
        <w:sectPr>
          <w:pgSz w:w="11900" w:h="16838" w:orient="portrait"/>
          <w:cols w:equalWidth="0" w:num="1">
            <w:col w:w="11420"/>
          </w:cols>
          <w:pgMar w:left="240" w:top="125" w:right="239" w:bottom="447"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47" w:gutter="0" w:footer="0" w:header="0"/>
          <w:type w:val="continuous"/>
        </w:sectPr>
      </w:pPr>
    </w:p>
    <w:bookmarkStart w:id="132" w:name="page133"/>
    <w:bookmarkEnd w:id="132"/>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pacing w:after="0" w:line="186"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Under the FF&amp;E intercreditor agreement, each of the bank agent and the trustee waive each of the following with respect to their junior liens on the FF&amp;E collateral:</w:t>
      </w:r>
    </w:p>
    <w:p>
      <w:pPr>
        <w:spacing w:after="0" w:line="187" w:lineRule="exact"/>
        <w:rPr>
          <w:sz w:val="20"/>
          <w:szCs w:val="20"/>
          <w:color w:val="auto"/>
        </w:rPr>
      </w:pPr>
    </w:p>
    <w:p>
      <w:pPr>
        <w:ind w:left="1080" w:hanging="532"/>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marshaling accorded to a junior lienholder, as against a senior lienholder, under equitable principles;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60" w:hanging="532"/>
        <w:spacing w:after="0" w:line="262" w:lineRule="auto"/>
        <w:tabs>
          <w:tab w:leader="none" w:pos="16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199" w:lineRule="exact"/>
        <w:rPr>
          <w:rFonts w:ascii="Times New Roman" w:cs="Times New Roman" w:eastAsia="Times New Roman" w:hAnsi="Times New Roman"/>
          <w:sz w:val="18"/>
          <w:szCs w:val="18"/>
          <w:color w:val="auto"/>
        </w:rPr>
      </w:pPr>
    </w:p>
    <w:p>
      <w:pPr>
        <w:ind w:left="1620" w:right="80" w:hanging="532"/>
        <w:spacing w:after="0" w:line="275" w:lineRule="auto"/>
        <w:tabs>
          <w:tab w:leader="none" w:pos="16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manner, place or terms of any payment under the FF&amp;E facility, or an extension of the date on which any such payment is due;</w:t>
      </w:r>
    </w:p>
    <w:p>
      <w:pPr>
        <w:spacing w:after="0" w:line="200" w:lineRule="exact"/>
        <w:rPr>
          <w:rFonts w:ascii="Times New Roman" w:cs="Times New Roman" w:eastAsia="Times New Roman" w:hAnsi="Times New Roman"/>
          <w:sz w:val="18"/>
          <w:szCs w:val="18"/>
          <w:color w:val="auto"/>
        </w:rPr>
      </w:pPr>
    </w:p>
    <w:p>
      <w:pPr>
        <w:ind w:left="1620" w:right="20" w:hanging="532"/>
        <w:spacing w:after="0" w:line="262" w:lineRule="auto"/>
        <w:tabs>
          <w:tab w:leader="none" w:pos="16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reduction in the available credit under the FF&amp;E facility or the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199"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take any action which may be necessary or appropriate in order to enforce or perfect any such lien; 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rights or remedies by the FF&amp;E lenders under any FF&amp;E security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1080" w:right="60" w:hanging="532"/>
        <w:spacing w:after="0" w:line="339" w:lineRule="auto"/>
        <w:tabs>
          <w:tab w:leader="none" w:pos="108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28"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 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with Foreclosure Purchaser.</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 proceeding and the expiration of certain specified time periods, pending such removal by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 FF&amp;E intercreditor agreement provides that such actions are not intended to prevent the lenders under our credit facilities or the second mortgage note holders from foreclosing on their collateral, other than the FF&amp;E collateral.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Proceeds.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86"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If we are not permitted to use the proceeds for rebuilding (whether before or after completion), then the FF&amp;E intercreditor agreement will require that the proceeds be allocated between the FF&amp;E collateral and the other collateral securing the credit facilities and the second mortgage notes as follows:</w:t>
      </w:r>
    </w:p>
    <w:p>
      <w:pPr>
        <w:spacing w:after="0" w:line="187" w:lineRule="exact"/>
        <w:rPr>
          <w:sz w:val="20"/>
          <w:szCs w:val="20"/>
          <w:color w:val="auto"/>
        </w:rPr>
      </w:pPr>
    </w:p>
    <w:p>
      <w:pPr>
        <w:ind w:left="1080" w:right="500" w:hanging="532"/>
        <w:spacing w:after="0" w:line="262"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199"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amounts so allocated shall be applied to reduce the indebtedness secured by such collateral, in order of priority.</w:t>
      </w:r>
    </w:p>
    <w:p>
      <w:pPr>
        <w:sectPr>
          <w:pgSz w:w="11900" w:h="16838" w:orient="portrait"/>
          <w:cols w:equalWidth="0" w:num="1">
            <w:col w:w="11380"/>
          </w:cols>
          <w:pgMar w:left="240" w:top="125" w:right="279" w:bottom="44"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Right to Remove FF&amp;E Collateral.</w:t>
      </w:r>
    </w:p>
    <w:p>
      <w:pPr>
        <w:sectPr>
          <w:pgSz w:w="11900" w:h="16838" w:orient="portrait"/>
          <w:cols w:equalWidth="0" w:num="1">
            <w:col w:w="11380"/>
          </w:cols>
          <w:pgMar w:left="240" w:top="125" w:right="279" w:bottom="44" w:gutter="0" w:footer="0" w:header="0"/>
          <w:type w:val="continuous"/>
        </w:sectPr>
      </w:pPr>
    </w:p>
    <w:bookmarkStart w:id="133" w:name="page134"/>
    <w:bookmarkEnd w:id="133"/>
    <w:p>
      <w:pPr>
        <w:spacing w:after="0" w:line="105"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87" w:lineRule="exact"/>
        <w:rPr>
          <w:sz w:val="20"/>
          <w:szCs w:val="20"/>
          <w:color w:val="auto"/>
        </w:rPr>
      </w:pPr>
    </w:p>
    <w:p>
      <w:pPr>
        <w:ind w:left="1080" w:hanging="532"/>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the project's real property, inspect and/or remove the FF&amp;E collateral and all records relating thereto;</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right to store the FF&amp;E collateral on site under certain circumstances and subject to certain exceptions.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Regarding Company.</w:t>
      </w:r>
    </w:p>
    <w:p>
      <w:pPr>
        <w:spacing w:after="0" w:line="227"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 or the trustee shall have any responsibility to advise any of the others (or the members of the others' lending groups) of such information or circumstances.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Intercreditor Arrangements Also Applicable to Refinancing.</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Wynn Capital and Wynn Design and Development will enter into a disbursement agreement with Deutsche Bank Trust Company</w:t>
      </w:r>
    </w:p>
    <w:p>
      <w:pPr>
        <w:spacing w:after="0" w:line="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Americas, as the bank agent, [ ], as the trustee, Wells Fargo Bank Northwest, National Association, as the FF&amp;E agent, and Deutsche Bank Trust Company Americas, as the disbursement agent. You should review the disbursement agreement for a complete statement of its terms and conditions.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140" w:firstLine="348"/>
        <w:spacing w:after="0" w:line="254" w:lineRule="auto"/>
        <w:rPr>
          <w:sz w:val="20"/>
          <w:szCs w:val="20"/>
          <w:color w:val="auto"/>
        </w:rPr>
      </w:pPr>
      <w:r>
        <w:rPr>
          <w:rFonts w:ascii="Times New Roman" w:cs="Times New Roman" w:eastAsia="Times New Roman" w:hAnsi="Times New Roman"/>
          <w:sz w:val="18"/>
          <w:szCs w:val="18"/>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agent to make disbursements under the credit facilities and the FF&amp;E facility and the obligation of the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9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Under the disbursement agreement, we will only be permitted to use the proceeds of the credit facilities, the FF&amp;E facility and the second mortgage notes to pay for project costs in the budget.</w:t>
      </w:r>
    </w:p>
    <w:p>
      <w:pPr>
        <w:spacing w:after="0" w:line="174"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expect to commence construction of Le Rêve in September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 offering of common stock, and our other available funds, to commence construction of Le Rêve. Pursuant to the disbursement agreement, as a condition to borrowing under the credit facilities or the FF&amp;E facility or receiving disbursements from the secured accounts, we will be required to submit evidence acceptable to the construction consultant that the construction of Le Rêve has been completed to that point in accordance with our plans and specifications, on budget and on schedule.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Funding Order</w:t>
      </w:r>
    </w:p>
    <w:p>
      <w:pPr>
        <w:spacing w:after="0" w:line="227" w:lineRule="exact"/>
        <w:rPr>
          <w:sz w:val="20"/>
          <w:szCs w:val="20"/>
          <w:color w:val="auto"/>
        </w:rPr>
      </w:pPr>
    </w:p>
    <w:p>
      <w:pPr>
        <w:ind w:right="940" w:firstLine="348"/>
        <w:spacing w:after="0" w:line="275" w:lineRule="auto"/>
        <w:rPr>
          <w:sz w:val="20"/>
          <w:szCs w:val="20"/>
          <w:color w:val="auto"/>
        </w:rPr>
      </w:pPr>
      <w:r>
        <w:rPr>
          <w:rFonts w:ascii="Times New Roman" w:cs="Times New Roman" w:eastAsia="Times New Roman" w:hAnsi="Times New Roman"/>
          <w:sz w:val="18"/>
          <w:szCs w:val="18"/>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87" w:lineRule="exact"/>
        <w:rPr>
          <w:sz w:val="20"/>
          <w:szCs w:val="20"/>
          <w:color w:val="auto"/>
        </w:rPr>
      </w:pPr>
    </w:p>
    <w:p>
      <w:pPr>
        <w:ind w:left="1080" w:hanging="532"/>
        <w:spacing w:after="0"/>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using a substantial portion of the cash equity contribution made to Wynn Las Vegas by Wynn Resorts, until exhaustion thereof;</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using the proceeds from the issuance of the second mortgage notes, until exhaustion thereof;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by using the proceeds of the credit facilities and the FF&amp;E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339" w:lineRule="auto"/>
        <w:rPr>
          <w:sz w:val="20"/>
          <w:szCs w:val="20"/>
          <w:color w:val="auto"/>
        </w:rPr>
      </w:pPr>
      <w:r>
        <w:rPr>
          <w:rFonts w:ascii="Times New Roman" w:cs="Times New Roman" w:eastAsia="Times New Roman" w:hAnsi="Times New Roman"/>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selected by the lenders under our FF&amp;E facility,</w:t>
      </w:r>
    </w:p>
    <w:p>
      <w:pPr>
        <w:sectPr>
          <w:pgSz w:w="11900" w:h="16944" w:orient="portrait"/>
          <w:cols w:equalWidth="0" w:num="1">
            <w:col w:w="11420"/>
          </w:cols>
          <w:pgMar w:left="240" w:top="125" w:right="239" w:bottom="0" w:gutter="0" w:footer="0" w:header="0"/>
        </w:sectPr>
      </w:pPr>
    </w:p>
    <w:bookmarkStart w:id="134" w:name="page135"/>
    <w:bookmarkEnd w:id="134"/>
    <w:p>
      <w:pPr>
        <w:ind w:right="20"/>
        <w:spacing w:after="0" w:line="253" w:lineRule="auto"/>
        <w:rPr>
          <w:sz w:val="20"/>
          <w:szCs w:val="20"/>
          <w:color w:val="auto"/>
        </w:rPr>
      </w:pPr>
      <w:r>
        <w:rPr>
          <w:rFonts w:ascii="Times New Roman" w:cs="Times New Roman" w:eastAsia="Times New Roman" w:hAnsi="Times New Roman"/>
          <w:sz w:val="18"/>
          <w:szCs w:val="18"/>
          <w:color w:val="auto"/>
        </w:rPr>
        <w:t>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pacing w:after="0" w:line="195"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Immediately prior to completion of the project, the agent under our FF&amp;E facility shall obtain an appraisal of the fair market value of the FF&amp;E collateral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Accounts</w:t>
      </w:r>
    </w:p>
    <w:p>
      <w:pPr>
        <w:spacing w:after="0" w:line="227" w:lineRule="exact"/>
        <w:rPr>
          <w:sz w:val="20"/>
          <w:szCs w:val="20"/>
          <w:color w:val="auto"/>
        </w:rPr>
      </w:pPr>
    </w:p>
    <w:p>
      <w:pPr>
        <w:jc w:val="both"/>
        <w:ind w:right="380" w:firstLine="351"/>
        <w:spacing w:after="0" w:line="262" w:lineRule="auto"/>
        <w:rPr>
          <w:sz w:val="20"/>
          <w:szCs w:val="20"/>
          <w:color w:val="auto"/>
        </w:rPr>
      </w:pPr>
      <w:r>
        <w:rPr>
          <w:rFonts w:ascii="Times New Roman" w:cs="Times New Roman" w:eastAsia="Times New Roman" w:hAnsi="Times New Roman"/>
          <w:sz w:val="18"/>
          <w:szCs w:val="18"/>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Such accounts will include the following:</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Company's Funds Account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shall be deposited into the company's funds account, among other things:</w:t>
      </w:r>
    </w:p>
    <w:p>
      <w:pPr>
        <w:spacing w:after="0" w:line="239" w:lineRule="exact"/>
        <w:rPr>
          <w:sz w:val="20"/>
          <w:szCs w:val="20"/>
          <w:color w:val="auto"/>
        </w:rPr>
      </w:pPr>
    </w:p>
    <w:p>
      <w:pPr>
        <w:ind w:left="1080" w:hanging="532"/>
        <w:spacing w:after="0"/>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equity contributions required to be made to Wynn Las Vegas from the equity offering of Wynn Resorts,</w:t>
      </w:r>
    </w:p>
    <w:p>
      <w:pPr>
        <w:spacing w:after="0" w:line="252"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transferred from the operating account, the completion guarantee deposit account and the liquidity reserve account pursuant to the terms of the disbursement agreement,</w:t>
      </w:r>
    </w:p>
    <w:p>
      <w:pPr>
        <w:spacing w:after="0" w:line="18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received by Wynn Las Vegas or Wynn Capital prior to the final completion date in respect of liquidated or other damages under the project documents and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insurance policies, amounts paid to Wynn Las Vegas under the Austi construction guaranty and any payment and performance bond;</w:t>
      </w:r>
    </w:p>
    <w:p>
      <w:pPr>
        <w:spacing w:after="0" w:line="239" w:lineRule="exact"/>
        <w:rPr>
          <w:sz w:val="20"/>
          <w:szCs w:val="20"/>
          <w:color w:val="auto"/>
        </w:rPr>
      </w:pPr>
    </w:p>
    <w:p>
      <w:pPr>
        <w:ind w:left="1080" w:right="420" w:hanging="532"/>
        <w:spacing w:after="0" w:line="258" w:lineRule="auto"/>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loss proceeds received by Wynn Las Vegas, Wynn Capital,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1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funds or amounts received by Wynn Las Vegas or Wynn Capital and not otherwise provided for in the disbursement agreement, in each case, prior to final completion of Le Rêve.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640" w:hanging="532"/>
        <w:spacing w:after="0" w:line="275" w:lineRule="auto"/>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transferred by the disbursement agent to disbursement account for application to pay project costs in accordance with the disbursement agreement,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to prepayment of the obligations as set forth in the disbursement agreement,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Second Mortgage Notes Proceeds Account</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Disbursement Account</w:t>
      </w:r>
    </w:p>
    <w:p>
      <w:pPr>
        <w:spacing w:after="0" w:line="227" w:lineRule="exact"/>
        <w:rPr>
          <w:sz w:val="20"/>
          <w:szCs w:val="20"/>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w:t>
      </w:r>
    </w:p>
    <w:p>
      <w:pPr>
        <w:sectPr>
          <w:pgSz w:w="11900" w:h="16838" w:orient="portrait"/>
          <w:cols w:equalWidth="0" w:num="1">
            <w:col w:w="11420"/>
          </w:cols>
          <w:pgMar w:left="240" w:top="125" w:right="239" w:bottom="0" w:gutter="0" w:footer="0" w:header="0"/>
        </w:sectPr>
      </w:pPr>
    </w:p>
    <w:bookmarkStart w:id="135" w:name="page136"/>
    <w:bookmarkEnd w:id="135"/>
    <w:p>
      <w:pPr>
        <w:ind w:right="960"/>
        <w:spacing w:after="0" w:line="275" w:lineRule="auto"/>
        <w:rPr>
          <w:sz w:val="20"/>
          <w:szCs w:val="20"/>
          <w:color w:val="auto"/>
        </w:rPr>
      </w:pPr>
      <w:r>
        <w:rPr>
          <w:rFonts w:ascii="Times New Roman" w:cs="Times New Roman" w:eastAsia="Times New Roman" w:hAnsi="Times New Roman"/>
          <w:sz w:val="18"/>
          <w:szCs w:val="18"/>
          <w:color w:val="auto"/>
        </w:rPr>
        <w:t>account. Subject to certain exceptions, amounts on deposit in the disbursement account shall be applied to pay project costs and/or transferred by the disbursement agent to the cash management account or the interest payment account.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Cash Management Account</w:t>
      </w:r>
    </w:p>
    <w:p>
      <w:pPr>
        <w:spacing w:after="0" w:line="227"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On the closing date, an agreed upon amount shall be deposited into the cash management account. Subject to certain exceptions, Wynn Las Vegas and Wynn Capital shall be permitted from time to time to draw checks on and otherwise withdraw amounts on deposit in the cash management account to pay costs set forth in the budget that are then due and payable. Wynn Las Vegas and Wynn Capital shall be permitted from time to time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Wynn Design and Development and the disbursement agent (in consultation with the construction consultant).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Interest Payment Account</w:t>
      </w:r>
    </w:p>
    <w:p>
      <w:pPr>
        <w:spacing w:after="0" w:line="227" w:lineRule="exact"/>
        <w:rPr>
          <w:sz w:val="20"/>
          <w:szCs w:val="20"/>
          <w:color w:val="auto"/>
        </w:rPr>
      </w:pPr>
    </w:p>
    <w:p>
      <w:pPr>
        <w:ind w:right="80" w:firstLine="351"/>
        <w:spacing w:after="0" w:line="301" w:lineRule="auto"/>
        <w:rPr>
          <w:sz w:val="20"/>
          <w:szCs w:val="20"/>
          <w:color w:val="auto"/>
        </w:rPr>
      </w:pPr>
      <w:r>
        <w:rPr>
          <w:rFonts w:ascii="Times New Roman" w:cs="Times New Roman" w:eastAsia="Times New Roman" w:hAnsi="Times New Roman"/>
          <w:sz w:val="16"/>
          <w:szCs w:val="16"/>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Operating Account</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There shall be deposited in the operating account all revenues received by Wynn Las Vegas, Wynn Capital or Wynn Design and Development as a consequence of sales of goods or rendering of services in the ordinary course of business prior to the completion date. In addition, there shall be deposited in the operating account funds transferred from the company's funds account to pay operating costs prior the completion date. Subject to the disbursement agent's rights upon the occurrence of an event of default, Wynn Las Vegas, Wynn Capital and Wynn Design and Development shall be permitted from time to time to draw checks on and otherwise withdraw amounts on deposit in the operating account to pay due and payable operating costs. Until the opening date, if the amounts on deposit in the operating account exceed $100,000, such excess shall be withdrawn and deposited in the company's funds account. The foregoing limit on amounts on deposit in the operating account shall be increased upon opening to an amount mutually agreed upon by Wynn Capital, Wynn Las Vegas, Wynn Design and Development and the disbursement agent.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Completion Guarantee Deposit Account</w:t>
      </w:r>
    </w:p>
    <w:p>
      <w:pPr>
        <w:spacing w:after="0" w:line="227" w:lineRule="exact"/>
        <w:rPr>
          <w:sz w:val="20"/>
          <w:szCs w:val="20"/>
          <w:color w:val="auto"/>
        </w:rPr>
      </w:pPr>
    </w:p>
    <w:p>
      <w:pPr>
        <w:ind w:right="20" w:firstLine="341"/>
        <w:spacing w:after="0" w:line="291" w:lineRule="auto"/>
        <w:rPr>
          <w:sz w:val="20"/>
          <w:szCs w:val="20"/>
          <w:color w:val="auto"/>
        </w:rPr>
      </w:pPr>
      <w:r>
        <w:rPr>
          <w:rFonts w:ascii="Times New Roman" w:cs="Times New Roman" w:eastAsia="Times New Roman" w:hAnsi="Times New Roman"/>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Liquidity Reserve Account</w:t>
      </w:r>
    </w:p>
    <w:p>
      <w:pPr>
        <w:spacing w:after="0" w:line="227"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 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Once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Funding Conditions</w:t>
      </w:r>
    </w:p>
    <w:p>
      <w:pPr>
        <w:spacing w:after="0" w:line="227"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From the initial funding of the second mortgage notes and until final completion has been achieved, we will be required to satisfy conditions precedent before we are permitted to receive funds from the disbursement accounts. These conditions will include, among others:</w:t>
      </w:r>
    </w:p>
    <w:p>
      <w:pPr>
        <w:spacing w:after="0" w:line="187" w:lineRule="exact"/>
        <w:rPr>
          <w:sz w:val="20"/>
          <w:szCs w:val="20"/>
          <w:color w:val="auto"/>
        </w:rPr>
      </w:pPr>
    </w:p>
    <w:p>
      <w:pPr>
        <w:ind w:left="1080" w:hanging="532"/>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a disbursement request and certificate certifying as to, among other things: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0" w:gutter="0" w:footer="0" w:header="0"/>
          <w:type w:val="continuous"/>
        </w:sectPr>
      </w:pPr>
    </w:p>
    <w:bookmarkStart w:id="136" w:name="page137"/>
    <w:bookmarkEnd w:id="136"/>
    <w:p>
      <w:pPr>
        <w:ind w:left="1620"/>
        <w:spacing w:after="0"/>
        <w:rPr>
          <w:sz w:val="20"/>
          <w:szCs w:val="20"/>
          <w:color w:val="auto"/>
        </w:rPr>
      </w:pPr>
      <w:r>
        <w:rPr>
          <w:rFonts w:ascii="Times New Roman" w:cs="Times New Roman" w:eastAsia="Times New Roman" w:hAnsi="Times New Roman"/>
          <w:sz w:val="18"/>
          <w:szCs w:val="18"/>
          <w:color w:val="auto"/>
        </w:rPr>
        <w:t>the application of the funds to be disbursed,</w:t>
      </w:r>
    </w:p>
    <w:p>
      <w:pPr>
        <w:spacing w:after="0" w:line="239" w:lineRule="exact"/>
        <w:rPr>
          <w:sz w:val="20"/>
          <w:szCs w:val="20"/>
          <w:color w:val="auto"/>
        </w:rPr>
      </w:pPr>
    </w:p>
    <w:p>
      <w:pPr>
        <w:ind w:left="1620" w:right="720" w:hanging="532"/>
        <w:spacing w:after="0" w:line="275" w:lineRule="auto"/>
        <w:tabs>
          <w:tab w:leader="none" w:pos="1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conformity of construction undertaken to date with the plans and specifications, as amended from time to time in accordance with the disbursement agreement,</w:t>
      </w:r>
    </w:p>
    <w:p>
      <w:pPr>
        <w:spacing w:after="0" w:line="200" w:lineRule="exact"/>
        <w:rPr>
          <w:rFonts w:ascii="Times New Roman" w:cs="Times New Roman" w:eastAsia="Times New Roman" w:hAnsi="Times New Roman"/>
          <w:sz w:val="18"/>
          <w:szCs w:val="18"/>
          <w:color w:val="auto"/>
        </w:rPr>
      </w:pPr>
    </w:p>
    <w:p>
      <w:pPr>
        <w:ind w:left="1620" w:right="600" w:hanging="532"/>
        <w:spacing w:after="0" w:line="275" w:lineRule="auto"/>
        <w:tabs>
          <w:tab w:leader="none" w:pos="1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expectation that the construction of Le Rêve will be completed by August 31, 2005, subject to the limited permitted extensions due to force majeure events,</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funds in accordance with the budgeted amounts, as adjusted from time to time in accordance with the disbursement agreement,</w:t>
      </w:r>
    </w:p>
    <w:p>
      <w:pPr>
        <w:spacing w:after="0" w:line="261" w:lineRule="exact"/>
        <w:rPr>
          <w:rFonts w:ascii="Times New Roman" w:cs="Times New Roman" w:eastAsia="Times New Roman" w:hAnsi="Times New Roman"/>
          <w:sz w:val="16"/>
          <w:szCs w:val="16"/>
          <w:color w:val="auto"/>
        </w:rPr>
      </w:pPr>
    </w:p>
    <w:p>
      <w:pPr>
        <w:ind w:left="1620" w:right="80" w:hanging="532"/>
        <w:spacing w:after="0" w:line="275" w:lineRule="auto"/>
        <w:tabs>
          <w:tab w:leader="none" w:pos="1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remaining funds (net of the completion guarantee and liquidity reserve and required contingency amounts) to complete Le Rêve, and</w:t>
      </w:r>
    </w:p>
    <w:p>
      <w:pPr>
        <w:spacing w:after="0" w:line="200"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560" w:hanging="532"/>
        <w:spacing w:after="0" w:line="275"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the construction consultant and the contractors and subcontractors of certificates corroborating various matters set forth in our disbursement request and certificate;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default or event of default under the credit facilities, the FF&amp;E facility and the second mortgage notes documents;</w:t>
      </w:r>
    </w:p>
    <w:p>
      <w:pPr>
        <w:spacing w:after="0" w:line="252"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credit documentation and each other material agreement for the development and construction of the project being in full force and effect;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being true and correct in all material respects;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the governmental approvals then required;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to the disbursement agent of the acknowledgments of payment and lien releases required under the disbursement agreement;</w:t>
      </w:r>
    </w:p>
    <w:p>
      <w:pPr>
        <w:spacing w:after="0" w:line="238"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of all required title insurance policies, commitments and endorsements insuring that the project continues to be subject only to permitted liens;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or circumstance (including an adverse gaming determination) that has caused or could reasonably be expected to cause a material adverse effect.</w:t>
      </w:r>
    </w:p>
    <w:p>
      <w:pPr>
        <w:spacing w:after="0" w:line="200" w:lineRule="exact"/>
        <w:rPr>
          <w:rFonts w:ascii="Times New Roman" w:cs="Times New Roman" w:eastAsia="Times New Roman" w:hAnsi="Times New Roman"/>
          <w:sz w:val="18"/>
          <w:szCs w:val="18"/>
          <w:color w:val="auto"/>
        </w:rPr>
      </w:pPr>
    </w:p>
    <w:p>
      <w:pPr>
        <w:ind w:left="1080" w:right="100" w:hanging="532"/>
        <w:spacing w:after="0" w:line="339" w:lineRule="auto"/>
        <w:tabs>
          <w:tab w:leader="none" w:pos="108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Resorts and its principal stockholders must maintain in full force and effect the existing arrangements among the stockholders to facilitate obtaining the gaming license for the Le Reve project in the event that one of our major stockholders is unable to qualify for such license;</w:t>
      </w:r>
    </w:p>
    <w:p>
      <w:pPr>
        <w:spacing w:after="0" w:line="141" w:lineRule="exact"/>
        <w:rPr>
          <w:rFonts w:ascii="Times New Roman" w:cs="Times New Roman" w:eastAsia="Times New Roman" w:hAnsi="Times New Roman"/>
          <w:sz w:val="16"/>
          <w:szCs w:val="16"/>
          <w:color w:val="auto"/>
        </w:rPr>
      </w:pPr>
    </w:p>
    <w:p>
      <w:pPr>
        <w:jc w:val="both"/>
        <w:ind w:left="1080" w:right="100" w:hanging="532"/>
        <w:spacing w:after="0" w:line="339" w:lineRule="auto"/>
        <w:tabs>
          <w:tab w:leader="none" w:pos="108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155"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7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From the initial funding of the second mortgage notes through exhaustion of the amounts on deposit in the second mortgage notes proceeds account,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the bank agent (acting under the credit facilities agreement) shall be entitled to waive the conditions precedent to advances under the disbursement agreement with respect to advances under the credit facilities and from the company's funds account without the trustee's or the FF&amp;E agent's consent. The FF&amp;E agent (acting under the FF&amp;E facility agreement) shall at all times be entitled to waive the conditions precedent to advances under the disbursement agreement with respect to advances under the FF&amp;E facility without the bank agent's or the trustee's consent.</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Changes to Construction Budget and Schedule</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disbursement agreement will contain guidelines for the construction consultant and the disbursement agent to permit amendments to the budget and the plans and</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These conditions will generally be the same as conditions to disbursement that relate to the project and the budget.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savings in a different category;</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previously "unallocated contingency," subject to a specified minimum balance required, from time to time, to be maintained in the "unallocated contingency" line item; and</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340"/>
          </w:cols>
          <w:pgMar w:left="240" w:top="125" w:right="319" w:bottom="0" w:gutter="0" w:footer="0" w:header="0"/>
        </w:sectPr>
      </w:pPr>
    </w:p>
    <w:bookmarkStart w:id="137" w:name="page138"/>
    <w:bookmarkEnd w:id="137"/>
    <w:p>
      <w:pPr>
        <w:ind w:left="1080" w:right="480"/>
        <w:spacing w:after="0" w:line="275" w:lineRule="auto"/>
        <w:rPr>
          <w:sz w:val="20"/>
          <w:szCs w:val="20"/>
          <w:color w:val="auto"/>
        </w:rPr>
      </w:pPr>
      <w:r>
        <w:rPr>
          <w:rFonts w:ascii="Times New Roman" w:cs="Times New Roman" w:eastAsia="Times New Roman" w:hAnsi="Times New Roman"/>
          <w:sz w:val="18"/>
          <w:szCs w:val="18"/>
          <w:color w:val="auto"/>
        </w:rPr>
        <w:t>use of additional Le Rêve revenues or additional company equity and other amounts, to the extent deposited in the appropriate disbursement agreement accounts.</w:t>
      </w:r>
    </w:p>
    <w:p>
      <w:pPr>
        <w:spacing w:after="0" w:line="174"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disbursement agreement contains various affirmative covenants that we are obligated to comply with. Such covenants include the following:</w:t>
      </w:r>
    </w:p>
    <w:p>
      <w:pPr>
        <w:spacing w:after="0" w:line="239" w:lineRule="exact"/>
        <w:rPr>
          <w:sz w:val="20"/>
          <w:szCs w:val="20"/>
          <w:color w:val="auto"/>
        </w:rPr>
      </w:pPr>
    </w:p>
    <w:p>
      <w:pPr>
        <w:ind w:left="1080" w:hanging="532"/>
        <w:spacing w:after="0" w:line="275"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proceeds of the credit facilities, the FF&amp;E facility and the second mortgage notes only to pay project costs in accordance with the budget and the disbursement agreement;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indebtedness in accordance with its terms;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our existence and engage only in the business permitted by the disbursement agreement;</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construct Le Rêve diligently and substantially in accordance with the plans and specifications (as the same may be amended from time to time in accordance with the disbursement agreement);</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mortgage note trustee to inspect the project and to examine our books and records;</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to be deposited into the company's funds account all additional required equity as and when required;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certain unincorporated materials to be stored and identified in accordance with specific requirements;</w:t>
      </w:r>
    </w:p>
    <w:p>
      <w:pPr>
        <w:spacing w:after="0" w:line="252" w:lineRule="exact"/>
        <w:rPr>
          <w:rFonts w:ascii="Times New Roman" w:cs="Times New Roman" w:eastAsia="Times New Roman" w:hAnsi="Times New Roman"/>
          <w:sz w:val="18"/>
          <w:szCs w:val="18"/>
          <w:color w:val="auto"/>
        </w:rPr>
      </w:pPr>
    </w:p>
    <w:p>
      <w:pPr>
        <w:ind w:left="1080" w:right="160" w:hanging="532"/>
        <w:spacing w:after="0" w:line="339" w:lineRule="auto"/>
        <w:tabs>
          <w:tab w:leader="none" w:pos="108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cause each contractor to cause its subcontractors working under a subcontract with a value more than the lesser of 5% of the total construction price and $25.0 million in aggregate fees to provide a payment and performance bond to secure its obligations under its subcontract;</w:t>
      </w:r>
    </w:p>
    <w:p>
      <w:pPr>
        <w:spacing w:after="0" w:line="141" w:lineRule="exact"/>
        <w:rPr>
          <w:rFonts w:ascii="Times New Roman" w:cs="Times New Roman" w:eastAsia="Times New Roman" w:hAnsi="Times New Roman"/>
          <w:sz w:val="16"/>
          <w:szCs w:val="16"/>
          <w:color w:val="auto"/>
        </w:rPr>
      </w:pPr>
    </w:p>
    <w:p>
      <w:pPr>
        <w:ind w:left="1080" w:right="160" w:hanging="532"/>
        <w:spacing w:after="0" w:line="275" w:lineRule="auto"/>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withhold from each contractor, and require each contractor to withhold from its subcontractors, a retainage equal to 10% of each payment made to that person;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and preserve the liens of the security documents and the priority thereof;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and comply with the required insurance policies.</w:t>
      </w:r>
    </w:p>
    <w:p>
      <w:pPr>
        <w:spacing w:after="0" w:line="225"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disbursement agreement will also require us to comply with negative covenants. These covenants will limit, among other things, the restricted entities' ability to:</w:t>
      </w:r>
    </w:p>
    <w:p>
      <w:pPr>
        <w:spacing w:after="0" w:line="187" w:lineRule="exact"/>
        <w:rPr>
          <w:sz w:val="20"/>
          <w:szCs w:val="20"/>
          <w:color w:val="auto"/>
        </w:rPr>
      </w:pPr>
    </w:p>
    <w:p>
      <w:pPr>
        <w:ind w:left="1080" w:right="240" w:hanging="532"/>
        <w:spacing w:after="0" w:line="275"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terminate any material right under the construction contract guarantee, other material project documents or any required governmental approval;</w:t>
      </w:r>
    </w:p>
    <w:p>
      <w:pPr>
        <w:spacing w:after="0" w:line="200"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99"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amendment to the project budget, unless we comply with the procedures for amending the project budget;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cause the plans and specifications to no longer comply with certain parameters;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delay completion beyond the outside completion date;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permitted by a project document; 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adversely affect our compliance with legal requirements and governmental approvals;</w:t>
      </w:r>
    </w:p>
    <w:p>
      <w:pPr>
        <w:sectPr>
          <w:pgSz w:w="11900" w:h="16838" w:orient="portrait"/>
          <w:cols w:equalWidth="0" w:num="1">
            <w:col w:w="11420"/>
          </w:cols>
          <w:pgMar w:left="240" w:top="125" w:right="239" w:bottom="0" w:gutter="0" w:footer="0" w:header="0"/>
        </w:sectPr>
      </w:pPr>
    </w:p>
    <w:bookmarkStart w:id="138" w:name="page139"/>
    <w:bookmarkEnd w:id="138"/>
    <w:p>
      <w:pPr>
        <w:ind w:left="1080" w:hanging="532"/>
        <w:spacing w:after="0"/>
        <w:tabs>
          <w:tab w:leader="none" w:pos="10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project budget or the project schedule except in accordance with the procedures set forth in the disbursement agreement; or</w:t>
      </w:r>
    </w:p>
    <w:p>
      <w:pPr>
        <w:spacing w:after="0" w:line="252"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hazardous substance in violation of any legal requirement or governmental approval if it could reasonably be expected to have a material adverse effect.</w:t>
      </w:r>
    </w:p>
    <w:p>
      <w:pPr>
        <w:spacing w:after="0" w:line="1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From and after the first funding under the credit facilities, the bank agent, without the consent of the trustee or the lenders under our FF&amp;E facility, shall have the right to agree with Wynn Las Vegas, Wynn Capital and Wynn Design and Development to reduce the scope of the project, so long as after giving effect to the amendment:</w:t>
      </w:r>
    </w:p>
    <w:p>
      <w:pPr>
        <w:spacing w:after="0" w:line="200" w:lineRule="exact"/>
        <w:rPr>
          <w:sz w:val="20"/>
          <w:szCs w:val="20"/>
          <w:color w:val="auto"/>
        </w:rPr>
      </w:pPr>
    </w:p>
    <w:p>
      <w:pPr>
        <w:jc w:val="center"/>
        <w:ind w:left="5580" w:right="1340" w:hanging="5032"/>
        <w:spacing w:after="0" w:line="525" w:lineRule="auto"/>
        <w:tabs>
          <w:tab w:leader="none" w:pos="10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will continue to satisfy certain minimum project standards set forth in the indenture and the FF&amp;E facility agreement; 243</w:t>
      </w:r>
    </w:p>
    <w:p>
      <w:pPr>
        <w:spacing w:after="0" w:line="2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will remain capable of being completed at or before the outside completion deadline;</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funds (net of the completion guarantee and liquidity reserve and a required contingency amount) are sufficient to complete the project on or before the outside completion deadline;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default or event of default exists under the disbursement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Exercise of Remedies on Default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disbursement agreement will provide that each of the following constitutes an "event of default" thereunder:</w:t>
      </w:r>
    </w:p>
    <w:p>
      <w:pPr>
        <w:spacing w:after="0" w:line="239" w:lineRule="exact"/>
        <w:rPr>
          <w:sz w:val="20"/>
          <w:szCs w:val="20"/>
          <w:color w:val="auto"/>
        </w:rPr>
      </w:pPr>
    </w:p>
    <w:p>
      <w:pPr>
        <w:ind w:left="1080" w:hanging="532"/>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default under the credit facilities, the FF&amp;E facility or the indenture;</w:t>
      </w:r>
    </w:p>
    <w:p>
      <w:pPr>
        <w:spacing w:after="0" w:line="25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from time to time, of remaining funds (net of the completion guarantee and liquidity reserve, and a required contingency amount) to be sufficient to complete the project on or before the outside completion deadline, if such failure has not been remedied within 30 days;</w:t>
      </w:r>
    </w:p>
    <w:p>
      <w:pPr>
        <w:spacing w:after="0" w:line="187" w:lineRule="exact"/>
        <w:rPr>
          <w:rFonts w:ascii="Times New Roman" w:cs="Times New Roman" w:eastAsia="Times New Roman" w:hAnsi="Times New Roman"/>
          <w:sz w:val="18"/>
          <w:szCs w:val="18"/>
          <w:color w:val="auto"/>
        </w:rPr>
      </w:pPr>
    </w:p>
    <w:p>
      <w:pPr>
        <w:ind w:left="1080" w:right="86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Wynn Capital or Wynn Design and Development's failure, for 60 consecutive days, to submit an advance request for disbursement of funds which is approved;</w:t>
      </w:r>
    </w:p>
    <w:p>
      <w:pPr>
        <w:spacing w:after="0" w:line="187"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representation or warranty made by us in any operative agreement to have been correct when made or deemed made in any material respect;</w:t>
      </w:r>
    </w:p>
    <w:p>
      <w:pPr>
        <w:spacing w:after="0" w:line="200"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Wynn Las Vegas, Wynn Capital or Wynn Design and Development in its compliance with any affirmative or negative covenant contained in the disbursement agreement, subject to certain cure periods not to exceed 30 days;</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other party thereto of any construction contract, subject to certain cure and substitution rights by Wynn Las Vegas, Wynn Capital or Wynn Design and Development;</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other party thereto of any project document (other than the construction contracts) the effect of which reasonably could be expected to have a material adverse effect,</w:t>
      </w:r>
    </w:p>
    <w:p>
      <w:pPr>
        <w:spacing w:after="0" w:line="17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cure and substitution rights by Wynn Las Vegas, Wynn Capital and Wynn Design and Development;</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pacing w:after="0" w:line="187" w:lineRule="exact"/>
        <w:rPr>
          <w:rFonts w:ascii="Times New Roman" w:cs="Times New Roman" w:eastAsia="Times New Roman" w:hAnsi="Times New Roman"/>
          <w:sz w:val="18"/>
          <w:szCs w:val="18"/>
          <w:color w:val="auto"/>
        </w:rPr>
      </w:pPr>
    </w:p>
    <w:p>
      <w:pPr>
        <w:ind w:left="1080" w:right="72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Marnell Corrao construction contract, the Austi construction contract guaranty or certain other material project documents shall have terminated or otherwise become invalid or illegal;</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project documents shall have terminated or otherwise become invalid or illegal, subject to certain cure and substitution rights by Wynn Las Vegas and Wynn Capital;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ceasing to own the Le Rêve site, the improvements thereon or certain easements, subject to certain permitted exceptions;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ceasing to own the golf course parcel, the improvements thereon or certain easements, subject to certain permitted exceptions;</w:t>
      </w:r>
    </w:p>
    <w:p>
      <w:pPr>
        <w:spacing w:after="0" w:line="252" w:lineRule="exact"/>
        <w:rPr>
          <w:rFonts w:ascii="Times New Roman" w:cs="Times New Roman" w:eastAsia="Times New Roman" w:hAnsi="Times New Roman"/>
          <w:sz w:val="18"/>
          <w:szCs w:val="18"/>
          <w:color w:val="auto"/>
        </w:rPr>
      </w:pPr>
    </w:p>
    <w:p>
      <w:pPr>
        <w:ind w:left="1080" w:right="820" w:hanging="532"/>
        <w:spacing w:after="0" w:line="275" w:lineRule="auto"/>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Valvino ceasing to own the 20 acre parcel next to Le Rêve, the improvements thereon or certain easements, subject to certain permitted exceptions;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entities ceasing to own the water rights in connection with the Le Rêve site, the improvements thereon or certain easements;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598" w:right="259" w:bottom="0" w:gutter="0" w:footer="0" w:header="0"/>
        </w:sectPr>
      </w:pPr>
    </w:p>
    <w:bookmarkStart w:id="139" w:name="page140"/>
    <w:bookmarkEnd w:id="139"/>
    <w:p>
      <w:pPr>
        <w:ind w:left="1080" w:right="280"/>
        <w:spacing w:after="0" w:line="275" w:lineRule="auto"/>
        <w:rPr>
          <w:sz w:val="20"/>
          <w:szCs w:val="20"/>
          <w:color w:val="auto"/>
        </w:rPr>
      </w:pPr>
      <w:r>
        <w:rPr>
          <w:rFonts w:ascii="Times New Roman" w:cs="Times New Roman" w:eastAsia="Times New Roman" w:hAnsi="Times New Roman"/>
          <w:sz w:val="18"/>
          <w:szCs w:val="18"/>
          <w:color w:val="auto"/>
        </w:rPr>
        <w:t>Wynn Las Vegas, Wynn Capital or Wynn Design and Development abandoning the project or otherwise ceasing to pursue the operations of the project in accordance with standard industry practice or selling or disposing of its interest therein;</w:t>
      </w:r>
    </w:p>
    <w:p>
      <w:pPr>
        <w:spacing w:after="0" w:line="187" w:lineRule="exact"/>
        <w:rPr>
          <w:sz w:val="20"/>
          <w:szCs w:val="20"/>
          <w:color w:val="auto"/>
        </w:rPr>
      </w:pPr>
    </w:p>
    <w:p>
      <w:pPr>
        <w:ind w:left="1080" w:right="20" w:hanging="532"/>
        <w:spacing w:after="0" w:line="275"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gaming license necessary for the ownership, financing or operation of the project being revoked or cancelled or modified in a manner likely to have a material adverse effect;</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governmental approvals necessary for the ownership, construction, maintenance, financing or operation of the project being revoked or cancelled and the effect of such modification, revocation or cancellation is reasonably likely to have a material adverse effect;</w:t>
      </w:r>
    </w:p>
    <w:p>
      <w:pPr>
        <w:spacing w:after="0" w:line="187" w:lineRule="exact"/>
        <w:rPr>
          <w:rFonts w:ascii="Times New Roman" w:cs="Times New Roman" w:eastAsia="Times New Roman" w:hAnsi="Times New Roman"/>
          <w:sz w:val="18"/>
          <w:szCs w:val="18"/>
          <w:color w:val="auto"/>
        </w:rPr>
      </w:pPr>
    </w:p>
    <w:p>
      <w:pPr>
        <w:ind w:left="1080" w:right="720" w:hanging="532"/>
        <w:spacing w:after="0" w:line="275"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shall reasonably determine that the completion date is likely to occur no earlier than 75 days after the outside completion deadline;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completion date on or before the outside completion deadline.</w:t>
      </w:r>
    </w:p>
    <w:p>
      <w:pPr>
        <w:spacing w:after="0" w:line="225"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Upon the occurrence of an event of default under the disbursement agreement, our lenders will be permitted to exercise remedies, including one or more of the following:</w:t>
      </w:r>
    </w:p>
    <w:p>
      <w:pPr>
        <w:spacing w:after="0" w:line="201" w:lineRule="exact"/>
        <w:rPr>
          <w:sz w:val="20"/>
          <w:szCs w:val="20"/>
          <w:color w:val="auto"/>
        </w:rPr>
      </w:pPr>
    </w:p>
    <w:p>
      <w:pPr>
        <w:ind w:left="1080" w:hanging="532"/>
        <w:spacing w:after="0"/>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obligation to make any further disbursements; and</w:t>
      </w:r>
    </w:p>
    <w:p>
      <w:pPr>
        <w:spacing w:after="0" w:line="238"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and all rights and remedies available to them under any of the credit facilities' agreement, the FF&amp;E facility agreement or the indenture.</w:t>
      </w:r>
    </w:p>
    <w:p>
      <w:pPr>
        <w:spacing w:after="0" w:line="174"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Those consequences will differ depending on whether the investor is a U.S. Holder or a Non-U.S. Holder.</w:t>
      </w:r>
    </w:p>
    <w:p>
      <w:pPr>
        <w:spacing w:after="0" w:line="186" w:lineRule="exact"/>
        <w:rPr>
          <w:sz w:val="20"/>
          <w:szCs w:val="20"/>
          <w:color w:val="auto"/>
        </w:rPr>
      </w:pPr>
    </w:p>
    <w:p>
      <w:pPr>
        <w:ind w:right="60" w:firstLine="341"/>
        <w:spacing w:after="0" w:line="293" w:lineRule="auto"/>
        <w:rPr>
          <w:sz w:val="20"/>
          <w:szCs w:val="20"/>
          <w:color w:val="auto"/>
        </w:rPr>
      </w:pPr>
      <w:r>
        <w:rPr>
          <w:rFonts w:ascii="Times New Roman" w:cs="Times New Roman" w:eastAsia="Times New Roman" w:hAnsi="Times New Roman"/>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 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herein, a "Non-U.S. Holder" is a beneficial owner of a second mortgage note that is not a U.S. Holder.</w:t>
      </w:r>
    </w:p>
    <w:p>
      <w:pPr>
        <w:spacing w:after="0" w:line="22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treated as a partnership for United States federal income tax purposes) is a beneficial owner of the second mortgage notes, the treatment of a partner in the partnership will generally depend upon the status of the partner and upon the activities of the partnership. 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summary assumes that investors hold second mortgage notes as "capital assets" under the Code and does not discuss special situations, such as those of</w:t>
      </w:r>
    </w:p>
    <w:p>
      <w:pPr>
        <w:spacing w:after="0" w:line="44" w:lineRule="exact"/>
        <w:rPr>
          <w:sz w:val="20"/>
          <w:szCs w:val="20"/>
          <w:color w:val="auto"/>
        </w:rPr>
      </w:pPr>
    </w:p>
    <w:p>
      <w:pPr>
        <w:ind w:firstLine="8"/>
        <w:spacing w:after="0" w:line="251" w:lineRule="auto"/>
        <w:tabs>
          <w:tab w:leader="none" w:pos="24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States federal income tax; (2) certain former citizens or former long-term residents of the United States, or (3) persons holding second mortgage notes as part of a hedging or conversion transaction, a straddle, a constructive sale or synthetic securities transaction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98"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ectPr>
          <w:pgSz w:w="11900" w:h="16838" w:orient="portrait"/>
          <w:cols w:equalWidth="0" w:num="1">
            <w:col w:w="11400"/>
          </w:cols>
          <w:pgMar w:left="240" w:top="125" w:right="259" w:bottom="136"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36" w:gutter="0" w:footer="0" w:header="0"/>
          <w:type w:val="continuous"/>
        </w:sectPr>
      </w:pPr>
    </w:p>
    <w:bookmarkStart w:id="140" w:name="page141"/>
    <w:bookmarkEnd w:id="140"/>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Payments of Interest on the Second Mortgage Notes</w:t>
      </w:r>
    </w:p>
    <w:p>
      <w:pPr>
        <w:spacing w:after="0" w:line="227" w:lineRule="exact"/>
        <w:rPr>
          <w:sz w:val="20"/>
          <w:szCs w:val="20"/>
          <w:color w:val="auto"/>
        </w:rPr>
      </w:pPr>
    </w:p>
    <w:p>
      <w:pPr>
        <w:ind w:right="500" w:firstLine="351"/>
        <w:spacing w:after="0" w:line="262" w:lineRule="auto"/>
        <w:rPr>
          <w:sz w:val="20"/>
          <w:szCs w:val="20"/>
          <w:color w:val="auto"/>
        </w:rPr>
      </w:pPr>
      <w:r>
        <w:rPr>
          <w:rFonts w:ascii="Times New Roman" w:cs="Times New Roman" w:eastAsia="Times New Roman" w:hAnsi="Times New Roman"/>
          <w:sz w:val="18"/>
          <w:szCs w:val="18"/>
          <w:color w:val="auto"/>
        </w:rPr>
        <w:t>Interest on the second mortgage notes will be taxable to a U.S. Holder as ordinary income from domestic sources at the time it is paid or accrued in accordance with the U.S. Holder's regular method of accounting for tax purposes. We do not believe that the second mortgage notes have any original issue discount.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Effect of Optional Redemption</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intend to take the reporting position,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reporting position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reporting position is not, however, binding on the Internal Revenue Service, referred to as the IRS, and if the IRS were to successfully challenge this position, a U.S. Holder might be required to accrue income on its notes in excess of stated interest.</w:t>
      </w:r>
    </w:p>
    <w:p>
      <w:pPr>
        <w:spacing w:after="0" w:line="193" w:lineRule="exact"/>
        <w:rPr>
          <w:sz w:val="20"/>
          <w:szCs w:val="20"/>
          <w:color w:val="auto"/>
        </w:rPr>
      </w:pPr>
    </w:p>
    <w:p>
      <w:pPr>
        <w:ind w:right="340" w:firstLine="348"/>
        <w:spacing w:after="0" w:line="257" w:lineRule="auto"/>
        <w:rPr>
          <w:sz w:val="20"/>
          <w:szCs w:val="20"/>
          <w:color w:val="auto"/>
        </w:rPr>
      </w:pPr>
      <w:r>
        <w:rPr>
          <w:rFonts w:ascii="Times New Roman" w:cs="Times New Roman" w:eastAsia="Times New Roman" w:hAnsi="Times New Roman"/>
          <w:sz w:val="18"/>
          <w:szCs w:val="18"/>
          <w:color w:val="auto"/>
        </w:rPr>
        <w:t>We may redeem up to 35% of the second mortgage notes prior to , 2005 and may redeem the second mortgage notes, in whole or in part, at any time on or after , 2006, at redemption prices specified elsewhere herein plus accrued and unpaid stated interest. The date of any such redemption is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referred to as the optional call date. The Treasury Regulations contain 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U.S. Holders may wish to consult their own tax advisors regarding the treatment of such contingencies.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Sale, Redemption, Retirement or Other Taxable Disposition of the Second Mortgage Notes</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 received in exchange therefor and (2) the holder's adjusted tax basis in such second mortgage note. Amounts attributable to accrued but unpaid interest on the second mortgage notes will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be treated as ordinary interest income. A holder's adjusted tax basis in a second mortgage note is equal to the purchase price paid by such holder increased by the amount of any market discount previously included in income by such holder with respect to such second mortgage note and decreased by the amount of any amortizable bond premium applied to reduce interest on the second mortgage notes and by any payments received thereon.</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Market Discount</w:t>
      </w:r>
    </w:p>
    <w:p>
      <w:pPr>
        <w:spacing w:after="0" w:line="227" w:lineRule="exact"/>
        <w:rPr>
          <w:sz w:val="20"/>
          <w:szCs w:val="20"/>
          <w:color w:val="auto"/>
        </w:rPr>
      </w:pPr>
    </w:p>
    <w:p>
      <w:pPr>
        <w:ind w:right="60" w:firstLine="341"/>
        <w:spacing w:after="0" w:line="253" w:lineRule="auto"/>
        <w:rPr>
          <w:sz w:val="20"/>
          <w:szCs w:val="20"/>
          <w:color w:val="auto"/>
        </w:rPr>
      </w:pPr>
      <w:r>
        <w:rPr>
          <w:rFonts w:ascii="Times New Roman" w:cs="Times New Roman" w:eastAsia="Times New Roman" w:hAnsi="Times New Roman"/>
          <w:sz w:val="18"/>
          <w:szCs w:val="18"/>
          <w:color w:val="auto"/>
        </w:rPr>
        <w:t xml:space="preserve">A U.S. Holder receives a "market discount" if he/she purchases a second mortgage note for an amount below the issue price (i.e. the price at which a substantial amount of notes were sold to persons other than bond houses, brokers or similar persons, or organizations acting in the capacity of underwriter, placement agent, or wholesaler) on the date of purchase. Under the market discount rules,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a U.S. Holder is required to treat any 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 Any market discount is considered to accrue ratably during the period from the date of acquisition to the maturity date of the second mortgage note, unless the U.S. holder elects to accrue such discount on a constant interest rate method.</w:t>
      </w:r>
    </w:p>
    <w:p>
      <w:pPr>
        <w:spacing w:after="0" w:line="195"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Alternatively, a taxpayer may elect to include the interest income in income currently either ratably or under the constant interest rate method. If this election is made, the holder's basis in the second mortgage note will be increased to reflect the amount of income recognized and the rules described above regarding 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Amortizable Bond Premium</w:t>
      </w:r>
    </w:p>
    <w:p>
      <w:pPr>
        <w:spacing w:after="0" w:line="227"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 as applied to each accrual period of the second mortgage note, and allocated ratably to each day within an accrual period. As described under "Effect of Optional Redemption," the notes are subject to various call provisions. As discussed, we intend to take the reporting</w:t>
      </w:r>
    </w:p>
    <w:p>
      <w:pPr>
        <w:sectPr>
          <w:pgSz w:w="11900" w:h="16861" w:orient="portrait"/>
          <w:cols w:equalWidth="0" w:num="1">
            <w:col w:w="11420"/>
          </w:cols>
          <w:pgMar w:left="240" w:top="582" w:right="239" w:bottom="0" w:gutter="0" w:footer="0" w:header="0"/>
        </w:sectPr>
      </w:pPr>
    </w:p>
    <w:bookmarkStart w:id="141" w:name="page142"/>
    <w:bookmarkEnd w:id="141"/>
    <w:p>
      <w:pPr>
        <w:ind w:right="480"/>
        <w:spacing w:after="0" w:line="275" w:lineRule="auto"/>
        <w:rPr>
          <w:sz w:val="20"/>
          <w:szCs w:val="20"/>
          <w:color w:val="auto"/>
        </w:rPr>
      </w:pPr>
      <w:r>
        <w:rPr>
          <w:rFonts w:ascii="Times New Roman" w:cs="Times New Roman" w:eastAsia="Times New Roman" w:hAnsi="Times New Roman"/>
          <w:sz w:val="18"/>
          <w:szCs w:val="18"/>
          <w:color w:val="auto"/>
        </w:rPr>
        <w:t>position that the likelihood of a redemption because of a change of control or gaming license issues is remote and should be disregarded in determining the amount of amortizable bond premium.</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Accordingly, a U.S. Holder would calculate the amortizable bond premium based on the amount payable on the stated maturity date unless use of an optional call date (and price) results in smaller amortizable bond premium. The amount amortized in any year will be treated as a reduction of the U.S. Holder's interest income from the second mortgage note. Bond premium on a second mortgage note held by a U.S. Holder that elect to amortize will decrease the gain or increase the loss otherwise recognized upon disposition of the note. The election to amortize premium, once made, applies to all debt obligations held or subsequently acquired by the electing U.S. Holder on or after the first day of the first taxable year to which the election applies and may not be revoked without the consent of the IRS.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 January 1, 2011. Certain U.S. Holders, including all corporations, are not subject to backup withholding and information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Payment of Interest</w:t>
      </w:r>
    </w:p>
    <w:p>
      <w:pPr>
        <w:spacing w:after="0" w:line="227" w:lineRule="exact"/>
        <w:rPr>
          <w:sz w:val="20"/>
          <w:szCs w:val="20"/>
          <w:color w:val="auto"/>
        </w:rPr>
      </w:pPr>
    </w:p>
    <w:p>
      <w:pPr>
        <w:ind w:right="80" w:firstLine="348"/>
        <w:spacing w:after="0" w:line="285" w:lineRule="auto"/>
        <w:rPr>
          <w:sz w:val="20"/>
          <w:szCs w:val="20"/>
          <w:color w:val="auto"/>
        </w:rPr>
      </w:pPr>
      <w:r>
        <w:rPr>
          <w:rFonts w:ascii="Times New Roman" w:cs="Times New Roman" w:eastAsia="Times New Roman" w:hAnsi="Times New Roman"/>
          <w:sz w:val="16"/>
          <w:szCs w:val="16"/>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Pursuant to the "portfolio interest exception," the payment to a Non-U.S. Holder of interest on the second mortgage note is not subject to United States federal withholding tax pursuant to the "portfolio interest exception," provided that (i) the Non-U.S. Holder</w:t>
      </w:r>
    </w:p>
    <w:p>
      <w:pPr>
        <w:spacing w:after="0" w:line="3" w:lineRule="exact"/>
        <w:rPr>
          <w:sz w:val="20"/>
          <w:szCs w:val="20"/>
          <w:color w:val="auto"/>
        </w:rPr>
      </w:pPr>
    </w:p>
    <w:p>
      <w:pPr>
        <w:ind w:right="140" w:firstLine="8"/>
        <w:spacing w:after="0" w:line="281" w:lineRule="auto"/>
        <w:tabs>
          <w:tab w:leader="none" w:pos="288"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actually or constructively own 10% or more of our capital or profits interest and (B) is neither a controlled foreign corporation that is related to us within the meaning of the Code, nor a bank that received the second mortgage notes on an extension of credit made pursuant to a loan agreement entered into in the ordinary course of its trade or business; and (ii) either (A) the beneficial owner of the second mortgage notes certifies to us or to our paying agent, under penalties of perjury, that it is not a U.S. Holder and provides its name and address on Internal Revenue Service Form W-8BEN (or a suitable substitute form) or</w:t>
      </w:r>
    </w:p>
    <w:p>
      <w:pPr>
        <w:spacing w:after="0" w:line="2" w:lineRule="exact"/>
        <w:rPr>
          <w:rFonts w:ascii="Times New Roman" w:cs="Times New Roman" w:eastAsia="Times New Roman" w:hAnsi="Times New Roman"/>
          <w:sz w:val="16"/>
          <w:szCs w:val="16"/>
          <w:color w:val="auto"/>
        </w:rPr>
      </w:pPr>
    </w:p>
    <w:p>
      <w:pPr>
        <w:ind w:right="120" w:firstLine="8"/>
        <w:spacing w:after="0" w:line="302" w:lineRule="auto"/>
        <w:tabs>
          <w:tab w:leader="none" w:pos="278"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and furnishes the payor with a copy thereof.</w:t>
      </w:r>
    </w:p>
    <w:p>
      <w:pPr>
        <w:spacing w:after="0" w:line="15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If a Non-U.S. Holder cannot satisfy the requirements of the portfolio interest exception described above, payments of interest made to such Non-U.S. Holder will be subject to a 30%</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unless the beneficial owner of the second mortgage note provides us or our paying agent, as the case may be, with a properly executed</w:t>
      </w:r>
    </w:p>
    <w:p>
      <w:pPr>
        <w:spacing w:after="0" w:line="21" w:lineRule="exact"/>
        <w:rPr>
          <w:sz w:val="20"/>
          <w:szCs w:val="20"/>
          <w:color w:val="auto"/>
        </w:rPr>
      </w:pPr>
    </w:p>
    <w:p>
      <w:pPr>
        <w:jc w:val="both"/>
        <w:ind w:right="60" w:firstLine="8"/>
        <w:spacing w:after="0" w:line="255" w:lineRule="auto"/>
        <w:tabs>
          <w:tab w:leader="none" w:pos="21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W-8BEN (or a suitable substitute form) claiming an exemption from or reduction in the rate of withholding pursuant to a tax treaty or (ii) 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 United States permanent establishment, such Non-U.S. Holder, will be subject to United States federal income tax on such interest.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Sale, Redemption, Retirement or Other Taxable Disposition of the Notes</w:t>
      </w:r>
    </w:p>
    <w:p>
      <w:pPr>
        <w:spacing w:after="0" w:line="227" w:lineRule="exact"/>
        <w:rPr>
          <w:sz w:val="20"/>
          <w:szCs w:val="20"/>
          <w:color w:val="auto"/>
        </w:rPr>
      </w:pPr>
    </w:p>
    <w:p>
      <w:pPr>
        <w:ind w:right="60" w:firstLine="341"/>
        <w:spacing w:after="0" w:line="301" w:lineRule="auto"/>
        <w:rPr>
          <w:sz w:val="20"/>
          <w:szCs w:val="20"/>
          <w:color w:val="auto"/>
        </w:rPr>
      </w:pPr>
      <w:r>
        <w:rPr>
          <w:rFonts w:ascii="Times New Roman" w:cs="Times New Roman" w:eastAsia="Times New Roman" w:hAnsi="Times New Roman"/>
          <w:sz w:val="16"/>
          <w:szCs w:val="16"/>
          <w:color w:val="auto"/>
        </w:rPr>
        <w:t>A Non-U.S. Holder generally will not be subject to United States federal income tax on gain realized on a sale, exchange, redemption, retirement or other taxable disposition of a second mortgage note unless (1) the gain is effectively connected with the conduct of a trade or business in the United States by the Non-U.S. Holder, and, where an income tax treaty applies, attributable to a United States permanent establishment or (2) in the case of a Non-U.S. Holder who is an individual, such holder is present in the United States for 183 days or more in the taxable year of disposition and certain other conditions are met.</w:t>
      </w:r>
    </w:p>
    <w:p>
      <w:pPr>
        <w:spacing w:after="0" w:line="157" w:lineRule="exact"/>
        <w:rPr>
          <w:sz w:val="20"/>
          <w:szCs w:val="20"/>
          <w:color w:val="auto"/>
        </w:rPr>
      </w:pPr>
    </w:p>
    <w:p>
      <w:pPr>
        <w:jc w:val="both"/>
        <w:ind w:right="180" w:firstLine="351"/>
        <w:spacing w:after="0" w:line="301" w:lineRule="auto"/>
        <w:rPr>
          <w:sz w:val="20"/>
          <w:szCs w:val="20"/>
          <w:color w:val="auto"/>
        </w:rPr>
      </w:pPr>
      <w:r>
        <w:rPr>
          <w:rFonts w:ascii="Times New Roman" w:cs="Times New Roman" w:eastAsia="Times New Roman" w:hAnsi="Times New Roman"/>
          <w:sz w:val="16"/>
          <w:szCs w:val="16"/>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7"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in "—payment of Interest," or (b) they are excluded under an applicable treaty. The United States federal estate tax generally has been repealed for</w:t>
      </w:r>
    </w:p>
    <w:p>
      <w:pPr>
        <w:sectPr>
          <w:pgSz w:w="11900" w:h="16838" w:orient="portrait"/>
          <w:cols w:equalWidth="0" w:num="1">
            <w:col w:w="11380"/>
          </w:cols>
          <w:pgMar w:left="240" w:top="125" w:right="279" w:bottom="0" w:gutter="0" w:footer="0" w:header="0"/>
        </w:sectPr>
      </w:pPr>
    </w:p>
    <w:bookmarkStart w:id="142" w:name="page143"/>
    <w:bookmarkEnd w:id="142"/>
    <w:p>
      <w:pPr>
        <w:ind w:right="700"/>
        <w:spacing w:after="0" w:line="275" w:lineRule="auto"/>
        <w:rPr>
          <w:sz w:val="20"/>
          <w:szCs w:val="20"/>
          <w:color w:val="auto"/>
        </w:rPr>
      </w:pPr>
      <w:r>
        <w:rPr>
          <w:rFonts w:ascii="Times New Roman" w:cs="Times New Roman" w:eastAsia="Times New Roman" w:hAnsi="Times New Roman"/>
          <w:sz w:val="18"/>
          <w:szCs w:val="18"/>
          <w:color w:val="auto"/>
        </w:rPr>
        <w:t>decedents dying in 2010. Unless extended by new legislation, however, the repeal expires and the United States federal estate tax is reinstated beginning January 1, 2011.</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7" w:lineRule="exact"/>
        <w:rPr>
          <w:sz w:val="20"/>
          <w:szCs w:val="20"/>
          <w:color w:val="auto"/>
        </w:rPr>
      </w:pPr>
    </w:p>
    <w:p>
      <w:pPr>
        <w:ind w:right="460" w:firstLine="348"/>
        <w:spacing w:after="0" w:line="310" w:lineRule="auto"/>
        <w:rPr>
          <w:sz w:val="20"/>
          <w:szCs w:val="20"/>
          <w:color w:val="auto"/>
        </w:rPr>
      </w:pPr>
      <w:r>
        <w:rPr>
          <w:rFonts w:ascii="Times New Roman" w:cs="Times New Roman" w:eastAsia="Times New Roman" w:hAnsi="Times New Roman"/>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United States Federal Income Tax Considerations—United States Federal Income Taxation of Non-U.S. Holders—Payments of Interest."</w:t>
      </w:r>
    </w:p>
    <w:p>
      <w:pPr>
        <w:spacing w:after="0" w:line="186"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payment of proceeds from the disposition of a second mortgage note effected by or through a United States office of a broker is also subject to both backup withholding and information reporting unless a Non-U.S. Holder provides the payor with such Non-U.S. 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 records that the holder is a Non-U.S. Holder and certain other conditions are met, or the exemption is otherwise established.</w:t>
      </w:r>
    </w:p>
    <w:p>
      <w:pPr>
        <w:spacing w:after="0" w:line="19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88" w:lineRule="exact"/>
        <w:rPr>
          <w:sz w:val="20"/>
          <w:szCs w:val="20"/>
          <w:color w:val="auto"/>
        </w:rPr>
      </w:pPr>
    </w:p>
    <w:tbl>
      <w:tblPr>
        <w:tblLayout w:type="fixed"/>
        <w:tblInd w:w="2120" w:type="dxa"/>
        <w:tblCellMar>
          <w:top w:w="0" w:type="dxa"/>
          <w:left w:w="0" w:type="dxa"/>
          <w:bottom w:w="0" w:type="dxa"/>
          <w:right w:w="0" w:type="dxa"/>
        </w:tblCellMar>
      </w:tblPr>
      <w:tr>
        <w:trPr>
          <w:trHeight w:val="178"/>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15"/>
                <w:szCs w:val="15"/>
                <w:color w:val="auto"/>
              </w:rPr>
            </w:pPr>
          </w:p>
        </w:tc>
        <w:tc>
          <w:tcPr>
            <w:tcW w:w="19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Principal Amount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160" w:type="dxa"/>
            <w:vAlign w:val="bottom"/>
            <w:gridSpan w:val="2"/>
            <w:shd w:val="clear" w:color="auto" w:fill="CCEEFF"/>
          </w:tcPr>
          <w:p>
            <w:pPr>
              <w:jc w:val="right"/>
              <w:ind w:right="17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Banc of America Securities LLC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Bear, Stearns &amp; Co.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Dresdner Kleinwort Wasserstein — Grantchester,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Securities,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ind w:right="17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-2055495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-2055495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-2055495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-2055495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-1764030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-1471930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-1471930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-1180465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-1180465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-889000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-889000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-597535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-597535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86" w:lineRule="exact"/>
        <w:rPr>
          <w:sz w:val="20"/>
          <w:szCs w:val="20"/>
          <w:color w:val="auto"/>
        </w:rPr>
      </w:pPr>
    </w:p>
    <w:p>
      <w:pPr>
        <w:ind w:right="140" w:firstLine="348"/>
        <w:spacing w:after="0" w:line="301" w:lineRule="auto"/>
        <w:rPr>
          <w:sz w:val="20"/>
          <w:szCs w:val="20"/>
          <w:color w:val="auto"/>
        </w:rPr>
      </w:pPr>
      <w:r>
        <w:rPr>
          <w:rFonts w:ascii="Times New Roman" w:cs="Times New Roman" w:eastAsia="Times New Roman" w:hAnsi="Times New Roman"/>
          <w:sz w:val="16"/>
          <w:szCs w:val="16"/>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 of the principal amount of the second mortgage notes. The underwriters may allow, and these dealers may re-allow, a concession of not more than % of the principal amount of the second mortgage notes to other dealers. After the initial public offering, representatives of the underwriters may change the offering price and other selling terms.</w:t>
      </w:r>
    </w:p>
    <w:p>
      <w:pPr>
        <w:spacing w:after="0" w:line="157"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Stephen A. Wynn, a principal stockholder and the Chairman of the Board and Chief Executive Officer of Wynn Resorts, Limited has expressed interest in purchasing the second mortgage notes in an aggregate principal amount currently anticipated to be $ million directly from us at the price being offered to the</w:t>
      </w:r>
    </w:p>
    <w:p>
      <w:pPr>
        <w:sectPr>
          <w:pgSz w:w="11900" w:h="16838" w:orient="portrait"/>
          <w:cols w:equalWidth="0" w:num="1">
            <w:col w:w="11420"/>
          </w:cols>
          <w:pgMar w:left="240" w:top="125" w:right="239" w:bottom="0" w:gutter="0" w:footer="0" w:header="0"/>
        </w:sectPr>
      </w:pPr>
    </w:p>
    <w:bookmarkStart w:id="143" w:name="page144"/>
    <w:bookmarkEnd w:id="143"/>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public. The underwriters will not receive any underwriting discounts or commissions on any second mortgage notes purchased by Mr. Wynn. Mr. Wynn will not have any voting rights with respect to the second mortgages notes that he owns. Wynn Las Vegas and Wynn Capital have agreed to enter into a registration rights agreement with Mr. Wynn covering the resale of any second mortgage notes that he owns, including those purchased in this offering.</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we estimate that our share of the total expenses of this offering, excluding underwriting discounts and commissions, will be approximately</w:t>
      </w:r>
    </w:p>
    <w:p>
      <w:pPr>
        <w:spacing w:after="0" w:line="21" w:lineRule="exact"/>
        <w:rPr>
          <w:sz w:val="20"/>
          <w:szCs w:val="20"/>
          <w:color w:val="auto"/>
        </w:rPr>
      </w:pPr>
    </w:p>
    <w:p>
      <w:pPr>
        <w:ind w:left="880" w:hanging="872"/>
        <w:spacing w:after="0"/>
        <w:tabs>
          <w:tab w:leader="none" w:pos="8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74" w:lineRule="exact"/>
        <w:rPr>
          <w:sz w:val="20"/>
          <w:szCs w:val="20"/>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 mortgage notes does not develop, the market price and liquidity of the second mortgage notes may be adversely affected.</w:t>
      </w:r>
    </w:p>
    <w:p>
      <w:pPr>
        <w:spacing w:after="0" w:line="193"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pacing w:after="0" w:line="174"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0"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Stabilizing transactions consist of various bids for or purchases of the second mortgage notes made by the underwriters in the open market prior to the completion of the offering.</w:t>
      </w:r>
    </w:p>
    <w:p>
      <w:pPr>
        <w:spacing w:after="0" w:line="174"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86"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0" w:lineRule="exact"/>
        <w:rPr>
          <w:sz w:val="20"/>
          <w:szCs w:val="20"/>
          <w:color w:val="auto"/>
        </w:rPr>
      </w:pPr>
    </w:p>
    <w:p>
      <w:pPr>
        <w:ind w:right="80" w:firstLine="341"/>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19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Deutsche Bank Securities Inc., Bear, Stearns &amp; Co., Inc. and Banc of America Securities LLC will act as joint book-running managers, and an affiliate of Dresdner Kleinwort Wasserstein - Grantchester, Inc. will act as co-lead managing underwriter for the initial public offering of Wynn Resorts, which is expected to close concurrently with this offering, and will receive certain fees for their services. Some or all of the other underwriters or their affiliates in this offering may also act as underwriters in connection with the initial public offering of Wynn Resorts and will receive certain fees for their services.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86"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Other Indebtedness—Credit Facilities."</w:t>
      </w:r>
    </w:p>
    <w:p>
      <w:pPr>
        <w:spacing w:after="0" w:line="186"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86" w:lineRule="exact"/>
        <w:rPr>
          <w:sz w:val="20"/>
          <w:szCs w:val="20"/>
          <w:color w:val="auto"/>
        </w:rPr>
      </w:pPr>
    </w:p>
    <w:p>
      <w:pPr>
        <w:ind w:right="100" w:firstLine="351"/>
        <w:spacing w:after="0" w:line="339" w:lineRule="auto"/>
        <w:rPr>
          <w:sz w:val="20"/>
          <w:szCs w:val="20"/>
          <w:color w:val="auto"/>
        </w:rPr>
      </w:pPr>
      <w:r>
        <w:rPr>
          <w:rFonts w:ascii="Times New Roman" w:cs="Times New Roman" w:eastAsia="Times New Roman" w:hAnsi="Times New Roman"/>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Affiliates of Bear, Stearns &amp; Co. Inc. may also participate in the FF&amp;E</w:t>
      </w:r>
    </w:p>
    <w:p>
      <w:pPr>
        <w:sectPr>
          <w:pgSz w:w="11900" w:h="16838" w:orient="portrait"/>
          <w:cols w:equalWidth="0" w:num="1">
            <w:col w:w="11400"/>
          </w:cols>
          <w:pgMar w:left="240" w:top="125" w:right="259" w:bottom="0" w:gutter="0" w:footer="0" w:header="0"/>
        </w:sectPr>
      </w:pPr>
    </w:p>
    <w:bookmarkStart w:id="144" w:name="page145"/>
    <w:bookmarkEnd w:id="144"/>
    <w:p>
      <w:pPr>
        <w:ind w:right="420"/>
        <w:spacing w:after="0" w:line="275" w:lineRule="auto"/>
        <w:rPr>
          <w:sz w:val="20"/>
          <w:szCs w:val="20"/>
          <w:color w:val="auto"/>
        </w:rPr>
      </w:pPr>
      <w:r>
        <w:rPr>
          <w:rFonts w:ascii="Times New Roman" w:cs="Times New Roman" w:eastAsia="Times New Roman" w:hAnsi="Times New Roman"/>
          <w:sz w:val="18"/>
          <w:szCs w:val="18"/>
          <w:color w:val="auto"/>
        </w:rPr>
        <w:t>facility and will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74" w:lineRule="exact"/>
        <w:rPr>
          <w:sz w:val="20"/>
          <w:szCs w:val="20"/>
          <w:color w:val="auto"/>
        </w:rPr>
      </w:pPr>
    </w:p>
    <w:p>
      <w:pPr>
        <w:ind w:right="100" w:firstLine="341"/>
        <w:spacing w:after="0" w:line="275" w:lineRule="auto"/>
        <w:rPr>
          <w:sz w:val="20"/>
          <w:szCs w:val="20"/>
          <w:color w:val="auto"/>
        </w:rPr>
      </w:pPr>
      <w:r>
        <w:rPr>
          <w:rFonts w:ascii="Times New Roman" w:cs="Times New Roman" w:eastAsia="Times New Roman" w:hAnsi="Times New Roman"/>
          <w:sz w:val="18"/>
          <w:szCs w:val="18"/>
          <w:color w:val="auto"/>
        </w:rPr>
        <w:t>Affiliates of Dresdner Kleinwort Wasserstein — Grantchester, Inc., Fleet Securites, Inc. and Scotia Capital (USA) Inc. may participate in the credit facilities and/or FF&amp;E facility and will receive certain fees for their services.</w:t>
      </w:r>
    </w:p>
    <w:p>
      <w:pPr>
        <w:spacing w:after="0" w:line="174"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Jurisdictions</w:t>
      </w:r>
    </w:p>
    <w:p>
      <w:pPr>
        <w:spacing w:after="0" w:line="227"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The information contained in this prospectus does not constitute an offer or an invitation to make an offer for the acquisition of notes by Austrian investors nor are such notes available to Austrian investors with the following exemption. The notes are exclusively offered to a limited number of institutional investors and are therefore not subject to the public offering requirements of the Austrian Capital Markets Act (Section 3, paragraph 1, subparagraph 11). Institutional investors are persons whose ordinary business activities include the acquisition of the respective notes for the purpose of their business and who are interested in the notes not with the purpose of offering such notes to third parties in Austria. Such notes are not offered and will not be made available to any other persons in Austria.</w:t>
      </w:r>
    </w:p>
    <w:p>
      <w:pPr>
        <w:spacing w:after="0" w:line="191" w:lineRule="exact"/>
        <w:rPr>
          <w:sz w:val="20"/>
          <w:szCs w:val="20"/>
          <w:color w:val="auto"/>
        </w:rPr>
      </w:pPr>
    </w:p>
    <w:p>
      <w:pPr>
        <w:ind w:right="200" w:firstLine="348"/>
        <w:spacing w:after="0" w:line="257" w:lineRule="auto"/>
        <w:rPr>
          <w:sz w:val="20"/>
          <w:szCs w:val="20"/>
          <w:color w:val="auto"/>
        </w:rPr>
      </w:pPr>
      <w:r>
        <w:rPr>
          <w:rFonts w:ascii="Times New Roman" w:cs="Times New Roman" w:eastAsia="Times New Roman" w:hAnsi="Times New Roman"/>
          <w:sz w:val="18"/>
          <w:szCs w:val="18"/>
          <w:color w:val="auto"/>
        </w:rPr>
        <w:t xml:space="preserve">This prospectus has not been prepared in the context of a public offering of securities in France within the meaning of Article L.411-1 of the French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Monétaire et Financier </w:t>
      </w:r>
      <w:r>
        <w:rPr>
          <w:rFonts w:ascii="Times New Roman" w:cs="Times New Roman" w:eastAsia="Times New Roman" w:hAnsi="Times New Roman"/>
          <w:sz w:val="18"/>
          <w:szCs w:val="18"/>
          <w:color w:val="auto"/>
        </w:rPr>
        <w:t>and Regulations No. 98-01 and 98-08 of the</w:t>
      </w:r>
      <w:r>
        <w:rPr>
          <w:rFonts w:ascii="Times New Roman" w:cs="Times New Roman" w:eastAsia="Times New Roman" w:hAnsi="Times New Roman"/>
          <w:sz w:val="18"/>
          <w:szCs w:val="18"/>
          <w:i w:val="1"/>
          <w:iCs w:val="1"/>
          <w:color w:val="auto"/>
        </w:rPr>
        <w:t xml:space="preserve"> Commission des opérations de bourse </w:t>
      </w:r>
      <w:r>
        <w:rPr>
          <w:rFonts w:ascii="Times New Roman" w:cs="Times New Roman" w:eastAsia="Times New Roman" w:hAnsi="Times New Roman"/>
          <w:sz w:val="18"/>
          <w:szCs w:val="18"/>
          <w:color w:val="auto"/>
        </w:rPr>
        <w:t>("COB") and has therefore not been submitted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COB for prior approval. It is made available only to qualified investors and/or to a limited circle of investors (as defined in Article L.411-2 of the French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Monétaire et Financier </w:t>
      </w:r>
      <w:r>
        <w:rPr>
          <w:rFonts w:ascii="Times New Roman" w:cs="Times New Roman" w:eastAsia="Times New Roman" w:hAnsi="Times New Roman"/>
          <w:sz w:val="18"/>
          <w:szCs w:val="18"/>
          <w:color w:val="auto"/>
        </w:rPr>
        <w:t>and in the Decree No. 98-880 dated 1 October 1998), on the condition that it shall not be passed on to any person nor reproduced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and that applicants act for their own account in accordance with the terms set out by the said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 xml:space="preserve">Decree and undertake not to retransfer, directly or indirectly, the notes in France, other than in compliance with applicable laws and regulations (Articles L.411-1, L.411-2, L.412-1 and L.621-8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40" w:firstLine="348"/>
        <w:spacing w:after="0" w:line="255" w:lineRule="auto"/>
        <w:rPr>
          <w:sz w:val="20"/>
          <w:szCs w:val="20"/>
          <w:color w:val="auto"/>
        </w:rPr>
      </w:pPr>
      <w:r>
        <w:rPr>
          <w:rFonts w:ascii="Times New Roman" w:cs="Times New Roman" w:eastAsia="Times New Roman" w:hAnsi="Times New Roman"/>
          <w:sz w:val="18"/>
          <w:szCs w:val="18"/>
          <w:color w:val="auto"/>
        </w:rPr>
        <w:t>The public offer of securities for sale in Germany is subject to certain restrictions, namely the restrictions provided in the German Securities Selling Prospectus Act (</w:t>
      </w:r>
      <w:r>
        <w:rPr>
          <w:rFonts w:ascii="Times New Roman" w:cs="Times New Roman" w:eastAsia="Times New Roman" w:hAnsi="Times New Roman"/>
          <w:sz w:val="18"/>
          <w:szCs w:val="18"/>
          <w:i w:val="1"/>
          <w:iCs w:val="1"/>
          <w:color w:val="auto"/>
        </w:rPr>
        <w:t>Wertpapier-Verkaufsprospektgesetz</w:t>
      </w:r>
      <w:r>
        <w:rPr>
          <w:rFonts w:ascii="Times New Roman" w:cs="Times New Roman" w:eastAsia="Times New Roman" w:hAnsi="Times New Roman"/>
          <w:sz w:val="18"/>
          <w:szCs w:val="18"/>
          <w:color w:val="auto"/>
        </w:rPr>
        <w:t>). The offer of the notes does not constitute a public offer of securities for sale in Germany. This prospectus has not been approved by the German Federal Supervisory Authority for Financial Services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or any other competent German authority under the relevant laws. This prospectus may not be publicly distributed in Germany and may not be used in connection with any resale of the notes. The notes may not be resold in Germany by way of a public offer. The underwriters, any other purchaser of the notes and the persons into whose possession this prospectus comes acknowledge these restrictions.</w:t>
      </w:r>
    </w:p>
    <w:p>
      <w:pPr>
        <w:spacing w:after="0" w:line="193"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No public offering of the notes is permitted in the Hellenic Republic without the issuance and publication of a prospectus approved by the Capital Market Committee and the Athens Stock Exchange and consequently no advertisement of any kind, notifications, statements or other actions are permitted to be taken in the Hellenic Republic with a view to attracting the public in Greece to acquire any of the notes. All provisions of codified law 2190/1920, law 876/1979 and presidential decree 52/1992 must be complied with in respect of anything done in relation to the public offering of the notes in, from or otherwise involving the Hellenic Republic. In accordance with Article 4 of presidential decree 52/1992, the above approval procedure is not required if the notes are to be offered in the Hellenic Republic only to a restricted number of investors and/or persons engaged professionally in the investment business (such as insurance companies, credit institutions, social security funds and other persons who qualify as institutional investors within the meaning of Resolution No. 9/201/10.10.2000 of the Capital Markets Commission).</w:t>
      </w:r>
    </w:p>
    <w:p>
      <w:pPr>
        <w:spacing w:after="0" w:line="192"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offering of the notes has not been registered pursuant to the Italian securities legislation and, accordingly, the underwriters have represented and agreed that they have not offered or sold, and will not offer or sell, any notes in Italy a solicitation to the public, and that sales of the notes in Italy shall be effected in accordance with all Italian securities, tax, exchange control and other applicable laws and regulations.</w:t>
      </w:r>
    </w:p>
    <w:p>
      <w:pPr>
        <w:spacing w:after="0" w:line="186"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underwriters have represented that they will not offer, sell or deliver any notes or distribute copies of the prospectus or any other document relating to the notes in Italy except:</w:t>
      </w:r>
    </w:p>
    <w:p>
      <w:pPr>
        <w:spacing w:after="0" w:line="174" w:lineRule="exact"/>
        <w:rPr>
          <w:sz w:val="20"/>
          <w:szCs w:val="20"/>
          <w:color w:val="auto"/>
        </w:rPr>
      </w:pPr>
    </w:p>
    <w:p>
      <w:pPr>
        <w:ind w:firstLine="359"/>
        <w:spacing w:after="0" w:line="256" w:lineRule="auto"/>
        <w:tabs>
          <w:tab w:leader="none" w:pos="63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Article 31.2 of CONSOB Regulation No. 11522 of 1 July 1998, as amended ("Regulation No. 11522"), pursuant to Article 30.2 and 100 of Legislative Decree No. 58/1998 of 24 February 1998 ("Decree No. 58/1998"), or in any other circumstances where an express exemption from compliance with the solicitation restrictions provided by Decree No. 58/1998 or CONSOB Regulation No. 11971 of 14 May 1999, as amended, applies, provided however, that any such offer, sale or delivery of notes or distribution of copies of the prospectus or any other document relating to the notes in Italy must be:</w:t>
      </w:r>
    </w:p>
    <w:p>
      <w:pPr>
        <w:spacing w:after="0" w:line="192" w:lineRule="exact"/>
        <w:rPr>
          <w:rFonts w:ascii="Times New Roman" w:cs="Times New Roman" w:eastAsia="Times New Roman" w:hAnsi="Times New Roman"/>
          <w:sz w:val="18"/>
          <w:szCs w:val="18"/>
          <w:color w:val="auto"/>
        </w:rPr>
      </w:pPr>
    </w:p>
    <w:p>
      <w:pPr>
        <w:ind w:left="540" w:right="140" w:firstLine="359"/>
        <w:spacing w:after="0" w:line="339" w:lineRule="auto"/>
        <w:tabs>
          <w:tab w:leader="none" w:pos="123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by investment firms, banks or financial intermediaries permitted to conduct such activities in Italy in accordance with Legislative Decree No. 385 of 1 September 1993 ("Decree No. 385/1993"), Decree No. 58/1998, Regulation No. 11522 and any other applicable laws and regulations;</w:t>
      </w:r>
    </w:p>
    <w:p>
      <w:pPr>
        <w:spacing w:after="0" w:line="128" w:lineRule="exact"/>
        <w:rPr>
          <w:rFonts w:ascii="Times New Roman" w:cs="Times New Roman" w:eastAsia="Times New Roman" w:hAnsi="Times New Roman"/>
          <w:sz w:val="16"/>
          <w:szCs w:val="16"/>
          <w:color w:val="auto"/>
        </w:rPr>
      </w:pPr>
    </w:p>
    <w:p>
      <w:pPr>
        <w:ind w:left="540" w:right="400" w:firstLine="359"/>
        <w:spacing w:after="0" w:line="275" w:lineRule="auto"/>
        <w:tabs>
          <w:tab w:leader="none" w:pos="119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Decree No. 385/1993 and the implementing instructions of the Bank of Italy, pursuant to which the issue, trading or placement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0"/>
        <w:spacing w:after="0" w:line="275" w:lineRule="auto"/>
        <w:rPr>
          <w:sz w:val="20"/>
          <w:szCs w:val="20"/>
          <w:color w:val="auto"/>
        </w:rPr>
      </w:pPr>
      <w:r>
        <w:rPr>
          <w:rFonts w:ascii="Times New Roman" w:cs="Times New Roman" w:eastAsia="Times New Roman" w:hAnsi="Times New Roman"/>
          <w:sz w:val="18"/>
          <w:szCs w:val="18"/>
          <w:color w:val="auto"/>
        </w:rPr>
        <w:t>securities in Italy is subject to prior notification to the Bank of Italy, unless an exemption, depending, inter alia, on the amount of the issue and the characteristics of the securities, applies; and</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(iii) in compliance with any other applicable notification requirement or limitation which may be imposed by CONSOB or the Bank of Italy; or</w:t>
      </w:r>
    </w:p>
    <w:p>
      <w:pPr>
        <w:sectPr>
          <w:pgSz w:w="11900" w:h="16838" w:orient="portrait"/>
          <w:cols w:equalWidth="0" w:num="1">
            <w:col w:w="11420"/>
          </w:cols>
          <w:pgMar w:left="240" w:top="125" w:right="239" w:bottom="0" w:gutter="0" w:footer="0" w:header="0"/>
        </w:sectPr>
      </w:pPr>
    </w:p>
    <w:bookmarkStart w:id="145" w:name="page146"/>
    <w:bookmarkEnd w:id="145"/>
    <w:p>
      <w:pPr>
        <w:ind w:left="360"/>
        <w:spacing w:after="0"/>
        <w:rPr>
          <w:sz w:val="20"/>
          <w:szCs w:val="20"/>
          <w:color w:val="auto"/>
        </w:rPr>
      </w:pPr>
      <w:r>
        <w:rPr>
          <w:rFonts w:ascii="Times New Roman" w:cs="Times New Roman" w:eastAsia="Times New Roman" w:hAnsi="Times New Roman"/>
          <w:sz w:val="18"/>
          <w:szCs w:val="18"/>
          <w:color w:val="auto"/>
        </w:rPr>
        <w:t>(b) to Italian residents who submit unsolicited offers to the Sole Bookrunner to purchase the notes.</w:t>
      </w:r>
    </w:p>
    <w:p>
      <w:pPr>
        <w:spacing w:after="0" w:line="225" w:lineRule="exact"/>
        <w:rPr>
          <w:sz w:val="20"/>
          <w:szCs w:val="20"/>
          <w:color w:val="auto"/>
        </w:rPr>
      </w:pPr>
    </w:p>
    <w:p>
      <w:pPr>
        <w:jc w:val="both"/>
        <w:ind w:right="20" w:firstLine="348"/>
        <w:spacing w:after="0" w:line="301" w:lineRule="auto"/>
        <w:rPr>
          <w:sz w:val="20"/>
          <w:szCs w:val="20"/>
          <w:color w:val="auto"/>
        </w:rPr>
      </w:pPr>
      <w:r>
        <w:rPr>
          <w:rFonts w:ascii="Times New Roman" w:cs="Times New Roman" w:eastAsia="Times New Roman" w:hAnsi="Times New Roman"/>
          <w:sz w:val="16"/>
          <w:szCs w:val="16"/>
          <w:color w:val="auto"/>
        </w:rPr>
        <w:t>The notes may not and will not be offered or sold to any individual or legal entity in The Netherlands other than to individuals or legal entities who or which trade in securities in the conduct of their profession or trade within the meaning of section 2 of the exemption regulation pursuant to the Dutch Securities Market Supervision Act (</w:t>
      </w:r>
      <w:r>
        <w:rPr>
          <w:rFonts w:ascii="Times New Roman" w:cs="Times New Roman" w:eastAsia="Times New Roman" w:hAnsi="Times New Roman"/>
          <w:sz w:val="16"/>
          <w:szCs w:val="16"/>
          <w:i w:val="1"/>
          <w:iCs w:val="1"/>
          <w:color w:val="auto"/>
        </w:rPr>
        <w:t>Vrijstellingregeling Wet toezicht effectenverker</w:t>
      </w:r>
      <w:r>
        <w:rPr>
          <w:rFonts w:ascii="Times New Roman" w:cs="Times New Roman" w:eastAsia="Times New Roman" w:hAnsi="Times New Roman"/>
          <w:sz w:val="16"/>
          <w:szCs w:val="16"/>
          <w:color w:val="auto"/>
        </w:rPr>
        <w:t xml:space="preserve"> 1995), which includes banks, securities intermediaries (including dealers and brokers), insurance companies, pension funds, other institutional investors and commercial enterprises which, as an ancillary activity, regularly invest or trade in securities.</w:t>
      </w:r>
    </w:p>
    <w:p>
      <w:pPr>
        <w:spacing w:after="0" w:line="157" w:lineRule="exact"/>
        <w:rPr>
          <w:sz w:val="20"/>
          <w:szCs w:val="20"/>
          <w:color w:val="auto"/>
        </w:rPr>
      </w:pPr>
    </w:p>
    <w:p>
      <w:pPr>
        <w:ind w:right="140" w:firstLine="348"/>
        <w:spacing w:after="0" w:line="285"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the public or any member of the public in Singapore other than (i) to an institutional investor or other person specified in Section 274 of the Securities and Futures Act 2001 of Singapore (the "SFA"),</w:t>
      </w:r>
    </w:p>
    <w:p>
      <w:pPr>
        <w:spacing w:after="0" w:line="3" w:lineRule="exact"/>
        <w:rPr>
          <w:sz w:val="20"/>
          <w:szCs w:val="20"/>
          <w:color w:val="auto"/>
        </w:rPr>
      </w:pPr>
    </w:p>
    <w:p>
      <w:pPr>
        <w:ind w:right="360" w:firstLine="8"/>
        <w:spacing w:after="0" w:line="261" w:lineRule="auto"/>
        <w:tabs>
          <w:tab w:leader="none" w:pos="25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sophisticated investor in accordance with the conditions specified in Section 275 of the SFA or (iii) otherwise pursuant to, and in accordance with the conditions of, any other applicable provision of the SFA.</w:t>
      </w:r>
    </w:p>
    <w:p>
      <w:pPr>
        <w:spacing w:after="0" w:line="186"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notes may not be offered or sold in Spain except in accordance with the requirements of the Spanish Securities Market Law (Ley 24/1988 de 28 de julio, del mercado de valores as amended by Law 37/1998 of November 16) and Royal Decree 291/1992, on Issues and Public Offerings of Securities (Real Decreto 291/1992, de 27 de marzo, sobre emisiones y ofertas públicas de valores) as amended or restated by Royal Decree 2590/1998 of 7 December (hereinafter the "R.D. 291/92"). This offering memorandum has not been verified nor registered in the administrative registries of the National Stock Exchange Commission ("CNMV") in Spain, and therefore a public offer for subscription of the notes shall not be promoted in Spain. Notwithstanding that and in accordance with the requirement set forth in R.D. 291/92, a private placement of the notes addressed exclusively to institutional investors (as defined in Article 7.1a of R.D. 291/92) will be carried out. The institutional investors will be subject to the restrictions on the subsequent transfer of the notes to other investors in Spain which are not institutional investors.</w:t>
      </w:r>
    </w:p>
    <w:p>
      <w:pPr>
        <w:spacing w:after="0" w:line="192"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notes are sold in Switzerland on the basis of a Private Placement. This prospectus does not, therefore, constitute a Prospectus within the meaning of Art. 652A of the Swiss Federal Code of Obligations.</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Las Vegas, Nevada. Selected legal matters in connection with this offering will be passed upon for the underwriters by Latham &amp; Watkins, Los Angeles, California. Certain matters of the law of the Macau Special Administrative Region of the People's Republic of China will be passed upon for Wynn Resorts by A. Correia da Silva, Macau Special Administrative Region of the People's Republic of China.</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193"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of Wynn Las Vegas, LLC (a wholly owned subsidiary of Valvino Lamore, LLC and a development stage company) as of December 31, 2001 and for the period from inception (April 17, 2001) to December 31, 2001, included in this prospectus have been audited by Deloitte &amp; Touche LLP, independent auditors, as stated in their report appearing herein, and have been so included in reliance upon the reports of such firm given upon their authority of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ACCOUNTANTS</w:t>
      </w:r>
    </w:p>
    <w:p>
      <w:pPr>
        <w:spacing w:after="0" w:line="227"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93" w:lineRule="exact"/>
        <w:rPr>
          <w:sz w:val="20"/>
          <w:szCs w:val="20"/>
          <w:color w:val="auto"/>
        </w:rPr>
      </w:pPr>
    </w:p>
    <w:p>
      <w:pPr>
        <w:jc w:val="both"/>
        <w:ind w:right="200" w:firstLine="348"/>
        <w:spacing w:after="0" w:line="262" w:lineRule="auto"/>
        <w:rPr>
          <w:sz w:val="20"/>
          <w:szCs w:val="20"/>
          <w:color w:val="auto"/>
        </w:rPr>
      </w:pPr>
      <w:r>
        <w:rPr>
          <w:rFonts w:ascii="Times New Roman" w:cs="Times New Roman" w:eastAsia="Times New Roman" w:hAnsi="Times New Roman"/>
          <w:sz w:val="18"/>
          <w:szCs w:val="18"/>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ectPr>
          <w:pgSz w:w="11900" w:h="16838" w:orient="portrait"/>
          <w:cols w:equalWidth="0" w:num="1">
            <w:col w:w="11400"/>
          </w:cols>
          <w:pgMar w:left="240" w:top="125" w:right="259" w:bottom="0" w:gutter="0" w:footer="0" w:header="0"/>
          <w:type w:val="continuous"/>
        </w:sectPr>
      </w:pPr>
    </w:p>
    <w:bookmarkStart w:id="146" w:name="page147"/>
    <w:bookmarkEnd w:id="146"/>
    <w:p>
      <w:pPr>
        <w:ind w:right="720" w:firstLine="348"/>
        <w:spacing w:after="0" w:line="275" w:lineRule="auto"/>
        <w:rPr>
          <w:sz w:val="20"/>
          <w:szCs w:val="20"/>
          <w:color w:val="auto"/>
        </w:rPr>
      </w:pPr>
      <w:r>
        <w:rPr>
          <w:rFonts w:ascii="Times New Roman" w:cs="Times New Roman" w:eastAsia="Times New Roman" w:hAnsi="Times New Roman"/>
          <w:sz w:val="18"/>
          <w:szCs w:val="18"/>
          <w:color w:val="auto"/>
        </w:rPr>
        <w:t>Wynn Las Vegas, Wynn Capital and the guarantors listed herein have filed with the Securities and Exchange Commission, referred to as the SEC, a registration statement on Form S-1 with respect to the second mortgage notes offered by this prospectus. This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 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Las Vegas, Wynn Capital or the guarantors files may be read and copied at the SEC's public reference room at 450 Fifth Street, N.W., Washington, D.C. 20549. Please call the SEC at 1-800-SEC-0330 for further information about the public reference room. Filings by Wynn Las Vegas, Wynn Capital or the guarantors with the SEC are also available to the public from the SEC's Web site at http://www.sec.gov.</w:t>
      </w:r>
    </w:p>
    <w:p>
      <w:pPr>
        <w:spacing w:after="0" w:line="19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 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jc w:val="center"/>
              <w:ind w:left="2932"/>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Valvino Lamore, LLC and Subsidiaries</w:t>
            </w:r>
          </w:p>
        </w:tc>
        <w:tc>
          <w:tcPr>
            <w:tcW w:w="680" w:type="dxa"/>
            <w:vAlign w:val="bottom"/>
            <w:shd w:val="clear" w:color="auto" w:fill="CCEEFF"/>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tc>
        <w:tc>
          <w:tcPr>
            <w:tcW w:w="680" w:type="dxa"/>
            <w:vAlign w:val="bottom"/>
            <w:shd w:val="clear" w:color="auto" w:fill="CCEEFF"/>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Members' 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Wynn Las Vegas, LLC</w:t>
            </w: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Wholly Owned Subsidiary of Valvino Lamore, LLC and a Development Stage Company)</w:t>
            </w: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F-35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Members' Equity</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F-38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F-39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3080" w:type="dxa"/>
            <w:vAlign w:val="bottom"/>
            <w:gridSpan w:val="2"/>
          </w:tcPr>
          <w:p>
            <w:pPr>
              <w:jc w:val="right"/>
              <w:ind w:right="2400"/>
              <w:spacing w:after="0"/>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tcPr>
          <w:p>
            <w:pPr>
              <w:jc w:val="center"/>
              <w:ind w:left="2992"/>
              <w:spacing w:after="0"/>
              <w:rPr>
                <w:sz w:val="20"/>
                <w:szCs w:val="20"/>
                <w:color w:val="auto"/>
              </w:rPr>
            </w:pPr>
            <w:r>
              <w:rPr>
                <w:rFonts w:ascii="Times New Roman" w:cs="Times New Roman" w:eastAsia="Times New Roman" w:hAnsi="Times New Roman"/>
                <w:sz w:val="18"/>
                <w:szCs w:val="18"/>
                <w:color w:val="auto"/>
                <w:w w:val="95"/>
              </w:rPr>
              <w:t>F-1</w:t>
            </w: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Valvino Lamore, LLC and subsidiaries (a development stage company)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2001 and 2000, and the related consolidated statements of operations, members' equity, and cash flows for the year ended December 31, 2001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inception (April 21, 2000) to December 31, 2000. These financial statements are the responsibility of the Company's management.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is to express an opinion on these financial statements based on our audits.</w:t>
      </w:r>
    </w:p>
    <w:p>
      <w:pPr>
        <w:sectPr>
          <w:pgSz w:w="11900" w:h="16838" w:orient="portrait"/>
          <w:cols w:equalWidth="0" w:num="1">
            <w:col w:w="11420"/>
          </w:cols>
          <w:pgMar w:left="240" w:top="125" w:right="239" w:bottom="0" w:gutter="0" w:footer="0" w:header="0"/>
        </w:sectPr>
      </w:pPr>
    </w:p>
    <w:bookmarkStart w:id="147" w:name="page148"/>
    <w:bookmarkEnd w:id="147"/>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20" w:type="dxa"/>
            <w:vAlign w:val="bottom"/>
          </w:tcPr>
          <w:p>
            <w:pPr>
              <w:spacing w:after="0"/>
              <w:rPr>
                <w:sz w:val="13"/>
                <w:szCs w:val="13"/>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net of current</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5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220" w:type="dxa"/>
            <w:vAlign w:val="bottom"/>
          </w:tcPr>
          <w:p>
            <w:pPr>
              <w:spacing w:after="0"/>
              <w:rPr>
                <w:sz w:val="24"/>
                <w:szCs w:val="24"/>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tcPr>
          <w:p>
            <w:pPr>
              <w:spacing w:after="0"/>
              <w:rPr>
                <w:sz w:val="24"/>
                <w:szCs w:val="24"/>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from inception during the development stage</w:t>
            </w: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(40,747)</w:t>
            </w:r>
          </w:p>
        </w:tc>
        <w:tc>
          <w:tcPr>
            <w:tcW w:w="32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(26,054)</w:t>
            </w:r>
          </w:p>
        </w:tc>
        <w:tc>
          <w:tcPr>
            <w:tcW w:w="32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586,407</w:t>
            </w:r>
          </w:p>
        </w:tc>
        <w:tc>
          <w:tcPr>
            <w:tcW w:w="220" w:type="dxa"/>
            <w:vAlign w:val="bottom"/>
          </w:tcPr>
          <w:p>
            <w:pPr>
              <w:spacing w:after="0"/>
              <w:rPr>
                <w:sz w:val="24"/>
                <w:szCs w:val="24"/>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220" w:type="dxa"/>
            <w:vAlign w:val="bottom"/>
          </w:tcPr>
          <w:p>
            <w:pPr>
              <w:spacing w:after="0"/>
              <w:rPr>
                <w:sz w:val="24"/>
                <w:szCs w:val="24"/>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-5991860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-5991860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-5991860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-5991860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-5991860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-5991860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-4353560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-4353560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-4353560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-4353560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-4353560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-4353560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-3359150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-3359150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-3359150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-3359150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-3359150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-3359150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-1901190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-1901190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-1901190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-1901190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-1901190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-631825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-631825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-631825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-631825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-631825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-631825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-340360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-340360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-340360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-340360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125" w:right="239" w:bottom="0" w:gutter="0" w:footer="0" w:header="0"/>
        </w:sectPr>
      </w:pPr>
    </w:p>
    <w:bookmarkStart w:id="148" w:name="page149"/>
    <w:bookmarkEnd w:id="148"/>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80" w:type="dxa"/>
            <w:vAlign w:val="bottom"/>
          </w:tcPr>
          <w:p>
            <w:pPr>
              <w:spacing w:after="0"/>
              <w:rPr>
                <w:sz w:val="12"/>
                <w:szCs w:val="12"/>
                <w:color w:val="auto"/>
              </w:rPr>
            </w:pPr>
          </w:p>
        </w:tc>
        <w:tc>
          <w:tcPr>
            <w:tcW w:w="188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18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From Inception to</w:t>
            </w:r>
          </w:p>
        </w:tc>
        <w:tc>
          <w:tcPr>
            <w:tcW w:w="2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Inception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June 30, 2001</w:t>
            </w:r>
          </w:p>
        </w:tc>
        <w:tc>
          <w:tcPr>
            <w:tcW w:w="28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26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2000</w:t>
            </w:r>
          </w:p>
        </w:tc>
        <w:tc>
          <w:tcPr>
            <w:tcW w:w="20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Airplane lease</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1"/>
                <w:szCs w:val="21"/>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1"/>
                <w:szCs w:val="21"/>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21"/>
                <w:szCs w:val="21"/>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Art gallery</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Water</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Pre-opening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Depreciation and</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Settlement of intercompany</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balances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Selling, general &amp;</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administrative expenses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Facility closure</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 of water</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retail sales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Loss from incidental</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operations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(15,627)</w:t>
            </w:r>
          </w:p>
        </w:tc>
        <w:tc>
          <w:tcPr>
            <w:tcW w:w="24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(9,471)</w:t>
            </w:r>
          </w:p>
        </w:tc>
        <w:tc>
          <w:tcPr>
            <w:tcW w:w="28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(19,233)</w:t>
            </w:r>
          </w:p>
        </w:tc>
        <w:tc>
          <w:tcPr>
            <w:tcW w:w="26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(10,572)</w:t>
            </w:r>
          </w:p>
        </w:tc>
        <w:tc>
          <w:tcPr>
            <w:tcW w:w="2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Income/(Expense)</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Interest expense, net of</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capitalized</w:t>
            </w:r>
          </w:p>
        </w:tc>
        <w:tc>
          <w:tcPr>
            <w:tcW w:w="2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4"/>
                <w:szCs w:val="1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Pr>
          <w:p>
            <w:pPr>
              <w:spacing w:after="0"/>
              <w:rPr>
                <w:sz w:val="14"/>
                <w:szCs w:val="1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Minority interest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loss accumulated during</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development stage</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(14,693)</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(7,935)</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(16,899)</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(9,155)</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Weighted Average Shares</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Loss Per Share—Basic and</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(70.37)</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(39.04)</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(82.24)</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(45.78)</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-5243195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-5243195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-5243195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-5243195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-5243195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-5243195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-5243195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-5243195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-5243195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-5243195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-4128135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-4128135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-4128135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-4128135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-4128135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-4128135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-4128135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-4128135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-4128135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-4128135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-2224405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-2224405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-2224405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-2224405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-2224405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-2224405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-2224405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-2224405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-2224405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-2224405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-1975485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-1975485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-1975485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-1975485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-1975485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-1975485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-1975485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-1975485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-1975485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-1975485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-1229360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-1229360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-1229360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-1229360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-1229360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-1229360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-1229360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-1229360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-1229360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-1229360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-981075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-981075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-981075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-981075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-981075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-981075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-981075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-981075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-981075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-981075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Kenneth R.</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Stephen A.</w:t>
            </w:r>
          </w:p>
        </w:tc>
        <w:tc>
          <w:tcPr>
            <w:tcW w:w="1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Aruze USA,</w:t>
            </w:r>
          </w:p>
        </w:tc>
        <w:tc>
          <w:tcPr>
            <w:tcW w:w="140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Baron</w:t>
            </w:r>
          </w:p>
        </w:tc>
        <w:tc>
          <w:tcPr>
            <w:tcW w:w="13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7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Wynn Capital</w:t>
            </w: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 Capital</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Asset Fund</w:t>
            </w: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Family Trust</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Inception (April 21, 2000)</w:t>
            </w:r>
          </w:p>
        </w:tc>
        <w:tc>
          <w:tcPr>
            <w:tcW w:w="152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Member contributions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 distributions</w:t>
            </w:r>
          </w:p>
        </w:tc>
        <w:tc>
          <w:tcPr>
            <w:tcW w:w="15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(110,482)</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fee</w:t>
            </w: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1"/>
                <w:szCs w:val="21"/>
                <w:color w:val="auto"/>
              </w:rPr>
            </w:pPr>
          </w:p>
        </w:tc>
        <w:tc>
          <w:tcPr>
            <w:tcW w:w="14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loss accumulated during the</w:t>
            </w: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 stage</w:t>
            </w:r>
          </w:p>
        </w:tc>
        <w:tc>
          <w:tcPr>
            <w:tcW w:w="15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(7,281)</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(1,874)</w:t>
            </w:r>
          </w:p>
        </w:tc>
        <w:tc>
          <w:tcPr>
            <w:tcW w:w="2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118"/>
        </w:trPr>
        <w:tc>
          <w:tcPr>
            <w:tcW w:w="280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-1351915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-1351915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-1351915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-1351915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-1351915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-1351915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-1351915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-1351915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-1351915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-1351915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-1351915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-1351915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-323215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20"/>
          </w:cols>
          <w:pgMar w:left="240" w:top="582" w:right="239" w:bottom="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 contributions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fee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3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loss accumulated during the</w:t>
            </w: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 stage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4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5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118"/>
        </w:trPr>
        <w:tc>
          <w:tcPr>
            <w:tcW w:w="280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 contributions (unaudited)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Net loss accumulated during the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stage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(7,021)</w:t>
            </w: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(7,021)</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2002 (unaudited)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210,834</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-1214755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-1214755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-1214755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-1214755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-1214755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-1214755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-1214755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-1214755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-1214755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-1214755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-1214755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-323215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0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accumulated during the development stage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(14,693)</w:t>
            </w:r>
          </w:p>
        </w:tc>
        <w:tc>
          <w:tcPr>
            <w:tcW w:w="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(7,935)</w:t>
            </w: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(16,899)</w:t>
            </w:r>
          </w:p>
        </w:tc>
        <w:tc>
          <w:tcPr>
            <w:tcW w:w="2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(9,155)</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(40,747)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 during</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development stage to net cash provided by/(used</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operating activities:</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3,966</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7,979</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3,681</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loan origination fees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sale of fixed assets</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Incidental operations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3,611</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Receivables, net</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7,042</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6,318</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(9,064)</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Operating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(4,187)</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(4,807)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(13,501)</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Acquisition of Desert Inn Resort and Casino, net of</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(270,718)</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net of construction payables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(19,306)</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(14,961)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(29,080)</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(47,068)</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airplane</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(9,591)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(4,714)</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(1,720)</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(1,299)</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from related parties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8,008</w:t>
            </w: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775</w:t>
            </w:r>
          </w:p>
        </w:tc>
        <w:tc>
          <w:tcPr>
            <w:tcW w:w="24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776</w:t>
            </w:r>
          </w:p>
        </w:tc>
        <w:tc>
          <w:tcPr>
            <w:tcW w:w="2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9,559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(23,438)</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(25,573)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(40,979)</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(319,472)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(383,889)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-3596640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-3596640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-3596640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-3596640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-3596640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-3596640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-3596640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-3596640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-3596640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The accompanying footnotes are an integral part of these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contributions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173,494</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20,800</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480,713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675,007</w:t>
            </w:r>
          </w:p>
        </w:tc>
        <w:tc>
          <w:tcPr>
            <w:tcW w:w="120" w:type="dxa"/>
            <w:vAlign w:val="bottom"/>
          </w:tcPr>
          <w:p>
            <w:pPr>
              <w:spacing w:after="0"/>
              <w:rPr>
                <w:sz w:val="21"/>
                <w:szCs w:val="21"/>
                <w:color w:val="auto"/>
              </w:rPr>
            </w:pPr>
          </w:p>
        </w:tc>
      </w:tr>
      <w:tr>
        <w:trPr>
          <w:trHeight w:val="24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distributions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(110,482)</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(110,482)</w:t>
            </w: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Third party fee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(800)</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(10,800)</w:t>
            </w:r>
          </w:p>
        </w:tc>
      </w:tr>
      <w:tr>
        <w:trPr>
          <w:trHeight w:val="24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Macau</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shd w:val="clear" w:color="auto" w:fill="CCEEFF"/>
          </w:tcPr>
          <w:p>
            <w:pPr>
              <w:spacing w:after="0"/>
              <w:rPr>
                <w:sz w:val="21"/>
                <w:szCs w:val="2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125,000</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tcPr>
          <w:p>
            <w:pPr>
              <w:spacing w:after="0"/>
              <w:rPr>
                <w:sz w:val="21"/>
                <w:szCs w:val="21"/>
                <w:color w:val="auto"/>
              </w:rPr>
            </w:pPr>
          </w:p>
        </w:tc>
      </w:tr>
      <w:tr>
        <w:trPr>
          <w:trHeight w:val="24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(125,018)</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(125,066)</w:t>
            </w: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 origination fees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(1,465)</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(1,465)</w:t>
            </w:r>
          </w:p>
        </w:tc>
      </w:tr>
      <w:tr>
        <w:trPr>
          <w:trHeight w:val="24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related party loan</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21"/>
                <w:szCs w:val="21"/>
                <w:color w:val="auto"/>
              </w:rPr>
            </w:pPr>
          </w:p>
        </w:tc>
      </w:tr>
      <w:tr>
        <w:trPr>
          <w:trHeight w:val="256"/>
        </w:trPr>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of related party loan</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(70,000)</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(70,000)</w:t>
            </w:r>
          </w:p>
        </w:tc>
      </w:tr>
      <w:tr>
        <w:trPr>
          <w:trHeight w:val="105"/>
        </w:trPr>
        <w:tc>
          <w:tcPr>
            <w:tcW w:w="30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3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6"/>
        </w:trPr>
        <w:tc>
          <w:tcPr>
            <w:tcW w:w="30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Cash Provided by/(used in) Financing</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1"/>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176,534</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2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19,968</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388,748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585,250</w:t>
            </w:r>
          </w:p>
        </w:tc>
        <w:tc>
          <w:tcPr>
            <w:tcW w:w="12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-269240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-269240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-269240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-269240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-269240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-269240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-269240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-269240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-269240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-269240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94" w:right="239" w:bottom="0" w:gutter="0" w:footer="0" w:header="0"/>
        </w:sectPr>
      </w:pPr>
    </w:p>
    <w:bookmarkStart w:id="150" w:name="page151"/>
    <w:bookmarkEnd w:id="150"/>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2050415</wp:posOffset>
            </wp:positionH>
            <wp:positionV relativeFrom="page">
              <wp:posOffset>88900</wp:posOffset>
            </wp:positionV>
            <wp:extent cx="5278120"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27812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Increase/(Decrease) in Cash and Cash Equivalents</w:t>
            </w: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148,589</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(5,009)</w:t>
            </w:r>
          </w:p>
        </w:tc>
        <w:tc>
          <w:tcPr>
            <w:tcW w:w="6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(25,198)</w:t>
            </w: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64,469</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50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59,460</w:t>
            </w:r>
          </w:p>
        </w:tc>
        <w:tc>
          <w:tcPr>
            <w:tcW w:w="220" w:type="dxa"/>
            <w:vAlign w:val="bottom"/>
          </w:tcPr>
          <w:p>
            <w:pPr>
              <w:spacing w:after="0"/>
              <w:rPr>
                <w:sz w:val="23"/>
                <w:szCs w:val="23"/>
                <w:color w:val="auto"/>
              </w:rPr>
            </w:pPr>
          </w:p>
        </w:tc>
        <w:tc>
          <w:tcPr>
            <w:tcW w:w="64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39,271</w:t>
            </w:r>
          </w:p>
        </w:tc>
        <w:tc>
          <w:tcPr>
            <w:tcW w:w="220" w:type="dxa"/>
            <w:vAlign w:val="bottom"/>
          </w:tcPr>
          <w:p>
            <w:pPr>
              <w:spacing w:after="0"/>
              <w:rPr>
                <w:sz w:val="23"/>
                <w:szCs w:val="23"/>
                <w:color w:val="auto"/>
              </w:rPr>
            </w:pPr>
          </w:p>
        </w:tc>
        <w:tc>
          <w:tcPr>
            <w:tcW w:w="66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64,469</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50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64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5"/>
                <w:szCs w:val="15"/>
                <w:color w:val="auto"/>
              </w:rPr>
            </w:pPr>
          </w:p>
        </w:tc>
        <w:tc>
          <w:tcPr>
            <w:tcW w:w="66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-640080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-640080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-640080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-640080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-640080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-640080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-640080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-640080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-640080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During the period from inception (April 21, 2000) through December 31, 2000, a member converted $30 million of related party debt and $2.3 million of accrued interest into equity.</w:t>
      </w:r>
    </w:p>
    <w:p>
      <w:pPr>
        <w:spacing w:after="0" w:line="204" w:lineRule="exact"/>
        <w:rPr>
          <w:sz w:val="20"/>
          <w:szCs w:val="20"/>
          <w:color w:val="auto"/>
        </w:rPr>
      </w:pPr>
    </w:p>
    <w:p>
      <w:pPr>
        <w:ind w:left="540" w:right="260"/>
        <w:spacing w:after="0" w:line="241" w:lineRule="auto"/>
        <w:rPr>
          <w:sz w:val="20"/>
          <w:szCs w:val="20"/>
          <w:color w:val="auto"/>
        </w:rPr>
      </w:pPr>
      <w:r>
        <w:rPr>
          <w:rFonts w:ascii="Times New Roman" w:cs="Times New Roman" w:eastAsia="Times New Roman" w:hAnsi="Times New Roman"/>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0" w:lineRule="exact"/>
        <w:rPr>
          <w:sz w:val="20"/>
          <w:szCs w:val="20"/>
          <w:color w:val="auto"/>
        </w:rPr>
      </w:pPr>
    </w:p>
    <w:p>
      <w:pPr>
        <w:ind w:left="540" w:right="160"/>
        <w:spacing w:after="0" w:line="241" w:lineRule="auto"/>
        <w:rPr>
          <w:sz w:val="20"/>
          <w:szCs w:val="20"/>
          <w:color w:val="auto"/>
        </w:rPr>
      </w:pPr>
      <w:r>
        <w:rPr>
          <w:rFonts w:ascii="Times New Roman" w:cs="Times New Roman" w:eastAsia="Times New Roman" w:hAnsi="Times New Roman"/>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May 2002, certain intercompany balances were settled resulting in the recognition of an approximate $2 million loss.</w:t>
      </w:r>
    </w:p>
    <w:p>
      <w:pPr>
        <w:spacing w:after="0" w:line="204"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2"/>
          <w:szCs w:val="12"/>
          <w:color w:val="auto"/>
        </w:rPr>
        <w:t>(Concluded)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footnotes are an integral part of these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540" w:hanging="532"/>
        <w:spacing w:after="0"/>
        <w:tabs>
          <w:tab w:leader="none" w:pos="5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00" w:lineRule="exact"/>
        <w:rPr>
          <w:sz w:val="20"/>
          <w:szCs w:val="20"/>
          <w:color w:val="auto"/>
        </w:rPr>
      </w:pPr>
    </w:p>
    <w:p>
      <w:pPr>
        <w:spacing w:after="0" w:line="270" w:lineRule="exact"/>
        <w:rPr>
          <w:sz w:val="20"/>
          <w:szCs w:val="20"/>
          <w:color w:val="auto"/>
        </w:rPr>
      </w:pPr>
    </w:p>
    <w:p>
      <w:pPr>
        <w:ind w:left="1080" w:hanging="532"/>
        <w:spacing w:after="0"/>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Basis for Presentation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Valvino Lamore, LLC was formed on April 21, 2000 as a Nevada limited-liability company. At formation, the Company's sole member was Stephen</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Wynn. As of December 31, 2001, subsidiaries of Valvino Lamore, LLC include Wynn Design and Development, LLC, Rambas Marketing</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are collectively, with Valvino Lamore, LLC, herein referred to as the "Company."</w:t>
      </w:r>
    </w:p>
    <w:p>
      <w:pPr>
        <w:spacing w:after="0" w:line="213" w:lineRule="exact"/>
        <w:rPr>
          <w:sz w:val="20"/>
          <w:szCs w:val="20"/>
          <w:color w:val="auto"/>
        </w:rPr>
      </w:pPr>
    </w:p>
    <w:p>
      <w:pPr>
        <w:ind w:left="540" w:firstLine="351"/>
        <w:spacing w:after="0" w:line="254" w:lineRule="auto"/>
        <w:rPr>
          <w:sz w:val="20"/>
          <w:szCs w:val="20"/>
          <w:color w:val="auto"/>
        </w:rPr>
      </w:pPr>
      <w:r>
        <w:rPr>
          <w:rFonts w:ascii="Times New Roman" w:cs="Times New Roman" w:eastAsia="Times New Roman" w:hAnsi="Times New Roman"/>
          <w:sz w:val="18"/>
          <w:szCs w:val="18"/>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95" w:lineRule="exact"/>
        <w:rPr>
          <w:sz w:val="20"/>
          <w:szCs w:val="20"/>
          <w:color w:val="auto"/>
        </w:rPr>
      </w:pPr>
    </w:p>
    <w:p>
      <w:pPr>
        <w:ind w:left="540" w:right="100" w:firstLine="351"/>
        <w:spacing w:after="0" w:line="256" w:lineRule="auto"/>
        <w:rPr>
          <w:sz w:val="20"/>
          <w:szCs w:val="20"/>
          <w:color w:val="auto"/>
        </w:rPr>
      </w:pPr>
      <w:r>
        <w:rPr>
          <w:rFonts w:ascii="Times New Roman" w:cs="Times New Roman" w:eastAsia="Times New Roman" w:hAnsi="Times New Roman"/>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3" w:lineRule="exact"/>
        <w:rPr>
          <w:sz w:val="20"/>
          <w:szCs w:val="20"/>
          <w:color w:val="auto"/>
        </w:rPr>
      </w:pPr>
    </w:p>
    <w:p>
      <w:pPr>
        <w:ind w:left="540" w:firstLine="351"/>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90" w:lineRule="exact"/>
        <w:rPr>
          <w:sz w:val="20"/>
          <w:szCs w:val="20"/>
          <w:color w:val="auto"/>
        </w:rPr>
      </w:pPr>
    </w:p>
    <w:p>
      <w:pPr>
        <w:ind w:left="540" w:right="200" w:firstLine="351"/>
        <w:spacing w:after="0" w:line="310" w:lineRule="auto"/>
        <w:rPr>
          <w:sz w:val="20"/>
          <w:szCs w:val="20"/>
          <w:color w:val="auto"/>
        </w:rPr>
      </w:pPr>
      <w:r>
        <w:rPr>
          <w:rFonts w:ascii="Times New Roman" w:cs="Times New Roman" w:eastAsia="Times New Roman" w:hAnsi="Times New Roman"/>
          <w:sz w:val="16"/>
          <w:szCs w:val="16"/>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51" w:lineRule="exact"/>
        <w:rPr>
          <w:sz w:val="20"/>
          <w:szCs w:val="20"/>
          <w:color w:val="auto"/>
        </w:rPr>
      </w:pPr>
    </w:p>
    <w:p>
      <w:pPr>
        <w:ind w:left="540" w:right="100" w:firstLine="341"/>
        <w:spacing w:after="0" w:line="275" w:lineRule="auto"/>
        <w:rPr>
          <w:sz w:val="20"/>
          <w:szCs w:val="20"/>
          <w:color w:val="auto"/>
        </w:rPr>
      </w:pPr>
      <w:r>
        <w:rPr>
          <w:rFonts w:ascii="Times New Roman" w:cs="Times New Roman" w:eastAsia="Times New Roman" w:hAnsi="Times New Roman"/>
          <w:sz w:val="18"/>
          <w:szCs w:val="18"/>
          <w:color w:val="auto"/>
        </w:rPr>
        <w:t>Additionally, effective June 28, 2001, the Nevada Public Utility Commission approved the transfer of ownership of Desert Inn Water Company, also a previously unconsolidated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339" w:lineRule="auto"/>
        <w:rPr>
          <w:sz w:val="20"/>
          <w:szCs w:val="20"/>
          <w:color w:val="auto"/>
        </w:rPr>
      </w:pPr>
      <w:r>
        <w:rPr>
          <w:rFonts w:ascii="Times New Roman" w:cs="Times New Roman" w:eastAsia="Times New Roman" w:hAnsi="Times New Roman"/>
          <w:sz w:val="16"/>
          <w:szCs w:val="16"/>
          <w:color w:val="auto"/>
        </w:rPr>
        <w:t>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w:t>
      </w:r>
    </w:p>
    <w:p>
      <w:pPr>
        <w:sectPr>
          <w:pgSz w:w="11900" w:h="16876" w:orient="portrait"/>
          <w:cols w:equalWidth="0" w:num="1">
            <w:col w:w="11420"/>
          </w:cols>
          <w:pgMar w:left="240" w:top="275" w:right="239" w:bottom="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this acquisition, which was equivalent to the fair market value of the water rights of $6.4 million.</w:t>
      </w:r>
    </w:p>
    <w:p>
      <w:pPr>
        <w:spacing w:after="0" w:line="239" w:lineRule="exact"/>
        <w:rPr>
          <w:sz w:val="20"/>
          <w:szCs w:val="20"/>
          <w:color w:val="auto"/>
        </w:rPr>
      </w:pPr>
    </w:p>
    <w:p>
      <w:pPr>
        <w:ind w:left="540" w:hanging="532"/>
        <w:spacing w:after="0"/>
        <w:tabs>
          <w:tab w:leader="none" w:pos="54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Stage Risk Factors</w:t>
      </w:r>
    </w:p>
    <w:p>
      <w:pPr>
        <w:spacing w:after="0" w:line="22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74" w:lineRule="exact"/>
        <w:rPr>
          <w:sz w:val="20"/>
          <w:szCs w:val="20"/>
          <w:color w:val="auto"/>
        </w:rPr>
      </w:pPr>
    </w:p>
    <w:p>
      <w:pPr>
        <w:jc w:val="both"/>
        <w:ind w:firstLine="348"/>
        <w:spacing w:after="0" w:line="310" w:lineRule="auto"/>
        <w:rPr>
          <w:sz w:val="20"/>
          <w:szCs w:val="20"/>
          <w:color w:val="auto"/>
        </w:rPr>
      </w:pPr>
      <w:r>
        <w:rPr>
          <w:rFonts w:ascii="Times New Roman" w:cs="Times New Roman" w:eastAsia="Times New Roman" w:hAnsi="Times New Roman"/>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8" w:lineRule="exact"/>
        <w:rPr>
          <w:sz w:val="20"/>
          <w:szCs w:val="20"/>
          <w:color w:val="auto"/>
        </w:rPr>
      </w:pPr>
    </w:p>
    <w:p>
      <w:pPr>
        <w:ind w:left="540" w:hanging="532"/>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Significant intercompany balances and transactions have been eliminated.</w:t>
      </w:r>
    </w:p>
    <w:p>
      <w:pPr>
        <w:spacing w:after="0" w:line="187" w:lineRule="exact"/>
        <w:rPr>
          <w:sz w:val="20"/>
          <w:szCs w:val="20"/>
          <w:color w:val="auto"/>
        </w:rPr>
      </w:pPr>
    </w:p>
    <w:p>
      <w:pPr>
        <w:ind w:left="540" w:hanging="532"/>
        <w:spacing w:after="0"/>
        <w:tabs>
          <w:tab w:leader="none" w:pos="5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a maturity of three months or less. Cash equivalents are carried at cost, which approximates fair value.</w:t>
      </w:r>
    </w:p>
    <w:p>
      <w:pPr>
        <w:spacing w:after="0" w:line="187" w:lineRule="exact"/>
        <w:rPr>
          <w:sz w:val="20"/>
          <w:szCs w:val="20"/>
          <w:color w:val="auto"/>
        </w:rPr>
      </w:pPr>
    </w:p>
    <w:p>
      <w:pPr>
        <w:ind w:left="540" w:hanging="532"/>
        <w:spacing w:after="0"/>
        <w:tabs>
          <w:tab w:leader="none" w:pos="5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 consists of certificates of deposits to collateralize certain construction insurance claims as well as required sales tax deposits.</w:t>
      </w:r>
    </w:p>
    <w:p>
      <w:pPr>
        <w:spacing w:after="0" w:line="252" w:lineRule="exact"/>
        <w:rPr>
          <w:sz w:val="20"/>
          <w:szCs w:val="20"/>
          <w:color w:val="auto"/>
        </w:rPr>
      </w:pPr>
    </w:p>
    <w:p>
      <w:pPr>
        <w:ind w:left="540" w:hanging="532"/>
        <w:spacing w:after="0"/>
        <w:tabs>
          <w:tab w:leader="none" w:pos="5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Retail, food and beverage inventories are stated at the lower of cost or market value. Cost is determined by the first-in, first-out and specific identification methods.</w:t>
      </w:r>
    </w:p>
    <w:p>
      <w:pPr>
        <w:spacing w:after="0" w:line="187" w:lineRule="exact"/>
        <w:rPr>
          <w:sz w:val="20"/>
          <w:szCs w:val="20"/>
          <w:color w:val="auto"/>
        </w:rPr>
      </w:pPr>
    </w:p>
    <w:p>
      <w:pPr>
        <w:ind w:left="540" w:hanging="532"/>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cost. Depreciation is provided over the estimated useful lives of the assets using the straight-line method for financial reporting purposes as follows:</w:t>
      </w:r>
    </w:p>
    <w:p>
      <w:pPr>
        <w:spacing w:after="0" w:line="240"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1 to 3 years</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Parking garage</w:t>
            </w:r>
          </w:p>
        </w:tc>
        <w:tc>
          <w:tcPr>
            <w:tcW w:w="32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7 years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8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0" w:lineRule="exact"/>
        <w:rPr>
          <w:sz w:val="20"/>
          <w:szCs w:val="20"/>
          <w:color w:val="auto"/>
        </w:rPr>
      </w:pPr>
    </w:p>
    <w:p>
      <w:pPr>
        <w:ind w:left="540" w:hanging="532"/>
        <w:spacing w:after="0"/>
        <w:tabs>
          <w:tab w:leader="none" w:pos="5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Origination Fees</w:t>
      </w:r>
    </w:p>
    <w:p>
      <w:pPr>
        <w:spacing w:after="0" w:line="225"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13" w:lineRule="exact"/>
        <w:rPr>
          <w:sz w:val="20"/>
          <w:szCs w:val="20"/>
          <w:color w:val="auto"/>
        </w:rPr>
      </w:pPr>
    </w:p>
    <w:p>
      <w:pPr>
        <w:ind w:left="540" w:hanging="532"/>
        <w:spacing w:after="0"/>
        <w:tabs>
          <w:tab w:leader="none" w:pos="5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w:t>
      </w:r>
    </w:p>
    <w:p>
      <w:pPr>
        <w:spacing w:after="0" w:line="225"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04" w:lineRule="exact"/>
        <w:rPr>
          <w:sz w:val="20"/>
          <w:szCs w:val="20"/>
          <w:color w:val="auto"/>
        </w:rPr>
      </w:pPr>
    </w:p>
    <w:p>
      <w:pPr>
        <w:ind w:left="540" w:hanging="532"/>
        <w:spacing w:after="0"/>
        <w:tabs>
          <w:tab w:leader="none" w:pos="5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380" w:firstLine="341"/>
        <w:spacing w:after="0" w:line="275" w:lineRule="auto"/>
        <w:rPr>
          <w:sz w:val="20"/>
          <w:szCs w:val="20"/>
          <w:color w:val="auto"/>
        </w:rPr>
      </w:pPr>
      <w:r>
        <w:rPr>
          <w:rFonts w:ascii="Times New Roman" w:cs="Times New Roman" w:eastAsia="Times New Roman" w:hAnsi="Times New Roman"/>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74"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75" w:lineRule="exact"/>
        <w:rPr>
          <w:sz w:val="20"/>
          <w:szCs w:val="20"/>
          <w:color w:val="auto"/>
        </w:rPr>
      </w:pPr>
    </w:p>
    <w:p>
      <w:pPr>
        <w:ind w:left="540" w:hanging="532"/>
        <w:spacing w:after="0"/>
        <w:tabs>
          <w:tab w:leader="none" w:pos="5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Equity</w:t>
      </w:r>
    </w:p>
    <w:p>
      <w:pPr>
        <w:sectPr>
          <w:pgSz w:w="11900" w:h="16838" w:orient="portrait"/>
          <w:cols w:equalWidth="0" w:num="1">
            <w:col w:w="10880"/>
          </w:cols>
          <w:pgMar w:left="780" w:top="125" w:right="239" w:bottom="0" w:gutter="0" w:footer="0" w:header="0"/>
        </w:sectPr>
      </w:pPr>
    </w:p>
    <w:bookmarkStart w:id="152" w:name="page153"/>
    <w:bookmarkEnd w:id="152"/>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2001, there were approximately 207,692 common shares of Valvino outstanding. The most recent sale of shares prior to December 31, 2001 occurred at a price of approximately $2,704 per share. Consistent with the management structure</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66"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3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hanging="532"/>
        <w:spacing w:after="0"/>
        <w:tabs>
          <w:tab w:leader="none" w:pos="5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ind w:right="140" w:firstLine="348"/>
        <w:spacing w:after="0" w:line="31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540" w:hanging="532"/>
        <w:spacing w:after="0"/>
        <w:tabs>
          <w:tab w:leader="none" w:pos="5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w:t>
      </w:r>
    </w:p>
    <w:p>
      <w:pPr>
        <w:spacing w:after="0" w:line="22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0" w:lineRule="exact"/>
        <w:rPr>
          <w:sz w:val="20"/>
          <w:szCs w:val="20"/>
          <w:color w:val="auto"/>
        </w:rPr>
      </w:pPr>
    </w:p>
    <w:p>
      <w:pPr>
        <w:ind w:left="540" w:hanging="532"/>
        <w:spacing w:after="0"/>
        <w:tabs>
          <w:tab w:leader="none" w:pos="5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Company, as part of the overall purchase price of the Desert Inn Resort and Casino acquired water rights with an appraised value of $6.4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water rights have been recorded as an asset at this appraised value and have an indefinite useful life.</w:t>
      </w:r>
    </w:p>
    <w:p>
      <w:pPr>
        <w:spacing w:after="0" w:line="226" w:lineRule="exact"/>
        <w:rPr>
          <w:sz w:val="20"/>
          <w:szCs w:val="20"/>
          <w:color w:val="auto"/>
        </w:rPr>
      </w:pPr>
    </w:p>
    <w:p>
      <w:pPr>
        <w:ind w:left="540" w:hanging="532"/>
        <w:spacing w:after="0"/>
        <w:tabs>
          <w:tab w:leader="none" w:pos="5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Financial Statements</w:t>
      </w:r>
    </w:p>
    <w:p>
      <w:pPr>
        <w:spacing w:after="0" w:line="225"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consisting of Wynn Resorts (Macau) S.A. and other entities acquired by Valvino Lamore LLC subsequent to December 31, 2001. All intercompany balances and transactions between such entities and Valvino Lamore LLC have been eliminated in consolidation.</w:t>
      </w:r>
    </w:p>
    <w:p>
      <w:pPr>
        <w:spacing w:after="0" w:line="220" w:lineRule="exact"/>
        <w:rPr>
          <w:sz w:val="20"/>
          <w:szCs w:val="20"/>
          <w:color w:val="auto"/>
        </w:rPr>
      </w:pPr>
    </w:p>
    <w:p>
      <w:pPr>
        <w:ind w:left="540" w:hanging="532"/>
        <w:spacing w:after="0"/>
        <w:tabs>
          <w:tab w:leader="none" w:pos="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July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ectPr>
          <w:pgSz w:w="11900" w:h="16838" w:orient="portrait"/>
          <w:cols w:equalWidth="0" w:num="1">
            <w:col w:w="10860"/>
          </w:cols>
          <w:pgMar w:left="780" w:top="125" w:right="259" w:bottom="0" w:gutter="0" w:footer="0" w:header="0"/>
        </w:sectPr>
      </w:pPr>
    </w:p>
    <w:bookmarkStart w:id="153" w:name="page154"/>
    <w:bookmarkEnd w:id="153"/>
    <w:p>
      <w:pPr>
        <w:ind w:left="540" w:right="240" w:firstLine="351"/>
        <w:spacing w:after="0" w:line="275" w:lineRule="auto"/>
        <w:rPr>
          <w:sz w:val="20"/>
          <w:szCs w:val="20"/>
          <w:color w:val="auto"/>
        </w:rPr>
      </w:pPr>
      <w:r>
        <w:rPr>
          <w:rFonts w:ascii="Times New Roman" w:cs="Times New Roman" w:eastAsia="Times New Roman" w:hAnsi="Times New Roman"/>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left="540" w:right="100" w:firstLine="351"/>
        <w:spacing w:after="0" w:line="256" w:lineRule="auto"/>
        <w:rPr>
          <w:sz w:val="20"/>
          <w:szCs w:val="20"/>
          <w:color w:val="auto"/>
        </w:rPr>
      </w:pPr>
      <w:r>
        <w:rPr>
          <w:rFonts w:ascii="Times New Roman" w:cs="Times New Roman" w:eastAsia="Times New Roman" w:hAnsi="Times New Roman"/>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3" w:lineRule="exact"/>
        <w:rPr>
          <w:sz w:val="20"/>
          <w:szCs w:val="20"/>
          <w:color w:val="auto"/>
        </w:rPr>
      </w:pPr>
    </w:p>
    <w:p>
      <w:pPr>
        <w:ind w:left="540" w:right="200" w:firstLine="351"/>
        <w:spacing w:after="0" w:line="293" w:lineRule="auto"/>
        <w:rPr>
          <w:sz w:val="20"/>
          <w:szCs w:val="20"/>
          <w:color w:val="auto"/>
        </w:rPr>
      </w:pPr>
      <w:r>
        <w:rPr>
          <w:rFonts w:ascii="Times New Roman" w:cs="Times New Roman" w:eastAsia="Times New Roman" w:hAnsi="Times New Roman"/>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65" w:lineRule="exact"/>
        <w:rPr>
          <w:sz w:val="20"/>
          <w:szCs w:val="20"/>
          <w:color w:val="auto"/>
        </w:rPr>
      </w:pPr>
    </w:p>
    <w:p>
      <w:pPr>
        <w:ind w:left="540" w:firstLine="351"/>
        <w:spacing w:after="0" w:line="254" w:lineRule="auto"/>
        <w:rPr>
          <w:sz w:val="20"/>
          <w:szCs w:val="20"/>
          <w:color w:val="auto"/>
        </w:rPr>
      </w:pPr>
      <w:r>
        <w:rPr>
          <w:rFonts w:ascii="Times New Roman" w:cs="Times New Roman" w:eastAsia="Times New Roman" w:hAnsi="Times New Roman"/>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09" w:lineRule="exact"/>
        <w:rPr>
          <w:sz w:val="20"/>
          <w:szCs w:val="20"/>
          <w:color w:val="auto"/>
        </w:rPr>
      </w:pPr>
    </w:p>
    <w:p>
      <w:pPr>
        <w:ind w:left="1080" w:hanging="532"/>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540" w:right="100" w:firstLine="348"/>
        <w:spacing w:after="0" w:line="262" w:lineRule="auto"/>
        <w:rPr>
          <w:sz w:val="20"/>
          <w:szCs w:val="20"/>
          <w:color w:val="auto"/>
        </w:rPr>
      </w:pPr>
      <w:r>
        <w:rPr>
          <w:rFonts w:ascii="Times New Roman" w:cs="Times New Roman" w:eastAsia="Times New Roman" w:hAnsi="Times New Roman"/>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75" w:lineRule="auto"/>
        <w:rPr>
          <w:sz w:val="20"/>
          <w:szCs w:val="20"/>
          <w:color w:val="auto"/>
        </w:rPr>
      </w:pPr>
      <w:r>
        <w:rPr>
          <w:rFonts w:ascii="Times New Roman" w:cs="Times New Roman" w:eastAsia="Times New Roman" w:hAnsi="Times New Roman"/>
          <w:sz w:val="18"/>
          <w:szCs w:val="18"/>
          <w:color w:val="auto"/>
        </w:rPr>
        <w:t>prices for comparable assets and estimates made by management. The allocation of the purchase price was completed within one year from the acquisition date and is as follows: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Allocated Fair Value</w:t>
            </w:r>
          </w:p>
        </w:tc>
        <w:tc>
          <w:tcPr>
            <w:tcW w:w="0" w:type="dxa"/>
            <w:vAlign w:val="bottom"/>
          </w:tcPr>
          <w:p>
            <w:pPr>
              <w:spacing w:after="0"/>
              <w:rPr>
                <w:sz w:val="1"/>
                <w:szCs w:val="1"/>
                <w:color w:val="auto"/>
              </w:rPr>
            </w:pPr>
          </w:p>
        </w:tc>
      </w:tr>
      <w:tr>
        <w:trPr>
          <w:trHeight w:val="178"/>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Assets and (Liabilities)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Buildings &amp; Improvements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Property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Bad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104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-1163320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-1163320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8" w:lineRule="exact"/>
        <w:rPr>
          <w:sz w:val="20"/>
          <w:szCs w:val="20"/>
          <w:color w:val="auto"/>
        </w:rPr>
      </w:pPr>
    </w:p>
    <w:p>
      <w:pPr>
        <w:ind w:left="540" w:hanging="532"/>
        <w:spacing w:after="0"/>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Incidental Operations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Upon completion of the acquisition of the Desert Inn Resort and Casino on June 22, 2000, the Company announced its intention to close the property and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the development of a new casino/hotel project named "Le Rêve" on the existing site. In accordance with SFAS No. 67, "Accounting for Costs and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Operations of Real Estate Projects," both the casino/hotel operation and the golf course and related operations are being accounted for as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incidental operations. Under this method, incidental operations with a net income are excluded from the Company's consolidated operating results and the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each is recorded as a reduction in the carrying value of land. Incidental operations with a net loss are stated separately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The amount of net income from incidental operations recorded as a reduction in the carrying value of land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net loss are reported in the Statement of Operations.</w:t>
      </w:r>
    </w:p>
    <w:p>
      <w:pPr>
        <w:spacing w:after="0" w:line="224" w:lineRule="exact"/>
        <w:rPr>
          <w:sz w:val="20"/>
          <w:szCs w:val="20"/>
          <w:color w:val="auto"/>
        </w:rPr>
      </w:pPr>
    </w:p>
    <w:p>
      <w:pPr>
        <w:ind w:left="540" w:hanging="532"/>
        <w:spacing w:after="0"/>
        <w:tabs>
          <w:tab w:leader="none" w:pos="5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Receivables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Components of receivables as of December 31 were as follows:</w:t>
      </w:r>
    </w:p>
    <w:p>
      <w:pPr>
        <w:sectPr>
          <w:pgSz w:w="11900" w:h="16838" w:orient="portrait"/>
          <w:cols w:equalWidth="0" w:num="1">
            <w:col w:w="11420"/>
          </w:cols>
          <w:pgMar w:left="240" w:top="125" w:right="239" w:bottom="0" w:gutter="0" w:footer="0" w:header="0"/>
        </w:sectPr>
      </w:pPr>
    </w:p>
    <w:bookmarkStart w:id="154" w:name="page155"/>
    <w:bookmarkEnd w:id="154"/>
    <w:p>
      <w:pPr>
        <w:spacing w:after="0" w:line="24" w:lineRule="exact"/>
        <w:rPr>
          <w:sz w:val="20"/>
          <w:szCs w:val="20"/>
          <w:color w:val="auto"/>
        </w:rPr>
      </w:pPr>
    </w:p>
    <w:tbl>
      <w:tblPr>
        <w:tblLayout w:type="fixed"/>
        <w:tblInd w:w="17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Hotel/Golf Course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-1566545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-1566545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-1317625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-1317625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-1317625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-1317625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760" w:firstLine="348"/>
        <w:spacing w:after="0" w:line="275" w:lineRule="auto"/>
        <w:rPr>
          <w:sz w:val="20"/>
          <w:szCs w:val="20"/>
          <w:color w:val="auto"/>
        </w:rPr>
      </w:pPr>
      <w:r>
        <w:rPr>
          <w:rFonts w:ascii="Times New Roman" w:cs="Times New Roman" w:eastAsia="Times New Roman" w:hAnsi="Times New Roman"/>
          <w:sz w:val="18"/>
          <w:szCs w:val="18"/>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891"/>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60" w:type="dxa"/>
            <w:vAlign w:val="bottom"/>
            <w:shd w:val="clear" w:color="auto" w:fill="CCEEFF"/>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60" w:type="dxa"/>
            <w:vAlign w:val="bottom"/>
          </w:tcPr>
          <w:p>
            <w:pPr>
              <w:spacing w:after="0"/>
              <w:rPr>
                <w:sz w:val="19"/>
                <w:szCs w:val="19"/>
                <w:color w:val="auto"/>
              </w:rPr>
            </w:pPr>
          </w:p>
        </w:tc>
      </w:tr>
      <w:tr>
        <w:trPr>
          <w:trHeight w:val="106"/>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347,279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316,698</w:t>
            </w:r>
          </w:p>
        </w:tc>
        <w:tc>
          <w:tcPr>
            <w:tcW w:w="60" w:type="dxa"/>
            <w:vAlign w:val="bottom"/>
            <w:shd w:val="clear" w:color="auto" w:fill="CCEEFF"/>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(3,676)</w:t>
            </w:r>
          </w:p>
        </w:tc>
      </w:tr>
      <w:tr>
        <w:trPr>
          <w:trHeight w:val="106"/>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Construction in progress includes interest and other costs capitalized in conjunction with the new casino/hotel project.</w:t>
      </w:r>
    </w:p>
    <w:p>
      <w:pPr>
        <w:spacing w:after="0" w:line="237" w:lineRule="exact"/>
        <w:rPr>
          <w:sz w:val="20"/>
          <w:szCs w:val="20"/>
          <w:color w:val="auto"/>
        </w:rPr>
      </w:pPr>
    </w:p>
    <w:p>
      <w:pPr>
        <w:ind w:left="540" w:hanging="532"/>
        <w:spacing w:after="0"/>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400" w:firstLine="351"/>
        <w:spacing w:after="0" w:line="258" w:lineRule="auto"/>
        <w:rPr>
          <w:sz w:val="20"/>
          <w:szCs w:val="20"/>
          <w:color w:val="auto"/>
        </w:rPr>
      </w:pPr>
      <w:r>
        <w:rPr>
          <w:rFonts w:ascii="Times New Roman" w:cs="Times New Roman" w:eastAsia="Times New Roman" w:hAnsi="Times New Roman"/>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0"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93"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63" w:lineRule="exact"/>
        <w:rPr>
          <w:sz w:val="20"/>
          <w:szCs w:val="20"/>
          <w:color w:val="auto"/>
        </w:rPr>
      </w:pPr>
    </w:p>
    <w:p>
      <w:pPr>
        <w:ind w:left="540" w:hanging="532"/>
        <w:spacing w:after="0"/>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Savings Plan</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w:t>
      </w:r>
    </w:p>
    <w:p>
      <w:pPr>
        <w:sectPr>
          <w:pgSz w:w="11900" w:h="16863" w:orient="portrait"/>
          <w:cols w:equalWidth="0" w:num="1">
            <w:col w:w="11400"/>
          </w:cols>
          <w:pgMar w:left="240" w:top="123" w:right="259" w:bottom="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color w:val="auto"/>
        </w:rPr>
        <w:t>matching contributions of approximately $127,000 for the year ended December 31, 2001 and $67,000 for the period from inception through December 31, 2000.</w:t>
      </w:r>
    </w:p>
    <w:p>
      <w:pPr>
        <w:spacing w:after="0" w:line="248"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7.</w:t>
            </w:r>
          </w:p>
        </w:tc>
        <w:tc>
          <w:tcPr>
            <w:tcW w:w="612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Related Parties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December 31 amounts due from related parties were as follows: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Desert Inn Water Company, LLC</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Las Vegas CharterJet, LLC</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Kevyn, LLC</w:t>
            </w: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06"/>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3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-1275080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-1275080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-1026160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-1026160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-1026160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-1026160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218" w:lineRule="exact"/>
        <w:rPr>
          <w:sz w:val="20"/>
          <w:szCs w:val="20"/>
          <w:color w:val="auto"/>
        </w:rPr>
      </w:pPr>
    </w:p>
    <w:p>
      <w:pPr>
        <w:ind w:left="540" w:hanging="532"/>
        <w:spacing w:after="0"/>
        <w:tabs>
          <w:tab w:leader="none" w:pos="5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Commitments and Contingencies</w:t>
      </w:r>
    </w:p>
    <w:p>
      <w:pPr>
        <w:spacing w:after="0" w:line="200" w:lineRule="exact"/>
        <w:rPr>
          <w:sz w:val="20"/>
          <w:szCs w:val="20"/>
          <w:color w:val="auto"/>
        </w:rPr>
      </w:pPr>
    </w:p>
    <w:p>
      <w:pPr>
        <w:spacing w:after="0" w:line="257" w:lineRule="exact"/>
        <w:rPr>
          <w:sz w:val="20"/>
          <w:szCs w:val="20"/>
          <w:color w:val="auto"/>
        </w:rPr>
      </w:pPr>
    </w:p>
    <w:p>
      <w:pPr>
        <w:ind w:left="1080" w:hanging="532"/>
        <w:spacing w:after="0"/>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ind w:left="540" w:right="300" w:firstLine="351"/>
        <w:spacing w:after="0" w:line="275" w:lineRule="auto"/>
        <w:rPr>
          <w:sz w:val="20"/>
          <w:szCs w:val="20"/>
          <w:color w:val="auto"/>
        </w:rPr>
      </w:pPr>
      <w:r>
        <w:rPr>
          <w:rFonts w:ascii="Times New Roman" w:cs="Times New Roman" w:eastAsia="Times New Roman" w:hAnsi="Times New Roman"/>
          <w:sz w:val="18"/>
          <w:szCs w:val="18"/>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48"/>
        <w:spacing w:after="0" w:line="275" w:lineRule="auto"/>
        <w:rPr>
          <w:sz w:val="20"/>
          <w:szCs w:val="20"/>
          <w:color w:val="auto"/>
        </w:rPr>
      </w:pPr>
      <w:r>
        <w:rPr>
          <w:rFonts w:ascii="Times New Roman" w:cs="Times New Roman" w:eastAsia="Times New Roman" w:hAnsi="Times New Roman"/>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87" w:lineRule="exact"/>
        <w:rPr>
          <w:sz w:val="20"/>
          <w:szCs w:val="20"/>
          <w:color w:val="auto"/>
        </w:rPr>
      </w:pPr>
    </w:p>
    <w:p>
      <w:pPr>
        <w:ind w:left="1080" w:hanging="532"/>
        <w:spacing w:after="0"/>
        <w:tabs>
          <w:tab w:leader="none" w:pos="10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intends to adopt incentive stock plans for non-employee directors and certain of its key executives.</w:t>
      </w:r>
    </w:p>
    <w:p>
      <w:pPr>
        <w:spacing w:after="0" w:line="252" w:lineRule="exact"/>
        <w:rPr>
          <w:sz w:val="20"/>
          <w:szCs w:val="20"/>
          <w:color w:val="auto"/>
        </w:rPr>
      </w:pPr>
    </w:p>
    <w:p>
      <w:pPr>
        <w:ind w:left="1080" w:hanging="532"/>
        <w:spacing w:after="0"/>
        <w:tabs>
          <w:tab w:leader="none" w:pos="10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ind w:left="540" w:right="260" w:firstLine="351"/>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87" w:lineRule="exact"/>
        <w:rPr>
          <w:sz w:val="20"/>
          <w:szCs w:val="20"/>
          <w:color w:val="auto"/>
        </w:rPr>
      </w:pPr>
    </w:p>
    <w:p>
      <w:pPr>
        <w:ind w:left="1080" w:hanging="532"/>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Services</w:t>
      </w:r>
    </w:p>
    <w:p>
      <w:pPr>
        <w:spacing w:after="0" w:line="225" w:lineRule="exact"/>
        <w:rPr>
          <w:sz w:val="20"/>
          <w:szCs w:val="20"/>
          <w:color w:val="auto"/>
        </w:rPr>
      </w:pPr>
    </w:p>
    <w:p>
      <w:pPr>
        <w:ind w:left="540" w:right="20" w:firstLine="348"/>
        <w:spacing w:after="0" w:line="289" w:lineRule="auto"/>
        <w:rPr>
          <w:sz w:val="20"/>
          <w:szCs w:val="20"/>
          <w:color w:val="auto"/>
        </w:rPr>
      </w:pPr>
      <w:r>
        <w:rPr>
          <w:rFonts w:ascii="Times New Roman" w:cs="Times New Roman" w:eastAsia="Times New Roman" w:hAnsi="Times New Roman"/>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spacing w:after="0" w:line="1" w:lineRule="exact"/>
        <w:rPr>
          <w:sz w:val="20"/>
          <w:szCs w:val="20"/>
          <w:color w:val="auto"/>
        </w:rPr>
      </w:pPr>
    </w:p>
    <w:p>
      <w:pPr>
        <w:ind w:left="540" w:right="540"/>
        <w:spacing w:after="0" w:line="261" w:lineRule="auto"/>
        <w:rPr>
          <w:sz w:val="20"/>
          <w:szCs w:val="20"/>
          <w:color w:val="auto"/>
        </w:rPr>
      </w:pPr>
      <w:r>
        <w:rPr>
          <w:rFonts w:ascii="Times New Roman" w:cs="Times New Roman" w:eastAsia="Times New Roman" w:hAnsi="Times New Roman"/>
          <w:sz w:val="18"/>
          <w:szCs w:val="18"/>
          <w:color w:val="auto"/>
        </w:rPr>
        <w:t>$1.1 million, respectively, of amounts paid in conjunction with this agreement. An additional $2 million, payable in two equal installments, will be payable upon the approval of the show concepts.</w:t>
      </w:r>
    </w:p>
    <w:p>
      <w:pPr>
        <w:spacing w:after="0" w:line="199" w:lineRule="exact"/>
        <w:rPr>
          <w:sz w:val="20"/>
          <w:szCs w:val="20"/>
          <w:color w:val="auto"/>
        </w:rPr>
      </w:pPr>
    </w:p>
    <w:p>
      <w:pPr>
        <w:ind w:left="1080" w:hanging="532"/>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Contracts</w:t>
      </w:r>
    </w:p>
    <w:p>
      <w:pPr>
        <w:spacing w:after="0" w:line="225" w:lineRule="exact"/>
        <w:rPr>
          <w:sz w:val="20"/>
          <w:szCs w:val="20"/>
          <w:color w:val="auto"/>
        </w:rPr>
      </w:pPr>
    </w:p>
    <w:p>
      <w:pPr>
        <w:ind w:left="540" w:right="240" w:firstLine="348"/>
        <w:spacing w:after="0" w:line="275" w:lineRule="auto"/>
        <w:rPr>
          <w:sz w:val="20"/>
          <w:szCs w:val="20"/>
          <w:color w:val="auto"/>
        </w:rPr>
      </w:pPr>
      <w:r>
        <w:rPr>
          <w:rFonts w:ascii="Times New Roman" w:cs="Times New Roman" w:eastAsia="Times New Roman" w:hAnsi="Times New Roman"/>
          <w:sz w:val="18"/>
          <w:szCs w:val="18"/>
          <w:color w:val="auto"/>
        </w:rPr>
        <w:t>The Company has entered into certain contracts related to the construction of "Le Rêve". As of December 31, 2001, the Company is committed to approximately $6.2 million under these contracts.</w:t>
      </w:r>
    </w:p>
    <w:p>
      <w:pPr>
        <w:spacing w:after="0" w:line="201" w:lineRule="exact"/>
        <w:rPr>
          <w:sz w:val="20"/>
          <w:szCs w:val="20"/>
          <w:color w:val="auto"/>
        </w:rPr>
      </w:pPr>
    </w:p>
    <w:p>
      <w:pPr>
        <w:ind w:left="1080" w:hanging="532"/>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w:t>
      </w:r>
    </w:p>
    <w:p>
      <w:pPr>
        <w:spacing w:after="0" w:line="225" w:lineRule="exact"/>
        <w:rPr>
          <w:sz w:val="20"/>
          <w:szCs w:val="20"/>
          <w:color w:val="auto"/>
        </w:rPr>
      </w:pPr>
    </w:p>
    <w:p>
      <w:pPr>
        <w:ind w:left="540" w:right="200" w:firstLine="348"/>
        <w:spacing w:after="0" w:line="275" w:lineRule="auto"/>
        <w:rPr>
          <w:sz w:val="20"/>
          <w:szCs w:val="20"/>
          <w:color w:val="auto"/>
        </w:rPr>
      </w:pPr>
      <w:r>
        <w:rPr>
          <w:rFonts w:ascii="Times New Roman" w:cs="Times New Roman" w:eastAsia="Times New Roman" w:hAnsi="Times New Roman"/>
          <w:sz w:val="18"/>
          <w:szCs w:val="18"/>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85" w:lineRule="exact"/>
        <w:rPr>
          <w:sz w:val="20"/>
          <w:szCs w:val="20"/>
          <w:color w:val="auto"/>
        </w:rPr>
      </w:pPr>
    </w:p>
    <w:p>
      <w:pPr>
        <w:ind w:left="540" w:hanging="532"/>
        <w:spacing w:after="0"/>
        <w:tabs>
          <w:tab w:leader="none" w:pos="5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Per Share</w:t>
      </w:r>
    </w:p>
    <w:p>
      <w:pPr>
        <w:sectPr>
          <w:pgSz w:w="11900" w:h="16838" w:orient="portrait"/>
          <w:cols w:equalWidth="0" w:num="1">
            <w:col w:w="11400"/>
          </w:cols>
          <w:pgMar w:left="240" w:top="125" w:right="259" w:bottom="196" w:gutter="0" w:footer="0" w:header="0"/>
        </w:sectPr>
      </w:pPr>
    </w:p>
    <w:bookmarkStart w:id="156" w:name="page157"/>
    <w:bookmarkEnd w:id="156"/>
    <w:p>
      <w:pPr>
        <w:spacing w:after="0" w:line="22"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202" w:lineRule="exact"/>
        <w:rPr>
          <w:sz w:val="20"/>
          <w:szCs w:val="20"/>
          <w:color w:val="auto"/>
        </w:rPr>
      </w:pPr>
    </w:p>
    <w:p>
      <w:pPr>
        <w:ind w:left="540" w:hanging="532"/>
        <w:spacing w:after="0"/>
        <w:tabs>
          <w:tab w:leader="none" w:pos="5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Subsequent Events</w:t>
      </w:r>
    </w:p>
    <w:p>
      <w:pPr>
        <w:spacing w:after="0" w:line="200" w:lineRule="exact"/>
        <w:rPr>
          <w:sz w:val="20"/>
          <w:szCs w:val="20"/>
          <w:color w:val="auto"/>
        </w:rPr>
      </w:pPr>
    </w:p>
    <w:p>
      <w:pPr>
        <w:spacing w:after="0" w:line="270" w:lineRule="exact"/>
        <w:rPr>
          <w:sz w:val="20"/>
          <w:szCs w:val="20"/>
          <w:color w:val="auto"/>
        </w:rPr>
      </w:pPr>
    </w:p>
    <w:p>
      <w:pPr>
        <w:ind w:left="1080" w:hanging="532"/>
        <w:spacing w:after="0"/>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w:t>
      </w:r>
    </w:p>
    <w:p>
      <w:pPr>
        <w:spacing w:after="0" w:line="225" w:lineRule="exact"/>
        <w:rPr>
          <w:sz w:val="20"/>
          <w:szCs w:val="20"/>
          <w:color w:val="auto"/>
        </w:rPr>
      </w:pPr>
    </w:p>
    <w:p>
      <w:pPr>
        <w:ind w:left="540" w:right="600" w:firstLine="351"/>
        <w:spacing w:after="0" w:line="275" w:lineRule="auto"/>
        <w:rPr>
          <w:sz w:val="20"/>
          <w:szCs w:val="20"/>
          <w:color w:val="auto"/>
        </w:rPr>
      </w:pPr>
      <w:r>
        <w:rPr>
          <w:rFonts w:ascii="Times New Roman" w:cs="Times New Roman" w:eastAsia="Times New Roman" w:hAnsi="Times New Roman"/>
          <w:sz w:val="18"/>
          <w:szCs w:val="18"/>
          <w:color w:val="auto"/>
        </w:rPr>
        <w:t>Upon completion of various legal agreements and transactions in April 2002, Mr. Wynn contributed approximately $32 million of cash to the Company. In addition,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Mr. Wynn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substantially consisted of the intangible asset associated with the provisional license to negotiate a concession with the government of the Macau Special Administrative Region of the People's Republic of China. In accordance with SFAS No. 141, "Business Combinations," because the transaction occurred between entities under common control, the assets and liabilities of Wynn Resorts (Macau) S.A. were recorded at their carrying amount at the date of transfer.</w:t>
      </w:r>
    </w:p>
    <w:p>
      <w:pPr>
        <w:spacing w:after="0" w:line="193" w:lineRule="exact"/>
        <w:rPr>
          <w:sz w:val="20"/>
          <w:szCs w:val="20"/>
          <w:color w:val="auto"/>
        </w:rPr>
      </w:pPr>
    </w:p>
    <w:p>
      <w:pPr>
        <w:ind w:left="540" w:right="40" w:firstLine="351"/>
        <w:spacing w:after="0" w:line="275" w:lineRule="auto"/>
        <w:rPr>
          <w:sz w:val="20"/>
          <w:szCs w:val="20"/>
          <w:color w:val="auto"/>
        </w:rPr>
      </w:pPr>
      <w:r>
        <w:rPr>
          <w:rFonts w:ascii="Times New Roman" w:cs="Times New Roman" w:eastAsia="Times New Roman" w:hAnsi="Times New Roman"/>
          <w:sz w:val="18"/>
          <w:szCs w:val="18"/>
          <w:color w:val="auto"/>
        </w:rPr>
        <w:t>Concurrent with Mr. Wynn's contributions above, Aruze USA, Inc., contributed an additional $120 million in cash and Baron Asset Fund contributed an additional $20.3 million in cash.</w:t>
      </w:r>
    </w:p>
    <w:p>
      <w:pPr>
        <w:spacing w:after="0" w:line="174" w:lineRule="exact"/>
        <w:rPr>
          <w:sz w:val="20"/>
          <w:szCs w:val="20"/>
          <w:color w:val="auto"/>
        </w:rPr>
      </w:pPr>
    </w:p>
    <w:p>
      <w:pPr>
        <w:ind w:left="540" w:right="60" w:firstLine="351"/>
        <w:spacing w:after="0" w:line="258" w:lineRule="auto"/>
        <w:rPr>
          <w:sz w:val="20"/>
          <w:szCs w:val="20"/>
          <w:color w:val="auto"/>
        </w:rPr>
      </w:pPr>
      <w:r>
        <w:rPr>
          <w:rFonts w:ascii="Times New Roman" w:cs="Times New Roman" w:eastAsia="Times New Roman" w:hAnsi="Times New Roman"/>
          <w:sz w:val="18"/>
          <w:szCs w:val="18"/>
          <w:color w:val="auto"/>
        </w:rPr>
        <w:t>Immediately following these additional capital contributions, Mr. Wynn and Aruze USA, Inc. each owned 47.5% of the membership interests in the Company, and Baron Asset Fund owned 5% of the membership interests in the Company. Neither Mr. Wynn nor Aruze USA received additional shares in connection with the above described capital contributions. Because this contribution did not increase Mr. Wynn's relative ownership interest in the Company, the Company did not record a distribution to Mr. Wynn.</w:t>
      </w:r>
    </w:p>
    <w:p>
      <w:pPr>
        <w:spacing w:after="0" w:line="190" w:lineRule="exact"/>
        <w:rPr>
          <w:sz w:val="20"/>
          <w:szCs w:val="20"/>
          <w:color w:val="auto"/>
        </w:rPr>
      </w:pPr>
    </w:p>
    <w:p>
      <w:pPr>
        <w:ind w:left="540" w:right="80" w:firstLine="351"/>
        <w:spacing w:after="0" w:line="339" w:lineRule="auto"/>
        <w:rPr>
          <w:sz w:val="20"/>
          <w:szCs w:val="20"/>
          <w:color w:val="auto"/>
        </w:rPr>
      </w:pPr>
      <w:r>
        <w:rPr>
          <w:rFonts w:ascii="Times New Roman" w:cs="Times New Roman" w:eastAsia="Times New Roman" w:hAnsi="Times New Roman"/>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 March 26, 2002, the Company sold the aircraft (See Note 7) for approximately $8 million resulting in a loss of approximately $69,000.</w:t>
      </w:r>
    </w:p>
    <w:p>
      <w:pPr>
        <w:spacing w:after="0" w:line="239" w:lineRule="exact"/>
        <w:rPr>
          <w:sz w:val="20"/>
          <w:szCs w:val="20"/>
          <w:color w:val="auto"/>
        </w:rPr>
      </w:pPr>
    </w:p>
    <w:p>
      <w:pPr>
        <w:ind w:left="1080" w:hanging="532"/>
        <w:spacing w:after="0"/>
        <w:tabs>
          <w:tab w:leader="none" w:pos="10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540" w:right="180" w:firstLine="351"/>
        <w:spacing w:after="0" w:line="256" w:lineRule="auto"/>
        <w:rPr>
          <w:sz w:val="20"/>
          <w:szCs w:val="20"/>
          <w:color w:val="auto"/>
        </w:rPr>
      </w:pPr>
      <w:r>
        <w:rPr>
          <w:rFonts w:ascii="Times New Roman" w:cs="Times New Roman" w:eastAsia="Times New Roman" w:hAnsi="Times New Roman"/>
          <w:sz w:val="18"/>
          <w:szCs w:val="18"/>
          <w:color w:val="auto"/>
        </w:rPr>
        <w:t>In May 2002, the Company acquired World Travel and Las Vegas Jet, entities previously wholly owned by Mr. Wynn immediately prior to their acquisition by Valvino Lamore, LLC.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including the value of the aircraft which was recently purchased from a third party for $38 million (which equals carrying value),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estimates made by management. The allocation of the purchase price will be complete within one year from the date of acquisitions and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Allocated Fair Value</w:t>
            </w:r>
          </w:p>
        </w:tc>
        <w:tc>
          <w:tcPr>
            <w:tcW w:w="100" w:type="dxa"/>
            <w:vAlign w:val="bottom"/>
          </w:tcPr>
          <w:p>
            <w:pPr>
              <w:spacing w:after="0"/>
              <w:rPr>
                <w:sz w:val="13"/>
                <w:szCs w:val="13"/>
                <w:color w:val="auto"/>
              </w:rPr>
            </w:pPr>
          </w:p>
        </w:tc>
      </w:tr>
      <w:tr>
        <w:trPr>
          <w:trHeight w:val="178"/>
        </w:trPr>
        <w:tc>
          <w:tcPr>
            <w:tcW w:w="8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Assets and (Liabilities)</w:t>
            </w:r>
          </w:p>
        </w:tc>
        <w:tc>
          <w:tcPr>
            <w:tcW w:w="34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 in millions)</w:t>
            </w:r>
          </w:p>
        </w:tc>
        <w:tc>
          <w:tcPr>
            <w:tcW w:w="100" w:type="dxa"/>
            <w:vAlign w:val="bottom"/>
          </w:tcPr>
          <w:p>
            <w:pPr>
              <w:spacing w:after="0"/>
              <w:rPr>
                <w:sz w:val="15"/>
                <w:szCs w:val="15"/>
                <w:color w:val="auto"/>
              </w:rPr>
            </w:pPr>
          </w:p>
        </w:tc>
      </w:tr>
      <w:tr>
        <w:trPr>
          <w:trHeight w:val="105"/>
        </w:trPr>
        <w:tc>
          <w:tcPr>
            <w:tcW w:w="8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8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8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-175260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-175260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-175260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Airplane and related assets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118"/>
        </w:trPr>
        <w:tc>
          <w:tcPr>
            <w:tcW w:w="858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r>
      <w:tr>
        <w:trPr>
          <w:trHeight w:val="107"/>
        </w:trPr>
        <w:tc>
          <w:tcPr>
            <w:tcW w:w="8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858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160" w:firstLine="351"/>
        <w:spacing w:after="0" w:line="262" w:lineRule="auto"/>
        <w:rPr>
          <w:sz w:val="20"/>
          <w:szCs w:val="20"/>
          <w:color w:val="auto"/>
        </w:rPr>
      </w:pPr>
      <w:r>
        <w:rPr>
          <w:rFonts w:ascii="Times New Roman" w:cs="Times New Roman" w:eastAsia="Times New Roman" w:hAnsi="Times New Roman"/>
          <w:sz w:val="18"/>
          <w:szCs w:val="18"/>
          <w:color w:val="auto"/>
        </w:rPr>
        <w:t>Subsequent to the acquisition of Las Vegas Jet by the Company, certain net outstanding intercompany receivables/payables totaling approximately $2 million were eliminated because such amounts were previously expended primarily for the Company's benefit including operating costs related to the leasing of the aircraft to the Company.</w:t>
      </w:r>
    </w:p>
    <w:p>
      <w:pPr>
        <w:spacing w:after="0" w:line="186" w:lineRule="exact"/>
        <w:rPr>
          <w:sz w:val="20"/>
          <w:szCs w:val="20"/>
          <w:color w:val="auto"/>
        </w:rPr>
      </w:pPr>
    </w:p>
    <w:p>
      <w:pPr>
        <w:ind w:left="540" w:right="140" w:firstLine="348"/>
        <w:spacing w:after="0" w:line="275" w:lineRule="auto"/>
        <w:rPr>
          <w:sz w:val="20"/>
          <w:szCs w:val="20"/>
          <w:color w:val="auto"/>
        </w:rPr>
      </w:pPr>
      <w:r>
        <w:rPr>
          <w:rFonts w:ascii="Times New Roman" w:cs="Times New Roman" w:eastAsia="Times New Roman" w:hAnsi="Times New Roman"/>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201" w:lineRule="exact"/>
        <w:rPr>
          <w:sz w:val="20"/>
          <w:szCs w:val="20"/>
          <w:color w:val="auto"/>
        </w:rPr>
      </w:pPr>
    </w:p>
    <w:p>
      <w:pPr>
        <w:ind w:left="1080" w:hanging="532"/>
        <w:spacing w:after="0"/>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w:t>
      </w:r>
    </w:p>
    <w:p>
      <w:pPr>
        <w:spacing w:after="0" w:line="225" w:lineRule="exact"/>
        <w:rPr>
          <w:sz w:val="20"/>
          <w:szCs w:val="20"/>
          <w:color w:val="auto"/>
        </w:rPr>
      </w:pPr>
    </w:p>
    <w:p>
      <w:pPr>
        <w:ind w:left="540" w:right="60" w:firstLine="348"/>
        <w:spacing w:after="0" w:line="301" w:lineRule="auto"/>
        <w:rPr>
          <w:sz w:val="20"/>
          <w:szCs w:val="20"/>
          <w:color w:val="auto"/>
        </w:rPr>
      </w:pPr>
      <w:r>
        <w:rPr>
          <w:rFonts w:ascii="Times New Roman" w:cs="Times New Roman" w:eastAsia="Times New Roman" w:hAnsi="Times New Roman"/>
          <w:sz w:val="16"/>
          <w:szCs w:val="16"/>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 Agreement covers approximately $919 million of the approximate $1,405 million budgeted cost to construct Le Rêve, subject to increases based on, among other items, changes in the scope of the work. The Construction Agreement provides that the</w:t>
      </w:r>
    </w:p>
    <w:p>
      <w:pPr>
        <w:sectPr>
          <w:pgSz w:w="11900" w:h="16861" w:orient="portrait"/>
          <w:cols w:equalWidth="0" w:num="1">
            <w:col w:w="11420"/>
          </w:cols>
          <w:pgMar w:left="240" w:top="125" w:right="239" w:bottom="0" w:gutter="0" w:footer="0" w:header="0"/>
        </w:sectPr>
      </w:pPr>
    </w:p>
    <w:bookmarkStart w:id="157" w:name="page158"/>
    <w:bookmarkEnd w:id="157"/>
    <w:p>
      <w:pPr>
        <w:ind w:left="540" w:right="300"/>
        <w:spacing w:after="0" w:line="262" w:lineRule="auto"/>
        <w:rPr>
          <w:sz w:val="20"/>
          <w:szCs w:val="20"/>
          <w:color w:val="auto"/>
        </w:rPr>
      </w:pPr>
      <w:r>
        <w:rPr>
          <w:rFonts w:ascii="Times New Roman" w:cs="Times New Roman" w:eastAsia="Times New Roman" w:hAnsi="Times New Roman"/>
          <w:sz w:val="18"/>
          <w:szCs w:val="18"/>
          <w:color w:val="auto"/>
        </w:rPr>
        <w:t>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86" w:lineRule="exact"/>
        <w:rPr>
          <w:sz w:val="20"/>
          <w:szCs w:val="20"/>
          <w:color w:val="auto"/>
        </w:rPr>
      </w:pPr>
    </w:p>
    <w:p>
      <w:pPr>
        <w:ind w:left="540" w:right="540" w:firstLine="348"/>
        <w:spacing w:after="0" w:line="275" w:lineRule="auto"/>
        <w:rPr>
          <w:sz w:val="20"/>
          <w:szCs w:val="20"/>
          <w:color w:val="auto"/>
        </w:rPr>
      </w:pPr>
      <w:r>
        <w:rPr>
          <w:rFonts w:ascii="Times New Roman" w:cs="Times New Roman" w:eastAsia="Times New Roman" w:hAnsi="Times New Roman"/>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74" w:lineRule="exact"/>
        <w:rPr>
          <w:sz w:val="20"/>
          <w:szCs w:val="20"/>
          <w:color w:val="auto"/>
        </w:rPr>
      </w:pPr>
    </w:p>
    <w:p>
      <w:pPr>
        <w:ind w:left="540" w:right="20" w:firstLine="348"/>
        <w:spacing w:after="0" w:line="256" w:lineRule="auto"/>
        <w:rPr>
          <w:sz w:val="20"/>
          <w:szCs w:val="20"/>
          <w:color w:val="auto"/>
        </w:rPr>
      </w:pPr>
      <w:r>
        <w:rPr>
          <w:rFonts w:ascii="Times New Roman" w:cs="Times New Roman" w:eastAsia="Times New Roman" w:hAnsi="Times New Roman"/>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3" w:lineRule="exact"/>
        <w:rPr>
          <w:sz w:val="20"/>
          <w:szCs w:val="20"/>
          <w:color w:val="auto"/>
        </w:rPr>
      </w:pPr>
    </w:p>
    <w:p>
      <w:pPr>
        <w:ind w:left="540" w:right="100" w:firstLine="351"/>
        <w:spacing w:after="0" w:line="275" w:lineRule="auto"/>
        <w:rPr>
          <w:sz w:val="20"/>
          <w:szCs w:val="20"/>
          <w:color w:val="auto"/>
        </w:rPr>
      </w:pPr>
      <w:r>
        <w:rPr>
          <w:rFonts w:ascii="Times New Roman" w:cs="Times New Roman" w:eastAsia="Times New Roman" w:hAnsi="Times New Roman"/>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 the amounts outstanding to term loans with the same terms and conditions as those made under the delay draw term loan facility.</w:t>
      </w:r>
    </w:p>
    <w:p>
      <w:pPr>
        <w:spacing w:after="0" w:line="225" w:lineRule="exact"/>
        <w:rPr>
          <w:sz w:val="20"/>
          <w:szCs w:val="20"/>
          <w:color w:val="auto"/>
        </w:rPr>
      </w:pPr>
    </w:p>
    <w:p>
      <w:pPr>
        <w:ind w:left="540" w:right="40" w:firstLine="351"/>
        <w:spacing w:after="0" w:line="275" w:lineRule="auto"/>
        <w:rPr>
          <w:sz w:val="20"/>
          <w:szCs w:val="20"/>
          <w:color w:val="auto"/>
        </w:rPr>
      </w:pPr>
      <w:r>
        <w:rPr>
          <w:rFonts w:ascii="Times New Roman" w:cs="Times New Roman" w:eastAsia="Times New Roman" w:hAnsi="Times New Roman"/>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74" w:lineRule="exact"/>
        <w:rPr>
          <w:sz w:val="20"/>
          <w:szCs w:val="20"/>
          <w:color w:val="auto"/>
        </w:rPr>
      </w:pPr>
    </w:p>
    <w:p>
      <w:pPr>
        <w:ind w:left="540" w:right="180" w:firstLine="351"/>
        <w:spacing w:after="0" w:line="262" w:lineRule="auto"/>
        <w:rPr>
          <w:sz w:val="20"/>
          <w:szCs w:val="20"/>
          <w:color w:val="auto"/>
        </w:rPr>
      </w:pPr>
      <w:r>
        <w:rPr>
          <w:rFonts w:ascii="Times New Roman" w:cs="Times New Roman" w:eastAsia="Times New Roman" w:hAnsi="Times New Roman"/>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86" w:lineRule="exact"/>
        <w:rPr>
          <w:sz w:val="20"/>
          <w:szCs w:val="20"/>
          <w:color w:val="auto"/>
        </w:rPr>
      </w:pPr>
    </w:p>
    <w:p>
      <w:pPr>
        <w:ind w:left="540" w:right="20" w:firstLine="348"/>
        <w:spacing w:after="0" w:line="255" w:lineRule="auto"/>
        <w:rPr>
          <w:sz w:val="20"/>
          <w:szCs w:val="20"/>
          <w:color w:val="auto"/>
        </w:rPr>
      </w:pPr>
      <w:r>
        <w:rPr>
          <w:rFonts w:ascii="Times New Roman" w:cs="Times New Roman" w:eastAsia="Times New Roman" w:hAnsi="Times New Roman"/>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3" w:lineRule="exact"/>
        <w:rPr>
          <w:sz w:val="20"/>
          <w:szCs w:val="20"/>
          <w:color w:val="auto"/>
        </w:rPr>
      </w:pPr>
    </w:p>
    <w:p>
      <w:pPr>
        <w:ind w:left="540" w:firstLine="351"/>
        <w:spacing w:after="0" w:line="258" w:lineRule="auto"/>
        <w:rPr>
          <w:sz w:val="20"/>
          <w:szCs w:val="20"/>
          <w:color w:val="auto"/>
        </w:rPr>
      </w:pPr>
      <w:r>
        <w:rPr>
          <w:rFonts w:ascii="Times New Roman" w:cs="Times New Roman" w:eastAsia="Times New Roman" w:hAnsi="Times New Roman"/>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0" w:lineRule="exact"/>
        <w:rPr>
          <w:sz w:val="20"/>
          <w:szCs w:val="20"/>
          <w:color w:val="auto"/>
        </w:rPr>
      </w:pPr>
    </w:p>
    <w:p>
      <w:pPr>
        <w:ind w:left="540" w:right="120" w:firstLine="351"/>
        <w:spacing w:after="0" w:line="254" w:lineRule="auto"/>
        <w:rPr>
          <w:sz w:val="20"/>
          <w:szCs w:val="20"/>
          <w:color w:val="auto"/>
        </w:rPr>
      </w:pPr>
      <w:r>
        <w:rPr>
          <w:rFonts w:ascii="Times New Roman" w:cs="Times New Roman" w:eastAsia="Times New Roman" w:hAnsi="Times New Roman"/>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connection with the May 2002 acquisition of World Travel, the Company assumed a loan for $28.5 million, secured by a Bombardier Global</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Express Aircraft and guaranteed by the Company. The loan provides for 47 monthly principal payments of approximately $158,000, commencing</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per annum unless an optional rate equal to LIBOR plus 2.50% is elected, subject to certain requirements. Interest is payable monthly commencing June 1,</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firstLine="348"/>
        <w:spacing w:after="0" w:line="275" w:lineRule="auto"/>
        <w:rPr>
          <w:sz w:val="20"/>
          <w:szCs w:val="20"/>
          <w:color w:val="auto"/>
        </w:rPr>
      </w:pPr>
      <w:r>
        <w:rPr>
          <w:rFonts w:ascii="Times New Roman" w:cs="Times New Roman" w:eastAsia="Times New Roman" w:hAnsi="Times New Roman"/>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85" w:lineRule="exact"/>
        <w:rPr>
          <w:sz w:val="20"/>
          <w:szCs w:val="20"/>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Consolidating Financial Information of Guarantors and Issuers</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Wynn Resorts, Limited will not guarantee the second mortgage notes unless Wynn Resorts, Limited either incurs or guarantees certain indebtedness in excess of $10.0 million in the aggregate.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substantially all of its assets, other than the 20-acre parcel located next to Le Rêve and its equity interests in the other guarantors. Accordingly, the transferred assets are expected to include the Company's cash and cash equivalents, its equity interest in the non-guarantors, gaming receivables from the Desert Inn Resort and Casino, which are fully reserved, and other miscellaneous items that are not material individually or in the aggregate.</w:t>
      </w:r>
    </w:p>
    <w:p>
      <w:pPr>
        <w:sectPr>
          <w:pgSz w:w="11900" w:h="16838" w:orient="portrait"/>
          <w:cols w:equalWidth="0" w:num="1">
            <w:col w:w="11420"/>
          </w:cols>
          <w:pgMar w:left="240" w:top="125" w:right="239" w:bottom="0" w:gutter="0" w:footer="0" w:header="0"/>
        </w:sectPr>
      </w:pPr>
    </w:p>
    <w:bookmarkStart w:id="158" w:name="page159"/>
    <w:bookmarkEnd w:id="158"/>
    <w:p>
      <w:pPr>
        <w:ind w:right="640" w:firstLine="348"/>
        <w:spacing w:after="0" w:line="262" w:lineRule="auto"/>
        <w:rPr>
          <w:sz w:val="20"/>
          <w:szCs w:val="20"/>
          <w:color w:val="auto"/>
        </w:rPr>
      </w:pPr>
      <w:r>
        <w:rPr>
          <w:rFonts w:ascii="Times New Roman" w:cs="Times New Roman" w:eastAsia="Times New Roman" w:hAnsi="Times New Roman"/>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w:t>
      </w:r>
    </w:p>
    <w:p>
      <w:pPr>
        <w:spacing w:after="0" w:line="186"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3"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Valvino</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Balances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(177,544)</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(107,753)</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(21,289)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(21,289)</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Contributed 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(26,420)</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Deficit Accumulated from</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Inception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Stage</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(27,555)</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(9,054)</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(23,605)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Total Liabilities and Members'</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563,109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(21,289)</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-5725795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-5725795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-5725795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-5725795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-5725795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-5725795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-5725795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-5725795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-5725795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-5725795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-5725795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-5725795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-4336415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-4336415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-4336415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-4336415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-4336415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-4336415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-4336415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-4336415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-4336415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-4336415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-4336415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-4336415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-3342005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-3342005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-3342005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-3342005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-3342005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-3342005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-3342005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-3342005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-3342005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-3342005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-3342005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-3342005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-2038350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-2038350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-2038350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-2038350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-2038350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-2038350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-2038350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-2038350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-2038350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-2038350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-2038350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-2038350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-751840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-751840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-751840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-751840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-751840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-460375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-460375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-460375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-460375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-460375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-460375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2001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Valvino Lamore,</w:t>
            </w:r>
          </w:p>
        </w:tc>
        <w:tc>
          <w:tcPr>
            <w:tcW w:w="40" w:type="dxa"/>
            <w:vAlign w:val="bottom"/>
          </w:tcPr>
          <w:p>
            <w:pPr>
              <w:spacing w:after="0"/>
              <w:rPr>
                <w:sz w:val="13"/>
                <w:szCs w:val="13"/>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Wynn Las Vegas,</w:t>
            </w:r>
          </w:p>
        </w:tc>
        <w:tc>
          <w:tcPr>
            <w:tcW w:w="180" w:type="dxa"/>
            <w:vAlign w:val="bottom"/>
          </w:tcPr>
          <w:p>
            <w:pPr>
              <w:spacing w:after="0"/>
              <w:rPr>
                <w:sz w:val="13"/>
                <w:szCs w:val="13"/>
                <w:color w:val="auto"/>
              </w:rPr>
            </w:pPr>
          </w:p>
        </w:tc>
        <w:tc>
          <w:tcPr>
            <w:tcW w:w="11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LLC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LLC</w:t>
            </w:r>
          </w:p>
        </w:tc>
        <w:tc>
          <w:tcPr>
            <w:tcW w:w="180" w:type="dxa"/>
            <w:vAlign w:val="bottom"/>
          </w:tcPr>
          <w:p>
            <w:pPr>
              <w:spacing w:after="0"/>
              <w:rPr>
                <w:sz w:val="15"/>
                <w:szCs w:val="15"/>
                <w:color w:val="auto"/>
              </w:rPr>
            </w:pPr>
          </w:p>
        </w:tc>
        <w:tc>
          <w:tcPr>
            <w:tcW w:w="11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All Other Non-Guarantors</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Eliminating Entries</w:t>
            </w:r>
          </w:p>
        </w:tc>
        <w:tc>
          <w:tcPr>
            <w:tcW w:w="140" w:type="dxa"/>
            <w:vAlign w:val="bottom"/>
          </w:tcPr>
          <w:p>
            <w:pPr>
              <w:spacing w:after="0"/>
              <w:rPr>
                <w:sz w:val="15"/>
                <w:szCs w:val="15"/>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24"/>
                <w:szCs w:val="24"/>
                <w:color w:val="auto"/>
              </w:rPr>
            </w:pPr>
          </w:p>
        </w:tc>
        <w:tc>
          <w:tcPr>
            <w:tcW w:w="7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116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39,271</w:t>
            </w: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right w:val="single" w:sz="8" w:color="CCEEFF"/>
            </w:tcBorders>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41,507</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Due from Related Parties and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Balances, Net of Current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(66,270)</w:t>
            </w:r>
          </w:p>
        </w:tc>
        <w:tc>
          <w:tcPr>
            <w:tcW w:w="116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4"/>
              </w:rPr>
              <w:t>(11,785)</w:t>
            </w:r>
          </w:p>
        </w:tc>
        <w:tc>
          <w:tcPr>
            <w:tcW w:w="86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c>
          <w:tcPr>
            <w:tcW w:w="116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390,788</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20" w:type="dxa"/>
            <w:vAlign w:val="bottom"/>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24"/>
                <w:szCs w:val="24"/>
                <w:color w:val="auto"/>
              </w:rPr>
            </w:pPr>
          </w:p>
        </w:tc>
        <w:tc>
          <w:tcPr>
            <w:tcW w:w="1160" w:type="dxa"/>
            <w:vAlign w:val="bottom"/>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right w:val="single" w:sz="8" w:color="CCEEFF"/>
            </w:tcBorders>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Deficit Accumulated from Inception</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Development Stage</w:t>
            </w: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(19,016)</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(5,742)</w:t>
            </w:r>
          </w:p>
        </w:tc>
        <w:tc>
          <w:tcPr>
            <w:tcW w:w="1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86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(5,724)</w:t>
            </w:r>
          </w:p>
        </w:tc>
        <w:tc>
          <w:tcPr>
            <w:tcW w:w="1160" w:type="dxa"/>
            <w:vAlign w:val="bottom"/>
          </w:tcPr>
          <w:p>
            <w:pPr>
              <w:spacing w:after="0"/>
              <w:rPr>
                <w:sz w:val="24"/>
                <w:szCs w:val="24"/>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86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Total Liabilities and Members'</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395,520</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c>
          <w:tcPr>
            <w:tcW w:w="116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390,788</w:t>
            </w:r>
          </w:p>
        </w:tc>
        <w:tc>
          <w:tcPr>
            <w:tcW w:w="1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5"/>
          </w:tcPr>
          <w:p>
            <w:pPr>
              <w:spacing w:after="0"/>
              <w:rPr>
                <w:sz w:val="19"/>
                <w:szCs w:val="19"/>
                <w:color w:val="auto"/>
              </w:rPr>
            </w:pPr>
          </w:p>
        </w:tc>
        <w:tc>
          <w:tcPr>
            <w:tcW w:w="1420" w:type="dxa"/>
            <w:vAlign w:val="bottom"/>
            <w:tcBorders>
              <w:bottom w:val="single" w:sz="8" w:color="808080"/>
            </w:tcBorders>
            <w:gridSpan w:val="5"/>
          </w:tcPr>
          <w:p>
            <w:pPr>
              <w:spacing w:after="0"/>
              <w:rPr>
                <w:sz w:val="19"/>
                <w:szCs w:val="19"/>
                <w:color w:val="auto"/>
              </w:rPr>
            </w:pPr>
          </w:p>
        </w:tc>
        <w:tc>
          <w:tcPr>
            <w:tcW w:w="166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00" w:type="dxa"/>
            <w:vAlign w:val="bottom"/>
            <w:gridSpan w:val="13"/>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11"/>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CONSOLIDATING BALANCE SHEETS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8"/>
          </w:tcPr>
          <w:p>
            <w:pPr>
              <w:jc w:val="center"/>
              <w:ind w:right="1021"/>
              <w:spacing w:after="0"/>
              <w:rPr>
                <w:sz w:val="20"/>
                <w:szCs w:val="20"/>
                <w:color w:val="auto"/>
              </w:rPr>
            </w:pPr>
            <w:r>
              <w:rPr>
                <w:rFonts w:ascii="Times New Roman" w:cs="Times New Roman" w:eastAsia="Times New Roman" w:hAnsi="Times New Roman"/>
                <w:sz w:val="18"/>
                <w:szCs w:val="18"/>
                <w:b w:val="1"/>
                <w:bCs w:val="1"/>
                <w:color w:val="auto"/>
                <w:w w:val="98"/>
              </w:rPr>
              <w:t>As of December 31, 2000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Valvino Lamore,</w:t>
            </w:r>
          </w:p>
        </w:tc>
        <w:tc>
          <w:tcPr>
            <w:tcW w:w="220" w:type="dxa"/>
            <w:vAlign w:val="bottom"/>
          </w:tcPr>
          <w:p>
            <w:pPr>
              <w:spacing w:after="0"/>
              <w:rPr>
                <w:sz w:val="24"/>
                <w:szCs w:val="2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LLC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 Non-Guarantors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Eliminating Entries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-8143875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-8143875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-8143875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-8143875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-8143875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-8143875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-8143875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-8143875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-8143875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-8143875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-8143875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-8143875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-6755130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-6755130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-6755130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-6755130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-6755130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-6755130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-6755130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-6755130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-6755130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-6755130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-6755130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-6755130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-5622925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-5622925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-5622925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-5622925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-5622925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-5622925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-5622925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-5622925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-5622925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-5622925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-5622925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-5622925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-4164965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-4164965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-4164965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-4164965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-4164965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-4164965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-4164965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-4164965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-4164965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-4164965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-4164965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-4164965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-2895600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-2895600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-2895600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-2895600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-2895600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-2895600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-2895600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-2895600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-2895600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-2895600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-2895600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-2895600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-2604135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-2604135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-2604135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-2604135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-2604135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-2604135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-2604135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-2604135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-2604135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-2604135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-2604135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-2604135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-14605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877685" cy="10477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877685" cy="10477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60" w:name="page161"/>
    <w:bookmarkEnd w:id="16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w:t>
            </w: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Due from Related Parties and</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Intercompany Balances, Net of Current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(27,912)</w:t>
            </w:r>
          </w:p>
        </w:tc>
        <w:tc>
          <w:tcPr>
            <w:tcW w:w="6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(2,845)</w:t>
            </w:r>
          </w:p>
        </w:tc>
        <w:tc>
          <w:tcPr>
            <w:tcW w:w="56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388,928</w:t>
            </w:r>
          </w:p>
        </w:tc>
        <w:tc>
          <w:tcPr>
            <w:tcW w:w="220" w:type="dxa"/>
            <w:vAlign w:val="bottom"/>
          </w:tcPr>
          <w:p>
            <w:pPr>
              <w:spacing w:after="0"/>
              <w:rPr>
                <w:sz w:val="24"/>
                <w:szCs w:val="24"/>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68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Members' 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4"/>
                <w:szCs w:val="24"/>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Members' Equity Contributed Capital</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Borders>
              <w:right w:val="single" w:sz="8" w:color="CCEEFF"/>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Deficit Accumulated from Inception</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During the Development Stage</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(8,562)</w:t>
            </w:r>
          </w:p>
        </w:tc>
        <w:tc>
          <w:tcPr>
            <w:tcW w:w="3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6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6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Borders>
              <w:right w:val="single" w:sz="8" w:color="CCEEFF"/>
            </w:tcBorders>
            <w:shd w:val="clear" w:color="auto" w:fill="CCEEFF"/>
          </w:tcPr>
          <w:p>
            <w:pPr>
              <w:ind w:left="640"/>
              <w:spacing w:after="0" w:line="201" w:lineRule="exact"/>
              <w:rPr>
                <w:sz w:val="20"/>
                <w:szCs w:val="20"/>
                <w:color w:val="auto"/>
              </w:rPr>
            </w:pPr>
            <w:r>
              <w:rPr>
                <w:rFonts w:ascii="Times New Roman" w:cs="Times New Roman" w:eastAsia="Times New Roman" w:hAnsi="Times New Roman"/>
                <w:sz w:val="18"/>
                <w:szCs w:val="18"/>
                <w:color w:val="auto"/>
              </w:rPr>
              <w:t>Total Liabilities and Members'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68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7"/>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2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F-24</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-4610735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-4610735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-4610735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-4610735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-4610735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-4610735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-4610735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-4610735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-4610735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-4610735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-3719195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-3719195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-3719195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-3719195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-3719195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-3719195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-3719195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-3719195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-3719195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-3719195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-2381250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-2381250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-2381250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-2381250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-2381250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-2381250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-2381250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-2381250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-2381250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-2381250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-1249045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-1249045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-1249045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-1249045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-1249045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-1249045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-1249045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-1249045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-1249045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-1249045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-957580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-957580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-957580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-957580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-957580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-957580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-957580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-957580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-957580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-957580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32"/>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Vegas, LLC</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Wynn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Valvino</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32"/>
              <w:spacing w:after="0" w:line="149" w:lineRule="exact"/>
              <w:rPr>
                <w:sz w:val="20"/>
                <w:szCs w:val="20"/>
                <w:color w:val="auto"/>
              </w:rPr>
            </w:pPr>
            <w:r>
              <w:rPr>
                <w:rFonts w:ascii="Times New Roman" w:cs="Times New Roman" w:eastAsia="Times New Roman" w:hAnsi="Times New Roman"/>
                <w:sz w:val="14"/>
                <w:szCs w:val="14"/>
                <w:b w:val="1"/>
                <w:bCs w:val="1"/>
                <w:color w:val="auto"/>
                <w:w w:val="91"/>
              </w:rPr>
              <w:t>Las Vegas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6"/>
              </w:rPr>
              <w:t>Capital Corp.</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12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1200" w:type="dxa"/>
            <w:vAlign w:val="bottom"/>
          </w:tcPr>
          <w:p>
            <w:pPr>
              <w:spacing w:after="0"/>
              <w:rPr>
                <w:sz w:val="21"/>
                <w:szCs w:val="21"/>
                <w:color w:val="auto"/>
              </w:rPr>
            </w:pPr>
          </w:p>
        </w:tc>
        <w:tc>
          <w:tcPr>
            <w:tcW w:w="1700" w:type="dxa"/>
            <w:vAlign w:val="bottom"/>
            <w:gridSpan w:val="3"/>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12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Pr>
          <w:p>
            <w:pPr>
              <w:spacing w:after="0"/>
              <w:rPr>
                <w:sz w:val="24"/>
                <w:szCs w:val="24"/>
                <w:color w:val="auto"/>
              </w:rPr>
            </w:pPr>
          </w:p>
        </w:tc>
        <w:tc>
          <w:tcPr>
            <w:tcW w:w="1700" w:type="dxa"/>
            <w:vAlign w:val="bottom"/>
            <w:gridSpan w:val="3"/>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1,713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3,262</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Settlement of Intercompany</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1,535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Loss / (Gain) on Sale of Fixed</w:t>
            </w: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Selling, General &amp;</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1200" w:type="dxa"/>
            <w:vAlign w:val="bottom"/>
          </w:tcPr>
          <w:p>
            <w:pPr>
              <w:spacing w:after="0"/>
              <w:rPr>
                <w:sz w:val="19"/>
                <w:szCs w:val="19"/>
                <w:color w:val="auto"/>
              </w:rPr>
            </w:pPr>
          </w:p>
        </w:tc>
        <w:tc>
          <w:tcPr>
            <w:tcW w:w="1700" w:type="dxa"/>
            <w:vAlign w:val="bottom"/>
            <w:gridSpan w:val="3"/>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12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12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3"/>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-2869565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-2869565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-2869565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-2869565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-2869565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-2869565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-2869565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-2869565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-2869565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-2869565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-2869565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-2869565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-1960245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-1960245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-1960245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-1960245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-1960245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-1960245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-1960245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-1960245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-1960245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-1960245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-1960245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-1960245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 (Gain) from Incidental</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(6,768)</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(3,198)</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(4,972)</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 Net of</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Capitalized</w:t>
            </w:r>
          </w:p>
        </w:tc>
        <w:tc>
          <w:tcPr>
            <w:tcW w:w="6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from Macau</w:t>
            </w:r>
          </w:p>
        </w:tc>
        <w:tc>
          <w:tcPr>
            <w:tcW w:w="6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(2,534)</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Minority Interest</w:t>
            </w:r>
          </w:p>
        </w:tc>
        <w:tc>
          <w:tcPr>
            <w:tcW w:w="6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Loss Accumulated</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During the Development</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Stage</w:t>
            </w:r>
          </w:p>
        </w:tc>
        <w:tc>
          <w:tcPr>
            <w:tcW w:w="62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(8,539)</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(3,312)</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(4,954)</w:t>
            </w:r>
          </w:p>
        </w:tc>
        <w:tc>
          <w:tcPr>
            <w:tcW w:w="4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F-25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-2878455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-2878455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-2878455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-2878455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-2878455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-2878455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-2878455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-2878455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-2878455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-2878455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-2878455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-2878455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-2569845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-2569845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-2569845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-2569845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-2569845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-2569845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-2569845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-2569845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-2569845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-2569845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-2569845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24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220" w:type="dxa"/>
            <w:vAlign w:val="bottom"/>
          </w:tcPr>
          <w:p>
            <w:pPr>
              <w:spacing w:after="0"/>
              <w:rPr>
                <w:sz w:val="13"/>
                <w:szCs w:val="13"/>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 / (Gain) on Sale of Fixed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Selling, General &amp;</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 Net of</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Capitalized</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Loss Accumulated</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During the Development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Stage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F-26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-4627880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-4627880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-4627880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-4627880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-4627880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-4627880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-4627880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-4627880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-4627880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-4627880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-4627880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-4027805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-4027805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-4027805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-4027805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-4027805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-4027805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-4027805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-4027805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-4027805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-4027805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-2415540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-2415540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-2415540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-2415540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-2415540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-2415540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-1403350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-1403350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-1403350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-1403350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-1403350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-1403350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-1403350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-1403350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-1094740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-1094740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-1094740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-1094740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-1094740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-1094740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-1094740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-1094740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ectPr>
          <w:pgSz w:w="11900" w:h="16838" w:orient="portrait"/>
          <w:cols w:equalWidth="0" w:num="1">
            <w:col w:w="11420"/>
          </w:cols>
          <w:pgMar w:left="240" w:top="134" w:right="239" w:bottom="0" w:gutter="0" w:footer="0" w:header="0"/>
        </w:sectPr>
      </w:pPr>
    </w:p>
    <w:bookmarkStart w:id="162" w:name="page163"/>
    <w:bookmarkEnd w:id="162"/>
    <w:p>
      <w:pPr>
        <w:spacing w:after="0" w:line="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 2001</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20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18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Depreciation and</w:t>
            </w:r>
          </w:p>
        </w:tc>
        <w:tc>
          <w:tcPr>
            <w:tcW w:w="2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 / (Gain) on Sale of Fixed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Selling, General &amp;</w:t>
            </w:r>
          </w:p>
        </w:tc>
        <w:tc>
          <w:tcPr>
            <w:tcW w:w="2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2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(12,788)</w:t>
            </w: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(5,206)</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 (Expense)</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 Net of Amounts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Accumulated During</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 Development Stage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(10,454)</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(5,206)</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F-27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-5777230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-5777230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-5777230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-5777230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-5777230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-5777230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-5777230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-5777230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-5777230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-5777230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-5777230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-5777230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-4867910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-4867910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-4867910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-4867910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-4867910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-4867910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-4867910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-4867910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-4867910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-4867910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-4867910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-4867910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-2844165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-2844165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-2844165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-2844165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-2844165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-2844165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-2844165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-2844165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-2844165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-2535555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-2535555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-2535555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-2535555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-2535555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-2535555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-2535555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-2535555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-1403350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-1403350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-1403350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From Inception to December 31, 2000</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4"/>
              </w:rPr>
              <w:t>Valvino</w:t>
            </w:r>
          </w:p>
        </w:tc>
        <w:tc>
          <w:tcPr>
            <w:tcW w:w="16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9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16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9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6"/>
              </w:rPr>
              <w:t>Non-Guarantors</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Retail Sales</w:t>
            </w:r>
          </w:p>
        </w:tc>
        <w:tc>
          <w:tcPr>
            <w:tcW w:w="240" w:type="dxa"/>
            <w:vAlign w:val="bottom"/>
          </w:tcPr>
          <w:p>
            <w:pPr>
              <w:spacing w:after="0"/>
              <w:rPr>
                <w:sz w:val="21"/>
                <w:szCs w:val="21"/>
                <w:color w:val="auto"/>
              </w:rPr>
            </w:pPr>
          </w:p>
        </w:tc>
        <w:tc>
          <w:tcPr>
            <w:tcW w:w="18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 (Gain) from Incidental Operations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(9,979)</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431"/>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 of Amounts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-2157730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-2157730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-2157730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-2157730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-2157730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-2157730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-2157730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-2157730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-2157730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-2157730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-956945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-956945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-956945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-956945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-956945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-956945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-956945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-956945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-956945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-956945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339" w:right="139" w:bottom="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34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4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Net Loss Accumulated During the</w:t>
            </w: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Development Stage</w:t>
            </w:r>
          </w:p>
        </w:tc>
        <w:tc>
          <w:tcPr>
            <w:tcW w:w="600" w:type="dxa"/>
            <w:vAlign w:val="bottom"/>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(8,562)</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F-28</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-1266190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-1266190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-1266190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-1266190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-1266190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-1266190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-1266190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-1266190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-1266190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-1266190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-957580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-957580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-957580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-957580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-957580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From Inception to June 30, 2002</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Settlement of Intercompany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Loss/(Gain) on Sale of Fixed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Selling, General &amp;</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Loss/(Gain) from Incidental</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(29,535)</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 Net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Capitalized</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 from Macau</w:t>
            </w:r>
          </w:p>
        </w:tc>
        <w:tc>
          <w:tcPr>
            <w:tcW w:w="2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Minority Interest</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Loss Accumulated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During the Development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Stage</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(27,555)</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(9,054)</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(5,568)</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F-29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-5948680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-5948680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-5948680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-5948680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-5948680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-5948680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-5948680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-5948680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-5948680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-5948680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-5948680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-5948680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-5039995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-5039995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-5039995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-5039995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-5039995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-5039995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-5039995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-5039995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-5039995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-5039995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-5039995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-5039995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-1557655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-1557655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-1557655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-1557655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-1557655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-1557655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-1557655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ectPr>
          <w:pgSz w:w="11900" w:h="16838" w:orient="portrait"/>
          <w:cols w:equalWidth="0" w:num="1">
            <w:col w:w="11520"/>
          </w:cols>
          <w:pgMar w:left="240" w:top="140" w:right="139" w:bottom="0" w:gutter="0" w:footer="0" w:header="0"/>
        </w:sectPr>
      </w:pPr>
    </w:p>
    <w:bookmarkStart w:id="164" w:name="page165"/>
    <w:bookmarkEnd w:id="164"/>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3"/>
              </w:rPr>
              <w:t>Wynn Las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Vegas, LLC</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Wynn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Valvino</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Capital Corp.</w:t>
            </w:r>
          </w:p>
        </w:tc>
        <w:tc>
          <w:tcPr>
            <w:tcW w:w="13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2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6"/>
              </w:rPr>
              <w:t>Net Loss Accumulated During the Development Stage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1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940" w:type="dxa"/>
            <w:vAlign w:val="bottom"/>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780" w:type="dxa"/>
            <w:vAlign w:val="bottom"/>
          </w:tcPr>
          <w:p>
            <w:pPr>
              <w:jc w:val="right"/>
              <w:ind w:right="657"/>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(3,312)</w:t>
            </w:r>
          </w:p>
        </w:tc>
        <w:tc>
          <w:tcPr>
            <w:tcW w:w="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2,815</w:t>
            </w: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During the Development Stage to Net Cash Provided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by/(Used in) Operating 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 Loss from Macau</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(2,534)</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Settlement of Intercompany Accounts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(2,092)</w:t>
            </w:r>
          </w:p>
        </w:tc>
        <w:tc>
          <w:tcPr>
            <w:tcW w:w="1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Gain/(Loss) on Sale of Fixed Assets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7"/>
              </w:rPr>
              <w:t>(1,788)</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Minority Interest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10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(282)</w:t>
            </w: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Net Cash Provided by / (Used in) Operating Activities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7"/>
              </w:rPr>
              <w:t>(2,522)</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(3,243)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23"/>
                <w:szCs w:val="23"/>
                <w:color w:val="auto"/>
              </w:rPr>
            </w:pPr>
          </w:p>
        </w:tc>
        <w:tc>
          <w:tcPr>
            <w:tcW w:w="110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(2,093)</w:t>
            </w: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1"/>
              </w:rPr>
              <w:t>(19,222)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Airplane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(9,591)</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(27,518)</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(589)</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(562)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Intercompany Balances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(27,051)</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(7,684)</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Cash Provided by / (Used in) Investing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(54,561)</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25,897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(23,438)</w:t>
            </w:r>
          </w:p>
        </w:tc>
        <w:tc>
          <w:tcPr>
            <w:tcW w:w="0" w:type="dxa"/>
            <w:vAlign w:val="bottom"/>
          </w:tcPr>
          <w:p>
            <w:pPr>
              <w:spacing w:after="0"/>
              <w:rPr>
                <w:sz w:val="1"/>
                <w:szCs w:val="1"/>
                <w:color w:val="auto"/>
              </w:rPr>
            </w:pPr>
          </w:p>
        </w:tc>
      </w:tr>
      <w:tr>
        <w:trPr>
          <w:trHeight w:val="118"/>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Contributions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173,494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(23,804)</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Macau</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173,478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26,860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(23,804)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122,513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39,590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End of Period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162,103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 Net of Amounts Capitalized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F-30</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48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420" w:type="dxa"/>
            <w:vAlign w:val="bottom"/>
            <w:tcBorders>
              <w:bottom w:val="single" w:sz="8" w:color="808080"/>
            </w:tcBorders>
            <w:gridSpan w:val="2"/>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15"/>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7"/>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6"/>
              </w:rPr>
              <w:t>CONSOLIDATING STATEMENTS OF CASH FLOWS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9"/>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88"/>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88"/>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13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Eliminating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40" w:type="dxa"/>
            <w:vAlign w:val="bottom"/>
          </w:tcPr>
          <w:p>
            <w:pPr>
              <w:spacing w:after="0"/>
              <w:rPr>
                <w:sz w:val="15"/>
                <w:szCs w:val="15"/>
                <w:color w:val="auto"/>
              </w:rPr>
            </w:pPr>
          </w:p>
        </w:tc>
        <w:tc>
          <w:tcPr>
            <w:tcW w:w="16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13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6"/>
              </w:rPr>
              <w:t>Non-Guarantors</w:t>
            </w:r>
          </w:p>
        </w:tc>
        <w:tc>
          <w:tcPr>
            <w:tcW w:w="12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Loss Accumulated During the Development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Stage</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(5,712)</w:t>
            </w:r>
          </w:p>
        </w:tc>
        <w:tc>
          <w:tcPr>
            <w:tcW w:w="46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4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During the Development Stage to Net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Provided by / (Used in) Operating 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3,610</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-9024620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-9024620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-9024620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-9024620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-9024620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-9024620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-9024620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-9024620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-9024620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-9024620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-9024620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-9024620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-6606540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-6606540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-6606540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-6606540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-6606540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-6606540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-6606540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-6606540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-6606540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-6606540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-6606540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-6606540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-6357620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-6357620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-6357620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-6357620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-6357620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-6357620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-6357620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-6357620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-6357620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-6357620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-6357620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-6357620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-5337175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-5337175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-5337175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-5337175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-5337175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-5337175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-5337175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-5337175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-5337175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-5337175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-5337175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-5337175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-4994275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-4994275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-4994275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-4994275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-4994275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-4994275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-4994275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-4994275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-4994275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-4994275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-4994275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-4994275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-4282440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-4282440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-4282440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-4282440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-4282440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-4282440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-4282440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-4282440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-4282440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-4282440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-4282440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-4282440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-3973195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-3973195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-3973195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-3973195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-3973195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-3973195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-3973195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-3973195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-3973195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-3973195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-3973195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-3973195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-3630295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-3630295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-3630295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-3630295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-3630295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-3630295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-3630295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-3630295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-3630295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-3630295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-3630295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-3630295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-2678430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-2678430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-757555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-757555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-757555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-757555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-757555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-757555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-757555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-757555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-757555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-757555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-757555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-757555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3" w:orient="portrait"/>
          <w:cols w:equalWidth="0" w:num="1">
            <w:col w:w="11420"/>
          </w:cols>
          <w:pgMar w:left="240" w:top="339" w:right="239" w:bottom="0" w:gutter="0" w:footer="0" w:header="0"/>
        </w:sectPr>
      </w:pPr>
    </w:p>
    <w:bookmarkStart w:id="165" w:name="page166"/>
    <w:bookmarkEnd w:id="16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 (Loss) on Sale of Fixed Assets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Cash Provided by / (Used in) Operating</w:t>
            </w: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Activities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(281)</w:t>
            </w: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(7,434)</w:t>
            </w:r>
          </w:p>
        </w:tc>
        <w:tc>
          <w:tcPr>
            <w:tcW w:w="4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Airplane</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(7,573)</w:t>
            </w: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Intercompany Balances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(19,489)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4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Cash Provided by / (Used in) Investing</w:t>
            </w: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14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Contributions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Increase/(Decrease) in Cash and Cash Equivalents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(245)</w:t>
            </w:r>
          </w:p>
        </w:tc>
        <w:tc>
          <w:tcPr>
            <w:tcW w:w="40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23"/>
                <w:szCs w:val="23"/>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(270)</w:t>
            </w:r>
          </w:p>
        </w:tc>
        <w:tc>
          <w:tcPr>
            <w:tcW w:w="400" w:type="dxa"/>
            <w:vAlign w:val="bottom"/>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Cash Flow Disclosure:</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6"/>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F-31</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gridSpan w:val="3"/>
          </w:tcPr>
          <w:p>
            <w:pPr>
              <w:spacing w:after="0"/>
              <w:rPr>
                <w:sz w:val="19"/>
                <w:szCs w:val="19"/>
                <w:color w:val="auto"/>
              </w:rPr>
            </w:pPr>
          </w:p>
        </w:tc>
        <w:tc>
          <w:tcPr>
            <w:tcW w:w="140" w:type="dxa"/>
            <w:vAlign w:val="bottom"/>
            <w:tcBorders>
              <w:bottom w:val="single" w:sz="8" w:color="808080"/>
            </w:tcBorders>
            <w:gridSpan w:val="2"/>
          </w:tcPr>
          <w:p>
            <w:pPr>
              <w:spacing w:after="0"/>
              <w:rPr>
                <w:sz w:val="19"/>
                <w:szCs w:val="19"/>
                <w:color w:val="auto"/>
              </w:rPr>
            </w:pPr>
          </w:p>
        </w:tc>
        <w:tc>
          <w:tcPr>
            <w:tcW w:w="1480" w:type="dxa"/>
            <w:vAlign w:val="bottom"/>
            <w:tcBorders>
              <w:bottom w:val="single" w:sz="8" w:color="808080"/>
            </w:tcBorders>
            <w:gridSpan w:val="4"/>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14"/>
          </w:tcPr>
          <w:p>
            <w:pPr>
              <w:jc w:val="center"/>
              <w:ind w:left="625"/>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6"/>
              </w:rPr>
              <w:t>CONSOLIDATING STATEMENTS OF CASH FLOWS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Year Ended December 31, 2001</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0" w:type="dxa"/>
            <w:vAlign w:val="bottom"/>
          </w:tcPr>
          <w:p>
            <w:pPr>
              <w:spacing w:after="0"/>
              <w:rPr>
                <w:sz w:val="24"/>
                <w:szCs w:val="24"/>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40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Non-Guarantors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2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Cash Flows From Operating</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tcBorders>
              <w:left w:val="single" w:sz="8" w:color="CCEEFF"/>
            </w:tcBorders>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Loss Accumulated During the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Stage</w:t>
            </w: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(10,454)</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(682)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400" w:type="dxa"/>
            <w:vAlign w:val="bottom"/>
          </w:tcPr>
          <w:p>
            <w:pPr>
              <w:jc w:val="right"/>
              <w:ind w:right="18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Net Loss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During the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Stage to Net Cash</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by / (Used in) Operating</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tcBorders>
              <w:left w:val="single" w:sz="8" w:color="CCEEFF"/>
            </w:tcBorders>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Fixed Assets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Incidental Operations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3,611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Increase (Decrease) in Cash from</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tcBorders>
              <w:left w:val="single" w:sz="8" w:color="CCEEFF"/>
            </w:tcBorders>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Cash Provided by / (Used in)</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400" w:type="dxa"/>
            <w:vAlign w:val="bottom"/>
            <w:tcBorders>
              <w:left w:val="single" w:sz="8" w:color="CCEEFF"/>
            </w:tcBorders>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-8933180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-8933180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-8933180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-8933180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-8933180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-8933180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-8933180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-8933180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-8933180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-8933180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-8933180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-8933180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-8590280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-8590280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-8590280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-8590280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-8590280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-8590280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-8590280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-8590280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-8590280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-8590280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-8590280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-8590280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-7569835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-7569835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-7569835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-7569835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-7569835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-7569835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-7569835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-7569835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-7569835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-7569835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-7569835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-7569835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-7226300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-7226300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-7226300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-7226300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-7226300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-7226300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-7226300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-7226300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-7226300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-7226300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-7226300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-7226300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-6669405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-6669405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-6669405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-6669405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-6669405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-6669405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-6669405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-6669405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-6669405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-6669405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-6669405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-6669405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-6360160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-6360160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-6360160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-6360160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-6360160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-6360160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-6360160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-6360160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-6360160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-6360160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-6360160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-6360160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-6017260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-6017260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-6017260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-6017260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-6017260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-6017260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-6017260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-6017260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-6017260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-6017260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-6017260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-6017260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-5065395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-5065395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-3462020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-3462020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-3462020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-3462020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-3462020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-3462020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-3462020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-3462020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-3462020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-3462020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-3462020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-3462020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-443230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-443230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-443230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-443230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-443230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-443230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-443230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-443230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-443230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-443230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-443230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-443230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Activities</w:t>
      </w:r>
    </w:p>
    <w:p>
      <w:pPr>
        <w:sectPr>
          <w:pgSz w:w="11900" w:h="16900" w:orient="portrait"/>
          <w:cols w:equalWidth="0" w:num="1">
            <w:col w:w="11420"/>
          </w:cols>
          <w:pgMar w:left="240" w:top="383" w:right="239" w:bottom="0" w:gutter="0" w:footer="0" w:header="0"/>
        </w:sectPr>
      </w:pPr>
    </w:p>
    <w:bookmarkStart w:id="166" w:name="page167"/>
    <w:bookmarkEnd w:id="16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(19,387)</w:t>
            </w:r>
          </w:p>
        </w:tc>
        <w:tc>
          <w:tcPr>
            <w:tcW w:w="6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Airplane</w:t>
            </w: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(9,489)</w:t>
            </w:r>
          </w:p>
        </w:tc>
        <w:tc>
          <w:tcPr>
            <w:tcW w:w="480" w:type="dxa"/>
            <w:vAlign w:val="bottom"/>
          </w:tcPr>
          <w:p>
            <w:pPr>
              <w:spacing w:after="0"/>
              <w:rPr>
                <w:sz w:val="18"/>
                <w:szCs w:val="18"/>
                <w:color w:val="auto"/>
              </w:rPr>
            </w:pP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w:t>
            </w:r>
          </w:p>
        </w:tc>
        <w:tc>
          <w:tcPr>
            <w:tcW w:w="6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(37,266)</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(44,994)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48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Cash Flows From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Equity Contributions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Fee</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Principal Payments of Long-Term</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Borders>
              <w:right w:val="single" w:sz="8" w:color="CCEEFF"/>
            </w:tcBorders>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Cash Provided by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(24,884)</w:t>
            </w: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6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120" w:type="dxa"/>
            <w:vAlign w:val="bottom"/>
          </w:tcPr>
          <w:p>
            <w:pPr>
              <w:spacing w:after="0"/>
              <w:rPr>
                <w:sz w:val="24"/>
                <w:szCs w:val="24"/>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3"/>
          </w:tcPr>
          <w:p>
            <w:pPr>
              <w:jc w:val="right"/>
              <w:ind w:right="498"/>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F-32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Valvino Lamore,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3"/>
                <w:szCs w:val="13"/>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LLC</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80" w:type="dxa"/>
            <w:vAlign w:val="bottom"/>
          </w:tcPr>
          <w:p>
            <w:pPr>
              <w:spacing w:after="0"/>
              <w:rPr>
                <w:sz w:val="15"/>
                <w:szCs w:val="15"/>
                <w:color w:val="auto"/>
              </w:rPr>
            </w:pP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Stage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Net Loss Accumulated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During the Development Stage to Net Cash Provided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 (Used in) Operating Activities: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Loan Origination Fees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Incidental Operations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(9,196)</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Net Cash Provided by/(Used in) Operating</w:t>
            </w: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Acquisition of Desert Inn Resort and Casino, Net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(270,718)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(319,897)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(319,472)</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Contributions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Equity Distributions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-4627880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-4627880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-4627880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-4627880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-4627880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-4627880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-4627880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-4627880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-4627880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-4627880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-2432050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-2432050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-2432050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-2432050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-2432050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-2432050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-2432050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-2432050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-2432050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-2432050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-2003425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-2003425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-2003425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-2003425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-2003425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-2003425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-2003425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-2003425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-2003425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-2003425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-888365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-888365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-888365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-888365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-888365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-888365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-888365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-888365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-888365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-888365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-596900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-596900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-596900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-596900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-596900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-596900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-596900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-596900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-596900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-596900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67" w:name="page168"/>
    <w:bookmarkEnd w:id="16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Fee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Proceeds from Issuance of Long-Term</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(125,018)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Loan Origination Fees</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Issuance of Related Party Loan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Payments of Related Party Loan</w:t>
            </w:r>
          </w:p>
        </w:tc>
        <w:tc>
          <w:tcPr>
            <w:tcW w:w="3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92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20</w:t>
            </w: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F-33</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Vegas, LLC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Wynn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Valvino</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Capital Corp.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Loss Accumulated During the Development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Stage</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(27,555)</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(9,054)</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(5,568)</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6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(40,747)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During the Development Stage to Net Cash</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Provided by/(Used in) Operating Activities: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418</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 Loss from Macau</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(2,534)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Settlement of Intercompany Accounts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(1,020)</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(2,092)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Loan Origination Fees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Gain/(Loss) on Sale of Fixed Assets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(2,288)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(926)</w:t>
            </w: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3,266</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Net Cash Provided by / (Used in) Operating</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(3,619)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(7,406)</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(2,093)</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(13,501)</w:t>
            </w:r>
          </w:p>
        </w:tc>
        <w:tc>
          <w:tcPr>
            <w:tcW w:w="0" w:type="dxa"/>
            <w:vAlign w:val="bottom"/>
          </w:tcPr>
          <w:p>
            <w:pPr>
              <w:spacing w:after="0"/>
              <w:rPr>
                <w:sz w:val="1"/>
                <w:szCs w:val="1"/>
                <w:color w:val="auto"/>
              </w:rPr>
            </w:pPr>
          </w:p>
        </w:tc>
      </w:tr>
      <w:tr>
        <w:trPr>
          <w:trHeight w:val="118"/>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Acquisition of Desert Inn Resort and Casino, Net of</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(270,718)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(55,459)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(39,885)</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Airplane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(9,591)</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(27,653)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(2,214)</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Intercompany Balances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(67,181)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57,856</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9,559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Net Cash Provided by/(Used in) Investing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(419,452)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6,166</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25,897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(383,889)</w:t>
            </w:r>
          </w:p>
        </w:tc>
        <w:tc>
          <w:tcPr>
            <w:tcW w:w="0" w:type="dxa"/>
            <w:vAlign w:val="bottom"/>
          </w:tcPr>
          <w:p>
            <w:pPr>
              <w:spacing w:after="0"/>
              <w:rPr>
                <w:sz w:val="1"/>
                <w:szCs w:val="1"/>
                <w:color w:val="auto"/>
              </w:rPr>
            </w:pPr>
          </w:p>
        </w:tc>
      </w:tr>
      <w:tr>
        <w:trPr>
          <w:trHeight w:val="118"/>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Contributions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(23,804)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(110,482)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 Party Fee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Long-Term Debt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(125,066)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Origination Fees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Related Party Loan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Related Party Loan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18"/>
        </w:trPr>
        <w:tc>
          <w:tcPr>
            <w:tcW w:w="29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582,194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(23,804)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585,250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-5528310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-5528310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-5528310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-5528310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-5528310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-5528310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-5528310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-5528310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-5528310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-5528310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-5528310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-5528310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-2861310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-2861310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-2861310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-2861310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-2861310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-2861310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-2861310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-2861310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-2861310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-2861310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-2861310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-2861310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-2518410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-2518410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-2518410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-2518410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-2518410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-2518410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-2518410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-2518410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-2518410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-2518410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-2518410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-2518410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-1609090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-1609090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-1609090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-1609090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-1609090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-1609090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-1609090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-1609090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-1609090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-1609090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-1609090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-1609090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-1360805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-1360805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-1360805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-1360805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-1360805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-1360805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-1360805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-1360805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-1360805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-1360805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-1360805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-1360805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-262890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-262890</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-262890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-262890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-262890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-262890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-262890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-262890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-262890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-262890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-262890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-262890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-14605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-14605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140" w:right="239" w:bottom="0" w:gutter="0" w:footer="0" w:header="0"/>
        </w:sectPr>
      </w:pPr>
    </w:p>
    <w:bookmarkStart w:id="168" w:name="page169"/>
    <w:bookmarkEnd w:id="1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Increase/(Decrease) in Cash and Cash Equivalents</w:t>
            </w:r>
          </w:p>
        </w:tc>
        <w:tc>
          <w:tcPr>
            <w:tcW w:w="560" w:type="dxa"/>
            <w:vAlign w:val="bottom"/>
            <w:tcBorders>
              <w:left w:val="single" w:sz="8" w:color="CCEEFF"/>
            </w:tcBorders>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162,103</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(1,240)</w:t>
            </w: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26,997</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End of Period</w:t>
            </w:r>
          </w:p>
        </w:tc>
        <w:tc>
          <w:tcPr>
            <w:tcW w:w="560" w:type="dxa"/>
            <w:vAlign w:val="bottom"/>
            <w:tcBorders>
              <w:left w:val="single" w:sz="8" w:color="CCEEFF"/>
            </w:tcBorders>
            <w:shd w:val="clear" w:color="auto" w:fill="CCEEFF"/>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162,103</w:t>
            </w:r>
          </w:p>
        </w:tc>
        <w:tc>
          <w:tcPr>
            <w:tcW w:w="820" w:type="dxa"/>
            <w:vAlign w:val="bottom"/>
            <w:gridSpan w:val="2"/>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640" w:type="dxa"/>
            <w:vAlign w:val="bottom"/>
            <w:shd w:val="clear" w:color="auto" w:fill="CCEEFF"/>
          </w:tcPr>
          <w:p>
            <w:pPr>
              <w:jc w:val="right"/>
              <w:ind w:right="4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26,997</w:t>
            </w:r>
          </w:p>
        </w:tc>
        <w:tc>
          <w:tcPr>
            <w:tcW w:w="6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560" w:type="dxa"/>
            <w:vAlign w:val="bottom"/>
            <w:tcBorders>
              <w:left w:val="single" w:sz="8" w:color="808080"/>
            </w:tcBorders>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560" w:type="dxa"/>
            <w:vAlign w:val="bottom"/>
            <w:tcBorders>
              <w:left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71"/>
              </w:rPr>
              <w:t>—</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-655320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-655320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-655320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-655320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-655320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-655320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-655320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-655320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-655320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-655320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-655320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-655320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Wynn Las Vegas, LLC:</w:t>
      </w:r>
    </w:p>
    <w:p>
      <w:pPr>
        <w:spacing w:after="0" w:line="22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Wynn Las Vegas, LLC (a wholly owned subsidiary of Valvino Lamore, LLC and a development stage company) as of December 31, 2001, and the related statements of operations, members' equity, and cash flows for the period from inception (April 17, 2001) to December 31, 2001. These financial statements are the responsibility of the Company's management. Our responsibility is to express an opinion on these financial statements based on our audit.</w:t>
      </w:r>
    </w:p>
    <w:p>
      <w:pPr>
        <w:spacing w:after="0" w:line="190"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financial position of the Company as of December 31, 2001, and the results of its operations and its cash flows for the period from inception to December 31, 2001, in conformity with accounting principles generally accepted in the United States of America.</w:t>
      </w:r>
    </w:p>
    <w:p>
      <w:pPr>
        <w:spacing w:after="0" w:line="186"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accompanying financial statements have been prepared from the separate records maintained by the Company and may not necessarily be indicative of the conditions that would have existed or the results of operations if the Company had been operated as a separate stand-alone entity. As indicated in Note 3, certain general and administrative expenses are paid by the sole member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172,084</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parties, net</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CCEEFF"/>
          </w:tcPr>
          <w:p>
            <w:pPr>
              <w:spacing w:after="0"/>
              <w:rPr>
                <w:sz w:val="6"/>
                <w:szCs w:val="6"/>
                <w:color w:val="auto"/>
              </w:rPr>
            </w:pPr>
          </w:p>
        </w:tc>
        <w:tc>
          <w:tcPr>
            <w:tcW w:w="7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220" w:type="dxa"/>
            <w:vAlign w:val="bottom"/>
            <w:tcBorders>
              <w:righ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-3101340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-3101340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-3101340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-3101340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-1874520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-1874520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-1874520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-1874520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-553720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-553720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-553720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-553720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68" w:right="239" w:bottom="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432"/>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5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from inception during the development stage</w:t>
            </w: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(1,385)</w:t>
            </w:r>
          </w:p>
        </w:tc>
        <w:tc>
          <w:tcPr>
            <w:tcW w:w="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19"/>
        </w:trPr>
        <w:tc>
          <w:tcPr>
            <w:tcW w:w="7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(1,385)</w:t>
            </w:r>
          </w:p>
        </w:tc>
        <w:tc>
          <w:tcPr>
            <w:tcW w:w="8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r>
      <w:tr>
        <w:trPr>
          <w:trHeight w:val="120"/>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4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220" w:type="dxa"/>
            <w:vAlign w:val="bottom"/>
            <w:tcBorders>
              <w:right w:val="single" w:sz="8" w:color="CCEEFF"/>
            </w:tcBorders>
            <w:shd w:val="clear" w:color="auto" w:fill="CCEEFF"/>
          </w:tcPr>
          <w:p>
            <w:pPr>
              <w:spacing w:after="0"/>
              <w:rPr>
                <w:sz w:val="21"/>
                <w:szCs w:val="21"/>
                <w:color w:val="auto"/>
              </w:rPr>
            </w:pPr>
          </w:p>
        </w:tc>
        <w:tc>
          <w:tcPr>
            <w:tcW w:w="82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shd w:val="clear" w:color="auto" w:fill="CCEEFF"/>
          </w:tcPr>
          <w:p>
            <w:pPr>
              <w:spacing w:after="0"/>
              <w:rPr>
                <w:sz w:val="21"/>
                <w:szCs w:val="21"/>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-631825</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-631825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-631825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-631825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-340360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-340360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6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19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From Inception to</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June 30, 2001</w:t>
            </w:r>
          </w:p>
        </w:tc>
        <w:tc>
          <w:tcPr>
            <w:tcW w:w="300" w:type="dxa"/>
            <w:vAlign w:val="bottom"/>
          </w:tcPr>
          <w:p>
            <w:pPr>
              <w:spacing w:after="0"/>
              <w:rPr>
                <w:sz w:val="15"/>
                <w:szCs w:val="15"/>
                <w:color w:val="auto"/>
              </w:rPr>
            </w:pP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36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136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Pre-opening costs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Expenses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560" w:type="dxa"/>
            <w:vAlign w:val="bottom"/>
            <w:gridSpan w:val="2"/>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3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(706)</w:t>
            </w:r>
          </w:p>
        </w:tc>
        <w:tc>
          <w:tcPr>
            <w:tcW w:w="260" w:type="dxa"/>
            <w:vAlign w:val="bottom"/>
          </w:tcPr>
          <w:p>
            <w:pPr>
              <w:spacing w:after="0"/>
              <w:rPr>
                <w:sz w:val="22"/>
                <w:szCs w:val="22"/>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Pr>
          <w:p>
            <w:pPr>
              <w:spacing w:after="0"/>
              <w:rPr>
                <w:sz w:val="22"/>
                <w:szCs w:val="22"/>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(682)</w:t>
            </w:r>
          </w:p>
        </w:tc>
        <w:tc>
          <w:tcPr>
            <w:tcW w:w="220" w:type="dxa"/>
            <w:vAlign w:val="bottom"/>
          </w:tcPr>
          <w:p>
            <w:pPr>
              <w:spacing w:after="0"/>
              <w:rPr>
                <w:sz w:val="22"/>
                <w:szCs w:val="22"/>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Income/(Expense)</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loss accumulated during the development stage</w:t>
            </w:r>
          </w:p>
        </w:tc>
        <w:tc>
          <w:tcPr>
            <w:tcW w:w="1360" w:type="dxa"/>
            <w:vAlign w:val="bottom"/>
          </w:tcPr>
          <w:p>
            <w:pPr>
              <w:jc w:val="right"/>
              <w:ind w:right="123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(703)</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(682)</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-2449830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-2449830</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-2449830</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-2449830</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-2449830</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-2449830</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-2449830</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-2449830</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-1549400</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-1549400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-1549400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-1549400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-1549400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-1549400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-1549400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-1549400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-1240790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-1240790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-1240790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-1240790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-1240790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-1240790</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-1240790</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-1240790</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-648970</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-648970</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-648970</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-648970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-648970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-648970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-648970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-340360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-340360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-340360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-340360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-340360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-340360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-340360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20" w:type="dxa"/>
            <w:vAlign w:val="bottom"/>
          </w:tcPr>
          <w:p>
            <w:pPr>
              <w:jc w:val="center"/>
              <w:ind w:left="3272"/>
              <w:spacing w:after="0"/>
              <w:rPr>
                <w:sz w:val="20"/>
                <w:szCs w:val="20"/>
                <w:color w:val="auto"/>
              </w:rPr>
            </w:pPr>
            <w:r>
              <w:rPr>
                <w:rFonts w:ascii="Times New Roman" w:cs="Times New Roman" w:eastAsia="Times New Roman" w:hAnsi="Times New Roman"/>
                <w:sz w:val="18"/>
                <w:szCs w:val="18"/>
                <w:color w:val="auto"/>
                <w:w w:val="99"/>
              </w:rPr>
              <w:t>F-37</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8020" w:type="dxa"/>
            <w:vAlign w:val="bottom"/>
          </w:tcPr>
          <w:p>
            <w:pPr>
              <w:jc w:val="center"/>
              <w:ind w:left="3292"/>
              <w:spacing w:after="0"/>
              <w:rPr>
                <w:sz w:val="20"/>
                <w:szCs w:val="20"/>
                <w:color w:val="auto"/>
              </w:rPr>
            </w:pPr>
            <w:r>
              <w:rPr>
                <w:rFonts w:ascii="Times New Roman" w:cs="Times New Roman" w:eastAsia="Times New Roman" w:hAnsi="Times New Roman"/>
                <w:sz w:val="18"/>
                <w:szCs w:val="18"/>
                <w:b w:val="1"/>
                <w:bCs w:val="1"/>
                <w:color w:val="auto"/>
                <w:w w:val="97"/>
              </w:rPr>
              <w:t>WYNN LAS VEGAS, LLC</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 WHOLLY OWNED SUBSIDIARY OF VALVINO LAMORE,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jc w:val="center"/>
              <w:ind w:left="3252"/>
              <w:spacing w:after="0"/>
              <w:rPr>
                <w:sz w:val="20"/>
                <w:szCs w:val="20"/>
                <w:color w:val="auto"/>
              </w:rPr>
            </w:pPr>
            <w:r>
              <w:rPr>
                <w:rFonts w:ascii="Times New Roman" w:cs="Times New Roman" w:eastAsia="Times New Roman" w:hAnsi="Times New Roman"/>
                <w:sz w:val="18"/>
                <w:szCs w:val="18"/>
                <w:b w:val="1"/>
                <w:bCs w:val="1"/>
                <w:color w:val="auto"/>
                <w:w w:val="96"/>
              </w:rPr>
              <w:t>AND A DEVELOPMENT STAGE COMPANY)</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52"/>
              <w:spacing w:after="0"/>
              <w:rPr>
                <w:sz w:val="20"/>
                <w:szCs w:val="20"/>
                <w:color w:val="auto"/>
              </w:rPr>
            </w:pPr>
            <w:r>
              <w:rPr>
                <w:rFonts w:ascii="Times New Roman" w:cs="Times New Roman" w:eastAsia="Times New Roman" w:hAnsi="Times New Roman"/>
                <w:sz w:val="18"/>
                <w:szCs w:val="18"/>
                <w:b w:val="1"/>
                <w:bCs w:val="1"/>
                <w:color w:val="auto"/>
                <w:w w:val="96"/>
              </w:rPr>
              <w:t>STATEMENTS OF MEMBERS' EQUITY</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Inception (April 17, 2001)</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accumulated during the development stage</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accumulated during the development stage (unaudited)</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2002 (unaudited)</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-2767330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-1214755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-1214755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-768985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-768985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70" w:name="page171"/>
    <w:bookmarkEnd w:id="170"/>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0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jc w:val="center"/>
              <w:ind w:left="3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00" w:type="dxa"/>
            <w:vAlign w:val="bottom"/>
          </w:tcPr>
          <w:p>
            <w:pPr>
              <w:spacing w:after="0"/>
              <w:rPr>
                <w:sz w:val="12"/>
                <w:szCs w:val="12"/>
                <w:color w:val="auto"/>
              </w:rPr>
            </w:pPr>
          </w:p>
        </w:tc>
        <w:tc>
          <w:tcPr>
            <w:tcW w:w="196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June 30, 2001</w:t>
            </w:r>
          </w:p>
        </w:tc>
        <w:tc>
          <w:tcPr>
            <w:tcW w:w="300" w:type="dxa"/>
            <w:vAlign w:val="bottom"/>
          </w:tcPr>
          <w:p>
            <w:pPr>
              <w:spacing w:after="0"/>
              <w:rPr>
                <w:sz w:val="15"/>
                <w:szCs w:val="15"/>
                <w:color w:val="auto"/>
              </w:rPr>
            </w:pP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30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4120" w:type="dxa"/>
            <w:vAlign w:val="bottom"/>
            <w:tcBorders>
              <w:right w:val="single" w:sz="8" w:color="CCEEFF"/>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accumulated during the development stage</w:t>
            </w:r>
          </w:p>
        </w:tc>
        <w:tc>
          <w:tcPr>
            <w:tcW w:w="130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8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 during the development</w:t>
            </w: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stage to net cash provided by/(used in) operating activities:</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3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(2,571)</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18"/>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vMerge w:val="continue"/>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280" w:type="dxa"/>
            <w:vAlign w:val="bottom"/>
          </w:tcPr>
          <w:p>
            <w:pPr>
              <w:spacing w:after="0"/>
              <w:rPr>
                <w:sz w:val="12"/>
                <w:szCs w:val="12"/>
                <w:color w:val="auto"/>
              </w:rPr>
            </w:pPr>
          </w:p>
        </w:tc>
        <w:tc>
          <w:tcPr>
            <w:tcW w:w="1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2"/>
                <w:szCs w:val="12"/>
                <w:color w:val="auto"/>
              </w:rPr>
            </w:pPr>
          </w:p>
        </w:tc>
        <w:tc>
          <w:tcPr>
            <w:tcW w:w="1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by/(Used in) Investing Activities</w:t>
            </w:r>
          </w:p>
        </w:tc>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Flows From Financing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13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300" w:type="dxa"/>
            <w:vAlign w:val="bottom"/>
          </w:tcPr>
          <w:p>
            <w:pPr>
              <w:jc w:val="right"/>
              <w:ind w:right="117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-3367405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-3367405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-3367405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-3367405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-3367405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-3367405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-3367405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-3367405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-1901190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-1901190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-1901190</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-1901190</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-1901190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-1901190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-1901190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-1901190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-1652270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-1652270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-1652270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-1652270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-1652270</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-1652270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-1652270</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-1652270</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-1120775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-1120775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-1120775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-1120775</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-1120775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-1120775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-1120775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-1120775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-871855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-871855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-871855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-871855</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-871855</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-871855</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-622935</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-622935</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-622935</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-622935</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-622935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-622935</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-622935</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-280035</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-280035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-280035</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-280035</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-280035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-280035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Supplemental cash flow disclosures of noncash transactions:</w:t>
      </w:r>
    </w:p>
    <w:p>
      <w:pPr>
        <w:spacing w:after="0" w:line="204" w:lineRule="exact"/>
        <w:rPr>
          <w:sz w:val="20"/>
          <w:szCs w:val="20"/>
          <w:color w:val="auto"/>
        </w:rPr>
      </w:pPr>
    </w:p>
    <w:p>
      <w:pPr>
        <w:ind w:left="540" w:right="420"/>
        <w:spacing w:after="0" w:line="241" w:lineRule="auto"/>
        <w:rPr>
          <w:sz w:val="20"/>
          <w:szCs w:val="20"/>
          <w:color w:val="auto"/>
        </w:rPr>
      </w:pPr>
      <w:r>
        <w:rPr>
          <w:rFonts w:ascii="Times New Roman" w:cs="Times New Roman" w:eastAsia="Times New Roman" w:hAnsi="Times New Roman"/>
          <w:sz w:val="14"/>
          <w:szCs w:val="14"/>
          <w:color w:val="auto"/>
        </w:rPr>
        <w:t>During the six months ended June 30, 2002, land and construction in progress with book values of $161,392 and $10,692, respectively, were transferred to the Company from an affiliate and the Company recorded an intercompany payable to the affiliate for the same amount (See Notes 1.f. and 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footnotes are an integral part of these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9" w:lineRule="exact"/>
        <w:rPr>
          <w:sz w:val="20"/>
          <w:szCs w:val="20"/>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00" w:lineRule="exact"/>
        <w:rPr>
          <w:sz w:val="20"/>
          <w:szCs w:val="20"/>
          <w:color w:val="auto"/>
        </w:rPr>
      </w:pPr>
    </w:p>
    <w:p>
      <w:pPr>
        <w:spacing w:after="0" w:line="270" w:lineRule="exact"/>
        <w:rPr>
          <w:sz w:val="20"/>
          <w:szCs w:val="20"/>
          <w:color w:val="auto"/>
        </w:rPr>
      </w:pPr>
    </w:p>
    <w:p>
      <w:pPr>
        <w:ind w:left="1080" w:hanging="532"/>
        <w:spacing w:after="0"/>
        <w:tabs>
          <w:tab w:leader="none" w:pos="10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Basis for Presentation</w:t>
      </w:r>
    </w:p>
    <w:p>
      <w:pPr>
        <w:spacing w:after="0" w:line="225" w:lineRule="exact"/>
        <w:rPr>
          <w:sz w:val="20"/>
          <w:szCs w:val="20"/>
          <w:color w:val="auto"/>
        </w:rPr>
      </w:pPr>
    </w:p>
    <w:p>
      <w:pPr>
        <w:ind w:left="540" w:right="80" w:firstLine="351"/>
        <w:spacing w:after="0" w:line="262" w:lineRule="auto"/>
        <w:rPr>
          <w:sz w:val="20"/>
          <w:szCs w:val="20"/>
          <w:color w:val="auto"/>
        </w:rPr>
      </w:pPr>
      <w:r>
        <w:rPr>
          <w:rFonts w:ascii="Times New Roman" w:cs="Times New Roman" w:eastAsia="Times New Roman" w:hAnsi="Times New Roman"/>
          <w:sz w:val="18"/>
          <w:szCs w:val="18"/>
          <w:color w:val="auto"/>
        </w:rPr>
        <w:t>Hotel A, LLC was formed on April 17, 2001 as a Nevada limited-liability company. On May 15, 2002, Hotel A, LLC changed its name to Wynn Las Vegas, LLC. Hotel A, LLC is hereafter referred to as Wynn Las Vegas, LLC or the Company. The sole member of the Company is Wynn Resorts, LLC. The sole member of Wynn Resorts, LLC is Valvino Lamore, LLC (Valvino).</w:t>
      </w:r>
    </w:p>
    <w:p>
      <w:pPr>
        <w:spacing w:after="0" w:line="186" w:lineRule="exact"/>
        <w:rPr>
          <w:sz w:val="20"/>
          <w:szCs w:val="20"/>
          <w:color w:val="auto"/>
        </w:rPr>
      </w:pPr>
    </w:p>
    <w:p>
      <w:pPr>
        <w:ind w:left="540" w:right="100" w:firstLine="348"/>
        <w:spacing w:after="0" w:line="258" w:lineRule="auto"/>
        <w:rPr>
          <w:sz w:val="20"/>
          <w:szCs w:val="20"/>
          <w:color w:val="auto"/>
        </w:rPr>
      </w:pPr>
      <w:r>
        <w:rPr>
          <w:rFonts w:ascii="Times New Roman" w:cs="Times New Roman" w:eastAsia="Times New Roman" w:hAnsi="Times New Roman"/>
          <w:sz w:val="18"/>
          <w:szCs w:val="18"/>
          <w:color w:val="auto"/>
        </w:rPr>
        <w:t>Wynn Las Vegas, LLC was primarily organized to construct and operate "Le Rêve", a preeminent luxury hotel and destination casino resort in Las Vegas, Nevada.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0" w:lineRule="exact"/>
        <w:rPr>
          <w:sz w:val="20"/>
          <w:szCs w:val="20"/>
          <w:color w:val="auto"/>
        </w:rPr>
      </w:pPr>
    </w:p>
    <w:p>
      <w:pPr>
        <w:ind w:left="540" w:right="20" w:firstLine="348"/>
        <w:spacing w:after="0" w:line="258" w:lineRule="auto"/>
        <w:rPr>
          <w:sz w:val="20"/>
          <w:szCs w:val="20"/>
          <w:color w:val="auto"/>
        </w:rPr>
      </w:pPr>
      <w:r>
        <w:rPr>
          <w:rFonts w:ascii="Times New Roman" w:cs="Times New Roman" w:eastAsia="Times New Roman" w:hAnsi="Times New Roman"/>
          <w:sz w:val="18"/>
          <w:szCs w:val="18"/>
          <w:color w:val="auto"/>
        </w:rPr>
        <w:t>Wynn Las Vegas Capital Corp. (Wynn Capital) is a wholly owned subsidiary of the Company incorporated on June 3, 2002, primarily for the purpose of obtaining financing for Le Rêve. Wynn Capital is authorized to issue 2,000 shares of common stock, par value $0.01. At June 30, 2002, the Company holds all of the authorized shares. The financial position and results of operations of Wynn Capital are included in the financial statements of the Company as of June 30, 2002 and for the periods then ended.</w:t>
      </w:r>
    </w:p>
    <w:p>
      <w:pPr>
        <w:spacing w:after="0" w:line="190" w:lineRule="exact"/>
        <w:rPr>
          <w:sz w:val="20"/>
          <w:szCs w:val="20"/>
          <w:color w:val="auto"/>
        </w:rPr>
      </w:pPr>
    </w:p>
    <w:p>
      <w:pPr>
        <w:ind w:left="540" w:right="100" w:firstLine="3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and include the assets, liabilities, operating results and cash flows of Wynn Las Vegas, LLC. However, the financial information included herein may not necessarily be indicative of the conditions that would have existed or the results of operations had the Company been a separate, stand-alone entity during the periods presented (Note 3).</w:t>
      </w:r>
    </w:p>
    <w:p>
      <w:pPr>
        <w:sectPr>
          <w:pgSz w:w="11900" w:h="16922" w:orient="portrait"/>
          <w:cols w:equalWidth="0" w:num="1">
            <w:col w:w="11420"/>
          </w:cols>
          <w:pgMar w:left="240" w:top="339" w:right="239" w:bottom="0" w:gutter="0" w:footer="0" w:header="0"/>
        </w:sectPr>
      </w:pPr>
    </w:p>
    <w:bookmarkStart w:id="171" w:name="page172"/>
    <w:bookmarkEnd w:id="171"/>
    <w:p>
      <w:pPr>
        <w:ind w:left="540" w:hanging="532"/>
        <w:spacing w:after="0"/>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Stage Risk Factors</w:t>
      </w:r>
    </w:p>
    <w:p>
      <w:pPr>
        <w:spacing w:after="0" w:line="225" w:lineRule="exact"/>
        <w:rPr>
          <w:sz w:val="20"/>
          <w:szCs w:val="20"/>
          <w:color w:val="auto"/>
        </w:rPr>
      </w:pPr>
    </w:p>
    <w:p>
      <w:pPr>
        <w:ind w:right="40" w:firstLine="341"/>
        <w:spacing w:after="0" w:line="339" w:lineRule="auto"/>
        <w:rPr>
          <w:sz w:val="20"/>
          <w:szCs w:val="20"/>
          <w:color w:val="auto"/>
        </w:rPr>
      </w:pPr>
      <w:r>
        <w:rPr>
          <w:rFonts w:ascii="Times New Roman" w:cs="Times New Roman" w:eastAsia="Times New Roman" w:hAnsi="Times New Roman"/>
          <w:sz w:val="16"/>
          <w:szCs w:val="16"/>
          <w:color w:val="auto"/>
        </w:rPr>
        <w:t>As a development stage company, the Company has risks that may impact its ability to become an operating enterprise or to remain in existence. The Company has no operating history and is currently in the process of planning, developing and obtaining additional financing for the Le Rêve project.</w:t>
      </w:r>
    </w:p>
    <w:p>
      <w:pPr>
        <w:spacing w:after="0" w:line="128"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Company is subject to many rules, regulations and uncertainties in both the construction and development phases of the project, including, but not limited to, receiving the appropriate permits for particular construction activities and securing necessary financing for the project. There is no certainty that the Company will be able to secure the necessary financing or that the financial resources available will be sufficient to fund the project (see further discussion at Note 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540" w:hanging="532"/>
        <w:spacing w:after="0"/>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sz w:val="20"/>
          <w:szCs w:val="20"/>
          <w:color w:val="auto"/>
        </w:rPr>
      </w:pPr>
    </w:p>
    <w:p>
      <w:pPr>
        <w:jc w:val="both"/>
        <w:ind w:right="180" w:firstLine="351"/>
        <w:spacing w:after="0" w:line="262" w:lineRule="auto"/>
        <w:rPr>
          <w:sz w:val="20"/>
          <w:szCs w:val="20"/>
          <w:color w:val="auto"/>
        </w:rPr>
      </w:pPr>
      <w:r>
        <w:rPr>
          <w:rFonts w:ascii="Times New Roman" w:cs="Times New Roman" w:eastAsia="Times New Roman" w:hAnsi="Times New Roman"/>
          <w:sz w:val="18"/>
          <w:szCs w:val="18"/>
          <w:color w:val="auto"/>
        </w:rPr>
        <w:t>Prior to June 2002, the financial statements include the accounts of the Company. As of June 30, 2002 and for the periods then ended, the financial statements include the accounts of the Company and its wholly owned subsidiary, Wynn Capital. Significant intercompany balances and transactions, if any, are eliminated.</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a maturity of three months or less. Cash equivalents are carried at cost, which approximates fair value.</w:t>
      </w:r>
    </w:p>
    <w:p>
      <w:pPr>
        <w:spacing w:after="0" w:line="187" w:lineRule="exact"/>
        <w:rPr>
          <w:sz w:val="20"/>
          <w:szCs w:val="20"/>
          <w:color w:val="auto"/>
        </w:rPr>
      </w:pPr>
    </w:p>
    <w:p>
      <w:pPr>
        <w:ind w:left="540" w:hanging="532"/>
        <w:spacing w:after="0"/>
        <w:tabs>
          <w:tab w:leader="none" w:pos="5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 consists of certificates of deposits to collateralize certain construction insurance claims as well as required sales tax deposits.</w:t>
      </w:r>
    </w:p>
    <w:p>
      <w:pPr>
        <w:spacing w:after="0" w:line="252" w:lineRule="exact"/>
        <w:rPr>
          <w:sz w:val="20"/>
          <w:szCs w:val="20"/>
          <w:color w:val="auto"/>
        </w:rPr>
      </w:pPr>
    </w:p>
    <w:p>
      <w:pPr>
        <w:ind w:left="540" w:hanging="532"/>
        <w:spacing w:after="0"/>
        <w:tabs>
          <w:tab w:leader="none" w:pos="5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At December 31, 2001, property of the Company consisted of approximately $2 million of computer equipment with an estimated useful life of three years. Depreciation is provided over the estimated useful life of assets using the straight-line method.</w:t>
      </w:r>
    </w:p>
    <w:p>
      <w:pPr>
        <w:spacing w:after="0" w:line="174" w:lineRule="exact"/>
        <w:rPr>
          <w:sz w:val="20"/>
          <w:szCs w:val="20"/>
          <w:color w:val="auto"/>
        </w:rPr>
      </w:pPr>
    </w:p>
    <w:p>
      <w:pPr>
        <w:ind w:right="240" w:firstLine="351"/>
        <w:spacing w:after="0" w:line="339" w:lineRule="auto"/>
        <w:rPr>
          <w:sz w:val="20"/>
          <w:szCs w:val="20"/>
          <w:color w:val="auto"/>
        </w:rPr>
      </w:pPr>
      <w:r>
        <w:rPr>
          <w:rFonts w:ascii="Times New Roman" w:cs="Times New Roman" w:eastAsia="Times New Roman" w:hAnsi="Times New Roman"/>
          <w:sz w:val="16"/>
          <w:szCs w:val="16"/>
          <w:color w:val="auto"/>
        </w:rPr>
        <w:t xml:space="preserve">In May of 2002, Valvino transferred approximately $161 million of land it acquired in connection with its acquisition of the Desert Inn Resort and Casino, and approximately $11 million of construction in progress to the Company (see further discussion at Note 2,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540" w:hanging="532"/>
        <w:spacing w:after="0"/>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w:t>
      </w:r>
    </w:p>
    <w:p>
      <w:pPr>
        <w:spacing w:after="0" w:line="225" w:lineRule="exact"/>
        <w:rPr>
          <w:sz w:val="20"/>
          <w:szCs w:val="20"/>
          <w:color w:val="auto"/>
        </w:rPr>
      </w:pPr>
    </w:p>
    <w:p>
      <w:pPr>
        <w:ind w:right="460" w:firstLine="348"/>
        <w:spacing w:after="0" w:line="262" w:lineRule="auto"/>
        <w:rPr>
          <w:sz w:val="20"/>
          <w:szCs w:val="20"/>
          <w:color w:val="auto"/>
        </w:rPr>
      </w:pPr>
      <w:r>
        <w:rPr>
          <w:rFonts w:ascii="Times New Roman" w:cs="Times New Roman" w:eastAsia="Times New Roman" w:hAnsi="Times New Roman"/>
          <w:sz w:val="18"/>
          <w:szCs w:val="18"/>
          <w:color w:val="auto"/>
        </w:rPr>
        <w:t>The Company has recorded an asset representing the cost, $1 million, of the common-law name and mark "LE REVE". The trademark has an indefinite useful life and therefore is not amortized. Similar to other long-lived assets, the trademark is reviewed for impairment whenever events or circumstances indicate that the carrying value may not be recoverable.</w:t>
      </w:r>
    </w:p>
    <w:p>
      <w:pPr>
        <w:spacing w:after="0" w:line="200" w:lineRule="exact"/>
        <w:rPr>
          <w:sz w:val="20"/>
          <w:szCs w:val="20"/>
          <w:color w:val="auto"/>
        </w:rPr>
      </w:pPr>
    </w:p>
    <w:p>
      <w:pPr>
        <w:ind w:left="540" w:hanging="532"/>
        <w:spacing w:after="0"/>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320" w:firstLine="341"/>
        <w:spacing w:after="0" w:line="275" w:lineRule="auto"/>
        <w:rPr>
          <w:sz w:val="20"/>
          <w:szCs w:val="20"/>
          <w:color w:val="auto"/>
        </w:rPr>
      </w:pPr>
      <w:r>
        <w:rPr>
          <w:rFonts w:ascii="Times New Roman" w:cs="Times New Roman" w:eastAsia="Times New Roman" w:hAnsi="Times New Roman"/>
          <w:sz w:val="18"/>
          <w:szCs w:val="18"/>
          <w:color w:val="auto"/>
        </w:rPr>
        <w:t>As a limited-liability company, Wynn Las Vegas, LLC is classified as a partnership for federal income tax purposes. Accordingly, no provision is made in the accounts of the Company for federal income taxes, as such taxes are liabilities of the Members.</w:t>
      </w:r>
    </w:p>
    <w:p>
      <w:pPr>
        <w:spacing w:after="0" w:line="201" w:lineRule="exact"/>
        <w:rPr>
          <w:sz w:val="20"/>
          <w:szCs w:val="20"/>
          <w:color w:val="auto"/>
        </w:rPr>
      </w:pPr>
    </w:p>
    <w:p>
      <w:pPr>
        <w:ind w:left="540" w:hanging="532"/>
        <w:spacing w:after="0"/>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Equity</w:t>
      </w:r>
    </w:p>
    <w:p>
      <w:pPr>
        <w:spacing w:after="0" w:line="225"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Company was initially capitalized with a $100 contribution from Valvino, the sole member of the Company. Such contribution was made in exchange for a 100 percent ownership interest in the capital and profits of the Company. No additional capital contributions are required to be made. Cash or other assets may be distributed to Valvino as determined by Valvino provided that the distribution was not in violation of any applicable law or would cause a breach or default under agreements to which the Company is a party.</w:t>
      </w:r>
    </w:p>
    <w:p>
      <w:pPr>
        <w:spacing w:after="0" w:line="1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Pre-opening costs primarily consists of salaries and other payroll related expenses. Pre-opening costs are expensed as incurred.</w:t>
      </w:r>
    </w:p>
    <w:p>
      <w:pPr>
        <w:spacing w:after="0" w:line="239" w:lineRule="exact"/>
        <w:rPr>
          <w:sz w:val="20"/>
          <w:szCs w:val="20"/>
          <w:color w:val="auto"/>
        </w:rPr>
      </w:pPr>
    </w:p>
    <w:p>
      <w:pPr>
        <w:ind w:left="540" w:hanging="532"/>
        <w:spacing w:after="0"/>
        <w:tabs>
          <w:tab w:leader="none" w:pos="5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ind w:right="140" w:firstLine="348"/>
        <w:spacing w:after="0" w:line="31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540" w:hanging="532"/>
        <w:spacing w:after="0"/>
        <w:tabs>
          <w:tab w:leader="none" w:pos="5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w:t>
      </w:r>
    </w:p>
    <w:p>
      <w:pPr>
        <w:spacing w:after="0" w:line="225"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Management periodically reviews long-lived assets, which are not to be disposed of, including property and equipment, for impairment whenever events or changes in circumstances indicate that the carrying value of the asset may not be recoverable. As of December 31, 2001, management does not believe any assets have been impaired.</w:t>
      </w:r>
    </w:p>
    <w:p>
      <w:pPr>
        <w:spacing w:after="0" w:line="200" w:lineRule="exact"/>
        <w:rPr>
          <w:sz w:val="20"/>
          <w:szCs w:val="20"/>
          <w:color w:val="auto"/>
        </w:rPr>
      </w:pPr>
    </w:p>
    <w:p>
      <w:pPr>
        <w:ind w:left="540" w:hanging="532"/>
        <w:spacing w:after="0"/>
        <w:tabs>
          <w:tab w:leader="none" w:pos="5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Financial Statements</w:t>
      </w:r>
    </w:p>
    <w:p>
      <w:pPr>
        <w:sectPr>
          <w:pgSz w:w="11900" w:h="16838" w:orient="portrait"/>
          <w:cols w:equalWidth="0" w:num="1">
            <w:col w:w="10860"/>
          </w:cols>
          <w:pgMar w:left="780" w:top="139" w:right="259" w:bottom="0" w:gutter="0" w:footer="0" w:header="0"/>
        </w:sectPr>
      </w:pPr>
    </w:p>
    <w:bookmarkStart w:id="172" w:name="page173"/>
    <w:bookmarkEnd w:id="172"/>
    <w:p>
      <w:pPr>
        <w:ind w:left="540" w:right="140"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04" w:lineRule="exact"/>
        <w:rPr>
          <w:sz w:val="20"/>
          <w:szCs w:val="20"/>
          <w:color w:val="auto"/>
        </w:rPr>
      </w:pPr>
    </w:p>
    <w:p>
      <w:pPr>
        <w:ind w:left="1080" w:hanging="532"/>
        <w:spacing w:after="0"/>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ind w:left="540" w:right="40" w:firstLine="351"/>
        <w:spacing w:after="0" w:line="254" w:lineRule="auto"/>
        <w:rPr>
          <w:sz w:val="20"/>
          <w:szCs w:val="20"/>
          <w:color w:val="auto"/>
        </w:rPr>
      </w:pPr>
      <w:r>
        <w:rPr>
          <w:rFonts w:ascii="Times New Roman" w:cs="Times New Roman" w:eastAsia="Times New Roman" w:hAnsi="Times New Roman"/>
          <w:sz w:val="18"/>
          <w:szCs w:val="18"/>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92" w:lineRule="exact"/>
        <w:rPr>
          <w:sz w:val="20"/>
          <w:szCs w:val="20"/>
          <w:color w:val="auto"/>
        </w:rPr>
      </w:pPr>
    </w:p>
    <w:p>
      <w:pPr>
        <w:ind w:left="540" w:right="80" w:firstLine="351"/>
        <w:spacing w:after="0" w:line="258" w:lineRule="auto"/>
        <w:rPr>
          <w:sz w:val="20"/>
          <w:szCs w:val="20"/>
          <w:color w:val="auto"/>
        </w:rPr>
      </w:pPr>
      <w:r>
        <w:rPr>
          <w:rFonts w:ascii="Times New Roman" w:cs="Times New Roman" w:eastAsia="Times New Roman" w:hAnsi="Times New Roman"/>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will have a material impact on the Company's consolidated financial position or results of operations.</w:t>
      </w:r>
    </w:p>
    <w:p>
      <w:pPr>
        <w:spacing w:after="0" w:line="225" w:lineRule="exact"/>
        <w:rPr>
          <w:sz w:val="20"/>
          <w:szCs w:val="20"/>
          <w:color w:val="auto"/>
        </w:rPr>
      </w:pPr>
    </w:p>
    <w:p>
      <w:pPr>
        <w:ind w:left="540" w:right="100" w:firstLine="351"/>
        <w:spacing w:after="0" w:line="256" w:lineRule="auto"/>
        <w:rPr>
          <w:sz w:val="20"/>
          <w:szCs w:val="20"/>
          <w:color w:val="auto"/>
        </w:rPr>
      </w:pPr>
      <w:r>
        <w:rPr>
          <w:rFonts w:ascii="Times New Roman" w:cs="Times New Roman" w:eastAsia="Times New Roman" w:hAnsi="Times New Roman"/>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3" w:lineRule="exact"/>
        <w:rPr>
          <w:sz w:val="20"/>
          <w:szCs w:val="20"/>
          <w:color w:val="auto"/>
        </w:rPr>
      </w:pPr>
    </w:p>
    <w:p>
      <w:pPr>
        <w:ind w:left="540" w:right="200" w:firstLine="351"/>
        <w:spacing w:after="0" w:line="293" w:lineRule="auto"/>
        <w:rPr>
          <w:sz w:val="20"/>
          <w:szCs w:val="20"/>
          <w:color w:val="auto"/>
        </w:rPr>
      </w:pPr>
      <w:r>
        <w:rPr>
          <w:rFonts w:ascii="Times New Roman" w:cs="Times New Roman" w:eastAsia="Times New Roman" w:hAnsi="Times New Roman"/>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65" w:lineRule="exact"/>
        <w:rPr>
          <w:sz w:val="20"/>
          <w:szCs w:val="20"/>
          <w:color w:val="auto"/>
        </w:rPr>
      </w:pPr>
    </w:p>
    <w:p>
      <w:pPr>
        <w:ind w:left="540" w:firstLine="351"/>
        <w:spacing w:after="0" w:line="254" w:lineRule="auto"/>
        <w:rPr>
          <w:sz w:val="20"/>
          <w:szCs w:val="20"/>
          <w:color w:val="auto"/>
        </w:rPr>
      </w:pPr>
      <w:r>
        <w:rPr>
          <w:rFonts w:ascii="Times New Roman" w:cs="Times New Roman" w:eastAsia="Times New Roman" w:hAnsi="Times New Roman"/>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2.</w:t>
            </w:r>
          </w:p>
        </w:tc>
        <w:tc>
          <w:tcPr>
            <w:tcW w:w="812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2"/>
        </w:trPr>
        <w:tc>
          <w:tcPr>
            <w:tcW w:w="240" w:type="dxa"/>
            <w:vAlign w:val="bottom"/>
          </w:tcPr>
          <w:p>
            <w:pPr>
              <w:spacing w:after="0"/>
              <w:rPr>
                <w:sz w:val="24"/>
                <w:szCs w:val="24"/>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as of December 31, 2001 consisted of the following:</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1"/>
              </w:rPr>
              <w:t>000's)</w:t>
            </w:r>
          </w:p>
        </w:tc>
      </w:tr>
      <w:tr>
        <w:trPr>
          <w:trHeight w:val="105"/>
        </w:trPr>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06"/>
        </w:trPr>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-751840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In May of 2002, Valvino transferred land acquired in connection with its acquisition of the Desert Inn Resort and Casino to the Company. The land was transferred at its carrying value of approximately $161 million. In addition, approximately $11 million of construction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was transferred. In consideration for the land, the Company recorded a payable to Valvino for an equal amount.</w:t>
      </w:r>
    </w:p>
    <w:p>
      <w:pPr>
        <w:spacing w:after="0" w:line="237" w:lineRule="exact"/>
        <w:rPr>
          <w:sz w:val="20"/>
          <w:szCs w:val="20"/>
          <w:color w:val="auto"/>
        </w:rPr>
      </w:pPr>
    </w:p>
    <w:p>
      <w:pPr>
        <w:ind w:left="540" w:hanging="532"/>
        <w:spacing w:after="0"/>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Parties</w:t>
      </w:r>
    </w:p>
    <w:p>
      <w:pPr>
        <w:sectPr>
          <w:pgSz w:w="11900" w:h="16838" w:orient="portrait"/>
          <w:cols w:equalWidth="0" w:num="1">
            <w:col w:w="11420"/>
          </w:cols>
          <w:pgMar w:left="240" w:top="125" w:right="239" w:bottom="506" w:gutter="0" w:footer="0" w:header="0"/>
        </w:sectPr>
      </w:pPr>
    </w:p>
    <w:bookmarkStart w:id="173" w:name="page174"/>
    <w:bookmarkEnd w:id="173"/>
    <w:p>
      <w:pPr>
        <w:spacing w:after="0" w:line="81" w:lineRule="exact"/>
        <w:rPr>
          <w:sz w:val="20"/>
          <w:szCs w:val="20"/>
          <w:color w:val="auto"/>
        </w:rPr>
      </w:pPr>
    </w:p>
    <w:p>
      <w:pPr>
        <w:ind w:right="60" w:firstLine="341"/>
        <w:spacing w:after="0" w:line="301" w:lineRule="auto"/>
        <w:rPr>
          <w:sz w:val="20"/>
          <w:szCs w:val="20"/>
          <w:color w:val="auto"/>
        </w:rPr>
      </w:pPr>
      <w:r>
        <w:rPr>
          <w:rFonts w:ascii="Times New Roman" w:cs="Times New Roman" w:eastAsia="Times New Roman" w:hAnsi="Times New Roman"/>
          <w:sz w:val="16"/>
          <w:szCs w:val="16"/>
          <w:color w:val="auto"/>
        </w:rPr>
        <w:t>At December 31, 2001 amounts due to related parties were comprised primarily of amounts due to Valvino. For the period from inception through December 31, 2001, the Company's statements of operations do not include any allocations from Valvino for legal, accounting, human resource, information services, real estate, or other corporate support services provided by Valvino. Accordingly, the financial information included herein may not necessarily be indicative of the conditions that would have existed or the results of operations had the Company been a separate, stand-alone entity during the periods presented.</w:t>
      </w:r>
    </w:p>
    <w:p>
      <w:pPr>
        <w:spacing w:after="0" w:line="169" w:lineRule="exact"/>
        <w:rPr>
          <w:sz w:val="20"/>
          <w:szCs w:val="20"/>
          <w:color w:val="auto"/>
        </w:rPr>
      </w:pPr>
    </w:p>
    <w:p>
      <w:pPr>
        <w:ind w:left="540" w:hanging="532"/>
        <w:spacing w:after="0"/>
        <w:tabs>
          <w:tab w:leader="none" w:pos="5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Commitments and Contingencies</w:t>
      </w:r>
    </w:p>
    <w:p>
      <w:pPr>
        <w:spacing w:after="0" w:line="200" w:lineRule="exact"/>
        <w:rPr>
          <w:sz w:val="20"/>
          <w:szCs w:val="20"/>
          <w:color w:val="auto"/>
        </w:rPr>
      </w:pPr>
    </w:p>
    <w:p>
      <w:pPr>
        <w:spacing w:after="0" w:line="270" w:lineRule="exact"/>
        <w:rPr>
          <w:sz w:val="20"/>
          <w:szCs w:val="20"/>
          <w:color w:val="auto"/>
        </w:rPr>
      </w:pPr>
    </w:p>
    <w:p>
      <w:pPr>
        <w:ind w:left="1080" w:hanging="532"/>
        <w:spacing w:after="0"/>
        <w:tabs>
          <w:tab w:leader="none" w:pos="10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ind w:left="540" w:firstLine="351"/>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disputes with third parties, which could lead to litigation. Presently, the Company is not involved in any such matters.</w:t>
      </w:r>
    </w:p>
    <w:p>
      <w:pPr>
        <w:spacing w:after="0" w:line="187" w:lineRule="exact"/>
        <w:rPr>
          <w:sz w:val="20"/>
          <w:szCs w:val="20"/>
          <w:color w:val="auto"/>
        </w:rPr>
      </w:pPr>
    </w:p>
    <w:p>
      <w:pPr>
        <w:ind w:left="1080" w:hanging="532"/>
        <w:spacing w:after="0"/>
        <w:tabs>
          <w:tab w:leader="none" w:pos="10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Contracts</w:t>
      </w:r>
    </w:p>
    <w:p>
      <w:pPr>
        <w:spacing w:after="0" w:line="225" w:lineRule="exact"/>
        <w:rPr>
          <w:sz w:val="20"/>
          <w:szCs w:val="20"/>
          <w:color w:val="auto"/>
        </w:rPr>
      </w:pPr>
    </w:p>
    <w:p>
      <w:pPr>
        <w:ind w:left="540" w:right="20" w:firstLine="348"/>
        <w:spacing w:after="0" w:line="254" w:lineRule="auto"/>
        <w:rPr>
          <w:sz w:val="20"/>
          <w:szCs w:val="20"/>
          <w:color w:val="auto"/>
        </w:rPr>
      </w:pPr>
      <w:r>
        <w:rPr>
          <w:rFonts w:ascii="Times New Roman" w:cs="Times New Roman" w:eastAsia="Times New Roman" w:hAnsi="Times New Roman"/>
          <w:sz w:val="18"/>
          <w:szCs w:val="18"/>
          <w:color w:val="auto"/>
        </w:rPr>
        <w:t>The Company has entered into certain contracts related to the construction of "Le Rêve". Effective as of June 4, 2002, and amended by Change Order No. 1, effective as of August 12, 2002, the Company entered into an agreement with a construction contractor for guaranteed maximum price construction services (as amended, the Construction Agreement). The Construction 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Company's actions.</w:t>
      </w:r>
    </w:p>
    <w:p>
      <w:pPr>
        <w:spacing w:after="0" w:line="195" w:lineRule="exact"/>
        <w:rPr>
          <w:sz w:val="20"/>
          <w:szCs w:val="20"/>
          <w:color w:val="auto"/>
        </w:rPr>
      </w:pPr>
    </w:p>
    <w:p>
      <w:pPr>
        <w:ind w:left="540" w:right="200" w:firstLine="341"/>
        <w:spacing w:after="0" w:line="275" w:lineRule="auto"/>
        <w:rPr>
          <w:sz w:val="20"/>
          <w:szCs w:val="20"/>
          <w:color w:val="auto"/>
        </w:rPr>
      </w:pPr>
      <w:r>
        <w:rPr>
          <w:rFonts w:ascii="Times New Roman" w:cs="Times New Roman" w:eastAsia="Times New Roman" w:hAnsi="Times New Roman"/>
          <w:sz w:val="18"/>
          <w:szCs w:val="18"/>
          <w:color w:val="auto"/>
        </w:rPr>
        <w:t>Additionally, the Company has entered into an agreement with a construction contractor for the design and construction of a parking structure for a maximum cost of $9.85 million, subject to specified exceptions, effective as of June 6, 2002.</w:t>
      </w:r>
    </w:p>
    <w:p>
      <w:pPr>
        <w:spacing w:after="0" w:line="187" w:lineRule="exact"/>
        <w:rPr>
          <w:sz w:val="20"/>
          <w:szCs w:val="20"/>
          <w:color w:val="auto"/>
        </w:rPr>
      </w:pPr>
    </w:p>
    <w:p>
      <w:pPr>
        <w:ind w:left="1080" w:hanging="532"/>
        <w:spacing w:after="0"/>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Arrangements</w:t>
      </w:r>
    </w:p>
    <w:p>
      <w:pPr>
        <w:spacing w:after="0" w:line="225" w:lineRule="exact"/>
        <w:rPr>
          <w:sz w:val="20"/>
          <w:szCs w:val="20"/>
          <w:color w:val="auto"/>
        </w:rPr>
      </w:pPr>
    </w:p>
    <w:p>
      <w:pPr>
        <w:ind w:left="540" w:right="80" w:firstLine="348"/>
        <w:spacing w:after="0" w:line="301" w:lineRule="auto"/>
        <w:rPr>
          <w:sz w:val="20"/>
          <w:szCs w:val="20"/>
          <w:color w:val="auto"/>
        </w:rPr>
      </w:pPr>
      <w:r>
        <w:rPr>
          <w:rFonts w:ascii="Times New Roman" w:cs="Times New Roman" w:eastAsia="Times New Roman" w:hAnsi="Times New Roman"/>
          <w:sz w:val="16"/>
          <w:szCs w:val="16"/>
          <w:color w:val="auto"/>
        </w:rPr>
        <w:t>Valvino, the Company and Wynn Resorts Holdings LLC, a wholly owned subsidiary of Valvino,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firstLine="351"/>
        <w:spacing w:after="0" w:line="262" w:lineRule="auto"/>
        <w:rPr>
          <w:sz w:val="20"/>
          <w:szCs w:val="20"/>
          <w:color w:val="auto"/>
        </w:rPr>
      </w:pPr>
      <w:r>
        <w:rPr>
          <w:rFonts w:ascii="Times New Roman" w:cs="Times New Roman" w:eastAsia="Times New Roman" w:hAnsi="Times New Roman"/>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 of the amounts outstanding to term loans with the same terms and conditions as those made under the delay draw term loan facility.</w:t>
      </w:r>
    </w:p>
    <w:p>
      <w:pPr>
        <w:spacing w:after="0" w:line="186" w:lineRule="exact"/>
        <w:rPr>
          <w:sz w:val="20"/>
          <w:szCs w:val="20"/>
          <w:color w:val="auto"/>
        </w:rPr>
      </w:pPr>
    </w:p>
    <w:p>
      <w:pPr>
        <w:ind w:left="540" w:right="40" w:firstLine="351"/>
        <w:spacing w:after="0" w:line="275" w:lineRule="auto"/>
        <w:rPr>
          <w:sz w:val="20"/>
          <w:szCs w:val="20"/>
          <w:color w:val="auto"/>
        </w:rPr>
      </w:pPr>
      <w:r>
        <w:rPr>
          <w:rFonts w:ascii="Times New Roman" w:cs="Times New Roman" w:eastAsia="Times New Roman" w:hAnsi="Times New Roman"/>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74" w:lineRule="exact"/>
        <w:rPr>
          <w:sz w:val="20"/>
          <w:szCs w:val="20"/>
          <w:color w:val="auto"/>
        </w:rPr>
      </w:pPr>
    </w:p>
    <w:p>
      <w:pPr>
        <w:ind w:left="540" w:right="460" w:firstLine="351"/>
        <w:spacing w:after="0" w:line="262" w:lineRule="auto"/>
        <w:rPr>
          <w:sz w:val="20"/>
          <w:szCs w:val="20"/>
          <w:color w:val="auto"/>
        </w:rPr>
      </w:pPr>
      <w:r>
        <w:rPr>
          <w:rFonts w:ascii="Times New Roman" w:cs="Times New Roman" w:eastAsia="Times New Roman" w:hAnsi="Times New Roman"/>
          <w:sz w:val="18"/>
          <w:szCs w:val="18"/>
          <w:color w:val="auto"/>
        </w:rPr>
        <w:t>Before Le Rêve opens, the Credit Facilities are expected to bear interest at either the prime rate or reserve Eurodollar Rate, as elected by the Company, plus, in either case, 4.00% per annum. After the opening of Le Rêve, the Credit Facilities interest rate will be reduced to the prime rate or reserve adjusted Eurodollar Rate plus, in either case, a margin based on a leverage ratio.</w:t>
      </w:r>
    </w:p>
    <w:p>
      <w:pPr>
        <w:spacing w:after="0" w:line="186"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color w:val="auto"/>
        </w:rPr>
        <w:t>In addition, the Company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220" w:lineRule="exact"/>
        <w:rPr>
          <w:sz w:val="20"/>
          <w:szCs w:val="20"/>
          <w:color w:val="auto"/>
        </w:rPr>
      </w:pPr>
    </w:p>
    <w:p>
      <w:pPr>
        <w:ind w:left="1080" w:hanging="532"/>
        <w:spacing w:after="0"/>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w:t>
      </w:r>
    </w:p>
    <w:p>
      <w:pPr>
        <w:spacing w:after="0" w:line="225" w:lineRule="exact"/>
        <w:rPr>
          <w:sz w:val="20"/>
          <w:szCs w:val="20"/>
          <w:color w:val="auto"/>
        </w:rPr>
      </w:pPr>
    </w:p>
    <w:p>
      <w:pPr>
        <w:ind w:left="540" w:right="60" w:firstLine="348"/>
        <w:spacing w:after="0" w:line="258" w:lineRule="auto"/>
        <w:rPr>
          <w:sz w:val="20"/>
          <w:szCs w:val="20"/>
          <w:color w:val="auto"/>
        </w:rPr>
      </w:pPr>
      <w:r>
        <w:rPr>
          <w:rFonts w:ascii="Times New Roman" w:cs="Times New Roman" w:eastAsia="Times New Roman" w:hAnsi="Times New Roman"/>
          <w:sz w:val="18"/>
          <w:szCs w:val="18"/>
          <w:color w:val="auto"/>
        </w:rPr>
        <w:t>Valvino is self-insured for medical and worker's compensation claims. The Individual Stop Loss Attachment Point for each claim is $40,000 for medical and $250,000 for worker's compensation claims with a maximum payout of $960,000 and $1,000,000, respectively. Valvino's self-insurance covers any claims made by employees of Wynn Las Vegas, LLC and Wynn Las Vegas Capital Corp. The company is not charged for the administration of the self-insurance program (Note 3).</w:t>
      </w:r>
    </w:p>
    <w:p>
      <w:pPr>
        <w:spacing w:after="0" w:line="202" w:lineRule="exact"/>
        <w:rPr>
          <w:sz w:val="20"/>
          <w:szCs w:val="20"/>
          <w:color w:val="auto"/>
        </w:rPr>
      </w:pPr>
    </w:p>
    <w:p>
      <w:pPr>
        <w:ind w:left="540" w:hanging="532"/>
        <w:spacing w:after="0"/>
        <w:tabs>
          <w:tab w:leader="none" w:pos="5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Savings Plan</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Employees of the Company participate in the Valvino retirement savings plan, which was established in July 2000 under Section 401(k) of the Internal Revenue Code. The plan allows employees to defer, within prescribed limits, up to 18% of their income on a pre-tax basis through contributions to this plan. Valvino matches the contributions, within prescribed limits, with an amount equal to 100% of the participant's initial 2% tax deferred contribution and 50% of the tax deferred contribution between 2% and 4% of the participant's compensation. Valvino recorded charges for matching contributions of approximately $127,000 for the year ended December 31, 2001. No allocation of such charges was made to the Company (Note 3).</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342"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w:t>
      </w:r>
    </w:p>
    <w:p>
      <w:pPr>
        <w:sectPr>
          <w:pgSz w:w="11900" w:h="16919" w:orient="portrait"/>
          <w:cols w:equalWidth="0" w:num="1">
            <w:col w:w="11420"/>
          </w:cols>
          <w:pgMar w:left="240" w:top="125" w:right="239" w:bottom="0" w:gutter="0" w:footer="0" w:header="0"/>
        </w:sectPr>
      </w:pPr>
    </w:p>
    <w:bookmarkStart w:id="174" w:name="page175"/>
    <w:bookmarkEnd w:id="174"/>
    <w:p>
      <w:pPr>
        <w:ind w:right="480"/>
        <w:spacing w:after="0" w:line="277" w:lineRule="auto"/>
        <w:rPr>
          <w:sz w:val="20"/>
          <w:szCs w:val="20"/>
          <w:color w:val="auto"/>
        </w:rPr>
      </w:pPr>
      <w:r>
        <w:rPr>
          <w:rFonts w:ascii="Times New Roman" w:cs="Times New Roman" w:eastAsia="Times New Roman" w:hAnsi="Times New Roman"/>
          <w:sz w:val="18"/>
          <w:szCs w:val="18"/>
          <w:b w:val="1"/>
          <w:bCs w:val="1"/>
          <w:color w:val="auto"/>
        </w:rPr>
        <w:t>permitted. The information contained in this prospectus is accurate only as of the date of this prospectus, regardless of the time of delivery of this prospectus or of any sale of our notes.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Principal Stockholders of Wynn Resorts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Contracts for Le Rêve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Regulation and Licensing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Second Mortgage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Intercreditor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Disbursement Agreement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U.S. Federal Tax Considerations for</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-3648075</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-3648075</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Wynn Las Vegas,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Wynn Las Vegas Capital Corp.</w:t>
      </w:r>
    </w:p>
    <w:p>
      <w:pPr>
        <w:spacing w:after="0" w:line="192" w:lineRule="exact"/>
        <w:rPr>
          <w:sz w:val="20"/>
          <w:szCs w:val="20"/>
          <w:color w:val="auto"/>
        </w:rPr>
      </w:pPr>
    </w:p>
    <w:p>
      <w:pPr>
        <w:ind w:right="8840" w:firstLine="373"/>
        <w:spacing w:after="0" w:line="287" w:lineRule="auto"/>
        <w:tabs>
          <w:tab w:leader="none" w:pos="669" w:val="left"/>
        </w:tabs>
        <w:numPr>
          <w:ilvl w:val="0"/>
          <w:numId w:val="38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Second Mortgage Notes due 2010</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Deutsche Bank Securities</w:t>
      </w:r>
    </w:p>
    <w:p>
      <w:pPr>
        <w:spacing w:after="0" w:line="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Banc of America Securities LLC</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Bear, Stearns &amp; Co. Inc.</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Fleet Securities, Inc.</w:t>
      </w:r>
    </w:p>
    <w:p>
      <w:pPr>
        <w:spacing w:after="0" w:line="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Scotia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and the National Securities Dealers, Inc. filing fee.</w:t>
      </w:r>
    </w:p>
    <w:p>
      <w:pPr>
        <w:spacing w:after="0" w:line="18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156845</wp:posOffset>
            </wp:positionV>
            <wp:extent cx="4707890" cy="8699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4707890" cy="8699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69215</wp:posOffset>
            </wp:positionV>
            <wp:extent cx="655955" cy="215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ectPr>
          <w:pgSz w:w="11900" w:h="16838" w:orient="portrait"/>
          <w:cols w:equalWidth="0" w:num="1">
            <w:col w:w="11340"/>
          </w:cols>
          <w:pgMar w:left="240" w:top="123" w:right="319" w:bottom="0" w:gutter="0" w:footer="0" w:header="0"/>
        </w:sectPr>
      </w:pPr>
    </w:p>
    <w:bookmarkStart w:id="175" w:name="page176"/>
    <w:bookmarkEnd w:id="175"/>
    <w:tbl>
      <w:tblPr>
        <w:tblLayout w:type="fixed"/>
        <w:tblInd w:w="200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fee—Securities and Exchange Commission</w:t>
            </w: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Filing fee—National Association of Securities Dealers, Inc.</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8" w:lineRule="exact"/>
        <w:rPr>
          <w:sz w:val="20"/>
          <w:szCs w:val="20"/>
          <w:color w:val="auto"/>
        </w:rPr>
      </w:pPr>
    </w:p>
    <w:p>
      <w:pPr>
        <w:ind w:left="540" w:hanging="532"/>
        <w:spacing w:after="0"/>
        <w:tabs>
          <w:tab w:leader="none" w:pos="540" w:val="left"/>
        </w:tabs>
        <w:numPr>
          <w:ilvl w:val="0"/>
          <w:numId w:val="38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To be filed by amendment.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7" w:lineRule="exact"/>
        <w:rPr>
          <w:sz w:val="20"/>
          <w:szCs w:val="20"/>
          <w:color w:val="auto"/>
        </w:rPr>
      </w:pPr>
    </w:p>
    <w:p>
      <w:pPr>
        <w:ind w:right="80" w:firstLine="348"/>
        <w:spacing w:after="0" w:line="287" w:lineRule="auto"/>
        <w:rPr>
          <w:sz w:val="20"/>
          <w:szCs w:val="20"/>
          <w:color w:val="auto"/>
        </w:rPr>
      </w:pPr>
      <w:r>
        <w:rPr>
          <w:rFonts w:ascii="Times New Roman" w:cs="Times New Roman" w:eastAsia="Times New Roman" w:hAnsi="Times New Roman"/>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38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be made a party to an action (other than an action brought by or on behalf of the company as 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95"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3"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Wynn Las Vegas' articles of organization, attached as Exhibit 3.1 hereto, and operating agreement, attached as Exhibit 3.2 hereto, provide that it shall indemnify its managers and members to the maximum extent permitted by Nevada law.</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7"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transactions by the Registrants during the past three years involving sales of the Registrants' securities that were not registered under the Securities Act:</w:t>
      </w:r>
    </w:p>
    <w:p>
      <w:pPr>
        <w:spacing w:after="0" w:line="174" w:lineRule="exact"/>
        <w:rPr>
          <w:sz w:val="20"/>
          <w:szCs w:val="20"/>
          <w:color w:val="auto"/>
        </w:rPr>
      </w:pPr>
    </w:p>
    <w:p>
      <w:pPr>
        <w:ind w:left="540" w:right="200" w:firstLine="359"/>
        <w:spacing w:after="0" w:line="262" w:lineRule="auto"/>
        <w:tabs>
          <w:tab w:leader="none" w:pos="117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86" w:lineRule="exact"/>
        <w:rPr>
          <w:rFonts w:ascii="Times New Roman" w:cs="Times New Roman" w:eastAsia="Times New Roman" w:hAnsi="Times New Roman"/>
          <w:sz w:val="18"/>
          <w:szCs w:val="18"/>
          <w:color w:val="auto"/>
        </w:rPr>
      </w:pPr>
    </w:p>
    <w:p>
      <w:pPr>
        <w:jc w:val="both"/>
        <w:ind w:left="540" w:right="140" w:firstLine="359"/>
        <w:spacing w:after="0" w:line="262" w:lineRule="auto"/>
        <w:tabs>
          <w:tab w:leader="none" w:pos="118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763"/>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76" w:name="page177"/>
    <w:bookmarkEnd w:id="176"/>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250430" cy="10795"/>
                    </a:xfrm>
                    <a:prstGeom prst="rect">
                      <a:avLst/>
                    </a:prstGeom>
                    <a:noFill/>
                  </pic:spPr>
                </pic:pic>
              </a:graphicData>
            </a:graphic>
          </wp:anchor>
        </w:drawing>
        <w:t>shares, representing a 50% interest in Valvino's profits and losses, to Mr. Wynn to evidence his ownership interest in the limited liability company.</w:t>
      </w:r>
    </w:p>
    <w:p>
      <w:pPr>
        <w:spacing w:after="0" w:line="225" w:lineRule="exact"/>
        <w:rPr>
          <w:sz w:val="20"/>
          <w:szCs w:val="20"/>
          <w:color w:val="auto"/>
        </w:rPr>
      </w:pPr>
    </w:p>
    <w:p>
      <w:pPr>
        <w:ind w:left="540" w:right="80" w:firstLine="359"/>
        <w:spacing w:after="0" w:line="275" w:lineRule="auto"/>
        <w:tabs>
          <w:tab w:leader="none" w:pos="117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73" w:lineRule="exact"/>
        <w:rPr>
          <w:rFonts w:ascii="Times New Roman" w:cs="Times New Roman" w:eastAsia="Times New Roman" w:hAnsi="Times New Roman"/>
          <w:sz w:val="18"/>
          <w:szCs w:val="18"/>
          <w:color w:val="auto"/>
        </w:rPr>
      </w:pPr>
    </w:p>
    <w:p>
      <w:pPr>
        <w:ind w:left="540" w:right="80" w:firstLine="359"/>
        <w:spacing w:after="0" w:line="293" w:lineRule="auto"/>
        <w:tabs>
          <w:tab w:leader="none" w:pos="1184"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64" w:lineRule="exact"/>
        <w:rPr>
          <w:rFonts w:ascii="Times New Roman" w:cs="Times New Roman" w:eastAsia="Times New Roman" w:hAnsi="Times New Roman"/>
          <w:sz w:val="16"/>
          <w:szCs w:val="16"/>
          <w:color w:val="auto"/>
        </w:rPr>
      </w:pPr>
    </w:p>
    <w:p>
      <w:pPr>
        <w:ind w:left="540" w:right="400" w:firstLine="359"/>
        <w:spacing w:after="0" w:line="275" w:lineRule="auto"/>
        <w:tabs>
          <w:tab w:leader="none" w:pos="117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73" w:lineRule="exact"/>
        <w:rPr>
          <w:rFonts w:ascii="Times New Roman" w:cs="Times New Roman" w:eastAsia="Times New Roman" w:hAnsi="Times New Roman"/>
          <w:sz w:val="18"/>
          <w:szCs w:val="18"/>
          <w:color w:val="auto"/>
        </w:rPr>
      </w:pPr>
    </w:p>
    <w:p>
      <w:pPr>
        <w:ind w:left="540" w:firstLine="359"/>
        <w:spacing w:after="0" w:line="339" w:lineRule="auto"/>
        <w:tabs>
          <w:tab w:leader="none" w:pos="1242"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28" w:lineRule="exact"/>
        <w:rPr>
          <w:rFonts w:ascii="Times New Roman" w:cs="Times New Roman" w:eastAsia="Times New Roman" w:hAnsi="Times New Roman"/>
          <w:sz w:val="16"/>
          <w:szCs w:val="16"/>
          <w:color w:val="auto"/>
        </w:rPr>
      </w:pPr>
    </w:p>
    <w:p>
      <w:pPr>
        <w:ind w:left="540" w:right="360" w:firstLine="359"/>
        <w:spacing w:after="0" w:line="275" w:lineRule="auto"/>
        <w:tabs>
          <w:tab w:leader="none" w:pos="118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2002, Wynn Las Vegas Capital Corp., referred to as Wynn Capital, issued one share to Wynn Las Vegas, LLC in connection with the formation of Wynn Capital.</w:t>
      </w:r>
    </w:p>
    <w:p>
      <w:pPr>
        <w:spacing w:after="0" w:line="173"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guarantor Registrants has engaged in various formation issuances of limited liability company membership interests.</w:t>
      </w:r>
    </w:p>
    <w:p>
      <w:pPr>
        <w:spacing w:after="0" w:line="225"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2"/>
          </w:tcPr>
          <w:p>
            <w:pPr>
              <w:jc w:val="right"/>
              <w:ind w:right="2520"/>
              <w:spacing w:after="0"/>
              <w:rPr>
                <w:sz w:val="20"/>
                <w:szCs w:val="20"/>
                <w:color w:val="auto"/>
              </w:rPr>
            </w:pPr>
            <w:r>
              <w:rPr>
                <w:rFonts w:ascii="Times New Roman" w:cs="Times New Roman" w:eastAsia="Times New Roman" w:hAnsi="Times New Roman"/>
                <w:sz w:val="14"/>
                <w:szCs w:val="14"/>
                <w:b w:val="1"/>
                <w:bCs w:val="1"/>
                <w:color w:val="auto"/>
              </w:rPr>
              <w:t>Footnote</w:t>
            </w:r>
          </w:p>
        </w:tc>
      </w:tr>
      <w:tr>
        <w:trPr>
          <w:trHeight w:val="178"/>
        </w:trPr>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1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5"/>
                <w:szCs w:val="15"/>
                <w:color w:val="auto"/>
              </w:rPr>
            </w:pPr>
          </w:p>
        </w:tc>
        <w:tc>
          <w:tcPr>
            <w:tcW w:w="3200" w:type="dxa"/>
            <w:vAlign w:val="bottom"/>
            <w:gridSpan w:val="2"/>
          </w:tcPr>
          <w:p>
            <w:pPr>
              <w:jc w:val="right"/>
              <w:ind w:right="2680"/>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1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0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Wynn Las Vegas,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Wynn Las Vegas,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Incorporation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Bylaws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Desert 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Desert Inn Water Company, LLC.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II-3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3"/>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r>
        <w:trPr>
          <w:trHeight w:val="30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Valvino Lamore, LLC, as amended.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Valvino Lamore, LLC, as amended.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Wynn Design &amp; Development,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Wynn Design &amp; Development,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Wynn Resorts Holdings,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Amended and Restated Operating Agreement of Wynn Resorts Holdings,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World Travel,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World Travel,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Palo,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Palo,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Indenture, dated</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2002, governing the  % Second Mortgage Notes due 2010 by and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among Wynn Las Vegas, LLC, Wynn Las Vegas Capital Corp., Desert 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Wynn Design &amp; Development, LLC, Wynn Resorts Holdings, LLC, Las Vegas Jet, LLC, World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Travel, LLC, Palo, LLC and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Opinion of Irell &amp; Manella LLP.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Asset and Land Purchase Agreement, dated as of April 28, 2000, by and among Starwood Hotels &amp;</w:t>
            </w:r>
          </w:p>
        </w:tc>
        <w:tc>
          <w:tcPr>
            <w:tcW w:w="33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First Amendment to Asset and Land Purchase Agreement, dated as of May 26, 2000, by and among</w:t>
            </w:r>
          </w:p>
        </w:tc>
        <w:tc>
          <w:tcPr>
            <w:tcW w:w="33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Corporation, Valvino 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Second Amendment to Asset and Land Purchase Agreement, dated as of June 16, 2000, by and</w:t>
            </w:r>
          </w:p>
        </w:tc>
        <w:tc>
          <w:tcPr>
            <w:tcW w:w="33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among Starwood Hotels &amp; Resorts Worldwide, Inc., Sheraton Gaming Corporation, Sheraton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Inn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7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Third Amendment to Asset and Land Purchase Agreement, dated as of June 22, 2000, by and among</w:t>
            </w:r>
          </w:p>
        </w:tc>
        <w:tc>
          <w:tcPr>
            <w:tcW w:w="33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-5379720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-5379720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-5379720</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-5379720</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-5379720</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-5379720</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4" w:right="239" w:bottom="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Valvino Lamore, LLC, Stephen A. Wynn, Rambas Marketing Co., LLC, and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Asset and Land Purchase Agreement, dated as of October 27, 2000, by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Fifth Amendment to Asset and Land Purchase Agreement, dated as of November 3, 2000, by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dated January 25, 2001, by and between Wynn Resorts Holdings, LLC and Calitri</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Services and Licensing Limited Liability Company.</w:t>
            </w:r>
          </w:p>
        </w:tc>
        <w:tc>
          <w:tcPr>
            <w:tcW w:w="294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II-4</w:t>
            </w:r>
          </w:p>
        </w:tc>
        <w:tc>
          <w:tcPr>
            <w:tcW w:w="294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gridSpan w:val="2"/>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r>
        <w:trPr>
          <w:trHeight w:val="30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Agreement, dated November 1, 2001, by and between Valvino Lamore, LLC and Wynn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Resorts Holdings,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 Rental and Licensing Agreement, dated November 1, 2001, by and between Stephen A. Wynn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Stockholders Agreement, dated as of April 11, 2002, by and among Stephen A. Wynn, Baron Asset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 and Aruze USA,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for Guaranteed Maximum Price Construction Services between Wynn Las Vegas,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Marnell Corrao Associates, Inc. for Le Rêve.</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Continuing Guaranty, dated June 4, 2002, by Austi, Inc. in favor of Wynn Las Vegas,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Design/Build Agreement, dated June 6, 2002, by and between Wynn Las Vegas, LLC and Bomel</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Construction Company,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2002 Stock Incentive Plan</w:t>
            </w:r>
          </w:p>
        </w:tc>
        <w:tc>
          <w:tcPr>
            <w:tcW w:w="5500" w:type="dxa"/>
            <w:vAlign w:val="bottom"/>
          </w:tcPr>
          <w:p>
            <w:pPr>
              <w:spacing w:after="0"/>
              <w:rPr>
                <w:sz w:val="18"/>
                <w:szCs w:val="18"/>
                <w:color w:val="auto"/>
              </w:rPr>
            </w:pP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1, 2002, by and between Wynn Resorts Holdings, LLC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Contribution Agreement, dated as of June 11, 2002 by and among Stephen A. Wynn, Aruze USA,</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 Baron Asset Fund, the Kenneth R. Wynn Family Trust dated February 1985 and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Business Loan Agreement, dated as of May 30, 2002, between Bank of</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 N.A. and World Travel,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Continuing Guaranty, dated May 30, 2002, by Valvino Lamore, LLC in favor of Bank of America,</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dated as of June 2002, by and between Stephen A. Wynn and Wynn Resorts, Limited.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Agreement, dated May 30, 2002, between Stephen A. Wynn and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 dated as of</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between Wynn Design and Development, LLC and Butler/Ashworth</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Architects,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May 31, 2002, by and between Valvino Lamore, LLC and Matt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Maddox.</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Concession Contract for the Operation of Games of Chance or Other Games in Casinos in the Macau</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Administrative Region, dated June 24, 2002, between the Macau Special Administrative</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Region and Wynn Resorts (Macau), S.A. (English translation of Portuguese version of Concession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Commitment Letter Agreement, dated June 14, 2002, among Deutsche Bank</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Americas, Deutsche Bank Securities Inc., Bank of America, N.A., Banc of America</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 LLC, Bear Stearns Corporate Lending, Inc., Bear Stearns &amp; Co. Inc.,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Holdings, LLC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for Guarantee Maximum Price Construction Services Change Order, dated as of</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12, 2002 between Marnell Corrao Associates, Inc.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Concession Contract for Operating Casino Gaming or Other Forms of Gaming in the Macao Special</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Administrative Region, dated June 24, 2002, between the Macau Special Administrative Region and</w:t>
            </w:r>
          </w:p>
        </w:tc>
        <w:tc>
          <w:tcPr>
            <w:tcW w:w="2940" w:type="dxa"/>
            <w:vAlign w:val="bottom"/>
          </w:tcPr>
          <w:p>
            <w:pPr>
              <w:spacing w:after="0"/>
              <w:rPr>
                <w:sz w:val="18"/>
                <w:szCs w:val="18"/>
                <w:color w:val="auto"/>
              </w:rPr>
            </w:pPr>
          </w:p>
        </w:tc>
      </w:tr>
      <w:tr>
        <w:trPr>
          <w:trHeight w:val="228"/>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Wynn Resorts (Macau) S.A. (English translation of Chinese version of Concession Agreement).</w:t>
            </w:r>
          </w:p>
        </w:tc>
        <w:tc>
          <w:tcPr>
            <w:tcW w:w="294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II-5</w:t>
            </w:r>
          </w:p>
        </w:tc>
        <w:tc>
          <w:tcPr>
            <w:tcW w:w="294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gridSpan w:val="2"/>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r>
        <w:trPr>
          <w:trHeight w:val="30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Art Rental and Licensing Agreement, dated August 19, 2002, by and</w:t>
            </w:r>
          </w:p>
        </w:tc>
        <w:tc>
          <w:tcPr>
            <w:tcW w:w="29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between Stephen A. Wynn 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Design Services Agreement, effective as of October 5, 2001, between Wynn Design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Development, LLC and A.A. Marnell II, Chtd.</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Conditions to the Professional Design Services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Trademark/Service Mark Purchase Agreement, dated June 7, 2001, between Wynn Resorts and The</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STAD Trust.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Agreement, dated as of April 1, 2001, between Stephen A. Wynn and Valvino Lamore,</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Second Amendment to Amended and Restated Operating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Third Amendment to 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July 7, 2000, by and between Wynn Design &amp; Development,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-8260715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-8260715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-2138045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-2138045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 H. Rubinstein.</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Strzemp.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Stock Option Agreement.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Las Vegas Capital Corp.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Desert Inn Water Company,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Palo,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Valvino Lamore,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Design &amp; Development,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Resorts Holdings,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World Travel,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Las Vegas Jet,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Schreck Brignone (included in Exhibit 5.1).</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of Persons Named to Become Directors.</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Dr. A. Correia da Silva.</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 and directors of Wynn Las Vegas Capital Corp.</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Desert Inn Water Company,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Palo,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Design &amp; Development,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Resorts Holdings,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II-6</w:t>
            </w:r>
          </w:p>
        </w:tc>
        <w:tc>
          <w:tcPr>
            <w:tcW w:w="296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0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World Travel,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Las Vegas Jet,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Las Vegas,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T-1 Statement of Eligibility and Qualification of Trustee.</w:t>
            </w:r>
          </w:p>
        </w:tc>
        <w:tc>
          <w:tcPr>
            <w:tcW w:w="2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29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1" w:lineRule="exact"/>
        <w:rPr>
          <w:sz w:val="20"/>
          <w:szCs w:val="20"/>
          <w:color w:val="auto"/>
        </w:rPr>
      </w:pPr>
    </w:p>
    <w:p>
      <w:pPr>
        <w:ind w:left="460" w:hanging="101"/>
        <w:spacing w:after="0"/>
        <w:tabs>
          <w:tab w:leader="none" w:pos="460" w:val="left"/>
        </w:tabs>
        <w:numPr>
          <w:ilvl w:val="1"/>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54"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387"/>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Incorporated by reference to the Registration Statement on Form S-1 of Wynn Resorts, Limited filed June 17, 2002 (Registration No. 333-90600).</w:t>
      </w:r>
    </w:p>
    <w:p>
      <w:pPr>
        <w:spacing w:after="0" w:line="40"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38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Incorporated by reference to Amendment No. 1 to the Registration Statement on Form S-1 of Wynn Resorts, Limited filed August 20, 2002 (Registration No. 333-90600).</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387"/>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Previously filed with the Form S-1 filed by the Registrant on August 20, 2002.</w:t>
      </w:r>
    </w:p>
    <w:p>
      <w:pPr>
        <w:spacing w:after="0" w:line="54" w:lineRule="exact"/>
        <w:rPr>
          <w:rFonts w:ascii="Times New Roman" w:cs="Times New Roman" w:eastAsia="Times New Roman" w:hAnsi="Times New Roman"/>
          <w:sz w:val="21"/>
          <w:szCs w:val="21"/>
          <w:color w:val="auto"/>
          <w:vertAlign w:val="subscript"/>
        </w:rPr>
      </w:pPr>
    </w:p>
    <w:p>
      <w:pPr>
        <w:ind w:left="540" w:hanging="532"/>
        <w:spacing w:after="0" w:line="183" w:lineRule="auto"/>
        <w:tabs>
          <w:tab w:leader="none" w:pos="540" w:val="left"/>
        </w:tabs>
        <w:numPr>
          <w:ilvl w:val="0"/>
          <w:numId w:val="38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Incorporated by reference to Amendment No. 3 to the Registration Statement on Form S-1 of Wynn Resorts, Limited filed September 18, 2002 (Registration No. 333-90600).</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38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Filed 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69215</wp:posOffset>
            </wp:positionV>
            <wp:extent cx="278765" cy="215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87"/>
              </w:rPr>
              <w:t>S-1</w:t>
            </w:r>
          </w:p>
        </w:tc>
      </w:tr>
    </w:tbl>
    <w:p>
      <w:pPr>
        <w:spacing w:after="0" w:line="202"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262" w:lineRule="auto"/>
        <w:tabs>
          <w:tab w:leader="none" w:pos="11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Times New Roman" w:cs="Times New Roman" w:eastAsia="Times New Roman" w:hAnsi="Times New Roman"/>
          <w:sz w:val="18"/>
          <w:szCs w:val="18"/>
          <w:color w:val="auto"/>
        </w:rPr>
      </w:pPr>
    </w:p>
    <w:p>
      <w:pPr>
        <w:ind w:left="540" w:right="120" w:firstLine="359"/>
        <w:spacing w:after="0" w:line="262" w:lineRule="auto"/>
        <w:tabs>
          <w:tab w:leader="none" w:pos="11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79" w:name="page180"/>
    <w:bookmarkEnd w:id="1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S-1</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S-2</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ectPr>
          <w:pgSz w:w="11900" w:h="16838" w:orient="portrait"/>
          <w:cols w:equalWidth="0" w:num="1">
            <w:col w:w="11420"/>
          </w:cols>
          <w:pgMar w:left="240" w:top="339" w:right="239" w:bottom="0" w:gutter="0" w:footer="0" w:header="0"/>
        </w:sectPr>
      </w:pPr>
    </w:p>
    <w:bookmarkStart w:id="180" w:name="page181"/>
    <w:bookmarkEnd w:id="180"/>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S-3</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S-4</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ectPr>
          <w:pgSz w:w="11900" w:h="16838" w:orient="portrait"/>
          <w:cols w:equalWidth="0" w:num="1">
            <w:col w:w="11420"/>
          </w:cols>
          <w:pgMar w:left="240" w:top="125" w:right="239" w:bottom="0" w:gutter="0" w:footer="0" w:header="0"/>
        </w:sectPr>
      </w:pPr>
    </w:p>
    <w:bookmarkStart w:id="181" w:name="page182"/>
    <w:bookmarkEnd w:id="181"/>
    <w:p>
      <w:pPr>
        <w:spacing w:after="0" w:line="44"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S-5</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S-6</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82" w:orient="portrait"/>
          <w:cols w:equalWidth="0" w:num="1">
            <w:col w:w="11420"/>
          </w:cols>
          <w:pgMar w:left="240" w:top="12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2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-62230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123" w:right="239" w:bottom="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228"/>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 JOHN STRZEMP</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Executive Vice President and</w:t>
            </w:r>
          </w:p>
        </w:tc>
        <w:tc>
          <w:tcPr>
            <w:tcW w:w="5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23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5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81280</wp:posOffset>
            </wp:positionV>
            <wp:extent cx="2568575" cy="215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Name:</w:t>
        <w:tab/>
        <w:t>Stephen A. Wynn</w:t>
      </w:r>
    </w:p>
    <w:p>
      <w:pPr>
        <w:spacing w:after="0" w:line="21"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340"/>
        <w:spacing w:after="0"/>
        <w:tabs>
          <w:tab w:leader="none" w:pos="4940" w:val="left"/>
          <w:tab w:leader="none" w:pos="76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President of Valvino Lamore, LLC</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2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 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17, 2002</w:t>
            </w:r>
          </w:p>
        </w:tc>
        <w:tc>
          <w:tcPr>
            <w:tcW w:w="0" w:type="dxa"/>
            <w:vAlign w:val="bottom"/>
          </w:tcPr>
          <w:p>
            <w:pPr>
              <w:spacing w:after="0"/>
              <w:rPr>
                <w:sz w:val="1"/>
                <w:szCs w:val="1"/>
                <w:color w:val="auto"/>
              </w:rPr>
            </w:pPr>
          </w:p>
        </w:tc>
      </w:tr>
      <w:tr>
        <w:trPr>
          <w:trHeight w:val="133"/>
        </w:trPr>
        <w:tc>
          <w:tcPr>
            <w:tcW w:w="3220" w:type="dxa"/>
            <w:vAlign w:val="bottom"/>
            <w:tcBorders>
              <w:bottom w:val="single" w:sz="8" w:color="808080"/>
            </w:tcBorders>
          </w:tcPr>
          <w:p>
            <w:pPr>
              <w:spacing w:after="0"/>
              <w:rPr>
                <w:sz w:val="11"/>
                <w:szCs w:val="11"/>
                <w:color w:val="auto"/>
              </w:rPr>
            </w:pPr>
          </w:p>
        </w:tc>
        <w:tc>
          <w:tcPr>
            <w:tcW w:w="3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Officer of</w:t>
            </w:r>
          </w:p>
        </w:tc>
        <w:tc>
          <w:tcPr>
            <w:tcW w:w="4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2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S-8</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-1334770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-768985</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2 to the Registration Statement to be signed on its behalf by the undersigned, thereunto duly authorized, in Las Vegas, Nevada, on the 17th day of September, 2002.</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07"/>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680"/>
        <w:spacing w:after="0"/>
        <w:tabs>
          <w:tab w:leader="none" w:pos="6360" w:val="left"/>
          <w:tab w:leader="none" w:pos="101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STEPHEN A. WYNN</w:t>
            </w: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 and President</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September 17, 2002</w:t>
            </w:r>
          </w:p>
        </w:tc>
        <w:tc>
          <w:tcPr>
            <w:tcW w:w="0" w:type="dxa"/>
            <w:vAlign w:val="bottom"/>
          </w:tcPr>
          <w:p>
            <w:pPr>
              <w:spacing w:after="0"/>
              <w:rPr>
                <w:sz w:val="1"/>
                <w:szCs w:val="1"/>
                <w:color w:val="auto"/>
              </w:rPr>
            </w:pPr>
          </w:p>
        </w:tc>
      </w:tr>
      <w:tr>
        <w:trPr>
          <w:trHeight w:val="120"/>
        </w:trPr>
        <w:tc>
          <w:tcPr>
            <w:tcW w:w="3900" w:type="dxa"/>
            <w:vAlign w:val="bottom"/>
            <w:tcBorders>
              <w:bottom w:val="single" w:sz="8" w:color="808080"/>
            </w:tcBorders>
          </w:tcPr>
          <w:p>
            <w:pPr>
              <w:spacing w:after="0"/>
              <w:rPr>
                <w:sz w:val="10"/>
                <w:szCs w:val="10"/>
                <w:color w:val="auto"/>
              </w:rPr>
            </w:pPr>
          </w:p>
        </w:tc>
        <w:tc>
          <w:tcPr>
            <w:tcW w:w="5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5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JOHN STRZEMP</w:t>
            </w: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Treasurer (Principal Financial Officer and Principal Accounting</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September 17, 2002</w:t>
            </w:r>
          </w:p>
        </w:tc>
        <w:tc>
          <w:tcPr>
            <w:tcW w:w="0" w:type="dxa"/>
            <w:vAlign w:val="bottom"/>
          </w:tcPr>
          <w:p>
            <w:pPr>
              <w:spacing w:after="0"/>
              <w:rPr>
                <w:sz w:val="1"/>
                <w:szCs w:val="1"/>
                <w:color w:val="auto"/>
              </w:rPr>
            </w:pPr>
          </w:p>
        </w:tc>
      </w:tr>
      <w:tr>
        <w:trPr>
          <w:trHeight w:val="133"/>
        </w:trPr>
        <w:tc>
          <w:tcPr>
            <w:tcW w:w="3900" w:type="dxa"/>
            <w:vAlign w:val="bottom"/>
            <w:tcBorders>
              <w:bottom w:val="single" w:sz="8" w:color="808080"/>
            </w:tcBorders>
          </w:tcPr>
          <w:p>
            <w:pPr>
              <w:spacing w:after="0"/>
              <w:rPr>
                <w:sz w:val="11"/>
                <w:szCs w:val="11"/>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Officer)</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524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5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5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-1057275</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-491490</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83" w:name="page184"/>
    <w:bookmarkEnd w:id="183"/>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41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Valvino Lamore, LLC and Subsidiaries:</w:t>
      </w:r>
    </w:p>
    <w:p>
      <w:pPr>
        <w:spacing w:after="0" w:line="225"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Las Vegas, LLC and Wynn Capital Corp.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left="3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3700" w:type="dxa"/>
            <w:vAlign w:val="bottom"/>
            <w:tcBorders>
              <w:bottom w:val="single" w:sz="8" w:color="808080"/>
            </w:tcBorders>
            <w:gridSpan w:val="2"/>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Receivable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1940" w:type="dxa"/>
            <w:vAlign w:val="bottom"/>
          </w:tcPr>
          <w:p>
            <w:pPr>
              <w:spacing w:after="0"/>
              <w:rPr>
                <w:sz w:val="18"/>
                <w:szCs w:val="18"/>
                <w:color w:val="auto"/>
              </w:rPr>
            </w:pPr>
          </w:p>
        </w:tc>
        <w:tc>
          <w:tcPr>
            <w:tcW w:w="340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1,295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ended December 31, 2000</w:t>
            </w:r>
          </w:p>
        </w:tc>
        <w:tc>
          <w:tcPr>
            <w:tcW w:w="194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0" w:type="dxa"/>
            <w:vAlign w:val="bottom"/>
            <w:gridSpan w:val="3"/>
          </w:tcPr>
          <w:p>
            <w:pPr>
              <w:jc w:val="right"/>
              <w:ind w:right="2072"/>
              <w:spacing w:after="0"/>
              <w:rPr>
                <w:sz w:val="20"/>
                <w:szCs w:val="20"/>
                <w:color w:val="auto"/>
              </w:rPr>
            </w:pPr>
            <w:r>
              <w:rPr>
                <w:rFonts w:ascii="Times New Roman" w:cs="Times New Roman" w:eastAsia="Times New Roman" w:hAnsi="Times New Roman"/>
                <w:sz w:val="18"/>
                <w:szCs w:val="18"/>
                <w:color w:val="auto"/>
              </w:rPr>
              <w:t>S-11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gridSpan w:val="3"/>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0" w:type="dxa"/>
            <w:vAlign w:val="bottom"/>
            <w:gridSpan w:val="3"/>
          </w:tcPr>
          <w:p>
            <w:pPr>
              <w:jc w:val="right"/>
              <w:ind w:right="1572"/>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Footnote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340" w:type="dxa"/>
            <w:vAlign w:val="bottom"/>
            <w:gridSpan w:val="4"/>
          </w:tcPr>
          <w:p>
            <w:pPr>
              <w:jc w:val="right"/>
              <w:ind w:right="3132"/>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tcBorders>
              <w:bottom w:val="single" w:sz="8" w:color="808080"/>
            </w:tcBorders>
            <w:gridSpan w:val="2"/>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Articles of Organization of Wynn Las Vegas,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Wynn Las Vegas,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Articles of Incorporation of the Wynn Las Vegas Capital Corp.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Bylaws of the Wynn Las Vegas Capital Corp.</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Desert Inn Water Company,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Operating Agreement Desert Inn Water Company,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Valvino Lamore, LLC, as amended.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Operating Agreement of Valvino Lamore, LLC, as amended.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Wynn Design &amp; Development,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Operating Agreement of Wynn Design &amp; Development,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Wynn Resorts Holdings,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Amended and Restated Operating Agreement of Wynn Resorts Holdings,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World Travel,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World Travel,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Las Vegas Jet,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Las Vegas Jet,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Agreement of Palo,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Articles of Organization of Palo,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Indenture, dated</w:t>
            </w: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2002, governing the</w:t>
            </w:r>
          </w:p>
        </w:tc>
        <w:tc>
          <w:tcPr>
            <w:tcW w:w="340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w w:val="98"/>
              </w:rPr>
              <w:t>% Second Mortgage Notes due 2010 by 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among Wynn Las Vegas, LLC, Wynn Las Vegas Capital Corp., Desert Inn Water Company,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Wynn Design &amp; Development, LLC, Wynn Resorts Holdings, LLC, Las Vegas Jet, LLC, World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Travel, LLC, Palo, LLC and Valvino Lamore,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Opinion of Irell &amp; Manella LLP.</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8"/>
              </w:rPr>
              <w:t>Asset and Land Purchase Agreement, dated as of April 28, 2000, by and among Starwood Hotels &amp;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Resorts Worldwide, Inc., Sheraton Gaming Corporation, Sheraton Desert Inn Corporation, Valvino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Lamore, LLC and Stephen A. Wynn.</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-5516880</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-5516880</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-5516880</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-5516880</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-5516880</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-5516880</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-4607560</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-4607560</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-3784600</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-3784600</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-3784600</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-3784600</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-3784600</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582" w:right="239" w:bottom="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Asset and Land Purchase Agreement, dated as of May 26, 2000, by and among</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Valvino Lamore, LLC and Stephen A. Wynn.</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Second Amendment to Asset and Land Purchase Agreement, dated as of June 16, 2000, by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among Starwood Hotels &amp; Resorts Worldwide, Inc., Sheraton Gaming Corporation, Sheraton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Inn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Third Amendment to Asset and Land Purchase Agreement, dated as of June 22, 2000, by and among</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Valvino Lamore, LLC, Stephen A. Wynn, Rambas Marketing Co., LLC, and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Asset and Land Purchase Agreement, dated as of October 27, 2000, by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 Corporation, Valvino Lamore, LLC, Stephen A. Wynn, Rambas Marketing Co., LLC, and Desert</w:t>
            </w:r>
          </w:p>
        </w:tc>
        <w:tc>
          <w:tcPr>
            <w:tcW w:w="2940" w:type="dxa"/>
            <w:vAlign w:val="bottom"/>
          </w:tcPr>
          <w:p>
            <w:pPr>
              <w:spacing w:after="0"/>
              <w:rPr>
                <w:sz w:val="18"/>
                <w:szCs w:val="18"/>
                <w:color w:val="auto"/>
              </w:rPr>
            </w:pPr>
          </w:p>
        </w:tc>
      </w:tr>
      <w:tr>
        <w:trPr>
          <w:trHeight w:val="228"/>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5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gridSpan w:val="2"/>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r>
        <w:trPr>
          <w:trHeight w:val="30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Fifth Amendment to Asset and Land Purchase Agreement, dated as of November 3, 2000, by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dated January 25, 2001, by and between Wynn Resorts Holdings, LLC and Calitri</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Services and Licensing Limited Liability Company.</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Agreement, dated November 1, 2001, by and between Valvino Lamore, LLC and Wynn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Resorts Holdings,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 Rental and Licensing Agreement, dated November 1, 2001, by and between Stephen A. Wynn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Stockholders Agreement, dated as of April 11, 2002, by and among Stephen A. Wynn, Baron Asset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 and Aruze USA,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for Guaranteed Maximum Price Construction Services between Wynn Las Vegas,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Marnell Corrao Associates, Inc. for Le Rêve.</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Continuing Guaranty, dated June 4, 2002, by Austi, Inc. in favor of Wynn Las Vegas,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Design/Build Agreement, dated June 6, 2002, by and between Wynn Las Vegas, LLC and Bomel</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Construction Company,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2002 Stock Incentive Plan</w:t>
            </w:r>
          </w:p>
        </w:tc>
        <w:tc>
          <w:tcPr>
            <w:tcW w:w="5500" w:type="dxa"/>
            <w:vAlign w:val="bottom"/>
          </w:tcPr>
          <w:p>
            <w:pPr>
              <w:spacing w:after="0"/>
              <w:rPr>
                <w:sz w:val="18"/>
                <w:szCs w:val="18"/>
                <w:color w:val="auto"/>
              </w:rPr>
            </w:pP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1, 2002, by and between Wynn Resorts Holdings, LLC and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Contribution Agreement, dated as of June 11, 2002 by and among Stephen A. Wynn, Aruze USA,</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 Baron Asset Fund, the Kenneth R. Wynn Family Trust dated February 1985 and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Business Loan Agreement, dated as of May 30, 2002, between Bank of</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 N.A. and World Travel,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Continuing Guaranty, dated May 30, 2002, by Valvino Lamore, LLC in favor of Bank of America,</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dated as of June 2002, by and between Stephen A. Wynn and Wynn Resorts, Limited.</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Agreement, dated May 30, 2002, between Stephen A. Wynn and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 dated as of</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between Wynn Design and Development, LLC and Butler/Ashworth</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Architects,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May 31, 2002, by and between Valvino Lamore, LLC and Matt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Maddox.</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Concession Contract for the Operation of Games of Chance or Other Games in Casinos in the Macau</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Administrative Region, dated June 24, 2002, between the Macau Special Administrative</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Region and Wynn Resorts (Macau), S.A. (English translation of Portuguese version of Concession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Commitment Letter Agreement, dated June 14, 2002, among Deutsche Bank</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Americas, Deutsche Bank Securities Inc., Bank of America, N.A., Banc of America</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 LLC, Bear Stearns Corporate Lending, Inc., Bear Stearns &amp; Co. Inc.,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Holdings, LLC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for Guarantee Maximum Price Construction Services Change Order, dated as of</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12, 2002 between Marnell Corrao Associates, Inc. and Wynn Las Vegas, LLC.</w:t>
            </w:r>
          </w:p>
        </w:tc>
        <w:tc>
          <w:tcPr>
            <w:tcW w:w="294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gridSpan w:val="2"/>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r>
        <w:trPr>
          <w:trHeight w:val="30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Concession Contract for Operating Casino Gaming or Other Forms of Gaming in the Macao Special</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Administrative Region, dated June 24, 2002, between the Macau Special Administrative Region and</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Wynn Resorts (Macau) S.A. (English translation of Chinese version of Concession Agreement).</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Art Rental and Licensing Agreement, dated August 19, 2002, by and</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between Stephen A. Wynn 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Design Services Agreement, effective as of October 5, 2001, between Wynn Design</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Development, LLC and A.A. Marnell II, Chtd.</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Conditions to the Professional Design Services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Trademark/Service Mark Purchase Agreement, dated June 7, 2001, between Wynn Resorts and The</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STAD Trust.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Agreement, dated as of April 1, 2001, between Stephen A. Wynn and Valvino Lamore,</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Amended and Restated Operating Agreement of Valvino Lamore, LLC.</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Second Amendment to Amended and Restated Operating Agreement.</w:t>
            </w:r>
          </w:p>
        </w:tc>
        <w:tc>
          <w:tcPr>
            <w:tcW w:w="294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-8329295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-8329295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-2138045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-2138045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10.36</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Amendment to Amended and Restated Operating Agreement of Valvino Lamore,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Fourth Amendment to Amended and Restated Operating Agreement of Valvino Lamore,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July 7, 2000, by and between Wynn Design &amp; Development,</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 H. Rubinstein.</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Strzemp.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Stock Option Agreement.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Las Vegas Capital Corp.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Desert Inn Water Company,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Palo,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Valvino Lamore,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Design &amp; Development,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Wynn Resorts Holdings,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World Travel,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Las Vegas Jet,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Schreck Brignone (included in Exhibit 5.1).</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of Persons Named to Become Directors.</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Dr. A. Correia da Silva.</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 and directors of Wynn Las Vegas Capital Corp.</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Desert Inn Water Company,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Palo,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Design &amp; Development,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r>
      <w:tr>
        <w:trPr>
          <w:trHeight w:val="30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Resorts Holdings,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World Travel,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Las Vegas Jet,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Attorney of officers of Valvino Lamore, LLC re: of Wynn Las Vegas, LLC.</w:t>
            </w:r>
          </w:p>
        </w:tc>
        <w:tc>
          <w:tcPr>
            <w:tcW w:w="296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T-1 Statement of Eligibility and Qualification of Trustee.</w:t>
            </w:r>
          </w:p>
        </w:tc>
        <w:tc>
          <w:tcPr>
            <w:tcW w:w="2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29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1" w:lineRule="exact"/>
        <w:rPr>
          <w:sz w:val="20"/>
          <w:szCs w:val="20"/>
          <w:color w:val="auto"/>
        </w:rPr>
      </w:pPr>
    </w:p>
    <w:p>
      <w:pPr>
        <w:ind w:left="460" w:hanging="101"/>
        <w:spacing w:after="0"/>
        <w:tabs>
          <w:tab w:leader="none" w:pos="460"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40"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38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Incorporated by reference to the Registration Statement on Form S-1 of Wynn Resorts, Limited filed June 17, 2002 (Registration No. 333-90600).</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38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Incorporated by reference to Amendment No. 1 to the Registration Statement on Form S-1 of Wynn Resorts, Limited filed August 20, 2002 (Registration No. 333-90600).</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38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Previously filed with the Form S-1 filed by the Registrant on August 20, 2002.</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38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Times New Roman" w:cs="Times New Roman" w:eastAsia="Times New Roman" w:hAnsi="Times New Roman"/>
          <w:sz w:val="21"/>
          <w:szCs w:val="21"/>
          <w:color w:val="auto"/>
          <w:vertAlign w:val="subscript"/>
        </w:rPr>
      </w:pPr>
    </w:p>
    <w:p>
      <w:pPr>
        <w:ind w:left="540" w:hanging="532"/>
        <w:spacing w:after="0" w:line="183" w:lineRule="auto"/>
        <w:tabs>
          <w:tab w:leader="none" w:pos="540" w:val="left"/>
        </w:tabs>
        <w:numPr>
          <w:ilvl w:val="0"/>
          <w:numId w:val="38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Other Registrants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DESCRIPTION OF ARTWORK</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PROSPECTUS SUMMARY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Overview</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Our Strategy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Other Financing Transactions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Corporate Structure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Information on Issuers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The Offering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Summary of 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Notice to Investors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Risks Related to the Offering and the Second Mortgage Notes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FORWARD-LOOKING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USE OF PROCEEDS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CAPITALIZATION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PRINCIPAL STOCKHOLDERS OF WYNN RESORTS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SELECTED CONSOLIDATED FINANCIAL DATA</w:t>
        </w:r>
      </w:hyperlink>
    </w:p>
    <w:p>
      <w:pPr>
        <w:spacing w:after="0" w:line="9" w:lineRule="exact"/>
        <w:rPr>
          <w:sz w:val="20"/>
          <w:szCs w:val="20"/>
          <w:color w:val="auto"/>
        </w:rPr>
      </w:pPr>
    </w:p>
    <w:p>
      <w:pPr>
        <w:ind w:right="2740"/>
        <w:spacing w:after="0" w:line="250" w:lineRule="auto"/>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40">
        <w:r>
          <w:rPr>
            <w:rFonts w:ascii="Times New Roman" w:cs="Times New Roman" w:eastAsia="Times New Roman" w:hAnsi="Times New Roman"/>
            <w:sz w:val="18"/>
            <w:szCs w:val="18"/>
            <w:u w:val="single" w:color="auto"/>
            <w:color w:val="0000EE"/>
          </w:rPr>
          <w:t>BUSINESS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CONSTRUCTION CONTRACTS FOR LE RÊVE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OUR AFFILIATE'S OPPORTUNITY IN MACAU</w:t>
        </w:r>
      </w:hyperlink>
    </w:p>
    <w:p>
      <w:pPr>
        <w:sectPr>
          <w:pgSz w:w="11900" w:h="16838" w:orient="portrait"/>
          <w:cols w:equalWidth="0" w:num="1">
            <w:col w:w="11420"/>
          </w:cols>
          <w:pgMar w:left="240" w:top="125" w:right="239" w:bottom="0" w:gutter="0" w:footer="0" w:header="0"/>
        </w:sectPr>
      </w:pPr>
    </w:p>
    <w:bookmarkStart w:id="186" w:name="page187"/>
    <w:bookmarkEnd w:id="186"/>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REGULATION AND LICENSING</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MANAGEMENT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OWNERSHIP OF CAPITAL STOCK</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DESCRIPTION OF THE SECOND MORTGAGE NOTES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DESCRIPTION OF OTHER INDEBTEDNESS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INTERCREDITOR AGREEMENTS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DISBURSEMENT AGREEMENT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U.S. FEDERAL INCOME TAX CONSIDERATIONS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UNDERWRITING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LEGAL MATTERS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EXPERTS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INDEPENDENT ACCOUNTANTS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WHERE YOU CAN FIND MORE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VALVINO LAMORE, LLC AND SUBSIDIARIES (A DEVELOPMENT STAGE COMPANY) CONSOLIDATED BALANCE SHEETS (In thousands)</w:t>
        </w:r>
      </w:hyperlink>
      <w:r>
        <w:rPr>
          <w:rFonts w:ascii="Times New Roman" w:cs="Times New Roman" w:eastAsia="Times New Roman" w:hAnsi="Times New Roman"/>
          <w:sz w:val="18"/>
          <w:szCs w:val="18"/>
          <w:u w:val="single" w:color="auto"/>
          <w:color w:val="0000EE"/>
        </w:rPr>
        <w:t xml:space="preserve"> </w:t>
      </w:r>
      <w:hyperlink w:anchor="page149">
        <w:r>
          <w:rPr>
            <w:rFonts w:ascii="Times New Roman" w:cs="Times New Roman" w:eastAsia="Times New Roman" w:hAnsi="Times New Roman"/>
            <w:sz w:val="18"/>
            <w:szCs w:val="18"/>
            <w:u w:val="single" w:color="auto"/>
            <w:color w:val="0000EE"/>
          </w:rPr>
          <w:t>VALVINO LAMORE, LLC AND SUBSIDIARIES (A DEVELOPMENT STAGE COMPANY) CONSOLIDATED STATEMENTS OF OPERATIONS (In</w:t>
        </w:r>
      </w:hyperlink>
      <w:r>
        <w:rPr>
          <w:rFonts w:ascii="Times New Roman" w:cs="Times New Roman" w:eastAsia="Times New Roman" w:hAnsi="Times New Roman"/>
          <w:sz w:val="18"/>
          <w:szCs w:val="18"/>
          <w:u w:val="single" w:color="auto"/>
          <w:color w:val="0000EE"/>
        </w:rPr>
        <w:t xml:space="preserve"> </w:t>
      </w:r>
      <w:hyperlink w:anchor="page149">
        <w:r>
          <w:rPr>
            <w:rFonts w:ascii="Times New Roman" w:cs="Times New Roman" w:eastAsia="Times New Roman" w:hAnsi="Times New Roman"/>
            <w:sz w:val="18"/>
            <w:szCs w:val="18"/>
            <w:u w:val="single" w:color="auto"/>
            <w:color w:val="0000EE"/>
          </w:rPr>
          <w:t>thousands, except share data)</w:t>
        </w:r>
      </w:hyperlink>
    </w:p>
    <w:p>
      <w:pPr>
        <w:spacing w:after="0" w:line="1" w:lineRule="exact"/>
        <w:rPr>
          <w:rFonts w:ascii="Times New Roman" w:cs="Times New Roman" w:eastAsia="Times New Roman" w:hAnsi="Times New Roman"/>
          <w:sz w:val="18"/>
          <w:szCs w:val="18"/>
          <w:u w:val="single" w:color="auto"/>
          <w:color w:val="0000EE"/>
        </w:rPr>
      </w:pPr>
    </w:p>
    <w:p>
      <w:pPr>
        <w:ind w:right="220"/>
        <w:spacing w:after="0" w:line="250" w:lineRule="auto"/>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VALVINO LAMORE, LLC AND SUBSIDIARIES (A DEVELOPMENT STAGE COMPANY) CONSOLIDATED STATEMENTS OF MEMBERS' EQUITY</w:t>
        </w:r>
      </w:hyperlink>
      <w:r>
        <w:rPr>
          <w:rFonts w:ascii="Times New Roman" w:cs="Times New Roman" w:eastAsia="Times New Roman" w:hAnsi="Times New Roman"/>
          <w:sz w:val="18"/>
          <w:szCs w:val="18"/>
          <w:u w:val="single" w:color="auto"/>
          <w:color w:val="0000EE"/>
        </w:rPr>
        <w:t xml:space="preserve"> </w:t>
      </w:r>
      <w:hyperlink w:anchor="page149">
        <w:r>
          <w:rPr>
            <w:rFonts w:ascii="Times New Roman" w:cs="Times New Roman" w:eastAsia="Times New Roman" w:hAnsi="Times New Roman"/>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Times New Roman" w:cs="Times New Roman" w:eastAsia="Times New Roman" w:hAnsi="Times New Roman"/>
          <w:sz w:val="18"/>
          <w:szCs w:val="18"/>
          <w:u w:val="single" w:color="auto"/>
          <w:color w:val="0000EE"/>
        </w:rPr>
      </w:pPr>
      <w:hyperlink w:anchor="page150">
        <w:r>
          <w:rPr>
            <w:rFonts w:ascii="Times New Roman" w:cs="Times New Roman" w:eastAsia="Times New Roman" w:hAnsi="Times New Roman"/>
            <w:sz w:val="18"/>
            <w:szCs w:val="18"/>
            <w:u w:val="single" w:color="auto"/>
            <w:color w:val="0000EE"/>
          </w:rPr>
          <w:t>VALVINO LAMORE, LLC AND SUBSIDIARIES (A DEVELOPMENT STAGE COMPANY) CONSOLIDATED STATEMENTS OF CASH FLOWS (In</w:t>
        </w:r>
      </w:hyperlink>
      <w:r>
        <w:rPr>
          <w:rFonts w:ascii="Times New Roman" w:cs="Times New Roman" w:eastAsia="Times New Roman" w:hAnsi="Times New Roman"/>
          <w:sz w:val="18"/>
          <w:szCs w:val="18"/>
          <w:u w:val="single" w:color="auto"/>
          <w:color w:val="0000EE"/>
        </w:rPr>
        <w:t xml:space="preserve"> </w:t>
      </w:r>
      <w:hyperlink w:anchor="page150">
        <w:r>
          <w:rPr>
            <w:rFonts w:ascii="Times New Roman" w:cs="Times New Roman" w:eastAsia="Times New Roman" w:hAnsi="Times New Roman"/>
            <w:sz w:val="18"/>
            <w:szCs w:val="18"/>
            <w:u w:val="single" w:color="auto"/>
            <w:color w:val="0000EE"/>
          </w:rPr>
          <w:t>thousands)</w:t>
        </w:r>
      </w:hyperlink>
    </w:p>
    <w:p>
      <w:pPr>
        <w:spacing w:after="0" w:line="1" w:lineRule="exact"/>
        <w:rPr>
          <w:sz w:val="20"/>
          <w:szCs w:val="20"/>
          <w:color w:val="auto"/>
        </w:rPr>
      </w:pPr>
    </w:p>
    <w:p>
      <w:pPr>
        <w:ind w:right="260"/>
        <w:spacing w:after="0" w:line="250" w:lineRule="auto"/>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VALVINO LAMORE, LLC AND SUBSIDIARIES (A DEVELOPMENT STAGE COMPANY) NOTES TO CONSOLIDATED FINANCIAL STATEMENTS</w:t>
        </w:r>
      </w:hyperlink>
      <w:r>
        <w:rPr>
          <w:rFonts w:ascii="Times New Roman" w:cs="Times New Roman" w:eastAsia="Times New Roman" w:hAnsi="Times New Roman"/>
          <w:sz w:val="18"/>
          <w:szCs w:val="18"/>
          <w:u w:val="single" w:color="auto"/>
          <w:color w:val="0000EE"/>
        </w:rPr>
        <w:t xml:space="preserve"> </w:t>
      </w:r>
      <w:hyperlink w:anchor="page159">
        <w:r>
          <w:rPr>
            <w:rFonts w:ascii="Times New Roman" w:cs="Times New Roman" w:eastAsia="Times New Roman" w:hAnsi="Times New Roman"/>
            <w:sz w:val="18"/>
            <w:szCs w:val="18"/>
            <w:u w:val="single" w:color="auto"/>
            <w:color w:val="0000EE"/>
          </w:rPr>
          <w:t>VALVINO LAMORE, LLC AND SUBSIDIARIES CONSOLIDATING BALANCE SHEETS As of June 30, 2002 (In thousands) (Unaudited)</w:t>
        </w:r>
      </w:hyperlink>
      <w:r>
        <w:rPr>
          <w:rFonts w:ascii="Times New Roman" w:cs="Times New Roman" w:eastAsia="Times New Roman" w:hAnsi="Times New Roman"/>
          <w:sz w:val="18"/>
          <w:szCs w:val="18"/>
          <w:u w:val="single" w:color="auto"/>
          <w:color w:val="0000EE"/>
        </w:rPr>
        <w:t xml:space="preserve"> </w:t>
      </w:r>
      <w:hyperlink w:anchor="page160">
        <w:r>
          <w:rPr>
            <w:rFonts w:ascii="Times New Roman" w:cs="Times New Roman" w:eastAsia="Times New Roman" w:hAnsi="Times New Roman"/>
            <w:sz w:val="18"/>
            <w:szCs w:val="18"/>
            <w:u w:val="single" w:color="auto"/>
            <w:color w:val="0000EE"/>
          </w:rPr>
          <w:t>VALVINO LAMORE, LLC AND SUBSIDIARIES CONSOLIDATING BALANCE SHEETS As of December 31, 2001 (In thousands)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VALVINO LAMORE, LLC AND SUBSIDIARIES CONSOLIDATING BALANCE SHEETS As of December 31, 2000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1">
        <w:r>
          <w:rPr>
            <w:rFonts w:ascii="Times New Roman" w:cs="Times New Roman" w:eastAsia="Times New Roman" w:hAnsi="Times New Roman"/>
            <w:sz w:val="16"/>
            <w:szCs w:val="16"/>
            <w:u w:val="single" w:color="auto"/>
            <w:color w:val="0000EE"/>
          </w:rPr>
          <w:t>VALVINO LAMORE, LLC AND SUBSIDIARIES CONSOLIDATING STATEMENTS OF OPERATIONS Six Months Ended June 30, 2002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2">
        <w:r>
          <w:rPr>
            <w:rFonts w:ascii="Times New Roman" w:cs="Times New Roman" w:eastAsia="Times New Roman" w:hAnsi="Times New Roman"/>
            <w:sz w:val="16"/>
            <w:szCs w:val="16"/>
            <w:u w:val="single" w:color="auto"/>
            <w:color w:val="0000EE"/>
          </w:rPr>
          <w:t>VALVINO LAMORE, LLC AND SUBSIDIARIES CONSOLIDATING STATEMENTS OF OPERATIONS Six Months Ended June 30, 2001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2">
        <w:r>
          <w:rPr>
            <w:rFonts w:ascii="Times New Roman" w:cs="Times New Roman" w:eastAsia="Times New Roman" w:hAnsi="Times New Roman"/>
            <w:sz w:val="16"/>
            <w:szCs w:val="16"/>
            <w:u w:val="single" w:color="auto"/>
            <w:color w:val="0000EE"/>
          </w:rPr>
          <w:t>VALVINO LAMORE, LLC AND SUBSIDIARIES CONSOLIDATING STATEMENTS OF OPERATIONS Year Ended December 31, 2001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3">
        <w:r>
          <w:rPr>
            <w:rFonts w:ascii="Times New Roman" w:cs="Times New Roman" w:eastAsia="Times New Roman" w:hAnsi="Times New Roman"/>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VALVINO LAMORE, LLC AND SUBSIDIARIES CONSOLIDATING STATEMENTS OF OPERATIONS From Inception to June 30, 2002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4">
        <w:r>
          <w:rPr>
            <w:rFonts w:ascii="Times New Roman" w:cs="Times New Roman" w:eastAsia="Times New Roman" w:hAnsi="Times New Roman"/>
            <w:sz w:val="16"/>
            <w:szCs w:val="16"/>
            <w:u w:val="single" w:color="auto"/>
            <w:color w:val="0000EE"/>
          </w:rPr>
          <w:t>VALVINO LAMORE, LLC AND SUBSIDIARIES CONSOLIDATING STATEMENTS OF CASH FLOWS Six Months Ended June 30, 2002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5">
        <w:r>
          <w:rPr>
            <w:rFonts w:ascii="Times New Roman" w:cs="Times New Roman" w:eastAsia="Times New Roman" w:hAnsi="Times New Roman"/>
            <w:sz w:val="16"/>
            <w:szCs w:val="16"/>
            <w:u w:val="single" w:color="auto"/>
            <w:color w:val="0000EE"/>
          </w:rPr>
          <w:t>VALVINO LAMORE, LLC AND SUBSIDIARIES CONSOLIDATING STATEMENTS OF CASH FLOWS Six Months Ended June 30, 2001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VALVINO LAMORE, LLC AND SUBSIDIARIES CONSOLIDATING STATEMENTS OF CASH FLOWS Year Ended December 31, 2001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VALVINO LAMORE, LLC AND SUBSIDIARIES CONSOLIDATING STATEMENTS OF CASH FLOWS Inception to December 31, 2000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hyperlink w:anchor="page168">
        <w:r>
          <w:rPr>
            <w:rFonts w:ascii="Times New Roman" w:cs="Times New Roman" w:eastAsia="Times New Roman" w:hAnsi="Times New Roman"/>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(Unaudited)</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INDEPENDENT AUDITORS' REPORT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WYNN LAS VEGAS, LLC (A WHOLLY OWNED SUBSIDIARY OF VALVINO LAMORE, LLC AND A DEVELOPMENT STAGE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BALANCE SHEETS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WYNN LAS VEGAS, LLC (A WHOLLY OWNED SUBSIDIARY OF VALVINO LAMORE, LLC AND A DEVELOPMENT STAGE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STATEMENTS OF OPERATIONS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WYNN LAS VEGAS, LLC (A WHOLLY OWNED SUBSIDIARY OF VALVINO LAMORE, LLC AND A DEVELOPMENT STAGE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STATEMENTS OF MEMBERS' EQUITY (In thousands)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WYNN LAS VEGAS, LLC (A WHOLLY OWNED SUBSIDIARY OF VALVINO LAMORE, LLC AND A DEVELOPMENT STAGE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STATEMENTS OF CASH FLOWS (In thousands)</w:t>
        </w:r>
      </w:hyperlink>
    </w:p>
    <w:p>
      <w:pPr>
        <w:spacing w:after="0" w:line="9" w:lineRule="exact"/>
        <w:rPr>
          <w:rFonts w:ascii="Times New Roman" w:cs="Times New Roman" w:eastAsia="Times New Roman" w:hAnsi="Times New Roman"/>
          <w:sz w:val="18"/>
          <w:szCs w:val="18"/>
          <w:u w:val="single" w:color="auto"/>
          <w:color w:val="0000EE"/>
        </w:rPr>
      </w:pPr>
    </w:p>
    <w:p>
      <w:pPr>
        <w:ind w:right="260"/>
        <w:spacing w:after="0" w:line="250" w:lineRule="auto"/>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WYNN LAS VEGAS, LLC (A WHOLLY OWNED SUBSIDIARY OF VALVINO LAMORE, LLC AND A DEVELOPMENT STAGE COMPANY) NOTES</w:t>
        </w:r>
      </w:hyperlink>
      <w:r>
        <w:rPr>
          <w:rFonts w:ascii="Times New Roman" w:cs="Times New Roman" w:eastAsia="Times New Roman" w:hAnsi="Times New Roman"/>
          <w:sz w:val="18"/>
          <w:szCs w:val="18"/>
          <w:u w:val="single" w:color="auto"/>
          <w:color w:val="0000EE"/>
        </w:rPr>
        <w:t xml:space="preserve"> </w:t>
      </w:r>
      <w:hyperlink w:anchor="page171">
        <w:r>
          <w:rPr>
            <w:rFonts w:ascii="Times New Roman" w:cs="Times New Roman" w:eastAsia="Times New Roman" w:hAnsi="Times New Roman"/>
            <w:sz w:val="18"/>
            <w:szCs w:val="18"/>
            <w:u w:val="single" w:color="auto"/>
            <w:color w:val="0000EE"/>
          </w:rPr>
          <w:t>TO FINANCIAL STATEMENTS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PART II INFORMATION NOT REQUIRED IN PROSPECTUS</w:t>
        </w:r>
      </w:hyperlink>
    </w:p>
    <w:p>
      <w:pPr>
        <w:spacing w:after="0" w:line="213"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Item 13. Other Expenses of Issuance and Distribution</w:t>
        </w:r>
      </w:hyperlink>
    </w:p>
    <w:p>
      <w:pPr>
        <w:spacing w:after="0" w:line="21"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Item 14. Indemnification of Directors and Officers</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Item 15. Recent Sales of Unregistered Securities</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Item 16. Exhibits and Financial Statement Schedules</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Item 17. Undertakings</w:t>
        </w:r>
      </w:hyperlink>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SIGNATURES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INDEPENDENT AUDITORS' REPORT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1420"/>
          </w:cols>
          <w:pgMar w:left="240" w:top="125" w:right="239" w:bottom="155" w:gutter="0" w:footer="0" w:header="0"/>
        </w:sectPr>
      </w:pPr>
    </w:p>
    <w:bookmarkStart w:id="187" w:name="page188"/>
    <w:bookmarkEnd w:id="187"/>
    <w:p>
      <w:pPr>
        <w:spacing w:after="0"/>
        <w:rPr>
          <w:rFonts w:ascii="Times New Roman" w:cs="Times New Roman" w:eastAsia="Times New Roman" w:hAnsi="Times New Roman"/>
          <w:sz w:val="22"/>
          <w:szCs w:val="22"/>
          <w:color w:val="0000EE"/>
        </w:rPr>
      </w:pPr>
      <w:hyperlink w:anchor="page18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220" w:type="dxa"/>
            <w:vAlign w:val="bottom"/>
          </w:tcPr>
          <w:p>
            <w:pPr>
              <w:spacing w:after="0"/>
              <w:rPr>
                <w:sz w:val="13"/>
                <w:szCs w:val="13"/>
                <w:color w:val="auto"/>
              </w:rPr>
            </w:pPr>
          </w:p>
        </w:tc>
        <w:tc>
          <w:tcPr>
            <w:tcW w:w="1320" w:type="dxa"/>
            <w:vAlign w:val="bottom"/>
          </w:tcPr>
          <w:p>
            <w:pPr>
              <w:jc w:val="center"/>
              <w:ind w:left="127"/>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Inception to</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2"/>
                <w:szCs w:val="12"/>
                <w:color w:val="auto"/>
              </w:rPr>
            </w:pPr>
          </w:p>
        </w:tc>
        <w:tc>
          <w:tcPr>
            <w:tcW w:w="1320" w:type="dxa"/>
            <w:vAlign w:val="bottom"/>
          </w:tcPr>
          <w:p>
            <w:pPr>
              <w:jc w:val="center"/>
              <w:ind w:left="107"/>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60" w:type="dxa"/>
            <w:vAlign w:val="bottom"/>
          </w:tcPr>
          <w:p>
            <w:pPr>
              <w:jc w:val="right"/>
              <w:ind w:right="767"/>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1320" w:type="dxa"/>
            <w:vAlign w:val="bottom"/>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32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-306070</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-306070</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-306070</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-306070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-306070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-306070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earnings to fixed charges is determined by dividing (a) operating income by (ii) fixed charges. Fixed charges consist of total interest expense.</w:t>
      </w:r>
    </w:p>
    <w:p>
      <w:pPr>
        <w:spacing w:after="0" w:line="275"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periods shown, earnings were insufficient to cover fixed charges by $15,257, $16,899 and $9,155,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Exhibit 12.1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Valvino Lamore, LLC Computation of Ratio of Earnings to Fixed Charges (dollars in thousands)</w:t>
        </w:r>
      </w:hyperlink>
    </w:p>
    <w:p>
      <w:pPr>
        <w:sectPr>
          <w:pgSz w:w="11900" w:h="16838" w:orient="portrait"/>
          <w:cols w:equalWidth="0" w:num="1">
            <w:col w:w="11420"/>
          </w:cols>
          <w:pgMar w:left="240" w:top="355" w:right="239" w:bottom="1440" w:gutter="0" w:footer="0" w:header="0"/>
        </w:sectPr>
      </w:pPr>
    </w:p>
    <w:bookmarkStart w:id="188" w:name="page189"/>
    <w:bookmarkEnd w:id="188"/>
    <w:p>
      <w:pPr>
        <w:spacing w:after="0"/>
        <w:rPr>
          <w:rFonts w:ascii="Times New Roman" w:cs="Times New Roman" w:eastAsia="Times New Roman" w:hAnsi="Times New Roman"/>
          <w:sz w:val="22"/>
          <w:szCs w:val="22"/>
          <w:color w:val="0000EE"/>
        </w:rPr>
      </w:pPr>
      <w:hyperlink w:anchor="page18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AUDITORS' CONSENT</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consent to the use in this Amendment No. 2 to Registration Statement No. 333-98369 of Wynn Las Vegas, LLC and Wynn Las Vegas Capital Corp. on Form S-1 of our reports dated June 6, 2002 and August 21,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Exhibit 23.2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INDEPENDENT AUDITORS' CONSENT</w:t>
        </w:r>
      </w:hyperlink>
    </w:p>
    <w:p>
      <w:pPr>
        <w:sectPr>
          <w:pgSz w:w="11900" w:h="16838" w:orient="portrait"/>
          <w:cols w:equalWidth="0" w:num="1">
            <w:col w:w="11400"/>
          </w:cols>
          <w:pgMar w:left="240" w:top="355" w:right="259" w:bottom="1440" w:gutter="0" w:footer="0" w:header="0"/>
        </w:sectPr>
      </w:pPr>
    </w:p>
    <w:bookmarkStart w:id="189" w:name="page190"/>
    <w:bookmarkEnd w:id="189"/>
    <w:p>
      <w:pPr>
        <w:spacing w:after="0"/>
        <w:rPr>
          <w:rFonts w:ascii="Times New Roman" w:cs="Times New Roman" w:eastAsia="Times New Roman" w:hAnsi="Times New Roman"/>
          <w:sz w:val="22"/>
          <w:szCs w:val="22"/>
          <w:color w:val="0000EE"/>
        </w:rPr>
      </w:pPr>
      <w:hyperlink w:anchor="page19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120" w:firstLine="8"/>
        <w:spacing w:after="0" w:line="261" w:lineRule="auto"/>
        <w:tabs>
          <w:tab w:leader="none" w:pos="24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120" w:firstLine="8"/>
        <w:spacing w:after="0" w:line="261" w:lineRule="auto"/>
        <w:tabs>
          <w:tab w:leader="none" w:pos="24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120" w:firstLine="8"/>
        <w:spacing w:after="0" w:line="261" w:lineRule="auto"/>
        <w:tabs>
          <w:tab w:leader="none" w:pos="2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120" w:firstLine="8"/>
        <w:spacing w:after="0" w:line="261" w:lineRule="auto"/>
        <w:tabs>
          <w:tab w:leader="none" w:pos="24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A. Moran</w:t>
      </w:r>
    </w:p>
    <w:p>
      <w:pPr>
        <w:sectPr>
          <w:pgSz w:w="11900" w:h="16838" w:orient="portrait"/>
          <w:cols w:equalWidth="0" w:num="1">
            <w:col w:w="11380"/>
          </w:cols>
          <w:pgMar w:left="240" w:top="355"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August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0" w:gutter="0" w:footer="0" w:header="0"/>
          <w:type w:val="continuous"/>
        </w:sectPr>
      </w:pPr>
    </w:p>
    <w:bookmarkStart w:id="190" w:name="page191"/>
    <w:bookmarkEnd w:id="19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40" w:firstLine="8"/>
        <w:spacing w:after="0" w:line="261" w:lineRule="auto"/>
        <w:tabs>
          <w:tab w:leader="none" w:pos="24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40" w:firstLine="8"/>
        <w:spacing w:after="0" w:line="261" w:lineRule="auto"/>
        <w:tabs>
          <w:tab w:leader="none" w:pos="24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spacing w:after="0" w:line="1" w:lineRule="exact"/>
        <w:rPr>
          <w:sz w:val="20"/>
          <w:szCs w:val="20"/>
          <w:color w:val="auto"/>
        </w:rPr>
      </w:pPr>
    </w:p>
    <w:p>
      <w:pPr>
        <w:ind w:right="40" w:firstLine="8"/>
        <w:spacing w:after="0" w:line="261" w:lineRule="auto"/>
        <w:tabs>
          <w:tab w:leader="none" w:pos="24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8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Allan Zeman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Exhibit 23.3</w:t>
        </w:r>
      </w:hyperlink>
    </w:p>
    <w:sectPr>
      <w:pgSz w:w="11900" w:h="16838" w:orient="portrait"/>
      <w:cols w:equalWidth="0" w:num="1">
        <w:col w:w="11300"/>
      </w:cols>
      <w:pgMar w:left="240" w:top="1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3F37E85"/>
    <w:multiLevelType w:val="hybridMultilevel"/>
    <w:lvl w:ilvl="0">
      <w:lvlJc w:val="left"/>
      <w:lvlText w:val="(%1)"/>
      <w:numFmt w:val="decimal"/>
      <w:start w:val="1"/>
    </w:lvl>
  </w:abstractNum>
  <w:abstractNum w:abstractNumId="1">
    <w:nsid w:val="5895F5FA"/>
    <w:multiLevelType w:val="hybridMultilevel"/>
    <w:lvl w:ilvl="0">
      <w:lvlJc w:val="left"/>
      <w:lvlText w:val="•"/>
      <w:numFmt w:val="bullet"/>
      <w:start w:val="1"/>
    </w:lvl>
  </w:abstractNum>
  <w:abstractNum w:abstractNumId="2">
    <w:nsid w:val="38A5D054"/>
    <w:multiLevelType w:val="hybridMultilevel"/>
    <w:lvl w:ilvl="0">
      <w:lvlJc w:val="left"/>
      <w:lvlText w:val="•"/>
      <w:numFmt w:val="bullet"/>
      <w:start w:val="1"/>
    </w:lvl>
  </w:abstractNum>
  <w:abstractNum w:abstractNumId="3">
    <w:nsid w:val="F3F09D8"/>
    <w:multiLevelType w:val="hybridMultilevel"/>
    <w:lvl w:ilvl="0">
      <w:lvlJc w:val="left"/>
      <w:lvlText w:val="•"/>
      <w:numFmt w:val="bullet"/>
      <w:start w:val="1"/>
    </w:lvl>
  </w:abstractNum>
  <w:abstractNum w:abstractNumId="4">
    <w:nsid w:val="4B793735"/>
    <w:multiLevelType w:val="hybridMultilevel"/>
    <w:lvl w:ilvl="0">
      <w:lvlJc w:val="left"/>
      <w:lvlText w:val="•"/>
      <w:numFmt w:val="bullet"/>
      <w:start w:val="1"/>
    </w:lvl>
    <w:lvl w:ilvl="1">
      <w:lvlJc w:val="left"/>
      <w:lvlText w:val="•"/>
      <w:numFmt w:val="bullet"/>
      <w:start w:val="1"/>
    </w:lvl>
  </w:abstractNum>
  <w:abstractNum w:abstractNumId="5">
    <w:nsid w:val="4A10B4E8"/>
    <w:multiLevelType w:val="hybridMultilevel"/>
    <w:lvl w:ilvl="0">
      <w:lvlJc w:val="left"/>
      <w:lvlText w:val="•"/>
      <w:numFmt w:val="bullet"/>
      <w:start w:val="1"/>
    </w:lvl>
    <w:lvl w:ilvl="1">
      <w:lvlJc w:val="left"/>
      <w:lvlText w:val="•"/>
      <w:numFmt w:val="bullet"/>
      <w:start w:val="1"/>
    </w:lvl>
  </w:abstractNum>
  <w:abstractNum w:abstractNumId="6">
    <w:nsid w:val="43D3BCD4"/>
    <w:multiLevelType w:val="hybridMultilevel"/>
    <w:lvl w:ilvl="0">
      <w:lvlJc w:val="left"/>
      <w:lvlText w:val="•"/>
      <w:numFmt w:val="bullet"/>
      <w:start w:val="1"/>
    </w:lvl>
  </w:abstractNum>
  <w:abstractNum w:abstractNumId="7">
    <w:nsid w:val="4C2A7166"/>
    <w:multiLevelType w:val="hybridMultilevel"/>
    <w:lvl w:ilvl="0">
      <w:lvlJc w:val="left"/>
      <w:lvlText w:val="•"/>
      <w:numFmt w:val="bullet"/>
      <w:start w:val="1"/>
    </w:lvl>
  </w:abstractNum>
  <w:abstractNum w:abstractNumId="8">
    <w:nsid w:val="2E534A82"/>
    <w:multiLevelType w:val="hybridMultilevel"/>
    <w:lvl w:ilvl="0">
      <w:lvlJc w:val="left"/>
      <w:lvlText w:val="•"/>
      <w:numFmt w:val="bullet"/>
      <w:start w:val="1"/>
    </w:lvl>
  </w:abstractNum>
  <w:abstractNum w:abstractNumId="9">
    <w:nsid w:val="26F2D364"/>
    <w:multiLevelType w:val="hybridMultilevel"/>
    <w:lvl w:ilvl="0">
      <w:lvlJc w:val="left"/>
      <w:lvlText w:val="(%1)"/>
      <w:numFmt w:val="decimal"/>
      <w:start w:val="1"/>
    </w:lvl>
  </w:abstractNum>
  <w:abstractNum w:abstractNumId="10">
    <w:nsid w:val="71C1AF98"/>
    <w:multiLevelType w:val="hybridMultilevel"/>
    <w:lvl w:ilvl="0">
      <w:lvlJc w:val="left"/>
      <w:lvlText w:val="(%1)"/>
      <w:numFmt w:val="decimal"/>
      <w:start w:val="6"/>
    </w:lvl>
  </w:abstractNum>
  <w:abstractNum w:abstractNumId="11">
    <w:nsid w:val="3D00B9D9"/>
    <w:multiLevelType w:val="hybridMultilevel"/>
    <w:lvl w:ilvl="0">
      <w:lvlJc w:val="left"/>
      <w:lvlText w:val="•"/>
      <w:numFmt w:val="bullet"/>
      <w:start w:val="1"/>
    </w:lvl>
  </w:abstractNum>
  <w:abstractNum w:abstractNumId="12">
    <w:nsid w:val="15BCABA8"/>
    <w:multiLevelType w:val="hybridMultilevel"/>
    <w:lvl w:ilvl="0">
      <w:lvlJc w:val="left"/>
      <w:lvlText w:val="•"/>
      <w:numFmt w:val="bullet"/>
      <w:start w:val="1"/>
    </w:lvl>
  </w:abstractNum>
  <w:abstractNum w:abstractNumId="13">
    <w:nsid w:val="4E0B9A87"/>
    <w:multiLevelType w:val="hybridMultilevel"/>
    <w:lvl w:ilvl="0">
      <w:lvlJc w:val="left"/>
      <w:lvlText w:val="•"/>
      <w:numFmt w:val="bullet"/>
      <w:start w:val="1"/>
    </w:lvl>
  </w:abstractNum>
  <w:abstractNum w:abstractNumId="14">
    <w:nsid w:val="434BAE75"/>
    <w:multiLevelType w:val="hybridMultilevel"/>
    <w:lvl w:ilvl="0">
      <w:lvlJc w:val="left"/>
      <w:lvlText w:val="•"/>
      <w:numFmt w:val="bullet"/>
      <w:start w:val="1"/>
    </w:lvl>
  </w:abstractNum>
  <w:abstractNum w:abstractNumId="15">
    <w:nsid w:val="4F38F265"/>
    <w:multiLevelType w:val="hybridMultilevel"/>
    <w:lvl w:ilvl="0">
      <w:lvlJc w:val="left"/>
      <w:lvlText w:val="•"/>
      <w:numFmt w:val="bullet"/>
      <w:start w:val="1"/>
    </w:lvl>
  </w:abstractNum>
  <w:abstractNum w:abstractNumId="16">
    <w:nsid w:val="4C502870"/>
    <w:multiLevelType w:val="hybridMultilevel"/>
    <w:lvl w:ilvl="0">
      <w:lvlJc w:val="left"/>
      <w:lvlText w:val="•"/>
      <w:numFmt w:val="bullet"/>
      <w:start w:val="1"/>
    </w:lvl>
  </w:abstractNum>
  <w:abstractNum w:abstractNumId="17">
    <w:nsid w:val="1DE8725A"/>
    <w:multiLevelType w:val="hybridMultilevel"/>
    <w:lvl w:ilvl="0">
      <w:lvlJc w:val="left"/>
      <w:lvlText w:val="•"/>
      <w:numFmt w:val="bullet"/>
      <w:start w:val="1"/>
    </w:lvl>
  </w:abstractNum>
  <w:abstractNum w:abstractNumId="18">
    <w:nsid w:val="6A37288A"/>
    <w:multiLevelType w:val="hybridMultilevel"/>
    <w:lvl w:ilvl="0">
      <w:lvlJc w:val="left"/>
      <w:lvlText w:val="•"/>
      <w:numFmt w:val="bullet"/>
      <w:start w:val="1"/>
    </w:lvl>
  </w:abstractNum>
  <w:abstractNum w:abstractNumId="19">
    <w:nsid w:val="8F8B73F"/>
    <w:multiLevelType w:val="hybridMultilevel"/>
    <w:lvl w:ilvl="0">
      <w:lvlJc w:val="left"/>
      <w:lvlText w:val="•"/>
      <w:numFmt w:val="bullet"/>
      <w:start w:val="1"/>
    </w:lvl>
  </w:abstractNum>
  <w:abstractNum w:abstractNumId="20">
    <w:nsid w:val="CA6B462"/>
    <w:multiLevelType w:val="hybridMultilevel"/>
    <w:lvl w:ilvl="0">
      <w:lvlJc w:val="left"/>
      <w:lvlText w:val="•"/>
      <w:numFmt w:val="bullet"/>
      <w:start w:val="1"/>
    </w:lvl>
  </w:abstractNum>
  <w:abstractNum w:abstractNumId="21">
    <w:nsid w:val="763CB680"/>
    <w:multiLevelType w:val="hybridMultilevel"/>
    <w:lvl w:ilvl="0">
      <w:lvlJc w:val="left"/>
      <w:lvlText w:val="•"/>
      <w:numFmt w:val="bullet"/>
      <w:start w:val="1"/>
    </w:lvl>
  </w:abstractNum>
  <w:abstractNum w:abstractNumId="22">
    <w:nsid w:val="15B71329"/>
    <w:multiLevelType w:val="hybridMultilevel"/>
    <w:lvl w:ilvl="0">
      <w:lvlJc w:val="left"/>
      <w:lvlText w:val="•"/>
      <w:numFmt w:val="bullet"/>
      <w:start w:val="1"/>
    </w:lvl>
  </w:abstractNum>
  <w:abstractNum w:abstractNumId="23">
    <w:nsid w:val="3DA97044"/>
    <w:multiLevelType w:val="hybridMultilevel"/>
    <w:lvl w:ilvl="0">
      <w:lvlJc w:val="left"/>
      <w:lvlText w:val="•"/>
      <w:numFmt w:val="bullet"/>
      <w:start w:val="1"/>
    </w:lvl>
  </w:abstractNum>
  <w:abstractNum w:abstractNumId="24">
    <w:nsid w:val="1CDCE2DE"/>
    <w:multiLevelType w:val="hybridMultilevel"/>
    <w:lvl w:ilvl="0">
      <w:lvlJc w:val="left"/>
      <w:lvlText w:val="•"/>
      <w:numFmt w:val="bullet"/>
      <w:start w:val="1"/>
    </w:lvl>
  </w:abstractNum>
  <w:abstractNum w:abstractNumId="25">
    <w:nsid w:val="69D3947C"/>
    <w:multiLevelType w:val="hybridMultilevel"/>
    <w:lvl w:ilvl="0">
      <w:lvlJc w:val="left"/>
      <w:lvlText w:val="•"/>
      <w:numFmt w:val="bullet"/>
      <w:start w:val="1"/>
    </w:lvl>
  </w:abstractNum>
  <w:abstractNum w:abstractNumId="26">
    <w:nsid w:val="2539DFA5"/>
    <w:multiLevelType w:val="hybridMultilevel"/>
    <w:lvl w:ilvl="0">
      <w:lvlJc w:val="left"/>
      <w:lvlText w:val="•"/>
      <w:numFmt w:val="bullet"/>
      <w:start w:val="1"/>
    </w:lvl>
  </w:abstractNum>
  <w:abstractNum w:abstractNumId="27">
    <w:nsid w:val="2DB88089"/>
    <w:multiLevelType w:val="hybridMultilevel"/>
    <w:lvl w:ilvl="0">
      <w:lvlJc w:val="left"/>
      <w:lvlText w:val="•"/>
      <w:numFmt w:val="bullet"/>
      <w:start w:val="1"/>
    </w:lvl>
  </w:abstractNum>
  <w:abstractNum w:abstractNumId="28">
    <w:nsid w:val="706B674E"/>
    <w:multiLevelType w:val="hybridMultilevel"/>
    <w:lvl w:ilvl="0">
      <w:lvlJc w:val="left"/>
      <w:lvlText w:val="•"/>
      <w:numFmt w:val="bullet"/>
      <w:start w:val="1"/>
    </w:lvl>
    <w:lvl w:ilvl="1">
      <w:lvlJc w:val="left"/>
      <w:lvlText w:val="•"/>
      <w:numFmt w:val="bullet"/>
      <w:start w:val="1"/>
    </w:lvl>
  </w:abstractNum>
  <w:abstractNum w:abstractNumId="29">
    <w:nsid w:val="2C106A57"/>
    <w:multiLevelType w:val="hybridMultilevel"/>
    <w:lvl w:ilvl="0">
      <w:lvlJc w:val="left"/>
      <w:lvlText w:val="•"/>
      <w:numFmt w:val="bullet"/>
      <w:start w:val="1"/>
    </w:lvl>
  </w:abstractNum>
  <w:abstractNum w:abstractNumId="30">
    <w:nsid w:val="684EED59"/>
    <w:multiLevelType w:val="hybridMultilevel"/>
    <w:lvl w:ilvl="0">
      <w:lvlJc w:val="left"/>
      <w:lvlText w:val="•"/>
      <w:numFmt w:val="bullet"/>
      <w:start w:val="1"/>
    </w:lvl>
  </w:abstractNum>
  <w:abstractNum w:abstractNumId="31">
    <w:nsid w:val="545EE5D3"/>
    <w:multiLevelType w:val="hybridMultilevel"/>
    <w:lvl w:ilvl="0">
      <w:lvlJc w:val="left"/>
      <w:lvlText w:val="•"/>
      <w:numFmt w:val="bullet"/>
      <w:start w:val="1"/>
    </w:lvl>
  </w:abstractNum>
  <w:abstractNum w:abstractNumId="32">
    <w:nsid w:val="4A66051"/>
    <w:multiLevelType w:val="hybridMultilevel"/>
    <w:lvl w:ilvl="0">
      <w:lvlJc w:val="left"/>
      <w:lvlText w:val="•"/>
      <w:numFmt w:val="bullet"/>
      <w:start w:val="1"/>
    </w:lvl>
  </w:abstractNum>
  <w:abstractNum w:abstractNumId="33">
    <w:nsid w:val="20F4BDAD"/>
    <w:multiLevelType w:val="hybridMultilevel"/>
    <w:lvl w:ilvl="0">
      <w:lvlJc w:val="left"/>
      <w:lvlText w:val="•"/>
      <w:numFmt w:val="bullet"/>
      <w:start w:val="1"/>
    </w:lvl>
  </w:abstractNum>
  <w:abstractNum w:abstractNumId="34">
    <w:nsid w:val="639DEFAC"/>
    <w:multiLevelType w:val="hybridMultilevel"/>
    <w:lvl w:ilvl="0">
      <w:lvlJc w:val="left"/>
      <w:lvlText w:val="•"/>
      <w:numFmt w:val="bullet"/>
      <w:start w:val="1"/>
    </w:lvl>
  </w:abstractNum>
  <w:abstractNum w:abstractNumId="35">
    <w:nsid w:val="501F9786"/>
    <w:multiLevelType w:val="hybridMultilevel"/>
    <w:lvl w:ilvl="0">
      <w:lvlJc w:val="left"/>
      <w:lvlText w:val="•"/>
      <w:numFmt w:val="bullet"/>
      <w:start w:val="1"/>
    </w:lvl>
  </w:abstractNum>
  <w:abstractNum w:abstractNumId="36">
    <w:nsid w:val="6B057295"/>
    <w:multiLevelType w:val="hybridMultilevel"/>
    <w:lvl w:ilvl="0">
      <w:lvlJc w:val="left"/>
      <w:lvlText w:val="•"/>
      <w:numFmt w:val="bullet"/>
      <w:start w:val="1"/>
    </w:lvl>
  </w:abstractNum>
  <w:abstractNum w:abstractNumId="37">
    <w:nsid w:val="2771AC80"/>
    <w:multiLevelType w:val="hybridMultilevel"/>
    <w:lvl w:ilvl="0">
      <w:lvlJc w:val="left"/>
      <w:lvlText w:val="•"/>
      <w:numFmt w:val="bullet"/>
      <w:start w:val="1"/>
    </w:lvl>
  </w:abstractNum>
  <w:abstractNum w:abstractNumId="38">
    <w:nsid w:val="1C4A08EC"/>
    <w:multiLevelType w:val="hybridMultilevel"/>
    <w:lvl w:ilvl="0">
      <w:lvlJc w:val="left"/>
      <w:lvlText w:val="•"/>
      <w:numFmt w:val="bullet"/>
      <w:start w:val="1"/>
    </w:lvl>
  </w:abstractNum>
  <w:abstractNum w:abstractNumId="39">
    <w:nsid w:val="1958BD17"/>
    <w:multiLevelType w:val="hybridMultilevel"/>
    <w:lvl w:ilvl="0">
      <w:lvlJc w:val="left"/>
      <w:lvlText w:val="•"/>
      <w:numFmt w:val="bullet"/>
      <w:start w:val="1"/>
    </w:lvl>
  </w:abstractNum>
  <w:abstractNum w:abstractNumId="40">
    <w:nsid w:val="4E647FE4"/>
    <w:multiLevelType w:val="hybridMultilevel"/>
    <w:lvl w:ilvl="0">
      <w:lvlJc w:val="left"/>
      <w:lvlText w:val="•"/>
      <w:numFmt w:val="bullet"/>
      <w:start w:val="1"/>
    </w:lvl>
  </w:abstractNum>
  <w:abstractNum w:abstractNumId="41">
    <w:nsid w:val="E0BB885"/>
    <w:multiLevelType w:val="hybridMultilevel"/>
    <w:lvl w:ilvl="0">
      <w:lvlJc w:val="left"/>
      <w:lvlText w:val="•"/>
      <w:numFmt w:val="bullet"/>
      <w:start w:val="1"/>
    </w:lvl>
  </w:abstractNum>
  <w:abstractNum w:abstractNumId="42">
    <w:nsid w:val="565976F1"/>
    <w:multiLevelType w:val="hybridMultilevel"/>
    <w:lvl w:ilvl="0">
      <w:lvlJc w:val="left"/>
      <w:lvlText w:val="•"/>
      <w:numFmt w:val="bullet"/>
      <w:start w:val="1"/>
    </w:lvl>
  </w:abstractNum>
  <w:abstractNum w:abstractNumId="43">
    <w:nsid w:val="64212B8C"/>
    <w:multiLevelType w:val="hybridMultilevel"/>
    <w:lvl w:ilvl="0">
      <w:lvlJc w:val="left"/>
      <w:lvlText w:val="•"/>
      <w:numFmt w:val="bullet"/>
      <w:start w:val="1"/>
    </w:lvl>
  </w:abstractNum>
  <w:abstractNum w:abstractNumId="44">
    <w:nsid w:val="5C17530C"/>
    <w:multiLevelType w:val="hybridMultilevel"/>
    <w:lvl w:ilvl="0">
      <w:lvlJc w:val="left"/>
      <w:lvlText w:val="•"/>
      <w:numFmt w:val="bullet"/>
      <w:start w:val="1"/>
    </w:lvl>
    <w:lvl w:ilvl="1">
      <w:lvlJc w:val="left"/>
      <w:lvlText w:val="•"/>
      <w:numFmt w:val="bullet"/>
      <w:start w:val="1"/>
    </w:lvl>
  </w:abstractNum>
  <w:abstractNum w:abstractNumId="45">
    <w:nsid w:val="19A52566"/>
    <w:multiLevelType w:val="hybridMultilevel"/>
    <w:lvl w:ilvl="0">
      <w:lvlJc w:val="left"/>
      <w:lvlText w:val="•"/>
      <w:numFmt w:val="bullet"/>
      <w:start w:val="1"/>
    </w:lvl>
  </w:abstractNum>
  <w:abstractNum w:abstractNumId="46">
    <w:nsid w:val="335A1DF1"/>
    <w:multiLevelType w:val="hybridMultilevel"/>
    <w:lvl w:ilvl="0">
      <w:lvlJc w:val="left"/>
      <w:lvlText w:val="•"/>
      <w:numFmt w:val="bullet"/>
      <w:start w:val="1"/>
    </w:lvl>
  </w:abstractNum>
  <w:abstractNum w:abstractNumId="47">
    <w:nsid w:val="28677B7C"/>
    <w:multiLevelType w:val="hybridMultilevel"/>
    <w:lvl w:ilvl="0">
      <w:lvlJc w:val="left"/>
      <w:lvlText w:val="•"/>
      <w:numFmt w:val="bullet"/>
      <w:start w:val="1"/>
    </w:lvl>
  </w:abstractNum>
  <w:abstractNum w:abstractNumId="48">
    <w:nsid w:val="378D97C0"/>
    <w:multiLevelType w:val="hybridMultilevel"/>
    <w:lvl w:ilvl="0">
      <w:lvlJc w:val="left"/>
      <w:lvlText w:val="•"/>
      <w:numFmt w:val="bullet"/>
      <w:start w:val="1"/>
    </w:lvl>
  </w:abstractNum>
  <w:abstractNum w:abstractNumId="49">
    <w:nsid w:val="1D91467C"/>
    <w:multiLevelType w:val="hybridMultilevel"/>
    <w:lvl w:ilvl="0">
      <w:lvlJc w:val="left"/>
      <w:lvlText w:val="•"/>
      <w:numFmt w:val="bullet"/>
      <w:start w:val="1"/>
    </w:lvl>
  </w:abstractNum>
  <w:abstractNum w:abstractNumId="50">
    <w:nsid w:val="316032BB"/>
    <w:multiLevelType w:val="hybridMultilevel"/>
    <w:lvl w:ilvl="0">
      <w:lvlJc w:val="left"/>
      <w:lvlText w:val="•"/>
      <w:numFmt w:val="bullet"/>
      <w:start w:val="1"/>
    </w:lvl>
  </w:abstractNum>
  <w:abstractNum w:abstractNumId="51">
    <w:nsid w:val="44344C22"/>
    <w:multiLevelType w:val="hybridMultilevel"/>
    <w:lvl w:ilvl="0">
      <w:lvlJc w:val="left"/>
      <w:lvlText w:val="•"/>
      <w:numFmt w:val="bullet"/>
      <w:start w:val="1"/>
    </w:lvl>
  </w:abstractNum>
  <w:abstractNum w:abstractNumId="52">
    <w:nsid w:val="13CDFCFC"/>
    <w:multiLevelType w:val="hybridMultilevel"/>
    <w:lvl w:ilvl="0">
      <w:lvlJc w:val="left"/>
      <w:lvlText w:val="(%1)"/>
      <w:numFmt w:val="decimal"/>
      <w:start w:val="1"/>
    </w:lvl>
  </w:abstractNum>
  <w:abstractNum w:abstractNumId="53">
    <w:nsid w:val="471745E4"/>
    <w:multiLevelType w:val="hybridMultilevel"/>
    <w:lvl w:ilvl="0">
      <w:lvlJc w:val="left"/>
      <w:lvlText w:val="(%1)"/>
      <w:numFmt w:val="decimal"/>
      <w:start w:val="1"/>
    </w:lvl>
  </w:abstractNum>
  <w:abstractNum w:abstractNumId="54">
    <w:nsid w:val="1DDBC66"/>
    <w:multiLevelType w:val="hybridMultilevel"/>
    <w:lvl w:ilvl="0">
      <w:lvlJc w:val="left"/>
      <w:lvlText w:val="(%1)"/>
      <w:numFmt w:val="decimal"/>
      <w:start w:val="3"/>
    </w:lvl>
  </w:abstractNum>
  <w:abstractNum w:abstractNumId="55">
    <w:nsid w:val="30AADFDA"/>
    <w:multiLevelType w:val="hybridMultilevel"/>
    <w:lvl w:ilvl="0">
      <w:lvlJc w:val="left"/>
      <w:lvlText w:val="•"/>
      <w:numFmt w:val="bullet"/>
      <w:start w:val="1"/>
    </w:lvl>
  </w:abstractNum>
  <w:abstractNum w:abstractNumId="56">
    <w:nsid w:val="30EADA61"/>
    <w:multiLevelType w:val="hybridMultilevel"/>
    <w:lvl w:ilvl="0">
      <w:lvlJc w:val="left"/>
      <w:lvlText w:val="(%1)"/>
      <w:numFmt w:val="decimal"/>
      <w:start w:val="1"/>
    </w:lvl>
  </w:abstractNum>
  <w:abstractNum w:abstractNumId="57">
    <w:nsid w:val="27179C0B"/>
    <w:multiLevelType w:val="hybridMultilevel"/>
    <w:lvl w:ilvl="0">
      <w:lvlJc w:val="left"/>
      <w:lvlText w:val="(%1)"/>
      <w:numFmt w:val="decimal"/>
      <w:start w:val="1"/>
    </w:lvl>
  </w:abstractNum>
  <w:abstractNum w:abstractNumId="58">
    <w:nsid w:val="5E636063"/>
    <w:multiLevelType w:val="hybridMultilevel"/>
    <w:lvl w:ilvl="0">
      <w:lvlJc w:val="left"/>
      <w:lvlText w:val="•"/>
      <w:numFmt w:val="bullet"/>
      <w:start w:val="1"/>
    </w:lvl>
  </w:abstractNum>
  <w:abstractNum w:abstractNumId="59">
    <w:nsid w:val="215641AF"/>
    <w:multiLevelType w:val="hybridMultilevel"/>
    <w:lvl w:ilvl="0">
      <w:lvlJc w:val="left"/>
      <w:lvlText w:val="•"/>
      <w:numFmt w:val="bullet"/>
      <w:start w:val="1"/>
    </w:lvl>
  </w:abstractNum>
  <w:abstractNum w:abstractNumId="60">
    <w:nsid w:val="53280662"/>
    <w:multiLevelType w:val="hybridMultilevel"/>
    <w:lvl w:ilvl="0">
      <w:lvlJc w:val="left"/>
      <w:lvlText w:val="•"/>
      <w:numFmt w:val="bullet"/>
      <w:start w:val="1"/>
    </w:lvl>
  </w:abstractNum>
  <w:abstractNum w:abstractNumId="61">
    <w:nsid w:val="46B24DBC"/>
    <w:multiLevelType w:val="hybridMultilevel"/>
    <w:lvl w:ilvl="0">
      <w:lvlJc w:val="left"/>
      <w:lvlText w:val="(%1)"/>
      <w:numFmt w:val="decimal"/>
      <w:start w:val="1"/>
    </w:lvl>
  </w:abstractNum>
  <w:abstractNum w:abstractNumId="62">
    <w:nsid w:val="75B52783"/>
    <w:multiLevelType w:val="hybridMultilevel"/>
    <w:lvl w:ilvl="0">
      <w:lvlJc w:val="left"/>
      <w:lvlText w:val="•"/>
      <w:numFmt w:val="bullet"/>
      <w:start w:val="1"/>
    </w:lvl>
  </w:abstractNum>
  <w:abstractNum w:abstractNumId="63">
    <w:nsid w:val="57CE66B4"/>
    <w:multiLevelType w:val="hybridMultilevel"/>
    <w:lvl w:ilvl="0">
      <w:lvlJc w:val="left"/>
      <w:lvlText w:val="(%1)"/>
      <w:numFmt w:val="decimal"/>
      <w:start w:val="1"/>
    </w:lvl>
  </w:abstractNum>
  <w:abstractNum w:abstractNumId="64">
    <w:nsid w:val="67A70B69"/>
    <w:multiLevelType w:val="hybridMultilevel"/>
    <w:lvl w:ilvl="0">
      <w:lvlJc w:val="left"/>
      <w:lvlText w:val="(%1)"/>
      <w:numFmt w:val="decimal"/>
      <w:start w:val="2"/>
    </w:lvl>
  </w:abstractNum>
  <w:abstractNum w:abstractNumId="65">
    <w:nsid w:val="5953172F"/>
    <w:multiLevelType w:val="hybridMultilevel"/>
    <w:lvl w:ilvl="0">
      <w:lvlJc w:val="left"/>
      <w:lvlText w:val="•"/>
      <w:numFmt w:val="bullet"/>
      <w:start w:val="1"/>
    </w:lvl>
  </w:abstractNum>
  <w:abstractNum w:abstractNumId="66">
    <w:nsid w:val="27EDFE3A"/>
    <w:multiLevelType w:val="hybridMultilevel"/>
    <w:lvl w:ilvl="0">
      <w:lvlJc w:val="left"/>
      <w:lvlText w:val="(%1)"/>
      <w:numFmt w:val="decimal"/>
      <w:start w:val="1"/>
    </w:lvl>
  </w:abstractNum>
  <w:abstractNum w:abstractNumId="67">
    <w:nsid w:val="52AC7DFF"/>
    <w:multiLevelType w:val="hybridMultilevel"/>
    <w:lvl w:ilvl="0">
      <w:lvlJc w:val="left"/>
      <w:lvlText w:val="(%1)"/>
      <w:numFmt w:val="decimal"/>
      <w:start w:val="8"/>
    </w:lvl>
  </w:abstractNum>
  <w:abstractNum w:abstractNumId="68">
    <w:nsid w:val="C4C3AF"/>
    <w:multiLevelType w:val="hybridMultilevel"/>
    <w:lvl w:ilvl="0">
      <w:lvlJc w:val="left"/>
      <w:lvlText w:val="•"/>
      <w:numFmt w:val="bullet"/>
      <w:start w:val="1"/>
    </w:lvl>
  </w:abstractNum>
  <w:abstractNum w:abstractNumId="69">
    <w:nsid w:val="44380727"/>
    <w:multiLevelType w:val="hybridMultilevel"/>
    <w:lvl w:ilvl="0">
      <w:lvlJc w:val="left"/>
      <w:lvlText w:val="•"/>
      <w:numFmt w:val="bullet"/>
      <w:start w:val="1"/>
    </w:lvl>
  </w:abstractNum>
  <w:abstractNum w:abstractNumId="70">
    <w:nsid w:val="6C053B16"/>
    <w:multiLevelType w:val="hybridMultilevel"/>
    <w:lvl w:ilvl="0">
      <w:lvlJc w:val="left"/>
      <w:lvlText w:val="•"/>
      <w:numFmt w:val="bullet"/>
      <w:start w:val="1"/>
    </w:lvl>
  </w:abstractNum>
  <w:abstractNum w:abstractNumId="71">
    <w:nsid w:val="4F294393"/>
    <w:multiLevelType w:val="hybridMultilevel"/>
    <w:lvl w:ilvl="0">
      <w:lvlJc w:val="left"/>
      <w:lvlText w:val="•"/>
      <w:numFmt w:val="bullet"/>
      <w:start w:val="1"/>
    </w:lvl>
  </w:abstractNum>
  <w:abstractNum w:abstractNumId="72">
    <w:nsid w:val="5243BFAC"/>
    <w:multiLevelType w:val="hybridMultilevel"/>
    <w:lvl w:ilvl="0">
      <w:lvlJc w:val="left"/>
      <w:lvlText w:val="•"/>
      <w:numFmt w:val="bullet"/>
      <w:start w:val="1"/>
    </w:lvl>
  </w:abstractNum>
  <w:abstractNum w:abstractNumId="73">
    <w:nsid w:val="425EB207"/>
    <w:multiLevelType w:val="hybridMultilevel"/>
    <w:lvl w:ilvl="0">
      <w:lvlJc w:val="left"/>
      <w:lvlText w:val="•"/>
      <w:numFmt w:val="bullet"/>
      <w:start w:val="1"/>
    </w:lvl>
  </w:abstractNum>
  <w:abstractNum w:abstractNumId="74">
    <w:nsid w:val="334A6F1F"/>
    <w:multiLevelType w:val="hybridMultilevel"/>
    <w:lvl w:ilvl="0">
      <w:lvlJc w:val="left"/>
      <w:lvlText w:val="•"/>
      <w:numFmt w:val="bullet"/>
      <w:start w:val="1"/>
    </w:lvl>
  </w:abstractNum>
  <w:abstractNum w:abstractNumId="75">
    <w:nsid w:val="2E5B12B8"/>
    <w:multiLevelType w:val="hybridMultilevel"/>
    <w:lvl w:ilvl="0">
      <w:lvlJc w:val="left"/>
      <w:lvlText w:val="•"/>
      <w:numFmt w:val="bullet"/>
      <w:start w:val="1"/>
    </w:lvl>
  </w:abstractNum>
  <w:abstractNum w:abstractNumId="76">
    <w:nsid w:val="5C03D76D"/>
    <w:multiLevelType w:val="hybridMultilevel"/>
    <w:lvl w:ilvl="0">
      <w:lvlJc w:val="left"/>
      <w:lvlText w:val="•"/>
      <w:numFmt w:val="bullet"/>
      <w:start w:val="1"/>
    </w:lvl>
  </w:abstractNum>
  <w:abstractNum w:abstractNumId="77">
    <w:nsid w:val="66A48D11"/>
    <w:multiLevelType w:val="hybridMultilevel"/>
    <w:lvl w:ilvl="0">
      <w:lvlJc w:val="left"/>
      <w:lvlText w:val="(%1)"/>
      <w:numFmt w:val="decimal"/>
      <w:start w:val="1"/>
    </w:lvl>
  </w:abstractNum>
  <w:abstractNum w:abstractNumId="78">
    <w:nsid w:val="56C28E34"/>
    <w:multiLevelType w:val="hybridMultilevel"/>
    <w:lvl w:ilvl="0">
      <w:lvlJc w:val="left"/>
      <w:lvlText w:val="•"/>
      <w:numFmt w:val="bullet"/>
      <w:start w:val="1"/>
    </w:lvl>
  </w:abstractNum>
  <w:abstractNum w:abstractNumId="79">
    <w:nsid w:val="13916F2D"/>
    <w:multiLevelType w:val="hybridMultilevel"/>
    <w:lvl w:ilvl="0">
      <w:lvlJc w:val="left"/>
      <w:lvlText w:val="•"/>
      <w:numFmt w:val="bullet"/>
      <w:start w:val="1"/>
    </w:lvl>
  </w:abstractNum>
  <w:abstractNum w:abstractNumId="80">
    <w:nsid w:val="435D38D"/>
    <w:multiLevelType w:val="hybridMultilevel"/>
    <w:lvl w:ilvl="0">
      <w:lvlJc w:val="left"/>
      <w:lvlText w:val="•"/>
      <w:numFmt w:val="bullet"/>
      <w:start w:val="1"/>
    </w:lvl>
  </w:abstractNum>
  <w:abstractNum w:abstractNumId="81">
    <w:nsid w:val="822C0EF"/>
    <w:multiLevelType w:val="hybridMultilevel"/>
    <w:lvl w:ilvl="0">
      <w:lvlJc w:val="left"/>
      <w:lvlText w:val="•"/>
      <w:numFmt w:val="bullet"/>
      <w:start w:val="1"/>
    </w:lvl>
  </w:abstractNum>
  <w:abstractNum w:abstractNumId="82">
    <w:nsid w:val="57C5BB4F"/>
    <w:multiLevelType w:val="hybridMultilevel"/>
    <w:lvl w:ilvl="0">
      <w:lvlJc w:val="left"/>
      <w:lvlText w:val="•"/>
      <w:numFmt w:val="bullet"/>
      <w:start w:val="1"/>
    </w:lvl>
  </w:abstractNum>
  <w:abstractNum w:abstractNumId="83">
    <w:nsid w:val="1803D089"/>
    <w:multiLevelType w:val="hybridMultilevel"/>
    <w:lvl w:ilvl="0">
      <w:lvlJc w:val="left"/>
      <w:lvlText w:val="•"/>
      <w:numFmt w:val="bullet"/>
      <w:start w:val="1"/>
    </w:lvl>
  </w:abstractNum>
  <w:abstractNum w:abstractNumId="84">
    <w:nsid w:val="4F3A06D4"/>
    <w:multiLevelType w:val="hybridMultilevel"/>
    <w:lvl w:ilvl="0">
      <w:lvlJc w:val="left"/>
      <w:lvlText w:val="•"/>
      <w:numFmt w:val="bullet"/>
      <w:start w:val="1"/>
    </w:lvl>
  </w:abstractNum>
  <w:abstractNum w:abstractNumId="85">
    <w:nsid w:val="59A377B6"/>
    <w:multiLevelType w:val="hybridMultilevel"/>
    <w:lvl w:ilvl="0">
      <w:lvlJc w:val="left"/>
      <w:lvlText w:val="•"/>
      <w:numFmt w:val="bullet"/>
      <w:start w:val="1"/>
    </w:lvl>
  </w:abstractNum>
  <w:abstractNum w:abstractNumId="86">
    <w:nsid w:val="48AEB063"/>
    <w:multiLevelType w:val="hybridMultilevel"/>
    <w:lvl w:ilvl="0">
      <w:lvlJc w:val="left"/>
      <w:lvlText w:val="•"/>
      <w:numFmt w:val="bullet"/>
      <w:start w:val="1"/>
    </w:lvl>
  </w:abstractNum>
  <w:abstractNum w:abstractNumId="87">
    <w:nsid w:val="24E135"/>
    <w:multiLevelType w:val="hybridMultilevel"/>
    <w:lvl w:ilvl="0">
      <w:lvlJc w:val="left"/>
      <w:lvlText w:val="•"/>
      <w:numFmt w:val="bullet"/>
      <w:start w:val="1"/>
    </w:lvl>
  </w:abstractNum>
  <w:abstractNum w:abstractNumId="88">
    <w:nsid w:val="BB13C1"/>
    <w:multiLevelType w:val="hybridMultilevel"/>
    <w:lvl w:ilvl="0">
      <w:lvlJc w:val="left"/>
      <w:lvlText w:val="•"/>
      <w:numFmt w:val="bullet"/>
      <w:start w:val="1"/>
    </w:lvl>
  </w:abstractNum>
  <w:abstractNum w:abstractNumId="89">
    <w:nsid w:val="271210C7"/>
    <w:multiLevelType w:val="hybridMultilevel"/>
    <w:lvl w:ilvl="0">
      <w:lvlJc w:val="left"/>
      <w:lvlText w:val="•"/>
      <w:numFmt w:val="bullet"/>
      <w:start w:val="1"/>
    </w:lvl>
  </w:abstractNum>
  <w:abstractNum w:abstractNumId="90">
    <w:nsid w:val="217B22E4"/>
    <w:multiLevelType w:val="hybridMultilevel"/>
    <w:lvl w:ilvl="0">
      <w:lvlJc w:val="left"/>
      <w:lvlText w:val="•"/>
      <w:numFmt w:val="bullet"/>
      <w:start w:val="1"/>
    </w:lvl>
  </w:abstractNum>
  <w:abstractNum w:abstractNumId="91">
    <w:nsid w:val="53E31A24"/>
    <w:multiLevelType w:val="hybridMultilevel"/>
    <w:lvl w:ilvl="0">
      <w:lvlJc w:val="left"/>
      <w:lvlText w:val="•"/>
      <w:numFmt w:val="bullet"/>
      <w:start w:val="1"/>
    </w:lvl>
  </w:abstractNum>
  <w:abstractNum w:abstractNumId="92">
    <w:nsid w:val="6DC45E83"/>
    <w:multiLevelType w:val="hybridMultilevel"/>
    <w:lvl w:ilvl="0">
      <w:lvlJc w:val="left"/>
      <w:lvlText w:val="•"/>
      <w:numFmt w:val="bullet"/>
      <w:start w:val="1"/>
    </w:lvl>
  </w:abstractNum>
  <w:abstractNum w:abstractNumId="93">
    <w:nsid w:val="17304A67"/>
    <w:multiLevelType w:val="hybridMultilevel"/>
    <w:lvl w:ilvl="0">
      <w:lvlJc w:val="left"/>
      <w:lvlText w:val="•"/>
      <w:numFmt w:val="bullet"/>
      <w:start w:val="1"/>
    </w:lvl>
  </w:abstractNum>
  <w:abstractNum w:abstractNumId="94">
    <w:nsid w:val="2BB180D8"/>
    <w:multiLevelType w:val="hybridMultilevel"/>
    <w:lvl w:ilvl="0">
      <w:lvlJc w:val="left"/>
      <w:lvlText w:val="•"/>
      <w:numFmt w:val="bullet"/>
      <w:start w:val="1"/>
    </w:lvl>
  </w:abstractNum>
  <w:abstractNum w:abstractNumId="95">
    <w:nsid w:val="556B69ED"/>
    <w:multiLevelType w:val="hybridMultilevel"/>
    <w:lvl w:ilvl="0">
      <w:lvlJc w:val="left"/>
      <w:lvlText w:val="•"/>
      <w:numFmt w:val="bullet"/>
      <w:start w:val="1"/>
    </w:lvl>
  </w:abstractNum>
  <w:abstractNum w:abstractNumId="96">
    <w:nsid w:val="70836196"/>
    <w:multiLevelType w:val="hybridMultilevel"/>
    <w:lvl w:ilvl="0">
      <w:lvlJc w:val="left"/>
      <w:lvlText w:val="•"/>
      <w:numFmt w:val="bullet"/>
      <w:start w:val="1"/>
    </w:lvl>
  </w:abstractNum>
  <w:abstractNum w:abstractNumId="97">
    <w:nsid w:val="539F7F12"/>
    <w:multiLevelType w:val="hybridMultilevel"/>
    <w:lvl w:ilvl="0">
      <w:lvlJc w:val="left"/>
      <w:lvlText w:val="•"/>
      <w:numFmt w:val="bullet"/>
      <w:start w:val="1"/>
    </w:lvl>
  </w:abstractNum>
  <w:abstractNum w:abstractNumId="98">
    <w:nsid w:val="2817E7EC"/>
    <w:multiLevelType w:val="hybridMultilevel"/>
    <w:lvl w:ilvl="0">
      <w:lvlJc w:val="left"/>
      <w:lvlText w:val="•"/>
      <w:numFmt w:val="bullet"/>
      <w:start w:val="1"/>
    </w:lvl>
  </w:abstractNum>
  <w:abstractNum w:abstractNumId="99">
    <w:nsid w:val="71482545"/>
    <w:multiLevelType w:val="hybridMultilevel"/>
    <w:lvl w:ilvl="0">
      <w:lvlJc w:val="left"/>
      <w:lvlText w:val="•"/>
      <w:numFmt w:val="bullet"/>
      <w:start w:val="1"/>
    </w:lvl>
  </w:abstractNum>
  <w:abstractNum w:abstractNumId="100">
    <w:nsid w:val="17D78639"/>
    <w:multiLevelType w:val="hybridMultilevel"/>
    <w:lvl w:ilvl="0">
      <w:lvlJc w:val="left"/>
      <w:lvlText w:val="•"/>
      <w:numFmt w:val="bullet"/>
      <w:start w:val="1"/>
    </w:lvl>
  </w:abstractNum>
  <w:abstractNum w:abstractNumId="101">
    <w:nsid w:val="141D2302"/>
    <w:multiLevelType w:val="hybridMultilevel"/>
    <w:lvl w:ilvl="0">
      <w:lvlJc w:val="left"/>
      <w:lvlText w:val="•"/>
      <w:numFmt w:val="bullet"/>
      <w:start w:val="1"/>
    </w:lvl>
  </w:abstractNum>
  <w:abstractNum w:abstractNumId="102">
    <w:nsid w:val="407168D8"/>
    <w:multiLevelType w:val="hybridMultilevel"/>
    <w:lvl w:ilvl="0">
      <w:lvlJc w:val="left"/>
      <w:lvlText w:val="•"/>
      <w:numFmt w:val="bullet"/>
      <w:start w:val="1"/>
    </w:lvl>
  </w:abstractNum>
  <w:abstractNum w:abstractNumId="103">
    <w:nsid w:val="6A1B45E5"/>
    <w:multiLevelType w:val="hybridMultilevel"/>
    <w:lvl w:ilvl="0">
      <w:lvlJc w:val="left"/>
      <w:lvlText w:val="(%1)"/>
      <w:numFmt w:val="decimal"/>
      <w:start w:val="1"/>
    </w:lvl>
  </w:abstractNum>
  <w:abstractNum w:abstractNumId="104">
    <w:nsid w:val="567BD50A"/>
    <w:multiLevelType w:val="hybridMultilevel"/>
    <w:lvl w:ilvl="0">
      <w:lvlJc w:val="left"/>
      <w:lvlText w:val="(%1)"/>
      <w:numFmt w:val="decimal"/>
      <w:start w:val="1"/>
    </w:lvl>
  </w:abstractNum>
  <w:abstractNum w:abstractNumId="105">
    <w:nsid w:val="73BBD7F8"/>
    <w:multiLevelType w:val="hybridMultilevel"/>
    <w:lvl w:ilvl="0">
      <w:lvlJc w:val="left"/>
      <w:lvlText w:val="•"/>
      <w:numFmt w:val="bullet"/>
      <w:start w:val="1"/>
    </w:lvl>
  </w:abstractNum>
  <w:abstractNum w:abstractNumId="106">
    <w:nsid w:val="1876589D"/>
    <w:multiLevelType w:val="hybridMultilevel"/>
    <w:lvl w:ilvl="0">
      <w:lvlJc w:val="left"/>
      <w:lvlText w:val="•"/>
      <w:numFmt w:val="bullet"/>
      <w:start w:val="1"/>
    </w:lvl>
  </w:abstractNum>
  <w:abstractNum w:abstractNumId="107">
    <w:nsid w:val="327FAC77"/>
    <w:multiLevelType w:val="hybridMultilevel"/>
    <w:lvl w:ilvl="0">
      <w:lvlJc w:val="left"/>
      <w:lvlText w:val="•"/>
      <w:numFmt w:val="bullet"/>
      <w:start w:val="1"/>
    </w:lvl>
  </w:abstractNum>
  <w:abstractNum w:abstractNumId="108">
    <w:nsid w:val="5A606509"/>
    <w:multiLevelType w:val="hybridMultilevel"/>
    <w:lvl w:ilvl="0">
      <w:lvlJc w:val="left"/>
      <w:lvlText w:val="(%1)"/>
      <w:numFmt w:val="decimal"/>
      <w:start w:val="1"/>
    </w:lvl>
  </w:abstractNum>
  <w:abstractNum w:abstractNumId="109">
    <w:nsid w:val="6F38E6D1"/>
    <w:multiLevelType w:val="hybridMultilevel"/>
    <w:lvl w:ilvl="0">
      <w:lvlJc w:val="left"/>
      <w:lvlText w:val="(%1)"/>
      <w:numFmt w:val="decimal"/>
      <w:start w:val="3"/>
    </w:lvl>
  </w:abstractNum>
  <w:abstractNum w:abstractNumId="110">
    <w:nsid w:val="46111BA5"/>
    <w:multiLevelType w:val="hybridMultilevel"/>
    <w:lvl w:ilvl="0">
      <w:lvlJc w:val="left"/>
      <w:lvlText w:val="•"/>
      <w:numFmt w:val="bullet"/>
      <w:start w:val="1"/>
    </w:lvl>
  </w:abstractNum>
  <w:abstractNum w:abstractNumId="111">
    <w:nsid w:val="5E963896"/>
    <w:multiLevelType w:val="hybridMultilevel"/>
    <w:lvl w:ilvl="0">
      <w:lvlJc w:val="left"/>
      <w:lvlText w:val="•"/>
      <w:numFmt w:val="bullet"/>
      <w:start w:val="1"/>
    </w:lvl>
  </w:abstractNum>
  <w:abstractNum w:abstractNumId="112">
    <w:nsid w:val="775BA7C1"/>
    <w:multiLevelType w:val="hybridMultilevel"/>
    <w:lvl w:ilvl="0">
      <w:lvlJc w:val="left"/>
      <w:lvlText w:val="•"/>
      <w:numFmt w:val="bullet"/>
      <w:start w:val="1"/>
    </w:lvl>
  </w:abstractNum>
  <w:abstractNum w:abstractNumId="113">
    <w:nsid w:val="1DD6D6F4"/>
    <w:multiLevelType w:val="hybridMultilevel"/>
    <w:lvl w:ilvl="0">
      <w:lvlJc w:val="left"/>
      <w:lvlText w:val="•"/>
      <w:numFmt w:val="bullet"/>
      <w:start w:val="1"/>
    </w:lvl>
  </w:abstractNum>
  <w:abstractNum w:abstractNumId="114">
    <w:nsid w:val="769A091F"/>
    <w:multiLevelType w:val="hybridMultilevel"/>
    <w:lvl w:ilvl="0">
      <w:lvlJc w:val="left"/>
      <w:lvlText w:val="•"/>
      <w:numFmt w:val="bullet"/>
      <w:start w:val="1"/>
    </w:lvl>
  </w:abstractNum>
  <w:abstractNum w:abstractNumId="115">
    <w:nsid w:val="4695AE95"/>
    <w:multiLevelType w:val="hybridMultilevel"/>
    <w:lvl w:ilvl="0">
      <w:lvlJc w:val="left"/>
      <w:lvlText w:val="•"/>
      <w:numFmt w:val="bullet"/>
      <w:start w:val="1"/>
    </w:lvl>
  </w:abstractNum>
  <w:abstractNum w:abstractNumId="116">
    <w:nsid w:val="777A4EAA"/>
    <w:multiLevelType w:val="hybridMultilevel"/>
    <w:lvl w:ilvl="0">
      <w:lvlJc w:val="left"/>
      <w:lvlText w:val="(%1)"/>
      <w:numFmt w:val="decimal"/>
      <w:start w:val="1"/>
    </w:lvl>
  </w:abstractNum>
  <w:abstractNum w:abstractNumId="117">
    <w:nsid w:val="3F48B982"/>
    <w:multiLevelType w:val="hybridMultilevel"/>
    <w:lvl w:ilvl="0">
      <w:lvlJc w:val="left"/>
      <w:lvlText w:val="(%1)"/>
      <w:numFmt w:val="decimal"/>
      <w:start w:val="2"/>
    </w:lvl>
  </w:abstractNum>
  <w:abstractNum w:abstractNumId="118">
    <w:nsid w:val="46BA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
    <w:nsid w:val="7835626C"/>
    <w:multiLevelType w:val="hybridMultilevel"/>
    <w:lvl w:ilvl="0">
      <w:lvlJc w:val="left"/>
      <w:lvlText w:val="(%1)"/>
      <w:numFmt w:val="decimal"/>
      <w:start w:val="1"/>
    </w:lvl>
  </w:abstractNum>
  <w:abstractNum w:abstractNumId="120">
    <w:nsid w:val="665ACA49"/>
    <w:multiLevelType w:val="hybridMultilevel"/>
    <w:lvl w:ilvl="0">
      <w:lvlJc w:val="left"/>
      <w:lvlText w:val="(%1)"/>
      <w:numFmt w:val="decimal"/>
      <w:start w:val="1"/>
    </w:lvl>
  </w:abstractNum>
  <w:abstractNum w:abstractNumId="121">
    <w:nsid w:val="6835B2AE"/>
    <w:multiLevelType w:val="hybridMultilevel"/>
    <w:lvl w:ilvl="0">
      <w:lvlJc w:val="left"/>
      <w:lvlText w:val="(%1)"/>
      <w:numFmt w:val="decimal"/>
      <w:start w:val="2"/>
    </w:lvl>
  </w:abstractNum>
  <w:abstractNum w:abstractNumId="122">
    <w:nsid w:val="4C187C90"/>
    <w:multiLevelType w:val="hybridMultilevel"/>
    <w:lvl w:ilvl="0">
      <w:lvlJc w:val="left"/>
      <w:lvlText w:val="•"/>
      <w:numFmt w:val="bullet"/>
      <w:start w:val="1"/>
    </w:lvl>
  </w:abstractNum>
  <w:abstractNum w:abstractNumId="123">
    <w:nsid w:val="541F28CD"/>
    <w:multiLevelType w:val="hybridMultilevel"/>
    <w:lvl w:ilvl="0">
      <w:lvlJc w:val="left"/>
      <w:lvlText w:val="•"/>
      <w:numFmt w:val="bullet"/>
      <w:start w:val="1"/>
    </w:lvl>
  </w:abstractNum>
  <w:abstractNum w:abstractNumId="124">
    <w:nsid w:val="7F65FD16"/>
    <w:multiLevelType w:val="hybridMultilevel"/>
    <w:lvl w:ilvl="0">
      <w:lvlJc w:val="left"/>
      <w:lvlText w:val="(%1)"/>
      <w:numFmt w:val="lowerLetter"/>
      <w:start w:val="1"/>
    </w:lvl>
    <w:lvl w:ilvl="1">
      <w:lvlJc w:val="left"/>
      <w:lvlText w:val="(%2)"/>
      <w:numFmt w:val="lowerRoman"/>
      <w:start w:val="1"/>
    </w:lvl>
  </w:abstractNum>
  <w:abstractNum w:abstractNumId="125">
    <w:nsid w:val="77C9FD68"/>
    <w:multiLevelType w:val="hybridMultilevel"/>
    <w:lvl w:ilvl="0">
      <w:lvlJc w:val="left"/>
      <w:lvlText w:val="(%1)"/>
      <w:numFmt w:val="lowerLetter"/>
      <w:start w:val="1"/>
    </w:lvl>
  </w:abstractNum>
  <w:abstractNum w:abstractNumId="126">
    <w:nsid w:val="298A92BA"/>
    <w:multiLevelType w:val="hybridMultilevel"/>
    <w:lvl w:ilvl="0">
      <w:lvlJc w:val="left"/>
      <w:lvlText w:val="(%1)"/>
      <w:numFmt w:val="lowerLetter"/>
      <w:start w:val="6"/>
    </w:lvl>
  </w:abstractNum>
  <w:abstractNum w:abstractNumId="127">
    <w:nsid w:val="6FE95EAC"/>
    <w:multiLevelType w:val="hybridMultilevel"/>
    <w:lvl w:ilvl="0">
      <w:lvlJc w:val="left"/>
      <w:lvlText w:val="(%1)"/>
      <w:numFmt w:val="decimal"/>
      <w:start w:val="1"/>
    </w:lvl>
  </w:abstractNum>
  <w:abstractNum w:abstractNumId="128">
    <w:nsid w:val="4B697C7A"/>
    <w:multiLevelType w:val="hybridMultilevel"/>
    <w:lvl w:ilvl="0">
      <w:lvlJc w:val="left"/>
      <w:lvlText w:val="(%1)"/>
      <w:numFmt w:val="decimal"/>
      <w:start w:val="1"/>
    </w:lvl>
  </w:abstractNum>
  <w:abstractNum w:abstractNumId="129">
    <w:nsid w:val="51A27AA6"/>
    <w:multiLevelType w:val="hybridMultilevel"/>
    <w:lvl w:ilvl="0">
      <w:lvlJc w:val="left"/>
      <w:lvlText w:val="(%1)"/>
      <w:numFmt w:val="lowerLetter"/>
      <w:start w:val="1"/>
    </w:lvl>
  </w:abstractNum>
  <w:abstractNum w:abstractNumId="130">
    <w:nsid w:val="613183F2"/>
    <w:multiLevelType w:val="hybridMultilevel"/>
    <w:lvl w:ilvl="0">
      <w:lvlJc w:val="left"/>
      <w:lvlText w:val="(%1)"/>
      <w:numFmt w:val="lowerLetter"/>
      <w:start w:val="1"/>
    </w:lvl>
  </w:abstractNum>
  <w:abstractNum w:abstractNumId="131">
    <w:nsid w:val="634102B4"/>
    <w:multiLevelType w:val="hybridMultilevel"/>
    <w:lvl w:ilvl="0">
      <w:lvlJc w:val="left"/>
      <w:lvlText w:val="(%1)"/>
      <w:numFmt w:val="decimal"/>
      <w:start w:val="1"/>
    </w:lvl>
  </w:abstractNum>
  <w:abstractNum w:abstractNumId="132">
    <w:nsid w:val="65BF9DA8"/>
    <w:multiLevelType w:val="hybridMultilevel"/>
    <w:lvl w:ilvl="0">
      <w:lvlJc w:val="left"/>
      <w:lvlText w:val="(%1)"/>
      <w:numFmt w:val="decimal"/>
      <w:start w:val="3"/>
    </w:lvl>
  </w:abstractNum>
  <w:abstractNum w:abstractNumId="133">
    <w:nsid w:val="21A2ECCA"/>
    <w:multiLevelType w:val="hybridMultilevel"/>
    <w:lvl w:ilvl="0">
      <w:lvlJc w:val="left"/>
      <w:lvlText w:val="(%1)"/>
      <w:numFmt w:val="decimal"/>
      <w:start w:val="2"/>
    </w:lvl>
  </w:abstractNum>
  <w:abstractNum w:abstractNumId="134">
    <w:nsid w:val="4D5C4899"/>
    <w:multiLevelType w:val="hybridMultilevel"/>
    <w:lvl w:ilvl="0">
      <w:lvlJc w:val="left"/>
      <w:lvlText w:val="(%1)"/>
      <w:numFmt w:val="decimal"/>
      <w:start w:val="1"/>
    </w:lvl>
  </w:abstractNum>
  <w:abstractNum w:abstractNumId="135">
    <w:nsid w:val="3C3B72B2"/>
    <w:multiLevelType w:val="hybridMultilevel"/>
    <w:lvl w:ilvl="0">
      <w:lvlJc w:val="left"/>
      <w:lvlText w:val="(%1)"/>
      <w:numFmt w:val="decimal"/>
      <w:start w:val="1"/>
    </w:lvl>
  </w:abstractNum>
  <w:abstractNum w:abstractNumId="136">
    <w:nsid w:val="155EC4C2"/>
    <w:multiLevelType w:val="hybridMultilevel"/>
    <w:lvl w:ilvl="0">
      <w:lvlJc w:val="left"/>
      <w:lvlText w:val="(%1)"/>
      <w:numFmt w:val="decimal"/>
      <w:start w:val="1"/>
    </w:lvl>
  </w:abstractNum>
  <w:abstractNum w:abstractNumId="137">
    <w:nsid w:val="65D2A137"/>
    <w:multiLevelType w:val="hybridMultilevel"/>
    <w:lvl w:ilvl="0">
      <w:lvlJc w:val="left"/>
      <w:lvlText w:val="(%1)"/>
      <w:numFmt w:val="decimal"/>
      <w:start w:val="1"/>
    </w:lvl>
  </w:abstractNum>
  <w:abstractNum w:abstractNumId="138">
    <w:nsid w:val="6EBB1F2A"/>
    <w:multiLevelType w:val="hybridMultilevel"/>
    <w:lvl w:ilvl="0">
      <w:lvlJc w:val="left"/>
      <w:lvlText w:val="(%1)"/>
      <w:numFmt w:val="decimal"/>
      <w:start w:val="2"/>
    </w:lvl>
    <w:lvl w:ilvl="1">
      <w:lvlJc w:val="left"/>
      <w:lvlText w:val="(%2)"/>
      <w:numFmt w:val="lowerLetter"/>
      <w:start w:val="1"/>
    </w:lvl>
  </w:abstractNum>
  <w:abstractNum w:abstractNumId="139">
    <w:nsid w:val="6FBF29CB"/>
    <w:multiLevelType w:val="hybridMultilevel"/>
    <w:lvl w:ilvl="0">
      <w:lvlJc w:val="left"/>
      <w:lvlText w:val="(%1)"/>
      <w:numFmt w:val="lowerLetter"/>
      <w:start w:val="2"/>
    </w:lvl>
    <w:lvl w:ilvl="1">
      <w:lvlJc w:val="left"/>
      <w:lvlText w:val="(%2)"/>
      <w:numFmt w:val="lowerRoman"/>
      <w:start w:val="1"/>
    </w:lvl>
  </w:abstractNum>
  <w:abstractNum w:abstractNumId="140">
    <w:nsid w:val="550B8808"/>
    <w:multiLevelType w:val="hybridMultilevel"/>
    <w:lvl w:ilvl="0">
      <w:lvlJc w:val="left"/>
      <w:lvlText w:val="(%1)"/>
      <w:numFmt w:val="lowerLetter"/>
      <w:start w:val="4"/>
    </w:lvl>
  </w:abstractNum>
  <w:abstractNum w:abstractNumId="141">
    <w:nsid w:val="34CC3ACF"/>
    <w:multiLevelType w:val="hybridMultilevel"/>
    <w:lvl w:ilvl="0">
      <w:lvlJc w:val="left"/>
      <w:lvlText w:val="(%1)"/>
      <w:numFmt w:val="decimal"/>
      <w:start w:val="1"/>
    </w:lvl>
  </w:abstractNum>
  <w:abstractNum w:abstractNumId="142">
    <w:nsid w:val="4E556261"/>
    <w:multiLevelType w:val="hybridMultilevel"/>
    <w:lvl w:ilvl="0">
      <w:lvlJc w:val="left"/>
      <w:lvlText w:val="(%1)"/>
      <w:numFmt w:val="decimal"/>
      <w:start w:val="6"/>
    </w:lvl>
  </w:abstractNum>
  <w:abstractNum w:abstractNumId="143">
    <w:nsid w:val="4C672FC9"/>
    <w:multiLevelType w:val="hybridMultilevel"/>
    <w:lvl w:ilvl="0">
      <w:lvlJc w:val="left"/>
      <w:lvlText w:val="(%1)"/>
      <w:numFmt w:val="decimal"/>
      <w:start w:val="9"/>
    </w:lvl>
    <w:lvl w:ilvl="1">
      <w:lvlJc w:val="left"/>
      <w:lvlText w:val="(%2)"/>
      <w:numFmt w:val="lowerLetter"/>
      <w:start w:val="1"/>
    </w:lvl>
  </w:abstractNum>
  <w:abstractNum w:abstractNumId="144">
    <w:nsid w:val="52A311C3"/>
    <w:multiLevelType w:val="hybridMultilevel"/>
    <w:lvl w:ilvl="0">
      <w:lvlJc w:val="left"/>
      <w:lvlText w:val="(%1)"/>
      <w:numFmt w:val="decimal"/>
      <w:start w:val="1"/>
    </w:lvl>
    <w:lvl w:ilvl="1">
      <w:lvlJc w:val="left"/>
      <w:lvlText w:val="(%2)"/>
      <w:numFmt w:val="lowerRoman"/>
      <w:start w:val="3"/>
    </w:lvl>
  </w:abstractNum>
  <w:abstractNum w:abstractNumId="145">
    <w:nsid w:val="44EF6B80"/>
    <w:multiLevelType w:val="hybridMultilevel"/>
    <w:lvl w:ilvl="0">
      <w:lvlJc w:val="left"/>
      <w:lvlText w:val="(%1)"/>
      <w:numFmt w:val="lowerLetter"/>
      <w:start w:val="1"/>
    </w:lvl>
  </w:abstractNum>
  <w:abstractNum w:abstractNumId="146">
    <w:nsid w:val="12FCDE5E"/>
    <w:multiLevelType w:val="hybridMultilevel"/>
    <w:lvl w:ilvl="0">
      <w:lvlJc w:val="left"/>
      <w:lvlText w:val="(%1)"/>
      <w:numFmt w:val="decimal"/>
      <w:start w:val="5"/>
    </w:lvl>
    <w:lvl w:ilvl="1">
      <w:lvlJc w:val="left"/>
      <w:lvlText w:val="(%2)"/>
      <w:numFmt w:val="lowerLetter"/>
      <w:start w:val="1"/>
    </w:lvl>
  </w:abstractNum>
  <w:abstractNum w:abstractNumId="147">
    <w:nsid w:val="4A1D606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48">
    <w:nsid w:val="4382503"/>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1"/>
    </w:lvl>
  </w:abstractNum>
  <w:abstractNum w:abstractNumId="149">
    <w:nsid w:val="59B76E28"/>
    <w:multiLevelType w:val="hybridMultilevel"/>
    <w:lvl w:ilvl="0">
      <w:lvlJc w:val="left"/>
      <w:lvlText w:val="%1"/>
      <w:numFmt w:val="decimal"/>
      <w:start w:val="1"/>
    </w:lvl>
    <w:lvl w:ilvl="1">
      <w:lvlJc w:val="left"/>
      <w:lvlText w:val="(%2)"/>
      <w:numFmt w:val="lowerRoman"/>
      <w:start w:val="1"/>
    </w:lvl>
  </w:abstractNum>
  <w:abstractNum w:abstractNumId="150">
    <w:nsid w:val="4252C2DA"/>
    <w:multiLevelType w:val="hybridMultilevel"/>
    <w:lvl w:ilvl="0">
      <w:lvlJc w:val="left"/>
      <w:lvlText w:val="(%1)"/>
      <w:numFmt w:val="decimal"/>
      <w:start w:val="13"/>
    </w:lvl>
    <w:lvl w:ilvl="1">
      <w:lvlJc w:val="left"/>
      <w:lvlText w:val="%2"/>
      <w:numFmt w:val="lowerRoman"/>
      <w:start w:val="1"/>
    </w:lvl>
  </w:abstractNum>
  <w:abstractNum w:abstractNumId="151">
    <w:nsid w:val="6A92EF4C"/>
    <w:multiLevelType w:val="hybridMultilevel"/>
    <w:lvl w:ilvl="0">
      <w:lvlJc w:val="left"/>
      <w:lvlText w:val="(%1)"/>
      <w:numFmt w:val="decimal"/>
      <w:start w:val="1"/>
    </w:lvl>
  </w:abstractNum>
  <w:abstractNum w:abstractNumId="152">
    <w:nsid w:val="41ED20D7"/>
    <w:multiLevelType w:val="hybridMultilevel"/>
    <w:lvl w:ilvl="0">
      <w:lvlJc w:val="left"/>
      <w:lvlText w:val="(%1)"/>
      <w:numFmt w:val="decimal"/>
      <w:start w:val="1"/>
    </w:lvl>
  </w:abstractNum>
  <w:abstractNum w:abstractNumId="153">
    <w:nsid w:val="E6B3F6A"/>
    <w:multiLevelType w:val="hybridMultilevel"/>
    <w:lvl w:ilvl="0">
      <w:lvlJc w:val="left"/>
      <w:lvlText w:val="(%1)"/>
      <w:numFmt w:val="decimal"/>
      <w:start w:val="1"/>
    </w:lvl>
  </w:abstractNum>
  <w:abstractNum w:abstractNumId="154">
    <w:nsid w:val="3EB21819"/>
    <w:multiLevelType w:val="hybridMultilevel"/>
    <w:lvl w:ilvl="0">
      <w:lvlJc w:val="left"/>
      <w:lvlText w:val="(%1)"/>
      <w:numFmt w:val="decimal"/>
      <w:start w:val="1"/>
    </w:lvl>
  </w:abstractNum>
  <w:abstractNum w:abstractNumId="155">
    <w:nsid w:val="41531DED"/>
    <w:multiLevelType w:val="hybridMultilevel"/>
    <w:lvl w:ilvl="0">
      <w:lvlJc w:val="left"/>
      <w:lvlText w:val="(%1)"/>
      <w:numFmt w:val="decimal"/>
      <w:start w:val="1"/>
    </w:lvl>
    <w:lvl w:ilvl="1">
      <w:lvlJc w:val="left"/>
      <w:lvlText w:val="(%2)"/>
      <w:numFmt w:val="lowerLetter"/>
      <w:start w:val="1"/>
    </w:lvl>
  </w:abstractNum>
  <w:abstractNum w:abstractNumId="156">
    <w:nsid w:val="6353CD2"/>
    <w:multiLevelType w:val="hybridMultilevel"/>
    <w:lvl w:ilvl="0">
      <w:lvlJc w:val="left"/>
      <w:lvlText w:val="(%1)"/>
      <w:numFmt w:val="decimal"/>
      <w:start w:val="1"/>
    </w:lvl>
    <w:lvl w:ilvl="1">
      <w:lvlJc w:val="left"/>
      <w:lvlText w:val="(%2)"/>
      <w:numFmt w:val="lowerLetter"/>
      <w:start w:val="1"/>
    </w:lvl>
  </w:abstractNum>
  <w:abstractNum w:abstractNumId="157">
    <w:nsid w:val="683CAAD3"/>
    <w:multiLevelType w:val="hybridMultilevel"/>
    <w:lvl w:ilvl="0">
      <w:lvlJc w:val="left"/>
      <w:lvlText w:val="(%1)"/>
      <w:numFmt w:val="decimal"/>
      <w:start w:val="5"/>
    </w:lvl>
  </w:abstractNum>
  <w:abstractNum w:abstractNumId="158">
    <w:nsid w:val="313C7C99"/>
    <w:multiLevelType w:val="hybridMultilevel"/>
    <w:lvl w:ilvl="0">
      <w:lvlJc w:val="left"/>
      <w:lvlText w:val="(%1)"/>
      <w:numFmt w:val="decimal"/>
      <w:start w:val="1"/>
    </w:lvl>
  </w:abstractNum>
  <w:abstractNum w:abstractNumId="159">
    <w:nsid w:val="519EB94C"/>
    <w:multiLevelType w:val="hybridMultilevel"/>
    <w:lvl w:ilvl="0">
      <w:lvlJc w:val="left"/>
      <w:lvlText w:val="(%1)"/>
      <w:numFmt w:val="decimal"/>
      <w:start w:val="1"/>
    </w:lvl>
  </w:abstractNum>
  <w:abstractNum w:abstractNumId="160">
    <w:nsid w:val="39DF2579"/>
    <w:multiLevelType w:val="hybridMultilevel"/>
    <w:lvl w:ilvl="0">
      <w:lvlJc w:val="left"/>
      <w:lvlText w:val="(%1)"/>
      <w:numFmt w:val="decimal"/>
      <w:start w:val="1"/>
    </w:lvl>
  </w:abstractNum>
  <w:abstractNum w:abstractNumId="161">
    <w:nsid w:val="126E008B"/>
    <w:multiLevelType w:val="hybridMultilevel"/>
    <w:lvl w:ilvl="0">
      <w:lvlJc w:val="left"/>
      <w:lvlText w:val="(%1)"/>
      <w:numFmt w:val="decimal"/>
      <w:start w:val="1"/>
    </w:lvl>
  </w:abstractNum>
  <w:abstractNum w:abstractNumId="162">
    <w:nsid w:val="34DFBC00"/>
    <w:multiLevelType w:val="hybridMultilevel"/>
    <w:lvl w:ilvl="0">
      <w:lvlJc w:val="left"/>
      <w:lvlText w:val="(%1)"/>
      <w:numFmt w:val="decimal"/>
      <w:start w:val="1"/>
    </w:lvl>
  </w:abstractNum>
  <w:abstractNum w:abstractNumId="163">
    <w:nsid w:val="1F9EC322"/>
    <w:multiLevelType w:val="hybridMultilevel"/>
    <w:lvl w:ilvl="0">
      <w:lvlJc w:val="left"/>
      <w:lvlText w:val="(%1)"/>
      <w:numFmt w:val="decimal"/>
      <w:start w:val="4"/>
    </w:lvl>
  </w:abstractNum>
  <w:abstractNum w:abstractNumId="164">
    <w:nsid w:val="3410ED56"/>
    <w:multiLevelType w:val="hybridMultilevel"/>
    <w:lvl w:ilvl="0">
      <w:lvlJc w:val="left"/>
      <w:lvlText w:val="(%1)"/>
      <w:numFmt w:val="decimal"/>
      <w:start w:val="1"/>
    </w:lvl>
    <w:lvl w:ilvl="1">
      <w:lvlJc w:val="left"/>
      <w:lvlText w:val="(%2)"/>
      <w:numFmt w:val="lowerLetter"/>
      <w:start w:val="1"/>
    </w:lvl>
  </w:abstractNum>
  <w:abstractNum w:abstractNumId="165">
    <w:nsid w:val="23C049A"/>
    <w:multiLevelType w:val="hybridMultilevel"/>
    <w:lvl w:ilvl="0">
      <w:lvlJc w:val="left"/>
      <w:lvlText w:val="%1"/>
      <w:numFmt w:val="decimal"/>
      <w:start w:val="1"/>
    </w:lvl>
    <w:lvl w:ilvl="1">
      <w:lvlJc w:val="left"/>
      <w:lvlText w:val="(%2)"/>
      <w:numFmt w:val="lowerLetter"/>
      <w:start w:val="2"/>
    </w:lvl>
  </w:abstractNum>
  <w:abstractNum w:abstractNumId="166">
    <w:nsid w:val="5BDA35D4"/>
    <w:multiLevelType w:val="hybridMultilevel"/>
    <w:lvl w:ilvl="0">
      <w:lvlJc w:val="left"/>
      <w:lvlText w:val="(%1)"/>
      <w:numFmt w:val="decimal"/>
      <w:start w:val="2"/>
    </w:lvl>
    <w:lvl w:ilvl="1">
      <w:lvlJc w:val="left"/>
      <w:lvlText w:val="%2"/>
      <w:numFmt w:val="lowerLetter"/>
      <w:start w:val="1"/>
    </w:lvl>
  </w:abstractNum>
  <w:abstractNum w:abstractNumId="167">
    <w:nsid w:val="496FB218"/>
    <w:multiLevelType w:val="hybridMultilevel"/>
    <w:lvl w:ilvl="0">
      <w:lvlJc w:val="left"/>
      <w:lvlText w:val="(%1)"/>
      <w:numFmt w:val="decimal"/>
      <w:start w:val="1"/>
    </w:lvl>
  </w:abstractNum>
  <w:abstractNum w:abstractNumId="168">
    <w:nsid w:val="680EA5D1"/>
    <w:multiLevelType w:val="hybridMultilevel"/>
    <w:lvl w:ilvl="0">
      <w:lvlJc w:val="left"/>
      <w:lvlText w:val="(%1)"/>
      <w:numFmt w:val="decimal"/>
      <w:start w:val="1"/>
    </w:lvl>
  </w:abstractNum>
  <w:abstractNum w:abstractNumId="169">
    <w:nsid w:val="4A9554FE"/>
    <w:multiLevelType w:val="hybridMultilevel"/>
    <w:lvl w:ilvl="0">
      <w:lvlJc w:val="left"/>
      <w:lvlText w:val="(%1)"/>
      <w:numFmt w:val="decimal"/>
      <w:start w:val="1"/>
    </w:lvl>
  </w:abstractNum>
  <w:abstractNum w:abstractNumId="170">
    <w:nsid w:val="392EDBE4"/>
    <w:multiLevelType w:val="hybridMultilevel"/>
    <w:lvl w:ilvl="0">
      <w:lvlJc w:val="left"/>
      <w:lvlText w:val="(%1)"/>
      <w:numFmt w:val="decimal"/>
      <w:start w:val="2"/>
    </w:lvl>
  </w:abstractNum>
  <w:abstractNum w:abstractNumId="171">
    <w:nsid w:val="3D1A2DD9"/>
    <w:multiLevelType w:val="hybridMultilevel"/>
    <w:lvl w:ilvl="0">
      <w:lvlJc w:val="left"/>
      <w:lvlText w:val="(%1)"/>
      <w:numFmt w:val="decimal"/>
      <w:start w:val="1"/>
    </w:lvl>
  </w:abstractNum>
  <w:abstractNum w:abstractNumId="172">
    <w:nsid w:val="7F618FCD"/>
    <w:multiLevelType w:val="hybridMultilevel"/>
    <w:lvl w:ilvl="0">
      <w:lvlJc w:val="left"/>
      <w:lvlText w:val="(%1)"/>
      <w:numFmt w:val="lowerLetter"/>
      <w:start w:val="2"/>
    </w:lvl>
  </w:abstractNum>
  <w:abstractNum w:abstractNumId="173">
    <w:nsid w:val="7843E45"/>
    <w:multiLevelType w:val="hybridMultilevel"/>
    <w:lvl w:ilvl="0">
      <w:lvlJc w:val="left"/>
      <w:lvlText w:val="(%1)"/>
      <w:numFmt w:val="decimal"/>
      <w:start w:val="2"/>
    </w:lvl>
    <w:lvl w:ilvl="1">
      <w:lvlJc w:val="left"/>
      <w:lvlText w:val="(%2)"/>
      <w:numFmt w:val="lowerLetter"/>
      <w:start w:val="1"/>
    </w:lvl>
  </w:abstractNum>
  <w:abstractNum w:abstractNumId="174">
    <w:nsid w:val="9815DA3"/>
    <w:multiLevelType w:val="hybridMultilevel"/>
    <w:lvl w:ilvl="0">
      <w:lvlJc w:val="left"/>
      <w:lvlText w:val="(%1)"/>
      <w:numFmt w:val="decimal"/>
      <w:start w:val="1"/>
    </w:lvl>
  </w:abstractNum>
  <w:abstractNum w:abstractNumId="175">
    <w:nsid w:val="5204A191"/>
    <w:multiLevelType w:val="hybridMultilevel"/>
    <w:lvl w:ilvl="0">
      <w:lvlJc w:val="left"/>
      <w:lvlText w:val="%1"/>
      <w:numFmt w:val="decimal"/>
      <w:start w:val="1"/>
    </w:lvl>
    <w:lvl w:ilvl="1">
      <w:lvlJc w:val="left"/>
      <w:lvlText w:val="(%2)"/>
      <w:numFmt w:val="lowerLetter"/>
      <w:start w:val="1"/>
    </w:lvl>
  </w:abstractNum>
  <w:abstractNum w:abstractNumId="176">
    <w:nsid w:val="4C73A9C6"/>
    <w:multiLevelType w:val="hybridMultilevel"/>
    <w:lvl w:ilvl="0">
      <w:lvlJc w:val="left"/>
      <w:lvlText w:val="(%1)"/>
      <w:numFmt w:val="decimal"/>
      <w:start w:val="3"/>
    </w:lvl>
    <w:lvl w:ilvl="1">
      <w:lvlJc w:val="left"/>
      <w:lvlText w:val="%2"/>
      <w:numFmt w:val="lowerLetter"/>
      <w:start w:val="1"/>
    </w:lvl>
  </w:abstractNum>
  <w:abstractNum w:abstractNumId="177">
    <w:nsid w:val="1C7E3C01"/>
    <w:multiLevelType w:val="hybridMultilevel"/>
    <w:lvl w:ilvl="0">
      <w:lvlJc w:val="left"/>
      <w:lvlText w:val="(%1)"/>
      <w:numFmt w:val="decimal"/>
      <w:start w:val="1"/>
    </w:lvl>
  </w:abstractNum>
  <w:abstractNum w:abstractNumId="178">
    <w:nsid w:val="1C2201FF"/>
    <w:multiLevelType w:val="hybridMultilevel"/>
    <w:lvl w:ilvl="0">
      <w:lvlJc w:val="left"/>
      <w:lvlText w:val="(%1)"/>
      <w:numFmt w:val="decimal"/>
      <w:start w:val="1"/>
    </w:lvl>
  </w:abstractNum>
  <w:abstractNum w:abstractNumId="179">
    <w:nsid w:val="50ABCEC9"/>
    <w:multiLevelType w:val="hybridMultilevel"/>
    <w:lvl w:ilvl="0">
      <w:lvlJc w:val="left"/>
      <w:lvlText w:val="(%1)"/>
      <w:numFmt w:val="decimal"/>
      <w:start w:val="1"/>
    </w:lvl>
    <w:lvl w:ilvl="1">
      <w:lvlJc w:val="left"/>
      <w:lvlText w:val="(%2)"/>
      <w:numFmt w:val="lowerLetter"/>
      <w:start w:val="1"/>
    </w:lvl>
  </w:abstractNum>
  <w:abstractNum w:abstractNumId="180">
    <w:nsid w:val="7635AA2A"/>
    <w:multiLevelType w:val="hybridMultilevel"/>
    <w:lvl w:ilvl="0">
      <w:lvlJc w:val="left"/>
      <w:lvlText w:val="(%1)"/>
      <w:numFmt w:val="lowerLetter"/>
      <w:start w:val="2"/>
    </w:lvl>
  </w:abstractNum>
  <w:abstractNum w:abstractNumId="181">
    <w:nsid w:val="5E74C4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2">
    <w:nsid w:val="3B3EBE15"/>
    <w:multiLevelType w:val="hybridMultilevel"/>
    <w:lvl w:ilvl="0">
      <w:lvlJc w:val="left"/>
      <w:lvlText w:val="(%1)"/>
      <w:numFmt w:val="decimal"/>
      <w:start w:val="1"/>
    </w:lvl>
  </w:abstractNum>
  <w:abstractNum w:abstractNumId="183">
    <w:nsid w:val="3822CB01"/>
    <w:multiLevelType w:val="hybridMultilevel"/>
    <w:lvl w:ilvl="0">
      <w:lvlJc w:val="left"/>
      <w:lvlText w:val="(%1)"/>
      <w:numFmt w:val="decimal"/>
      <w:start w:val="3"/>
    </w:lvl>
  </w:abstractNum>
  <w:abstractNum w:abstractNumId="184">
    <w:nsid w:val="6CE00443"/>
    <w:multiLevelType w:val="hybridMultilevel"/>
    <w:lvl w:ilvl="0">
      <w:lvlJc w:val="left"/>
      <w:lvlText w:val="(%1)"/>
      <w:numFmt w:val="decimal"/>
      <w:start w:val="1"/>
    </w:lvl>
  </w:abstractNum>
  <w:abstractNum w:abstractNumId="185">
    <w:nsid w:val="79F0D62F"/>
    <w:multiLevelType w:val="hybridMultilevel"/>
    <w:lvl w:ilvl="0">
      <w:lvlJc w:val="left"/>
      <w:lvlText w:val="(%1)"/>
      <w:numFmt w:val="decimal"/>
      <w:start w:val="1"/>
    </w:lvl>
    <w:lvl w:ilvl="1">
      <w:lvlJc w:val="left"/>
      <w:lvlText w:val="(%2)"/>
      <w:numFmt w:val="lowerLetter"/>
      <w:start w:val="1"/>
    </w:lvl>
  </w:abstractNum>
  <w:abstractNum w:abstractNumId="186">
    <w:nsid w:val="7975E8EE"/>
    <w:multiLevelType w:val="hybridMultilevel"/>
    <w:lvl w:ilvl="0">
      <w:lvlJc w:val="left"/>
      <w:lvlText w:val="(%1)"/>
      <w:numFmt w:val="decimal"/>
      <w:start w:val="7"/>
    </w:lvl>
  </w:abstractNum>
  <w:abstractNum w:abstractNumId="187">
    <w:nsid w:val="73154115"/>
    <w:multiLevelType w:val="hybridMultilevel"/>
    <w:lvl w:ilvl="0">
      <w:lvlJc w:val="left"/>
      <w:lvlText w:val="(%1)"/>
      <w:numFmt w:val="lowerLetter"/>
      <w:start w:val="1"/>
    </w:lvl>
  </w:abstractNum>
  <w:abstractNum w:abstractNumId="188">
    <w:nsid w:val="622D8102"/>
    <w:multiLevelType w:val="hybridMultilevel"/>
    <w:lvl w:ilvl="0">
      <w:lvlJc w:val="left"/>
      <w:lvlText w:val="(%1)"/>
      <w:numFmt w:val="decimal"/>
      <w:start w:val="8"/>
    </w:lvl>
  </w:abstractNum>
  <w:abstractNum w:abstractNumId="189">
    <w:nsid w:val="2AB26587"/>
    <w:multiLevelType w:val="hybridMultilevel"/>
    <w:lvl w:ilvl="0">
      <w:lvlJc w:val="left"/>
      <w:lvlText w:val="(%1)"/>
      <w:numFmt w:val="decimal"/>
      <w:start w:val="13"/>
    </w:lvl>
  </w:abstractNum>
  <w:abstractNum w:abstractNumId="190">
    <w:nsid w:val="44B3FA61"/>
    <w:multiLevelType w:val="hybridMultilevel"/>
    <w:lvl w:ilvl="0">
      <w:lvlJc w:val="left"/>
      <w:lvlText w:val="(%1)"/>
      <w:numFmt w:val="decimal"/>
      <w:start w:val="1"/>
    </w:lvl>
  </w:abstractNum>
  <w:abstractNum w:abstractNumId="191">
    <w:nsid w:val="1C0CA67C"/>
    <w:multiLevelType w:val="hybridMultilevel"/>
    <w:lvl w:ilvl="0">
      <w:lvlJc w:val="left"/>
      <w:lvlText w:val="(%1)"/>
      <w:numFmt w:val="decimal"/>
      <w:start w:val="2"/>
    </w:lvl>
  </w:abstractNum>
  <w:abstractNum w:abstractNumId="192">
    <w:nsid w:val="3D206613"/>
    <w:multiLevelType w:val="hybridMultilevel"/>
    <w:lvl w:ilvl="0">
      <w:lvlJc w:val="left"/>
      <w:lvlText w:val="(%1)"/>
      <w:numFmt w:val="decimal"/>
      <w:start w:val="1"/>
    </w:lvl>
    <w:lvl w:ilvl="1">
      <w:lvlJc w:val="left"/>
      <w:lvlText w:val="(%2)"/>
      <w:numFmt w:val="lowerLetter"/>
      <w:start w:val="1"/>
    </w:lvl>
  </w:abstractNum>
  <w:abstractNum w:abstractNumId="193">
    <w:nsid w:val="7993B662"/>
    <w:multiLevelType w:val="hybridMultilevel"/>
    <w:lvl w:ilvl="0">
      <w:lvlJc w:val="left"/>
      <w:lvlText w:val="(%1)"/>
      <w:numFmt w:val="decimal"/>
      <w:start w:val="5"/>
    </w:lvl>
  </w:abstractNum>
  <w:abstractNum w:abstractNumId="194">
    <w:nsid w:val="3BAB699E"/>
    <w:multiLevelType w:val="hybridMultilevel"/>
    <w:lvl w:ilvl="0">
      <w:lvlJc w:val="left"/>
      <w:lvlText w:val="(%1)"/>
      <w:numFmt w:val="decimal"/>
      <w:start w:val="1"/>
    </w:lvl>
  </w:abstractNum>
  <w:abstractNum w:abstractNumId="195">
    <w:nsid w:val="71315369"/>
    <w:multiLevelType w:val="hybridMultilevel"/>
    <w:lvl w:ilvl="0">
      <w:lvlJc w:val="left"/>
      <w:lvlText w:val="(%1)"/>
      <w:numFmt w:val="decimal"/>
      <w:start w:val="5"/>
    </w:lvl>
  </w:abstractNum>
  <w:abstractNum w:abstractNumId="196">
    <w:nsid w:val="7BCFBAFC"/>
    <w:multiLevelType w:val="hybridMultilevel"/>
    <w:lvl w:ilvl="0">
      <w:lvlJc w:val="left"/>
      <w:lvlText w:val="(%1)"/>
      <w:numFmt w:val="decimal"/>
      <w:start w:val="1"/>
    </w:lvl>
  </w:abstractNum>
  <w:abstractNum w:abstractNumId="197">
    <w:nsid w:val="17859F72"/>
    <w:multiLevelType w:val="hybridMultilevel"/>
    <w:lvl w:ilvl="0">
      <w:lvlJc w:val="left"/>
      <w:lvlText w:val="(%1)"/>
      <w:numFmt w:val="decimal"/>
      <w:start w:val="1"/>
    </w:lvl>
  </w:abstractNum>
  <w:abstractNum w:abstractNumId="198">
    <w:nsid w:val="3AA10581"/>
    <w:multiLevelType w:val="hybridMultilevel"/>
    <w:lvl w:ilvl="0">
      <w:lvlJc w:val="left"/>
      <w:lvlText w:val="(%1)"/>
      <w:numFmt w:val="decimal"/>
      <w:start w:val="1"/>
    </w:lvl>
    <w:lvl w:ilvl="1">
      <w:lvlJc w:val="left"/>
      <w:lvlText w:val="(%2)"/>
      <w:numFmt w:val="lowerLetter"/>
      <w:start w:val="1"/>
    </w:lvl>
  </w:abstractNum>
  <w:abstractNum w:abstractNumId="199">
    <w:nsid w:val="63DE60CD"/>
    <w:multiLevelType w:val="hybridMultilevel"/>
    <w:lvl w:ilvl="0">
      <w:lvlJc w:val="left"/>
      <w:lvlText w:val="(%1)"/>
      <w:numFmt w:val="decimal"/>
      <w:start w:val="4"/>
    </w:lvl>
  </w:abstractNum>
  <w:abstractNum w:abstractNumId="200">
    <w:nsid w:val="621AF471"/>
    <w:multiLevelType w:val="hybridMultilevel"/>
    <w:lvl w:ilvl="0">
      <w:lvlJc w:val="left"/>
      <w:lvlText w:val="(%1)"/>
      <w:numFmt w:val="decimal"/>
      <w:start w:val="1"/>
    </w:lvl>
  </w:abstractNum>
  <w:abstractNum w:abstractNumId="201">
    <w:nsid w:val="73CFE165"/>
    <w:multiLevelType w:val="hybridMultilevel"/>
    <w:lvl w:ilvl="0">
      <w:lvlJc w:val="left"/>
      <w:lvlText w:val="(%1)"/>
      <w:numFmt w:val="decimal"/>
      <w:start w:val="1"/>
    </w:lvl>
  </w:abstractNum>
  <w:abstractNum w:abstractNumId="202">
    <w:nsid w:val="20F88EA6"/>
    <w:multiLevelType w:val="hybridMultilevel"/>
    <w:lvl w:ilvl="0">
      <w:lvlJc w:val="left"/>
      <w:lvlText w:val="(%1)"/>
      <w:numFmt w:val="decimal"/>
      <w:start w:val="1"/>
    </w:lvl>
  </w:abstractNum>
  <w:abstractNum w:abstractNumId="203">
    <w:nsid w:val="617C843E"/>
    <w:multiLevelType w:val="hybridMultilevel"/>
    <w:lvl w:ilvl="0">
      <w:lvlJc w:val="left"/>
      <w:lvlText w:val="(%1)"/>
      <w:numFmt w:val="decimal"/>
      <w:start w:val="1"/>
    </w:lvl>
  </w:abstractNum>
  <w:abstractNum w:abstractNumId="204">
    <w:nsid w:val="7B541FAB"/>
    <w:multiLevelType w:val="hybridMultilevel"/>
    <w:lvl w:ilvl="0">
      <w:lvlJc w:val="left"/>
      <w:lvlText w:val="(%1)"/>
      <w:numFmt w:val="decimal"/>
      <w:start w:val="1"/>
    </w:lvl>
  </w:abstractNum>
  <w:abstractNum w:abstractNumId="205">
    <w:nsid w:val="2A79EC49"/>
    <w:multiLevelType w:val="hybridMultilevel"/>
    <w:lvl w:ilvl="0">
      <w:lvlJc w:val="left"/>
      <w:lvlText w:val="(%1)"/>
      <w:numFmt w:val="decimal"/>
      <w:start w:val="7"/>
    </w:lvl>
  </w:abstractNum>
  <w:abstractNum w:abstractNumId="206">
    <w:nsid w:val="338125CF"/>
    <w:multiLevelType w:val="hybridMultilevel"/>
    <w:lvl w:ilvl="0">
      <w:lvlJc w:val="left"/>
      <w:lvlText w:val="(%1)"/>
      <w:numFmt w:val="lowerLetter"/>
      <w:start w:val="1"/>
    </w:lvl>
  </w:abstractNum>
  <w:abstractNum w:abstractNumId="207">
    <w:nsid w:val="47C7C971"/>
    <w:multiLevelType w:val="hybridMultilevel"/>
    <w:lvl w:ilvl="0">
      <w:lvlJc w:val="left"/>
      <w:lvlText w:val="(%1)"/>
      <w:numFmt w:val="decimal"/>
      <w:start w:val="1"/>
    </w:lvl>
  </w:abstractNum>
  <w:abstractNum w:abstractNumId="208">
    <w:nsid w:val="46F8284B"/>
    <w:multiLevelType w:val="hybridMultilevel"/>
    <w:lvl w:ilvl="0">
      <w:lvlJc w:val="left"/>
      <w:lvlText w:val="(%1)"/>
      <w:numFmt w:val="decimal"/>
      <w:start w:val="2"/>
    </w:lvl>
  </w:abstractNum>
  <w:abstractNum w:abstractNumId="209">
    <w:nsid w:val="4FA327CE"/>
    <w:multiLevelType w:val="hybridMultilevel"/>
    <w:lvl w:ilvl="0">
      <w:lvlJc w:val="left"/>
      <w:lvlText w:val="(%1)"/>
      <w:numFmt w:val="decimal"/>
      <w:start w:val="1"/>
    </w:lvl>
    <w:lvl w:ilvl="1">
      <w:lvlJc w:val="left"/>
      <w:lvlText w:val="(%2)"/>
      <w:numFmt w:val="lowerLetter"/>
      <w:start w:val="1"/>
    </w:lvl>
  </w:abstractNum>
  <w:abstractNum w:abstractNumId="210">
    <w:nsid w:val="1873983A"/>
    <w:multiLevelType w:val="hybridMultilevel"/>
    <w:lvl w:ilvl="0">
      <w:lvlJc w:val="left"/>
      <w:lvlText w:val="(%1)"/>
      <w:numFmt w:val="decimal"/>
      <w:start w:val="11"/>
    </w:lvl>
  </w:abstractNum>
  <w:abstractNum w:abstractNumId="211">
    <w:nsid w:val="3D2DD275"/>
    <w:multiLevelType w:val="hybridMultilevel"/>
    <w:lvl w:ilvl="0">
      <w:lvlJc w:val="left"/>
      <w:lvlText w:val="(%1)"/>
      <w:numFmt w:val="decimal"/>
      <w:start w:val="14"/>
    </w:lvl>
  </w:abstractNum>
  <w:abstractNum w:abstractNumId="212">
    <w:nsid w:val="2E17ECA7"/>
    <w:multiLevelType w:val="hybridMultilevel"/>
    <w:lvl w:ilvl="0">
      <w:lvlJc w:val="left"/>
      <w:lvlText w:val="(%1)"/>
      <w:numFmt w:val="decimal"/>
      <w:start w:val="1"/>
    </w:lvl>
  </w:abstractNum>
  <w:abstractNum w:abstractNumId="213">
    <w:nsid w:val="53B2564F"/>
    <w:multiLevelType w:val="hybridMultilevel"/>
    <w:lvl w:ilvl="0">
      <w:lvlJc w:val="left"/>
      <w:lvlText w:val="(%1)"/>
      <w:numFmt w:val="decimal"/>
      <w:start w:val="1"/>
    </w:lvl>
    <w:lvl w:ilvl="1">
      <w:lvlJc w:val="left"/>
      <w:lvlText w:val="(%2)"/>
      <w:numFmt w:val="lowerLetter"/>
      <w:start w:val="1"/>
    </w:lvl>
  </w:abstractNum>
  <w:abstractNum w:abstractNumId="214">
    <w:nsid w:val="75509D76"/>
    <w:multiLevelType w:val="hybridMultilevel"/>
    <w:lvl w:ilvl="0">
      <w:lvlJc w:val="left"/>
      <w:lvlText w:val="%1"/>
      <w:numFmt w:val="decimal"/>
      <w:start w:val="1"/>
    </w:lvl>
    <w:lvl w:ilvl="1">
      <w:lvlJc w:val="left"/>
      <w:lvlText w:val="(%2)"/>
      <w:numFmt w:val="lowerLetter"/>
      <w:start w:val="3"/>
    </w:lvl>
  </w:abstractNum>
  <w:abstractNum w:abstractNumId="215">
    <w:nsid w:val="1AF7F0EA"/>
    <w:multiLevelType w:val="hybridMultilevel"/>
    <w:lvl w:ilvl="0">
      <w:lvlJc w:val="left"/>
      <w:lvlText w:val="(%1)"/>
      <w:numFmt w:val="decimal"/>
      <w:start w:val="4"/>
    </w:lvl>
    <w:lvl w:ilvl="1">
      <w:lvlJc w:val="left"/>
      <w:lvlText w:val="%2"/>
      <w:numFmt w:val="lowerLetter"/>
      <w:start w:val="1"/>
    </w:lvl>
  </w:abstractNum>
  <w:abstractNum w:abstractNumId="216">
    <w:nsid w:val="4DA32C7E"/>
    <w:multiLevelType w:val="hybridMultilevel"/>
    <w:lvl w:ilvl="0">
      <w:lvlJc w:val="left"/>
      <w:lvlText w:val="(%1)"/>
      <w:numFmt w:val="decimal"/>
      <w:start w:val="1"/>
    </w:lvl>
  </w:abstractNum>
  <w:abstractNum w:abstractNumId="217">
    <w:nsid w:val="6EC68664"/>
    <w:multiLevelType w:val="hybridMultilevel"/>
    <w:lvl w:ilvl="0">
      <w:lvlJc w:val="left"/>
      <w:lvlText w:val="(%1)"/>
      <w:numFmt w:val="decimal"/>
      <w:start w:val="5"/>
    </w:lvl>
  </w:abstractNum>
  <w:abstractNum w:abstractNumId="218">
    <w:nsid w:val="E0D31FF"/>
    <w:multiLevelType w:val="hybridMultilevel"/>
    <w:lvl w:ilvl="0">
      <w:lvlJc w:val="left"/>
      <w:lvlText w:val="(%1)"/>
      <w:numFmt w:val="decimal"/>
      <w:start w:val="2"/>
    </w:lvl>
    <w:lvl w:ilvl="1">
      <w:lvlJc w:val="left"/>
      <w:lvlText w:val="(%2)"/>
      <w:numFmt w:val="lowerLetter"/>
      <w:start w:val="1"/>
    </w:lvl>
  </w:abstractNum>
  <w:abstractNum w:abstractNumId="219">
    <w:nsid w:val="2FD0AD81"/>
    <w:multiLevelType w:val="hybridMultilevel"/>
    <w:lvl w:ilvl="0">
      <w:lvlJc w:val="left"/>
      <w:lvlText w:val="%1"/>
      <w:numFmt w:val="decimal"/>
      <w:start w:val="1"/>
    </w:lvl>
    <w:lvl w:ilvl="1">
      <w:lvlJc w:val="left"/>
      <w:lvlText w:val="(%2)"/>
      <w:numFmt w:val="lowerLetter"/>
      <w:start w:val="2"/>
    </w:lvl>
  </w:abstractNum>
  <w:abstractNum w:abstractNumId="220">
    <w:nsid w:val="1978EBEB"/>
    <w:multiLevelType w:val="hybridMultilevel"/>
    <w:lvl w:ilvl="0">
      <w:lvlJc w:val="left"/>
      <w:lvlText w:val="(%1)"/>
      <w:numFmt w:val="decimal"/>
      <w:start w:val="5"/>
    </w:lvl>
    <w:lvl w:ilvl="1">
      <w:lvlJc w:val="left"/>
      <w:lvlText w:val="%2"/>
      <w:numFmt w:val="lowerLetter"/>
      <w:start w:val="1"/>
    </w:lvl>
  </w:abstractNum>
  <w:abstractNum w:abstractNumId="221">
    <w:nsid w:val="52C12C61"/>
    <w:multiLevelType w:val="hybridMultilevel"/>
    <w:lvl w:ilvl="0">
      <w:lvlJc w:val="left"/>
      <w:lvlText w:val="(%1)"/>
      <w:numFmt w:val="decimal"/>
      <w:start w:val="1"/>
    </w:lvl>
  </w:abstractNum>
  <w:abstractNum w:abstractNumId="222">
    <w:nsid w:val="4BDD53FD"/>
    <w:multiLevelType w:val="hybridMultilevel"/>
    <w:lvl w:ilvl="0">
      <w:lvlJc w:val="left"/>
      <w:lvlText w:val="(%1)"/>
      <w:numFmt w:val="decimal"/>
      <w:start w:val="4"/>
    </w:lvl>
  </w:abstractNum>
  <w:abstractNum w:abstractNumId="223">
    <w:nsid w:val="569951FE"/>
    <w:multiLevelType w:val="hybridMultilevel"/>
    <w:lvl w:ilvl="0">
      <w:lvlJc w:val="left"/>
      <w:lvlText w:val="(%1)"/>
      <w:numFmt w:val="decimal"/>
      <w:start w:val="5"/>
    </w:lvl>
  </w:abstractNum>
  <w:abstractNum w:abstractNumId="224">
    <w:nsid w:val="4C54E2C3"/>
    <w:multiLevelType w:val="hybridMultilevel"/>
    <w:lvl w:ilvl="0">
      <w:lvlJc w:val="left"/>
      <w:lvlText w:val="(%1)"/>
      <w:numFmt w:val="decimal"/>
      <w:start w:val="1"/>
    </w:lvl>
  </w:abstractNum>
  <w:abstractNum w:abstractNumId="225">
    <w:nsid w:val="788BD9B"/>
    <w:multiLevelType w:val="hybridMultilevel"/>
    <w:lvl w:ilvl="0">
      <w:lvlJc w:val="left"/>
      <w:lvlText w:val="(%1)"/>
      <w:numFmt w:val="decimal"/>
      <w:start w:val="1"/>
    </w:lvl>
  </w:abstractNum>
  <w:abstractNum w:abstractNumId="226">
    <w:nsid w:val="47CAA567"/>
    <w:multiLevelType w:val="hybridMultilevel"/>
    <w:lvl w:ilvl="0">
      <w:lvlJc w:val="left"/>
      <w:lvlText w:val="(%1)"/>
      <w:numFmt w:val="decimal"/>
      <w:start w:val="1"/>
    </w:lvl>
  </w:abstractNum>
  <w:abstractNum w:abstractNumId="227">
    <w:nsid w:val="48249DBF"/>
    <w:multiLevelType w:val="hybridMultilevel"/>
    <w:lvl w:ilvl="0">
      <w:lvlJc w:val="left"/>
      <w:lvlText w:val="(%1)"/>
      <w:numFmt w:val="decimal"/>
      <w:start w:val="1"/>
    </w:lvl>
  </w:abstractNum>
  <w:abstractNum w:abstractNumId="228">
    <w:nsid w:val="1F0E5D0D"/>
    <w:multiLevelType w:val="hybridMultilevel"/>
    <w:lvl w:ilvl="0">
      <w:lvlJc w:val="left"/>
      <w:lvlText w:val="(%1)"/>
      <w:numFmt w:val="decimal"/>
      <w:start w:val="1"/>
    </w:lvl>
  </w:abstractNum>
  <w:abstractNum w:abstractNumId="229">
    <w:nsid w:val="26BAAE9"/>
    <w:multiLevelType w:val="hybridMultilevel"/>
    <w:lvl w:ilvl="0">
      <w:lvlJc w:val="left"/>
      <w:lvlText w:val="(%1)"/>
      <w:numFmt w:val="decimal"/>
      <w:start w:val="1"/>
    </w:lvl>
  </w:abstractNum>
  <w:abstractNum w:abstractNumId="230">
    <w:nsid w:val="2C02FE8C"/>
    <w:multiLevelType w:val="hybridMultilevel"/>
    <w:lvl w:ilvl="0">
      <w:lvlJc w:val="left"/>
      <w:lvlText w:val="(%1)"/>
      <w:numFmt w:val="decimal"/>
      <w:start w:val="1"/>
    </w:lvl>
  </w:abstractNum>
  <w:abstractNum w:abstractNumId="231">
    <w:nsid w:val="129517E"/>
    <w:multiLevelType w:val="hybridMultilevel"/>
    <w:lvl w:ilvl="0">
      <w:lvlJc w:val="left"/>
      <w:lvlText w:val="(%1)"/>
      <w:numFmt w:val="decimal"/>
      <w:start w:val="1"/>
    </w:lvl>
  </w:abstractNum>
  <w:abstractNum w:abstractNumId="232">
    <w:nsid w:val="763B8C4E"/>
    <w:multiLevelType w:val="hybridMultilevel"/>
    <w:lvl w:ilvl="0">
      <w:lvlJc w:val="left"/>
      <w:lvlText w:val="(%1)"/>
      <w:numFmt w:val="decimal"/>
      <w:start w:val="1"/>
    </w:lvl>
  </w:abstractNum>
  <w:abstractNum w:abstractNumId="233">
    <w:nsid w:val="4CFB8D32"/>
    <w:multiLevelType w:val="hybridMultilevel"/>
    <w:lvl w:ilvl="0">
      <w:lvlJc w:val="left"/>
      <w:lvlText w:val="(%1)"/>
      <w:numFmt w:val="decimal"/>
      <w:start w:val="1"/>
    </w:lvl>
  </w:abstractNum>
  <w:abstractNum w:abstractNumId="234">
    <w:nsid w:val="62A5D5BD"/>
    <w:multiLevelType w:val="hybridMultilevel"/>
    <w:lvl w:ilvl="0">
      <w:lvlJc w:val="left"/>
      <w:lvlText w:val="(%1)"/>
      <w:numFmt w:val="decimal"/>
      <w:start w:val="1"/>
    </w:lvl>
  </w:abstractNum>
  <w:abstractNum w:abstractNumId="235">
    <w:nsid w:val="718FABF9"/>
    <w:multiLevelType w:val="hybridMultilevel"/>
    <w:lvl w:ilvl="0">
      <w:lvlJc w:val="left"/>
      <w:lvlText w:val="(%1)"/>
      <w:numFmt w:val="decimal"/>
      <w:start w:val="1"/>
    </w:lvl>
  </w:abstractNum>
  <w:abstractNum w:abstractNumId="236">
    <w:nsid w:val="7775797C"/>
    <w:multiLevelType w:val="hybridMultilevel"/>
    <w:lvl w:ilvl="0">
      <w:lvlJc w:val="left"/>
      <w:lvlText w:val="(%1)"/>
      <w:numFmt w:val="decimal"/>
      <w:start w:val="1"/>
    </w:lvl>
  </w:abstractNum>
  <w:abstractNum w:abstractNumId="237">
    <w:nsid w:val="1626FB8C"/>
    <w:multiLevelType w:val="hybridMultilevel"/>
    <w:lvl w:ilvl="0">
      <w:lvlJc w:val="left"/>
      <w:lvlText w:val="(%1)"/>
      <w:numFmt w:val="decimal"/>
      <w:start w:val="1"/>
    </w:lvl>
    <w:lvl w:ilvl="1">
      <w:lvlJc w:val="left"/>
      <w:lvlText w:val="(%2)"/>
      <w:numFmt w:val="lowerLetter"/>
      <w:start w:val="1"/>
    </w:lvl>
  </w:abstractNum>
  <w:abstractNum w:abstractNumId="238">
    <w:nsid w:val="3957756A"/>
    <w:multiLevelType w:val="hybridMultilevel"/>
    <w:lvl w:ilvl="0">
      <w:lvlJc w:val="left"/>
      <w:lvlText w:val="(%1)"/>
      <w:numFmt w:val="decimal"/>
      <w:start w:val="1"/>
    </w:lvl>
  </w:abstractNum>
  <w:abstractNum w:abstractNumId="239">
    <w:nsid w:val="3E6DA1C7"/>
    <w:multiLevelType w:val="hybridMultilevel"/>
    <w:lvl w:ilvl="0">
      <w:lvlJc w:val="left"/>
      <w:lvlText w:val="(%1)"/>
      <w:numFmt w:val="decimal"/>
      <w:start w:val="1"/>
    </w:lvl>
  </w:abstractNum>
  <w:abstractNum w:abstractNumId="240">
    <w:nsid w:val="65CA235B"/>
    <w:multiLevelType w:val="hybridMultilevel"/>
    <w:lvl w:ilvl="0">
      <w:lvlJc w:val="left"/>
      <w:lvlText w:val="(%1)"/>
      <w:numFmt w:val="decimal"/>
      <w:start w:val="1"/>
    </w:lvl>
  </w:abstractNum>
  <w:abstractNum w:abstractNumId="241">
    <w:nsid w:val="51CB0DA4"/>
    <w:multiLevelType w:val="hybridMultilevel"/>
    <w:lvl w:ilvl="0">
      <w:lvlJc w:val="left"/>
      <w:lvlText w:val="(%1)"/>
      <w:numFmt w:val="decimal"/>
      <w:start w:val="1"/>
    </w:lvl>
  </w:abstractNum>
  <w:abstractNum w:abstractNumId="242">
    <w:nsid w:val="7B9B743C"/>
    <w:multiLevelType w:val="hybridMultilevel"/>
    <w:lvl w:ilvl="0">
      <w:lvlJc w:val="left"/>
      <w:lvlText w:val="(%1)"/>
      <w:numFmt w:val="decimal"/>
      <w:start w:val="1"/>
    </w:lvl>
  </w:abstractNum>
  <w:abstractNum w:abstractNumId="243">
    <w:nsid w:val="13E21002"/>
    <w:multiLevelType w:val="hybridMultilevel"/>
    <w:lvl w:ilvl="0">
      <w:lvlJc w:val="left"/>
      <w:lvlText w:val="(%1)"/>
      <w:numFmt w:val="decimal"/>
      <w:start w:val="1"/>
    </w:lvl>
  </w:abstractNum>
  <w:abstractNum w:abstractNumId="244">
    <w:nsid w:val="257D63F4"/>
    <w:multiLevelType w:val="hybridMultilevel"/>
    <w:lvl w:ilvl="0">
      <w:lvlJc w:val="left"/>
      <w:lvlText w:val="(%1)"/>
      <w:numFmt w:val="decimal"/>
      <w:start w:val="1"/>
    </w:lvl>
  </w:abstractNum>
  <w:abstractNum w:abstractNumId="245">
    <w:nsid w:val="70EC11B2"/>
    <w:multiLevelType w:val="hybridMultilevel"/>
    <w:lvl w:ilvl="0">
      <w:lvlJc w:val="left"/>
      <w:lvlText w:val="(%1)"/>
      <w:numFmt w:val="decimal"/>
      <w:start w:val="1"/>
    </w:lvl>
  </w:abstractNum>
  <w:abstractNum w:abstractNumId="246">
    <w:nsid w:val="2EDA00ED"/>
    <w:multiLevelType w:val="hybridMultilevel"/>
    <w:lvl w:ilvl="0">
      <w:lvlJc w:val="left"/>
      <w:lvlText w:val="(%1)"/>
      <w:numFmt w:val="decimal"/>
      <w:start w:val="1"/>
    </w:lvl>
  </w:abstractNum>
  <w:abstractNum w:abstractNumId="247">
    <w:nsid w:val="73209072"/>
    <w:multiLevelType w:val="hybridMultilevel"/>
    <w:lvl w:ilvl="0">
      <w:lvlJc w:val="left"/>
      <w:lvlText w:val="(%1)"/>
      <w:numFmt w:val="decimal"/>
      <w:start w:val="1"/>
    </w:lvl>
  </w:abstractNum>
  <w:abstractNum w:abstractNumId="248">
    <w:nsid w:val="5FB29816"/>
    <w:multiLevelType w:val="hybridMultilevel"/>
    <w:lvl w:ilvl="0">
      <w:lvlJc w:val="left"/>
      <w:lvlText w:val="(%1)"/>
      <w:numFmt w:val="decimal"/>
      <w:start w:val="1"/>
    </w:lvl>
  </w:abstractNum>
  <w:abstractNum w:abstractNumId="249">
    <w:nsid w:val="3CE732EC"/>
    <w:multiLevelType w:val="hybridMultilevel"/>
    <w:lvl w:ilvl="0">
      <w:lvlJc w:val="left"/>
      <w:lvlText w:val="(%1)"/>
      <w:numFmt w:val="decimal"/>
      <w:start w:val="2"/>
    </w:lvl>
  </w:abstractNum>
  <w:abstractNum w:abstractNumId="250">
    <w:nsid w:val="22F13DF3"/>
    <w:multiLevelType w:val="hybridMultilevel"/>
    <w:lvl w:ilvl="0">
      <w:lvlJc w:val="left"/>
      <w:lvlText w:val="(%1)"/>
      <w:numFmt w:val="decimal"/>
      <w:start w:val="1"/>
    </w:lvl>
  </w:abstractNum>
  <w:abstractNum w:abstractNumId="251">
    <w:nsid w:val="792B8401"/>
    <w:multiLevelType w:val="hybridMultilevel"/>
    <w:lvl w:ilvl="0">
      <w:lvlJc w:val="left"/>
      <w:lvlText w:val="(%1)"/>
      <w:numFmt w:val="decimal"/>
      <w:start w:val="1"/>
    </w:lvl>
  </w:abstractNum>
  <w:abstractNum w:abstractNumId="252">
    <w:nsid w:val="FA85F4D"/>
    <w:multiLevelType w:val="hybridMultilevel"/>
    <w:lvl w:ilvl="0">
      <w:lvlJc w:val="left"/>
      <w:lvlText w:val="(%1)"/>
      <w:numFmt w:val="decimal"/>
      <w:start w:val="1"/>
    </w:lvl>
  </w:abstractNum>
  <w:abstractNum w:abstractNumId="253">
    <w:nsid w:val="6ECE91F0"/>
    <w:multiLevelType w:val="hybridMultilevel"/>
    <w:lvl w:ilvl="0">
      <w:lvlJc w:val="left"/>
      <w:lvlText w:val="(%1)"/>
      <w:numFmt w:val="decimal"/>
      <w:start w:val="4"/>
    </w:lvl>
  </w:abstractNum>
  <w:abstractNum w:abstractNumId="254">
    <w:nsid w:val="4FC4D600"/>
    <w:multiLevelType w:val="hybridMultilevel"/>
    <w:lvl w:ilvl="0">
      <w:lvlJc w:val="left"/>
      <w:lvlText w:val="(%1)"/>
      <w:numFmt w:val="decimal"/>
      <w:start w:val="1"/>
    </w:lvl>
  </w:abstractNum>
  <w:abstractNum w:abstractNumId="255">
    <w:nsid w:val="5BFD4210"/>
    <w:multiLevelType w:val="hybridMultilevel"/>
    <w:lvl w:ilvl="0">
      <w:lvlJc w:val="left"/>
      <w:lvlText w:val="(%1)"/>
      <w:numFmt w:val="decimal"/>
      <w:start w:val="1"/>
    </w:lvl>
    <w:lvl w:ilvl="1">
      <w:lvlJc w:val="left"/>
      <w:lvlText w:val="(%2)"/>
      <w:numFmt w:val="lowerLetter"/>
      <w:start w:val="1"/>
    </w:lvl>
  </w:abstractNum>
  <w:abstractNum w:abstractNumId="256">
    <w:nsid w:val="76574F8B"/>
    <w:multiLevelType w:val="hybridMultilevel"/>
    <w:lvl w:ilvl="0">
      <w:lvlJc w:val="left"/>
      <w:lvlText w:val="(%1)"/>
      <w:numFmt w:val="decimal"/>
      <w:start w:val="2"/>
    </w:lvl>
  </w:abstractNum>
  <w:abstractNum w:abstractNumId="257">
    <w:nsid w:val="178F7B67"/>
    <w:multiLevelType w:val="hybridMultilevel"/>
    <w:lvl w:ilvl="0">
      <w:lvlJc w:val="left"/>
      <w:lvlText w:val="%1"/>
      <w:numFmt w:val="decimal"/>
      <w:start w:val="1"/>
    </w:lvl>
    <w:lvl w:ilvl="1">
      <w:lvlJc w:val="left"/>
      <w:lvlText w:val="(%2)"/>
      <w:numFmt w:val="lowerLetter"/>
      <w:start w:val="1"/>
    </w:lvl>
  </w:abstractNum>
  <w:abstractNum w:abstractNumId="258">
    <w:nsid w:val="2421DFCF"/>
    <w:multiLevelType w:val="hybridMultilevel"/>
    <w:lvl w:ilvl="0">
      <w:lvlJc w:val="left"/>
      <w:lvlText w:val="(%1)"/>
      <w:numFmt w:val="decimal"/>
      <w:start w:val="4"/>
    </w:lvl>
    <w:lvl w:ilvl="1">
      <w:lvlJc w:val="left"/>
      <w:lvlText w:val="%2"/>
      <w:numFmt w:val="lowerLetter"/>
      <w:start w:val="1"/>
    </w:lvl>
  </w:abstractNum>
  <w:abstractNum w:abstractNumId="259">
    <w:nsid w:val="1565AC99"/>
    <w:multiLevelType w:val="hybridMultilevel"/>
    <w:lvl w:ilvl="0">
      <w:lvlJc w:val="left"/>
      <w:lvlText w:val="(%1)"/>
      <w:numFmt w:val="decimal"/>
      <w:start w:val="1"/>
    </w:lvl>
    <w:lvl w:ilvl="1">
      <w:lvlJc w:val="left"/>
      <w:lvlText w:val="(%2)"/>
      <w:numFmt w:val="lowerLetter"/>
      <w:start w:val="1"/>
    </w:lvl>
  </w:abstractNum>
  <w:abstractNum w:abstractNumId="260">
    <w:nsid w:val="19FB2650"/>
    <w:multiLevelType w:val="hybridMultilevel"/>
    <w:lvl w:ilvl="0">
      <w:lvlJc w:val="left"/>
      <w:lvlText w:val="(%1)"/>
      <w:numFmt w:val="decimal"/>
      <w:start w:val="10"/>
    </w:lvl>
  </w:abstractNum>
  <w:abstractNum w:abstractNumId="261">
    <w:nsid w:val="5024DE5B"/>
    <w:multiLevelType w:val="hybridMultilevel"/>
    <w:lvl w:ilvl="0">
      <w:lvlJc w:val="left"/>
      <w:lvlText w:val="(%1)"/>
      <w:numFmt w:val="decimal"/>
      <w:start w:val="11"/>
    </w:lvl>
    <w:lvl w:ilvl="1">
      <w:lvlJc w:val="left"/>
      <w:lvlText w:val="(%2)"/>
      <w:numFmt w:val="lowerLetter"/>
      <w:start w:val="1"/>
    </w:lvl>
  </w:abstractNum>
  <w:abstractNum w:abstractNumId="262">
    <w:nsid w:val="168EFE17"/>
    <w:multiLevelType w:val="hybridMultilevel"/>
    <w:lvl w:ilvl="0">
      <w:lvlJc w:val="left"/>
      <w:lvlText w:val="(%1)"/>
      <w:numFmt w:val="decimal"/>
      <w:start w:val="20"/>
    </w:lvl>
  </w:abstractNum>
  <w:abstractNum w:abstractNumId="263">
    <w:nsid w:val="1036B29F"/>
    <w:multiLevelType w:val="hybridMultilevel"/>
    <w:lvl w:ilvl="0">
      <w:lvlJc w:val="left"/>
      <w:lvlText w:val="(%1)"/>
      <w:numFmt w:val="decimal"/>
      <w:start w:val="1"/>
    </w:lvl>
  </w:abstractNum>
  <w:abstractNum w:abstractNumId="264">
    <w:nsid w:val="1D206B8E"/>
    <w:multiLevelType w:val="hybridMultilevel"/>
    <w:lvl w:ilvl="0">
      <w:lvlJc w:val="left"/>
      <w:lvlText w:val="(%1)"/>
      <w:numFmt w:val="decimal"/>
      <w:start w:val="1"/>
    </w:lvl>
  </w:abstractNum>
  <w:abstractNum w:abstractNumId="265">
    <w:nsid w:val="7934D3D4"/>
    <w:multiLevelType w:val="hybridMultilevel"/>
    <w:lvl w:ilvl="0">
      <w:lvlJc w:val="left"/>
      <w:lvlText w:val="(%1)"/>
      <w:numFmt w:val="decimal"/>
      <w:start w:val="2"/>
    </w:lvl>
  </w:abstractNum>
  <w:abstractNum w:abstractNumId="266">
    <w:nsid w:val="1C65E98"/>
    <w:multiLevelType w:val="hybridMultilevel"/>
    <w:lvl w:ilvl="0">
      <w:lvlJc w:val="left"/>
      <w:lvlText w:val="(%1)"/>
      <w:numFmt w:val="decimal"/>
      <w:start w:val="1"/>
    </w:lvl>
  </w:abstractNum>
  <w:abstractNum w:abstractNumId="267">
    <w:nsid w:val="1495E50A"/>
    <w:multiLevelType w:val="hybridMultilevel"/>
    <w:lvl w:ilvl="0">
      <w:lvlJc w:val="left"/>
      <w:lvlText w:val="(%1)"/>
      <w:numFmt w:val="decimal"/>
      <w:start w:val="1"/>
    </w:lvl>
  </w:abstractNum>
  <w:abstractNum w:abstractNumId="268">
    <w:nsid w:val="F5BCF61"/>
    <w:multiLevelType w:val="hybridMultilevel"/>
    <w:lvl w:ilvl="0">
      <w:lvlJc w:val="left"/>
      <w:lvlText w:val="(%1)"/>
      <w:numFmt w:val="decimal"/>
      <w:start w:val="1"/>
    </w:lvl>
  </w:abstractNum>
  <w:abstractNum w:abstractNumId="269">
    <w:nsid w:val="3B1DD403"/>
    <w:multiLevelType w:val="hybridMultilevel"/>
    <w:lvl w:ilvl="0">
      <w:lvlJc w:val="left"/>
      <w:lvlText w:val="(%1)"/>
      <w:numFmt w:val="decimal"/>
      <w:start w:val="1"/>
    </w:lvl>
  </w:abstractNum>
  <w:abstractNum w:abstractNumId="270">
    <w:nsid w:val="530386D1"/>
    <w:multiLevelType w:val="hybridMultilevel"/>
    <w:lvl w:ilvl="0">
      <w:lvlJc w:val="left"/>
      <w:lvlText w:val="(%1)"/>
      <w:numFmt w:val="decimal"/>
      <w:start w:val="1"/>
    </w:lvl>
  </w:abstractNum>
  <w:abstractNum w:abstractNumId="271">
    <w:nsid w:val="7525F2BC"/>
    <w:multiLevelType w:val="hybridMultilevel"/>
    <w:lvl w:ilvl="0">
      <w:lvlJc w:val="left"/>
      <w:lvlText w:val="(%1)"/>
      <w:numFmt w:val="decimal"/>
      <w:start w:val="1"/>
    </w:lvl>
  </w:abstractNum>
  <w:abstractNum w:abstractNumId="272">
    <w:nsid w:val="CE8E1A7"/>
    <w:multiLevelType w:val="hybridMultilevel"/>
    <w:lvl w:ilvl="0">
      <w:lvlJc w:val="left"/>
      <w:lvlText w:val="(%1)"/>
      <w:numFmt w:val="decimal"/>
      <w:start w:val="1"/>
    </w:lvl>
  </w:abstractNum>
  <w:abstractNum w:abstractNumId="273">
    <w:nsid w:val="4E9EFB0D"/>
    <w:multiLevelType w:val="hybridMultilevel"/>
    <w:lvl w:ilvl="0">
      <w:lvlJc w:val="left"/>
      <w:lvlText w:val="(%1)"/>
      <w:numFmt w:val="decimal"/>
      <w:start w:val="2"/>
    </w:lvl>
  </w:abstractNum>
  <w:abstractNum w:abstractNumId="274">
    <w:nsid w:val="90802BE"/>
    <w:multiLevelType w:val="hybridMultilevel"/>
    <w:lvl w:ilvl="0">
      <w:lvlJc w:val="left"/>
      <w:lvlText w:val="(%1)"/>
      <w:numFmt w:val="decimal"/>
      <w:start w:val="1"/>
    </w:lvl>
  </w:abstractNum>
  <w:abstractNum w:abstractNumId="275">
    <w:nsid w:val="3266459B"/>
    <w:multiLevelType w:val="hybridMultilevel"/>
    <w:lvl w:ilvl="0">
      <w:lvlJc w:val="left"/>
      <w:lvlText w:val="(%1)"/>
      <w:numFmt w:val="decimal"/>
      <w:start w:val="3"/>
    </w:lvl>
  </w:abstractNum>
  <w:abstractNum w:abstractNumId="276">
    <w:nsid w:val="3F8B0CBF"/>
    <w:multiLevelType w:val="hybridMultilevel"/>
    <w:lvl w:ilvl="0">
      <w:lvlJc w:val="left"/>
      <w:lvlText w:val="(%1)"/>
      <w:numFmt w:val="decimal"/>
      <w:start w:val="1"/>
    </w:lvl>
  </w:abstractNum>
  <w:abstractNum w:abstractNumId="277">
    <w:nsid w:val="37E203AB"/>
    <w:multiLevelType w:val="hybridMultilevel"/>
    <w:lvl w:ilvl="0">
      <w:lvlJc w:val="left"/>
      <w:lvlText w:val="(%1)"/>
      <w:numFmt w:val="decimal"/>
      <w:start w:val="1"/>
    </w:lvl>
  </w:abstractNum>
  <w:abstractNum w:abstractNumId="278">
    <w:nsid w:val="2586D60E"/>
    <w:multiLevelType w:val="hybridMultilevel"/>
    <w:lvl w:ilvl="0">
      <w:lvlJc w:val="left"/>
      <w:lvlText w:val="•"/>
      <w:numFmt w:val="bullet"/>
      <w:start w:val="1"/>
    </w:lvl>
  </w:abstractNum>
  <w:abstractNum w:abstractNumId="279">
    <w:nsid w:val="1F3DA4D5"/>
    <w:multiLevelType w:val="hybridMultilevel"/>
    <w:lvl w:ilvl="0">
      <w:lvlJc w:val="left"/>
      <w:lvlText w:val="•"/>
      <w:numFmt w:val="bullet"/>
      <w:start w:val="1"/>
    </w:lvl>
  </w:abstractNum>
  <w:abstractNum w:abstractNumId="280">
    <w:nsid w:val="74C93698"/>
    <w:multiLevelType w:val="hybridMultilevel"/>
    <w:lvl w:ilvl="0">
      <w:lvlJc w:val="left"/>
      <w:lvlText w:val="•"/>
      <w:numFmt w:val="bullet"/>
      <w:start w:val="1"/>
    </w:lvl>
  </w:abstractNum>
  <w:abstractNum w:abstractNumId="281">
    <w:nsid w:val="48781401"/>
    <w:multiLevelType w:val="hybridMultilevel"/>
    <w:lvl w:ilvl="0">
      <w:lvlJc w:val="left"/>
      <w:lvlText w:val="•"/>
      <w:numFmt w:val="bullet"/>
      <w:start w:val="1"/>
    </w:lvl>
  </w:abstractNum>
  <w:abstractNum w:abstractNumId="282">
    <w:nsid w:val="186928D6"/>
    <w:multiLevelType w:val="hybridMultilevel"/>
    <w:lvl w:ilvl="0">
      <w:lvlJc w:val="left"/>
      <w:lvlText w:val="•"/>
      <w:numFmt w:val="bullet"/>
      <w:start w:val="1"/>
    </w:lvl>
  </w:abstractNum>
  <w:abstractNum w:abstractNumId="283">
    <w:nsid w:val="47195E5"/>
    <w:multiLevelType w:val="hybridMultilevel"/>
    <w:lvl w:ilvl="0">
      <w:lvlJc w:val="left"/>
      <w:lvlText w:val="•"/>
      <w:numFmt w:val="bullet"/>
      <w:start w:val="1"/>
    </w:lvl>
  </w:abstractNum>
  <w:abstractNum w:abstractNumId="284">
    <w:nsid w:val="3746A5F2"/>
    <w:multiLevelType w:val="hybridMultilevel"/>
    <w:lvl w:ilvl="0">
      <w:lvlJc w:val="left"/>
      <w:lvlText w:val="•"/>
      <w:numFmt w:val="bullet"/>
      <w:start w:val="1"/>
    </w:lvl>
  </w:abstractNum>
  <w:abstractNum w:abstractNumId="285">
    <w:nsid w:val="682DFED6"/>
    <w:multiLevelType w:val="hybridMultilevel"/>
    <w:lvl w:ilvl="0">
      <w:lvlJc w:val="left"/>
      <w:lvlText w:val="•"/>
      <w:numFmt w:val="bullet"/>
      <w:start w:val="1"/>
    </w:lvl>
  </w:abstractNum>
  <w:abstractNum w:abstractNumId="286">
    <w:nsid w:val="606ED7F6"/>
    <w:multiLevelType w:val="hybridMultilevel"/>
    <w:lvl w:ilvl="0">
      <w:lvlJc w:val="left"/>
      <w:lvlText w:val="•"/>
      <w:numFmt w:val="bullet"/>
      <w:start w:val="1"/>
    </w:lvl>
  </w:abstractNum>
  <w:abstractNum w:abstractNumId="287">
    <w:nsid w:val="2D9DF57D"/>
    <w:multiLevelType w:val="hybridMultilevel"/>
    <w:lvl w:ilvl="0">
      <w:lvlJc w:val="left"/>
      <w:lvlText w:val="•"/>
      <w:numFmt w:val="bullet"/>
      <w:start w:val="1"/>
    </w:lvl>
  </w:abstractNum>
  <w:abstractNum w:abstractNumId="288">
    <w:nsid w:val="7FBD7A3E"/>
    <w:multiLevelType w:val="hybridMultilevel"/>
    <w:lvl w:ilvl="0">
      <w:lvlJc w:val="left"/>
      <w:lvlText w:val="•"/>
      <w:numFmt w:val="bullet"/>
      <w:start w:val="1"/>
    </w:lvl>
  </w:abstractNum>
  <w:abstractNum w:abstractNumId="289">
    <w:nsid w:val="490B7C5"/>
    <w:multiLevelType w:val="hybridMultilevel"/>
    <w:lvl w:ilvl="0">
      <w:lvlJc w:val="left"/>
      <w:lvlText w:val="•"/>
      <w:numFmt w:val="bullet"/>
      <w:start w:val="1"/>
    </w:lvl>
  </w:abstractNum>
  <w:abstractNum w:abstractNumId="290">
    <w:nsid w:val="4303A216"/>
    <w:multiLevelType w:val="hybridMultilevel"/>
    <w:lvl w:ilvl="0">
      <w:lvlJc w:val="left"/>
      <w:lvlText w:val="•"/>
      <w:numFmt w:val="bullet"/>
      <w:start w:val="1"/>
    </w:lvl>
    <w:lvl w:ilvl="1">
      <w:lvlJc w:val="left"/>
      <w:lvlText w:val="(%2)"/>
      <w:numFmt w:val="decimal"/>
      <w:start w:val="1"/>
    </w:lvl>
  </w:abstractNum>
  <w:abstractNum w:abstractNumId="291">
    <w:nsid w:val="19B8A08E"/>
    <w:multiLevelType w:val="hybridMultilevel"/>
    <w:lvl w:ilvl="0">
      <w:lvlJc w:val="left"/>
      <w:lvlText w:val="•"/>
      <w:numFmt w:val="bullet"/>
      <w:start w:val="1"/>
    </w:lvl>
    <w:lvl w:ilvl="1">
      <w:lvlJc w:val="left"/>
      <w:lvlText w:val="(%2)"/>
      <w:numFmt w:val="decimal"/>
      <w:start w:val="1"/>
    </w:lvl>
  </w:abstractNum>
  <w:abstractNum w:abstractNumId="292">
    <w:nsid w:val="54B59621"/>
    <w:multiLevelType w:val="hybridMultilevel"/>
    <w:lvl w:ilvl="0">
      <w:lvlJc w:val="left"/>
      <w:lvlText w:val="•"/>
      <w:numFmt w:val="bullet"/>
      <w:start w:val="1"/>
    </w:lvl>
    <w:lvl w:ilvl="1">
      <w:lvlJc w:val="left"/>
      <w:lvlText w:val="(%2)"/>
      <w:numFmt w:val="decimal"/>
      <w:start w:val="3"/>
    </w:lvl>
  </w:abstractNum>
  <w:abstractNum w:abstractNumId="293">
    <w:nsid w:val="5992A02E"/>
    <w:multiLevelType w:val="hybridMultilevel"/>
    <w:lvl w:ilvl="0">
      <w:lvlJc w:val="left"/>
      <w:lvlText w:val="•"/>
      <w:numFmt w:val="bullet"/>
      <w:start w:val="1"/>
    </w:lvl>
  </w:abstractNum>
  <w:abstractNum w:abstractNumId="294">
    <w:nsid w:val="29EF532D"/>
    <w:multiLevelType w:val="hybridMultilevel"/>
    <w:lvl w:ilvl="0">
      <w:lvlJc w:val="left"/>
      <w:lvlText w:val="•"/>
      <w:numFmt w:val="bullet"/>
      <w:start w:val="1"/>
    </w:lvl>
  </w:abstractNum>
  <w:abstractNum w:abstractNumId="295">
    <w:nsid w:val="71D601AF"/>
    <w:multiLevelType w:val="hybridMultilevel"/>
    <w:lvl w:ilvl="0">
      <w:lvlJc w:val="left"/>
      <w:lvlText w:val="•"/>
      <w:numFmt w:val="bullet"/>
      <w:start w:val="1"/>
    </w:lvl>
  </w:abstractNum>
  <w:abstractNum w:abstractNumId="296">
    <w:nsid w:val="52C77402"/>
    <w:multiLevelType w:val="hybridMultilevel"/>
    <w:lvl w:ilvl="0">
      <w:lvlJc w:val="left"/>
      <w:lvlText w:val="•"/>
      <w:numFmt w:val="bullet"/>
      <w:start w:val="1"/>
    </w:lvl>
  </w:abstractNum>
  <w:abstractNum w:abstractNumId="297">
    <w:nsid w:val="2BB5B1C6"/>
    <w:multiLevelType w:val="hybridMultilevel"/>
    <w:lvl w:ilvl="0">
      <w:lvlJc w:val="left"/>
      <w:lvlText w:val="•"/>
      <w:numFmt w:val="bullet"/>
      <w:start w:val="1"/>
    </w:lvl>
    <w:lvl w:ilvl="1">
      <w:lvlJc w:val="left"/>
      <w:lvlText w:val="•"/>
      <w:numFmt w:val="bullet"/>
      <w:start w:val="1"/>
    </w:lvl>
  </w:abstractNum>
  <w:abstractNum w:abstractNumId="298">
    <w:nsid w:val="66BE6B9"/>
    <w:multiLevelType w:val="hybridMultilevel"/>
    <w:lvl w:ilvl="0">
      <w:lvlJc w:val="left"/>
      <w:lvlText w:val="•"/>
      <w:numFmt w:val="bullet"/>
      <w:start w:val="1"/>
    </w:lvl>
  </w:abstractNum>
  <w:abstractNum w:abstractNumId="299">
    <w:nsid w:val="62234363"/>
    <w:multiLevelType w:val="hybridMultilevel"/>
    <w:lvl w:ilvl="0">
      <w:lvlJc w:val="left"/>
      <w:lvlText w:val="•"/>
      <w:numFmt w:val="bullet"/>
      <w:start w:val="1"/>
    </w:lvl>
  </w:abstractNum>
  <w:abstractNum w:abstractNumId="300">
    <w:nsid w:val="66D385C9"/>
    <w:multiLevelType w:val="hybridMultilevel"/>
    <w:lvl w:ilvl="0">
      <w:lvlJc w:val="left"/>
      <w:lvlText w:val="•"/>
      <w:numFmt w:val="bullet"/>
      <w:start w:val="1"/>
    </w:lvl>
  </w:abstractNum>
  <w:abstractNum w:abstractNumId="301">
    <w:nsid w:val="596F6D8A"/>
    <w:multiLevelType w:val="hybridMultilevel"/>
    <w:lvl w:ilvl="0">
      <w:lvlJc w:val="left"/>
      <w:lvlText w:val="•"/>
      <w:numFmt w:val="bullet"/>
      <w:start w:val="1"/>
    </w:lvl>
  </w:abstractNum>
  <w:abstractNum w:abstractNumId="302">
    <w:nsid w:val="5749361F"/>
    <w:multiLevelType w:val="hybridMultilevel"/>
    <w:lvl w:ilvl="0">
      <w:lvlJc w:val="left"/>
      <w:lvlText w:val="•"/>
      <w:numFmt w:val="bullet"/>
      <w:start w:val="1"/>
    </w:lvl>
  </w:abstractNum>
  <w:abstractNum w:abstractNumId="303">
    <w:nsid w:val="73BC6770"/>
    <w:multiLevelType w:val="hybridMultilevel"/>
    <w:lvl w:ilvl="0">
      <w:lvlJc w:val="left"/>
      <w:lvlText w:val="•"/>
      <w:numFmt w:val="bullet"/>
      <w:start w:val="1"/>
    </w:lvl>
  </w:abstractNum>
  <w:abstractNum w:abstractNumId="304">
    <w:nsid w:val="280E6897"/>
    <w:multiLevelType w:val="hybridMultilevel"/>
    <w:lvl w:ilvl="0">
      <w:lvlJc w:val="left"/>
      <w:lvlText w:val="•"/>
      <w:numFmt w:val="bullet"/>
      <w:start w:val="1"/>
    </w:lvl>
  </w:abstractNum>
  <w:abstractNum w:abstractNumId="305">
    <w:nsid w:val="605138DE"/>
    <w:multiLevelType w:val="hybridMultilevel"/>
    <w:lvl w:ilvl="0">
      <w:lvlJc w:val="left"/>
      <w:lvlText w:val="(%1)"/>
      <w:numFmt w:val="decimal"/>
      <w:start w:val="2"/>
    </w:lvl>
  </w:abstractNum>
  <w:abstractNum w:abstractNumId="306">
    <w:nsid w:val="2622AD0C"/>
    <w:multiLevelType w:val="hybridMultilevel"/>
    <w:lvl w:ilvl="0">
      <w:lvlJc w:val="left"/>
      <w:lvlText w:val="•"/>
      <w:numFmt w:val="bullet"/>
      <w:start w:val="1"/>
    </w:lvl>
  </w:abstractNum>
  <w:abstractNum w:abstractNumId="307">
    <w:nsid w:val="67997556"/>
    <w:multiLevelType w:val="hybridMultilevel"/>
    <w:lvl w:ilvl="0">
      <w:lvlJc w:val="left"/>
      <w:lvlText w:val="•"/>
      <w:numFmt w:val="bullet"/>
      <w:start w:val="1"/>
    </w:lvl>
  </w:abstractNum>
  <w:abstractNum w:abstractNumId="308">
    <w:nsid w:val="18333C89"/>
    <w:multiLevelType w:val="hybridMultilevel"/>
    <w:lvl w:ilvl="0">
      <w:lvlJc w:val="left"/>
      <w:lvlText w:val="•"/>
      <w:numFmt w:val="bullet"/>
      <w:start w:val="1"/>
    </w:lvl>
  </w:abstractNum>
  <w:abstractNum w:abstractNumId="309">
    <w:nsid w:val="4BA9831A"/>
    <w:multiLevelType w:val="hybridMultilevel"/>
    <w:lvl w:ilvl="0">
      <w:lvlJc w:val="left"/>
      <w:lvlText w:val="•"/>
      <w:numFmt w:val="bullet"/>
      <w:start w:val="1"/>
    </w:lvl>
  </w:abstractNum>
  <w:abstractNum w:abstractNumId="310">
    <w:nsid w:val="6D71A2B"/>
    <w:multiLevelType w:val="hybridMultilevel"/>
    <w:lvl w:ilvl="0">
      <w:lvlJc w:val="left"/>
      <w:lvlText w:val="•"/>
      <w:numFmt w:val="bullet"/>
      <w:start w:val="1"/>
    </w:lvl>
    <w:lvl w:ilvl="1">
      <w:lvlJc w:val="left"/>
      <w:lvlText w:val="(%2)"/>
      <w:numFmt w:val="decimal"/>
      <w:start w:val="1"/>
    </w:lvl>
  </w:abstractNum>
  <w:abstractNum w:abstractNumId="311">
    <w:nsid w:val="CFC7321"/>
    <w:multiLevelType w:val="hybridMultilevel"/>
    <w:lvl w:ilvl="0">
      <w:lvlJc w:val="left"/>
      <w:lvlText w:val="•"/>
      <w:numFmt w:val="bullet"/>
      <w:start w:val="1"/>
    </w:lvl>
  </w:abstractNum>
  <w:abstractNum w:abstractNumId="312">
    <w:nsid w:val="1421971B"/>
    <w:multiLevelType w:val="hybridMultilevel"/>
    <w:lvl w:ilvl="0">
      <w:lvlJc w:val="left"/>
      <w:lvlText w:val="•"/>
      <w:numFmt w:val="bullet"/>
      <w:start w:val="1"/>
    </w:lvl>
  </w:abstractNum>
  <w:abstractNum w:abstractNumId="313">
    <w:nsid w:val="1F404301"/>
    <w:multiLevelType w:val="hybridMultilevel"/>
    <w:lvl w:ilvl="0">
      <w:lvlJc w:val="left"/>
      <w:lvlText w:val="•"/>
      <w:numFmt w:val="bullet"/>
      <w:start w:val="1"/>
    </w:lvl>
  </w:abstractNum>
  <w:abstractNum w:abstractNumId="314">
    <w:nsid w:val="116E0907"/>
    <w:multiLevelType w:val="hybridMultilevel"/>
    <w:lvl w:ilvl="0">
      <w:lvlJc w:val="left"/>
      <w:lvlText w:val="•"/>
      <w:numFmt w:val="bullet"/>
      <w:start w:val="1"/>
    </w:lvl>
  </w:abstractNum>
  <w:abstractNum w:abstractNumId="315">
    <w:nsid w:val="4B683D0D"/>
    <w:multiLevelType w:val="hybridMultilevel"/>
    <w:lvl w:ilvl="0">
      <w:lvlJc w:val="left"/>
      <w:lvlText w:val="•"/>
      <w:numFmt w:val="bullet"/>
      <w:start w:val="1"/>
    </w:lvl>
  </w:abstractNum>
  <w:abstractNum w:abstractNumId="316">
    <w:nsid w:val="76E41D8"/>
    <w:multiLevelType w:val="hybridMultilevel"/>
    <w:lvl w:ilvl="0">
      <w:lvlJc w:val="left"/>
      <w:lvlText w:val="•"/>
      <w:numFmt w:val="bullet"/>
      <w:start w:val="1"/>
    </w:lvl>
  </w:abstractNum>
  <w:abstractNum w:abstractNumId="317">
    <w:nsid w:val="71DCE0FD"/>
    <w:multiLevelType w:val="hybridMultilevel"/>
    <w:lvl w:ilvl="0">
      <w:lvlJc w:val="left"/>
      <w:lvlText w:val="(%1)"/>
      <w:numFmt w:val="decimal"/>
      <w:start w:val="1"/>
    </w:lvl>
  </w:abstractNum>
  <w:abstractNum w:abstractNumId="318">
    <w:nsid w:val="7906328B"/>
    <w:multiLevelType w:val="hybridMultilevel"/>
    <w:lvl w:ilvl="0">
      <w:lvlJc w:val="left"/>
      <w:lvlText w:val="(%1)"/>
      <w:numFmt w:val="upperLetter"/>
      <w:start w:val="1"/>
    </w:lvl>
  </w:abstractNum>
  <w:abstractNum w:abstractNumId="319">
    <w:nsid w:val="72BBC16"/>
    <w:multiLevelType w:val="hybridMultilevel"/>
    <w:lvl w:ilvl="0">
      <w:lvlJc w:val="left"/>
      <w:lvlText w:val="(%1)"/>
      <w:numFmt w:val="lowerRoman"/>
      <w:start w:val="1"/>
    </w:lvl>
  </w:abstractNum>
  <w:abstractNum w:abstractNumId="320">
    <w:nsid w:val="766D98C2"/>
    <w:multiLevelType w:val="hybridMultilevel"/>
    <w:lvl w:ilvl="0">
      <w:lvlJc w:val="left"/>
      <w:lvlText w:val="$"/>
      <w:numFmt w:val="bullet"/>
      <w:start w:val="1"/>
    </w:lvl>
  </w:abstractNum>
  <w:abstractNum w:abstractNumId="321">
    <w:nsid w:val="3C09D4A1"/>
    <w:multiLevelType w:val="hybridMultilevel"/>
    <w:lvl w:ilvl="0">
      <w:lvlJc w:val="left"/>
      <w:lvlText w:val="(%1)"/>
      <w:numFmt w:val="lowerLetter"/>
      <w:start w:val="1"/>
    </w:lvl>
    <w:lvl w:ilvl="1">
      <w:lvlJc w:val="left"/>
      <w:lvlText w:val="(%2)"/>
      <w:numFmt w:val="lowerRoman"/>
      <w:start w:val="1"/>
    </w:lvl>
  </w:abstractNum>
  <w:abstractNum w:abstractNumId="322">
    <w:nsid w:val="20E45CA4"/>
    <w:multiLevelType w:val="hybridMultilevel"/>
    <w:lvl w:ilvl="0">
      <w:lvlJc w:val="left"/>
      <w:lvlText w:val="(%1)"/>
      <w:numFmt w:val="lowerRoman"/>
      <w:start w:val="2"/>
    </w:lvl>
  </w:abstractNum>
  <w:abstractNum w:abstractNumId="323">
    <w:nsid w:val="4B232EE3"/>
    <w:multiLevelType w:val="hybridMultilevel"/>
    <w:lvl w:ilvl="0">
      <w:lvlJc w:val="left"/>
      <w:lvlText w:val="%1."/>
      <w:numFmt w:val="decimal"/>
      <w:start w:val="1"/>
    </w:lvl>
  </w:abstractNum>
  <w:abstractNum w:abstractNumId="324">
    <w:nsid w:val="159C74CF"/>
    <w:multiLevelType w:val="hybridMultilevel"/>
    <w:lvl w:ilvl="0">
      <w:lvlJc w:val="left"/>
      <w:lvlText w:val="%1."/>
      <w:numFmt w:val="lowerLetter"/>
      <w:start w:val="1"/>
    </w:lvl>
  </w:abstractNum>
  <w:abstractNum w:abstractNumId="325">
    <w:nsid w:val="4AD3AFD2"/>
    <w:multiLevelType w:val="hybridMultilevel"/>
    <w:lvl w:ilvl="0">
      <w:lvlJc w:val="left"/>
      <w:lvlText w:val="%1."/>
      <w:numFmt w:val="lowerLetter"/>
      <w:start w:val="2"/>
    </w:lvl>
  </w:abstractNum>
  <w:abstractNum w:abstractNumId="326">
    <w:nsid w:val="3CF93092"/>
    <w:multiLevelType w:val="hybridMultilevel"/>
    <w:lvl w:ilvl="0">
      <w:lvlJc w:val="left"/>
      <w:lvlText w:val="%1."/>
      <w:numFmt w:val="lowerLetter"/>
      <w:start w:val="3"/>
    </w:lvl>
  </w:abstractNum>
  <w:abstractNum w:abstractNumId="327">
    <w:nsid w:val="6863E8D2"/>
    <w:multiLevelType w:val="hybridMultilevel"/>
    <w:lvl w:ilvl="0">
      <w:lvlJc w:val="left"/>
      <w:lvlText w:val="%1."/>
      <w:numFmt w:val="lowerLetter"/>
      <w:start w:val="4"/>
    </w:lvl>
  </w:abstractNum>
  <w:abstractNum w:abstractNumId="328">
    <w:nsid w:val="76896198"/>
    <w:multiLevelType w:val="hybridMultilevel"/>
    <w:lvl w:ilvl="0">
      <w:lvlJc w:val="left"/>
      <w:lvlText w:val="%1."/>
      <w:numFmt w:val="lowerLetter"/>
      <w:start w:val="5"/>
    </w:lvl>
  </w:abstractNum>
  <w:abstractNum w:abstractNumId="329">
    <w:nsid w:val="4365174B"/>
    <w:multiLevelType w:val="hybridMultilevel"/>
    <w:lvl w:ilvl="0">
      <w:lvlJc w:val="left"/>
      <w:lvlText w:val="%1."/>
      <w:numFmt w:val="lowerLetter"/>
      <w:start w:val="6"/>
    </w:lvl>
  </w:abstractNum>
  <w:abstractNum w:abstractNumId="330">
    <w:nsid w:val="4A872C35"/>
    <w:multiLevelType w:val="hybridMultilevel"/>
    <w:lvl w:ilvl="0">
      <w:lvlJc w:val="left"/>
      <w:lvlText w:val="%1."/>
      <w:numFmt w:val="lowerLetter"/>
      <w:start w:val="7"/>
    </w:lvl>
  </w:abstractNum>
  <w:abstractNum w:abstractNumId="331">
    <w:nsid w:val="5D5CE761"/>
    <w:multiLevelType w:val="hybridMultilevel"/>
    <w:lvl w:ilvl="0">
      <w:lvlJc w:val="left"/>
      <w:lvlText w:val="%1."/>
      <w:numFmt w:val="lowerLetter"/>
      <w:start w:val="8"/>
    </w:lvl>
  </w:abstractNum>
  <w:abstractNum w:abstractNumId="332">
    <w:nsid w:val="1CD484D5"/>
    <w:multiLevelType w:val="hybridMultilevel"/>
    <w:lvl w:ilvl="0">
      <w:lvlJc w:val="left"/>
      <w:lvlText w:val="%1."/>
      <w:numFmt w:val="lowerRoman"/>
      <w:start w:val="1"/>
    </w:lvl>
  </w:abstractNum>
  <w:abstractNum w:abstractNumId="333">
    <w:nsid w:val="21D06255"/>
    <w:multiLevelType w:val="hybridMultilevel"/>
    <w:lvl w:ilvl="0">
      <w:lvlJc w:val="left"/>
      <w:lvlText w:val="%1."/>
      <w:numFmt w:val="lowerLetter"/>
      <w:start w:val="10"/>
    </w:lvl>
  </w:abstractNum>
  <w:abstractNum w:abstractNumId="334">
    <w:nsid w:val="51194ED1"/>
    <w:multiLevelType w:val="hybridMultilevel"/>
    <w:lvl w:ilvl="0">
      <w:lvlJc w:val="left"/>
      <w:lvlText w:val="%1."/>
      <w:numFmt w:val="lowerLetter"/>
      <w:start w:val="11"/>
    </w:lvl>
  </w:abstractNum>
  <w:abstractNum w:abstractNumId="335">
    <w:nsid w:val="44E2ED6C"/>
    <w:multiLevelType w:val="hybridMultilevel"/>
    <w:lvl w:ilvl="0">
      <w:lvlJc w:val="left"/>
      <w:lvlText w:val="%1."/>
      <w:numFmt w:val="lowerLetter"/>
      <w:start w:val="12"/>
    </w:lvl>
  </w:abstractNum>
  <w:abstractNum w:abstractNumId="336">
    <w:nsid w:val="2219B33"/>
    <w:multiLevelType w:val="hybridMultilevel"/>
    <w:lvl w:ilvl="0">
      <w:lvlJc w:val="left"/>
      <w:lvlText w:val="%1."/>
      <w:numFmt w:val="lowerLetter"/>
      <w:start w:val="13"/>
    </w:lvl>
  </w:abstractNum>
  <w:abstractNum w:abstractNumId="337">
    <w:nsid w:val="773BFBDD"/>
    <w:multiLevelType w:val="hybridMultilevel"/>
    <w:lvl w:ilvl="0">
      <w:lvlJc w:val="left"/>
      <w:lvlText w:val="%1."/>
      <w:numFmt w:val="lowerLetter"/>
      <w:start w:val="14"/>
    </w:lvl>
  </w:abstractNum>
  <w:abstractNum w:abstractNumId="338">
    <w:nsid w:val="2C7C62C2"/>
    <w:multiLevelType w:val="hybridMultilevel"/>
    <w:lvl w:ilvl="0">
      <w:lvlJc w:val="left"/>
      <w:lvlText w:val="%1."/>
      <w:numFmt w:val="lowerLetter"/>
      <w:start w:val="15"/>
    </w:lvl>
  </w:abstractNum>
  <w:abstractNum w:abstractNumId="339">
    <w:nsid w:val="1A54D7BC"/>
    <w:multiLevelType w:val="hybridMultilevel"/>
    <w:lvl w:ilvl="0">
      <w:lvlJc w:val="left"/>
      <w:lvlText w:val="%1."/>
      <w:numFmt w:val="lowerLetter"/>
      <w:start w:val="16"/>
    </w:lvl>
  </w:abstractNum>
  <w:abstractNum w:abstractNumId="340">
    <w:nsid w:val="42E57EF7"/>
    <w:multiLevelType w:val="hybridMultilevel"/>
    <w:lvl w:ilvl="0">
      <w:lvlJc w:val="left"/>
      <w:lvlText w:val="%1."/>
      <w:numFmt w:val="lowerLetter"/>
      <w:start w:val="17"/>
    </w:lvl>
  </w:abstractNum>
  <w:abstractNum w:abstractNumId="341">
    <w:nsid w:val="33537CED"/>
    <w:multiLevelType w:val="hybridMultilevel"/>
    <w:lvl w:ilvl="0">
      <w:lvlJc w:val="left"/>
      <w:lvlText w:val="%1."/>
      <w:numFmt w:val="lowerLetter"/>
      <w:start w:val="18"/>
    </w:lvl>
  </w:abstractNum>
  <w:abstractNum w:abstractNumId="342">
    <w:nsid w:val="27514ADE"/>
    <w:multiLevelType w:val="hybridMultilevel"/>
    <w:lvl w:ilvl="0">
      <w:lvlJc w:val="left"/>
      <w:lvlText w:val="%1."/>
      <w:numFmt w:val="decimal"/>
      <w:start w:val="2"/>
    </w:lvl>
  </w:abstractNum>
  <w:abstractNum w:abstractNumId="343">
    <w:nsid w:val="57071613"/>
    <w:multiLevelType w:val="hybridMultilevel"/>
    <w:lvl w:ilvl="0">
      <w:lvlJc w:val="left"/>
      <w:lvlText w:val="%1."/>
      <w:numFmt w:val="decimal"/>
      <w:start w:val="3"/>
    </w:lvl>
  </w:abstractNum>
  <w:abstractNum w:abstractNumId="344">
    <w:nsid w:val="5293BFEF"/>
    <w:multiLevelType w:val="hybridMultilevel"/>
    <w:lvl w:ilvl="0">
      <w:lvlJc w:val="left"/>
      <w:lvlText w:val="%1."/>
      <w:numFmt w:val="decimal"/>
      <w:start w:val="5"/>
    </w:lvl>
  </w:abstractNum>
  <w:abstractNum w:abstractNumId="345">
    <w:nsid w:val="38BF53E5"/>
    <w:multiLevelType w:val="hybridMultilevel"/>
    <w:lvl w:ilvl="0">
      <w:lvlJc w:val="left"/>
      <w:lvlText w:val="%1."/>
      <w:numFmt w:val="decimal"/>
      <w:start w:val="6"/>
    </w:lvl>
  </w:abstractNum>
  <w:abstractNum w:abstractNumId="346">
    <w:nsid w:val="226F5320"/>
    <w:multiLevelType w:val="hybridMultilevel"/>
    <w:lvl w:ilvl="0">
      <w:lvlJc w:val="left"/>
      <w:lvlText w:val="%1."/>
      <w:numFmt w:val="decimal"/>
      <w:start w:val="8"/>
    </w:lvl>
  </w:abstractNum>
  <w:abstractNum w:abstractNumId="347">
    <w:nsid w:val="5A0201C7"/>
    <w:multiLevelType w:val="hybridMultilevel"/>
    <w:lvl w:ilvl="0">
      <w:lvlJc w:val="left"/>
      <w:lvlText w:val="%1."/>
      <w:numFmt w:val="lowerLetter"/>
      <w:start w:val="1"/>
    </w:lvl>
  </w:abstractNum>
  <w:abstractNum w:abstractNumId="348">
    <w:nsid w:val="2A9C34E2"/>
    <w:multiLevelType w:val="hybridMultilevel"/>
    <w:lvl w:ilvl="0">
      <w:lvlJc w:val="left"/>
      <w:lvlText w:val="%1."/>
      <w:numFmt w:val="lowerLetter"/>
      <w:start w:val="2"/>
    </w:lvl>
  </w:abstractNum>
  <w:abstractNum w:abstractNumId="349">
    <w:nsid w:val="1B7585AB"/>
    <w:multiLevelType w:val="hybridMultilevel"/>
    <w:lvl w:ilvl="0">
      <w:lvlJc w:val="left"/>
      <w:lvlText w:val="%1."/>
      <w:numFmt w:val="lowerLetter"/>
      <w:start w:val="3"/>
    </w:lvl>
  </w:abstractNum>
  <w:abstractNum w:abstractNumId="350">
    <w:nsid w:val="612DBDDD"/>
    <w:multiLevelType w:val="hybridMultilevel"/>
    <w:lvl w:ilvl="0">
      <w:lvlJc w:val="left"/>
      <w:lvlText w:val="%1."/>
      <w:numFmt w:val="lowerLetter"/>
      <w:start w:val="4"/>
    </w:lvl>
  </w:abstractNum>
  <w:abstractNum w:abstractNumId="351">
    <w:nsid w:val="2109CDA4"/>
    <w:multiLevelType w:val="hybridMultilevel"/>
    <w:lvl w:ilvl="0">
      <w:lvlJc w:val="left"/>
      <w:lvlText w:val="%1."/>
      <w:numFmt w:val="lowerLetter"/>
      <w:start w:val="5"/>
    </w:lvl>
  </w:abstractNum>
  <w:abstractNum w:abstractNumId="352">
    <w:nsid w:val="577F5A4D"/>
    <w:multiLevelType w:val="hybridMultilevel"/>
    <w:lvl w:ilvl="0">
      <w:lvlJc w:val="left"/>
      <w:lvlText w:val="%1."/>
      <w:numFmt w:val="lowerLetter"/>
      <w:start w:val="6"/>
    </w:lvl>
  </w:abstractNum>
  <w:abstractNum w:abstractNumId="353">
    <w:nsid w:val="2121A81"/>
    <w:multiLevelType w:val="hybridMultilevel"/>
    <w:lvl w:ilvl="0">
      <w:lvlJc w:val="left"/>
      <w:lvlText w:val="%1."/>
      <w:numFmt w:val="decimal"/>
      <w:start w:val="9"/>
    </w:lvl>
  </w:abstractNum>
  <w:abstractNum w:abstractNumId="354">
    <w:nsid w:val="6C2CFC88"/>
    <w:multiLevelType w:val="hybridMultilevel"/>
    <w:lvl w:ilvl="0">
      <w:lvlJc w:val="left"/>
      <w:lvlText w:val="%1."/>
      <w:numFmt w:val="decimal"/>
      <w:start w:val="10"/>
    </w:lvl>
  </w:abstractNum>
  <w:abstractNum w:abstractNumId="355">
    <w:nsid w:val="6D1BCF1C"/>
    <w:multiLevelType w:val="hybridMultilevel"/>
    <w:lvl w:ilvl="0">
      <w:lvlJc w:val="left"/>
      <w:lvlText w:val="%1."/>
      <w:numFmt w:val="lowerLetter"/>
      <w:start w:val="1"/>
    </w:lvl>
  </w:abstractNum>
  <w:abstractNum w:abstractNumId="356">
    <w:nsid w:val="4CE5CA53"/>
    <w:multiLevelType w:val="hybridMultilevel"/>
    <w:lvl w:ilvl="0">
      <w:lvlJc w:val="left"/>
      <w:lvlText w:val="%1."/>
      <w:numFmt w:val="lowerLetter"/>
      <w:start w:val="2"/>
    </w:lvl>
  </w:abstractNum>
  <w:abstractNum w:abstractNumId="357">
    <w:nsid w:val="29262D1A"/>
    <w:multiLevelType w:val="hybridMultilevel"/>
    <w:lvl w:ilvl="0">
      <w:lvlJc w:val="left"/>
      <w:lvlText w:val="%1."/>
      <w:numFmt w:val="lowerLetter"/>
      <w:start w:val="3"/>
    </w:lvl>
  </w:abstractNum>
  <w:abstractNum w:abstractNumId="358">
    <w:nsid w:val="557FB7EE"/>
    <w:multiLevelType w:val="hybridMultilevel"/>
    <w:lvl w:ilvl="0">
      <w:lvlJc w:val="left"/>
      <w:lvlText w:val="%1."/>
      <w:numFmt w:val="lowerLetter"/>
      <w:start w:val="4"/>
    </w:lvl>
  </w:abstractNum>
  <w:abstractNum w:abstractNumId="359">
    <w:nsid w:val="436F2BEB"/>
    <w:multiLevelType w:val="hybridMultilevel"/>
    <w:lvl w:ilvl="0">
      <w:lvlJc w:val="left"/>
      <w:lvlText w:val="%1."/>
      <w:numFmt w:val="decimal"/>
      <w:start w:val="11"/>
    </w:lvl>
  </w:abstractNum>
  <w:abstractNum w:abstractNumId="360">
    <w:nsid w:val="6C8B4466"/>
    <w:multiLevelType w:val="hybridMultilevel"/>
    <w:lvl w:ilvl="0">
      <w:lvlJc w:val="left"/>
      <w:lvlText w:val="%1."/>
      <w:numFmt w:val="decimal"/>
      <w:start w:val="1"/>
    </w:lvl>
  </w:abstractNum>
  <w:abstractNum w:abstractNumId="361">
    <w:nsid w:val="2006E424"/>
    <w:multiLevelType w:val="hybridMultilevel"/>
    <w:lvl w:ilvl="0">
      <w:lvlJc w:val="left"/>
      <w:lvlText w:val="%1."/>
      <w:numFmt w:val="lowerLetter"/>
      <w:start w:val="1"/>
    </w:lvl>
  </w:abstractNum>
  <w:abstractNum w:abstractNumId="362">
    <w:nsid w:val="20CC134C"/>
    <w:multiLevelType w:val="hybridMultilevel"/>
    <w:lvl w:ilvl="0">
      <w:lvlJc w:val="left"/>
      <w:lvlText w:val="%1."/>
      <w:numFmt w:val="lowerLetter"/>
      <w:start w:val="2"/>
    </w:lvl>
  </w:abstractNum>
  <w:abstractNum w:abstractNumId="363">
    <w:nsid w:val="95FC93B"/>
    <w:multiLevelType w:val="hybridMultilevel"/>
    <w:lvl w:ilvl="0">
      <w:lvlJc w:val="left"/>
      <w:lvlText w:val="%1."/>
      <w:numFmt w:val="lowerLetter"/>
      <w:start w:val="3"/>
    </w:lvl>
  </w:abstractNum>
  <w:abstractNum w:abstractNumId="364">
    <w:nsid w:val="41D74679"/>
    <w:multiLevelType w:val="hybridMultilevel"/>
    <w:lvl w:ilvl="0">
      <w:lvlJc w:val="left"/>
      <w:lvlText w:val="%1."/>
      <w:numFmt w:val="lowerLetter"/>
      <w:start w:val="4"/>
    </w:lvl>
  </w:abstractNum>
  <w:abstractNum w:abstractNumId="365">
    <w:nsid w:val="71E5621E"/>
    <w:multiLevelType w:val="hybridMultilevel"/>
    <w:lvl w:ilvl="0">
      <w:lvlJc w:val="left"/>
      <w:lvlText w:val="%1."/>
      <w:numFmt w:val="lowerLetter"/>
      <w:start w:val="5"/>
    </w:lvl>
  </w:abstractNum>
  <w:abstractNum w:abstractNumId="366">
    <w:nsid w:val="4E42B6A8"/>
    <w:multiLevelType w:val="hybridMultilevel"/>
    <w:lvl w:ilvl="0">
      <w:lvlJc w:val="left"/>
      <w:lvlText w:val="%1."/>
      <w:numFmt w:val="lowerLetter"/>
      <w:start w:val="6"/>
    </w:lvl>
  </w:abstractNum>
  <w:abstractNum w:abstractNumId="367">
    <w:nsid w:val="43F8E1AC"/>
    <w:multiLevelType w:val="hybridMultilevel"/>
    <w:lvl w:ilvl="0">
      <w:lvlJc w:val="left"/>
      <w:lvlText w:val="%1."/>
      <w:numFmt w:val="lowerLetter"/>
      <w:start w:val="7"/>
    </w:lvl>
  </w:abstractNum>
  <w:abstractNum w:abstractNumId="368">
    <w:nsid w:val="69215DFB"/>
    <w:multiLevelType w:val="hybridMultilevel"/>
    <w:lvl w:ilvl="0">
      <w:lvlJc w:val="left"/>
      <w:lvlText w:val="%1."/>
      <w:numFmt w:val="lowerLetter"/>
      <w:start w:val="8"/>
    </w:lvl>
  </w:abstractNum>
  <w:abstractNum w:abstractNumId="369">
    <w:nsid w:val="7ABF196A"/>
    <w:multiLevelType w:val="hybridMultilevel"/>
    <w:lvl w:ilvl="0">
      <w:lvlJc w:val="left"/>
      <w:lvlText w:val="%1."/>
      <w:numFmt w:val="lowerRoman"/>
      <w:start w:val="1"/>
    </w:lvl>
  </w:abstractNum>
  <w:abstractNum w:abstractNumId="370">
    <w:nsid w:val="5E4DB968"/>
    <w:multiLevelType w:val="hybridMultilevel"/>
    <w:lvl w:ilvl="0">
      <w:lvlJc w:val="left"/>
      <w:lvlText w:val="%1."/>
      <w:numFmt w:val="lowerLetter"/>
      <w:start w:val="10"/>
    </w:lvl>
  </w:abstractNum>
  <w:abstractNum w:abstractNumId="371">
    <w:nsid w:val="2C06DCF3"/>
    <w:multiLevelType w:val="hybridMultilevel"/>
    <w:lvl w:ilvl="0">
      <w:lvlJc w:val="left"/>
      <w:lvlText w:val="%1."/>
      <w:numFmt w:val="lowerLetter"/>
      <w:start w:val="10"/>
    </w:lvl>
  </w:abstractNum>
  <w:abstractNum w:abstractNumId="372">
    <w:nsid w:val="2E129658"/>
    <w:multiLevelType w:val="hybridMultilevel"/>
    <w:lvl w:ilvl="0">
      <w:lvlJc w:val="left"/>
      <w:lvlText w:val="%1."/>
      <w:numFmt w:val="lowerLetter"/>
      <w:start w:val="11"/>
    </w:lvl>
  </w:abstractNum>
  <w:abstractNum w:abstractNumId="373">
    <w:nsid w:val="59F0446"/>
    <w:multiLevelType w:val="hybridMultilevel"/>
    <w:lvl w:ilvl="0">
      <w:lvlJc w:val="left"/>
      <w:lvlText w:val="%1."/>
      <w:numFmt w:val="lowerLetter"/>
      <w:start w:val="12"/>
    </w:lvl>
  </w:abstractNum>
  <w:abstractNum w:abstractNumId="374">
    <w:nsid w:val="30DF306"/>
    <w:multiLevelType w:val="hybridMultilevel"/>
    <w:lvl w:ilvl="0">
      <w:lvlJc w:val="left"/>
      <w:lvlText w:val="%1."/>
      <w:numFmt w:val="lowerLetter"/>
      <w:start w:val="16"/>
    </w:lvl>
  </w:abstractNum>
  <w:abstractNum w:abstractNumId="375">
    <w:nsid w:val="A65647"/>
    <w:multiLevelType w:val="hybridMultilevel"/>
    <w:lvl w:ilvl="0">
      <w:lvlJc w:val="left"/>
      <w:lvlText w:val="%1."/>
      <w:numFmt w:val="decimal"/>
      <w:start w:val="3"/>
    </w:lvl>
  </w:abstractNum>
  <w:abstractNum w:abstractNumId="376">
    <w:nsid w:val="3E5E582B"/>
    <w:multiLevelType w:val="hybridMultilevel"/>
    <w:lvl w:ilvl="0">
      <w:lvlJc w:val="left"/>
      <w:lvlText w:val="%1."/>
      <w:numFmt w:val="decimal"/>
      <w:start w:val="4"/>
    </w:lvl>
  </w:abstractNum>
  <w:abstractNum w:abstractNumId="377">
    <w:nsid w:val="257D4626"/>
    <w:multiLevelType w:val="hybridMultilevel"/>
    <w:lvl w:ilvl="0">
      <w:lvlJc w:val="left"/>
      <w:lvlText w:val="%1."/>
      <w:numFmt w:val="lowerLetter"/>
      <w:start w:val="1"/>
    </w:lvl>
  </w:abstractNum>
  <w:abstractNum w:abstractNumId="378">
    <w:nsid w:val="5AA8580E"/>
    <w:multiLevelType w:val="hybridMultilevel"/>
    <w:lvl w:ilvl="0">
      <w:lvlJc w:val="left"/>
      <w:lvlText w:val="%1."/>
      <w:numFmt w:val="lowerLetter"/>
      <w:start w:val="2"/>
    </w:lvl>
  </w:abstractNum>
  <w:abstractNum w:abstractNumId="379">
    <w:nsid w:val="68FA8D0D"/>
    <w:multiLevelType w:val="hybridMultilevel"/>
    <w:lvl w:ilvl="0">
      <w:lvlJc w:val="left"/>
      <w:lvlText w:val="%1."/>
      <w:numFmt w:val="lowerLetter"/>
      <w:start w:val="3"/>
    </w:lvl>
  </w:abstractNum>
  <w:abstractNum w:abstractNumId="380">
    <w:nsid w:val="40F2CBD2"/>
    <w:multiLevelType w:val="hybridMultilevel"/>
    <w:lvl w:ilvl="0">
      <w:lvlJc w:val="left"/>
      <w:lvlText w:val="%1."/>
      <w:numFmt w:val="lowerLetter"/>
      <w:start w:val="6"/>
    </w:lvl>
  </w:abstractNum>
  <w:abstractNum w:abstractNumId="381">
    <w:nsid w:val="3BD615EB"/>
    <w:multiLevelType w:val="hybridMultilevel"/>
    <w:lvl w:ilvl="0">
      <w:lvlJc w:val="left"/>
      <w:lvlText w:val="%1."/>
      <w:numFmt w:val="decimal"/>
      <w:start w:val="5"/>
    </w:lvl>
  </w:abstractNum>
  <w:abstractNum w:abstractNumId="382">
    <w:nsid w:val="A045AB2"/>
    <w:multiLevelType w:val="hybridMultilevel"/>
    <w:lvl w:ilvl="0">
      <w:lvlJc w:val="left"/>
      <w:lvlText w:val="%"/>
      <w:numFmt w:val="bullet"/>
      <w:start w:val="1"/>
    </w:lvl>
  </w:abstractNum>
  <w:abstractNum w:abstractNumId="383">
    <w:nsid w:val="1872261F"/>
    <w:multiLevelType w:val="hybridMultilevel"/>
    <w:lvl w:ilvl="0">
      <w:lvlJc w:val="left"/>
      <w:lvlText w:val="*"/>
      <w:numFmt w:val="bullet"/>
      <w:start w:val="1"/>
    </w:lvl>
  </w:abstractNum>
  <w:abstractNum w:abstractNumId="384">
    <w:nsid w:val="3DE8306C"/>
    <w:multiLevelType w:val="hybridMultilevel"/>
    <w:lvl w:ilvl="0">
      <w:lvlJc w:val="left"/>
      <w:lvlText w:val="(%1)"/>
      <w:numFmt w:val="lowerLetter"/>
      <w:start w:val="1"/>
    </w:lvl>
  </w:abstractNum>
  <w:abstractNum w:abstractNumId="385">
    <w:nsid w:val="7631573A"/>
    <w:multiLevelType w:val="hybridMultilevel"/>
    <w:lvl w:ilvl="0">
      <w:lvlJc w:val="left"/>
      <w:lvlText w:val="(%1)"/>
      <w:numFmt w:val="lowerLetter"/>
      <w:start w:val="3"/>
    </w:lvl>
  </w:abstractNum>
  <w:abstractNum w:abstractNumId="386">
    <w:nsid w:val="58DF53B"/>
    <w:multiLevelType w:val="hybridMultilevel"/>
    <w:lvl w:ilvl="0">
      <w:lvlJc w:val="left"/>
      <w:lvlText w:val="(%1)"/>
      <w:numFmt w:val="decimal"/>
    </w:lvl>
    <w:lvl w:ilvl="1">
      <w:lvlJc w:val="left"/>
      <w:lvlText w:val="*"/>
      <w:numFmt w:val="bullet"/>
      <w:start w:val="1"/>
    </w:lvl>
  </w:abstractNum>
  <w:abstractNum w:abstractNumId="387">
    <w:nsid w:val="ACDFAC0"/>
    <w:multiLevelType w:val="hybridMultilevel"/>
    <w:lvl w:ilvl="0">
      <w:lvlJc w:val="left"/>
      <w:lvlText w:val="(%1)"/>
      <w:numFmt w:val="decimal"/>
      <w:start w:val="1"/>
    </w:lvl>
  </w:abstractNum>
  <w:abstractNum w:abstractNumId="388">
    <w:nsid w:val="1F578454"/>
    <w:multiLevelType w:val="hybridMultilevel"/>
    <w:lvl w:ilvl="0">
      <w:lvlJc w:val="left"/>
      <w:lvlText w:val="(%1)"/>
      <w:numFmt w:val="decimal"/>
    </w:lvl>
    <w:lvl w:ilvl="1">
      <w:lvlJc w:val="left"/>
      <w:lvlText w:val="*"/>
      <w:numFmt w:val="bullet"/>
      <w:start w:val="1"/>
    </w:lvl>
  </w:abstractNum>
  <w:abstractNum w:abstractNumId="389">
    <w:nsid w:val="5B0DAD2A"/>
    <w:multiLevelType w:val="hybridMultilevel"/>
    <w:lvl w:ilvl="0">
      <w:lvlJc w:val="left"/>
      <w:lvlText w:val="(%1)"/>
      <w:numFmt w:val="decimal"/>
      <w:start w:val="1"/>
    </w:lvl>
  </w:abstractNum>
  <w:abstractNum w:abstractNumId="390">
    <w:nsid w:val="4E3D26AB"/>
    <w:multiLevelType w:val="hybridMultilevel"/>
    <w:lvl w:ilvl="0">
      <w:lvlJc w:val="left"/>
      <w:lvlText w:val="(%1)"/>
      <w:numFmt w:val="decimal"/>
      <w:start w:val="2"/>
    </w:lvl>
  </w:abstractNum>
  <w:abstractNum w:abstractNumId="391">
    <w:nsid w:val="BE2C8BA"/>
    <w:multiLevelType w:val="hybridMultilevel"/>
    <w:lvl w:ilvl="0">
      <w:lvlJc w:val="left"/>
      <w:lvlText w:val="(%1)"/>
      <w:numFmt w:val="decimal"/>
      <w:start w:val="2"/>
    </w:lvl>
  </w:abstractNum>
  <w:abstractNum w:abstractNumId="392">
    <w:nsid w:val="7B14914E"/>
    <w:multiLevelType w:val="hybridMultilevel"/>
    <w:lvl w:ilvl="0">
      <w:lvlJc w:val="left"/>
      <w:lvlText w:val="(%1)"/>
      <w:numFmt w:val="decimal"/>
      <w:start w:val="2"/>
    </w:lvl>
  </w:abstractNum>
  <w:abstractNum w:abstractNumId="393">
    <w:nsid w:val="6F0939F8"/>
    <w:multiLevelType w:val="hybridMultilevel"/>
    <w:lvl w:ilvl="0">
      <w:lvlJc w:val="left"/>
      <w:lvlText w:val="(%1)"/>
      <w:numFmt w:val="decimal"/>
      <w:start w:val="2"/>
    </w:lvl>
  </w:abstractNum>
  <w:abstractNum w:abstractNumId="394">
    <w:nsid w:val="154291F6"/>
    <w:multiLevelType w:val="hybridMultilevel"/>
    <w:lvl w:ilvl="0">
      <w:lvlJc w:val="left"/>
      <w:lvlText w:val="(%1)"/>
      <w:numFmt w:val="decimal"/>
      <w:start w:val="2"/>
    </w:lvl>
  </w:abstractNum>
  <w:abstractNum w:abstractNumId="395">
    <w:nsid w:val="3CEBD7C7"/>
    <w:multiLevelType w:val="hybridMultilevel"/>
    <w:lvl w:ilvl="0">
      <w:lvlJc w:val="left"/>
      <w:lvlText w:val="(%1)"/>
      <w:numFmt w:val="decimal"/>
      <w:start w:val="2"/>
    </w:lvl>
  </w:abstractNum>
  <w:abstractNum w:abstractNumId="396">
    <w:nsid w:val="60EE9C1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2019-12-15T07:57:57Z</dcterms:created>
  <dcterms:modified xsi:type="dcterms:W3CDTF">2019-12-15T07:57:57Z</dcterms:modified>
</cp:coreProperties>
</file>