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Date of Report (Date of earliest event reported): June 9,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720" w:type="dxa"/>
            <w:vAlign w:val="bottom"/>
          </w:tcPr>
          <w:p>
            <w:pPr>
              <w:jc w:val="center"/>
              <w:ind w:right="1086"/>
              <w:spacing w:after="0"/>
              <w:rPr>
                <w:sz w:val="20"/>
                <w:szCs w:val="20"/>
                <w:color w:val="auto"/>
              </w:rPr>
            </w:pPr>
            <w:r>
              <w:rPr>
                <w:rFonts w:ascii="Arial" w:cs="Arial" w:eastAsia="Arial" w:hAnsi="Arial"/>
                <w:sz w:val="18"/>
                <w:szCs w:val="18"/>
                <w:b w:val="1"/>
                <w:bCs w:val="1"/>
                <w:color w:val="auto"/>
                <w:w w:val="87"/>
              </w:rPr>
              <w:t>Nevada</w:t>
            </w:r>
          </w:p>
        </w:tc>
        <w:tc>
          <w:tcPr>
            <w:tcW w:w="3940" w:type="dxa"/>
            <w:vAlign w:val="bottom"/>
          </w:tcPr>
          <w:p>
            <w:pPr>
              <w:jc w:val="right"/>
              <w:ind w:right="1542"/>
              <w:spacing w:after="0"/>
              <w:rPr>
                <w:sz w:val="20"/>
                <w:szCs w:val="20"/>
                <w:color w:val="auto"/>
              </w:rPr>
            </w:pPr>
            <w:r>
              <w:rPr>
                <w:rFonts w:ascii="Arial" w:cs="Arial" w:eastAsia="Arial" w:hAnsi="Arial"/>
                <w:sz w:val="18"/>
                <w:szCs w:val="18"/>
                <w:b w:val="1"/>
                <w:bCs w:val="1"/>
                <w:color w:val="auto"/>
              </w:rPr>
              <w:t>000-50028</w:t>
            </w:r>
          </w:p>
        </w:tc>
        <w:tc>
          <w:tcPr>
            <w:tcW w:w="2280" w:type="dxa"/>
            <w:vAlign w:val="bottom"/>
          </w:tcPr>
          <w:p>
            <w:pPr>
              <w:jc w:val="center"/>
              <w:ind w:left="116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2720" w:type="dxa"/>
            <w:vAlign w:val="bottom"/>
          </w:tcPr>
          <w:p>
            <w:pPr>
              <w:jc w:val="center"/>
              <w:ind w:right="110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280" w:type="dxa"/>
            <w:vAlign w:val="bottom"/>
          </w:tcPr>
          <w:p>
            <w:pPr>
              <w:jc w:val="center"/>
              <w:ind w:left="11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720" w:type="dxa"/>
            <w:vAlign w:val="bottom"/>
          </w:tcPr>
          <w:p>
            <w:pPr>
              <w:jc w:val="center"/>
              <w:ind w:right="1106"/>
              <w:spacing w:after="0"/>
              <w:rPr>
                <w:sz w:val="20"/>
                <w:szCs w:val="20"/>
                <w:color w:val="auto"/>
              </w:rPr>
            </w:pPr>
            <w:r>
              <w:rPr>
                <w:rFonts w:ascii="Arial" w:cs="Arial" w:eastAsia="Arial" w:hAnsi="Arial"/>
                <w:sz w:val="14"/>
                <w:szCs w:val="14"/>
                <w:b w:val="1"/>
                <w:bCs w:val="1"/>
                <w:color w:val="auto"/>
                <w:w w:val="87"/>
              </w:rPr>
              <w:t>of incorporation)</w:t>
            </w:r>
          </w:p>
        </w:tc>
        <w:tc>
          <w:tcPr>
            <w:tcW w:w="3940" w:type="dxa"/>
            <w:vAlign w:val="bottom"/>
          </w:tcPr>
          <w:p>
            <w:pPr>
              <w:spacing w:after="0"/>
              <w:rPr>
                <w:sz w:val="15"/>
                <w:szCs w:val="15"/>
                <w:color w:val="auto"/>
              </w:rPr>
            </w:pPr>
          </w:p>
        </w:tc>
        <w:tc>
          <w:tcPr>
            <w:tcW w:w="2280" w:type="dxa"/>
            <w:vAlign w:val="bottom"/>
          </w:tcPr>
          <w:p>
            <w:pPr>
              <w:jc w:val="center"/>
              <w:ind w:left="11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163195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600"/>
          </w:cols>
          <w:pgMar w:left="240" w:top="355" w:right="105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333-98369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88-0494878</w:t>
      </w:r>
    </w:p>
    <w:p>
      <w:pPr>
        <w:spacing w:after="0" w:line="56" w:lineRule="exact"/>
        <w:rPr>
          <w:sz w:val="24"/>
          <w:szCs w:val="24"/>
          <w:color w:val="auto"/>
        </w:rPr>
      </w:pPr>
    </w:p>
    <w:p>
      <w:pPr>
        <w:sectPr>
          <w:pgSz w:w="11900" w:h="16838" w:orient="portrait"/>
          <w:cols w:equalWidth="0" w:num="3">
            <w:col w:w="4740" w:space="720"/>
            <w:col w:w="3000" w:space="720"/>
            <w:col w:w="1420"/>
          </w:cols>
          <w:pgMar w:left="240" w:top="355" w:right="105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540"/>
          </w:cols>
          <w:pgMar w:left="240" w:top="355" w:right="1059" w:bottom="1440" w:gutter="0" w:footer="0" w:header="0"/>
          <w:type w:val="continuous"/>
        </w:sectPr>
      </w:pPr>
    </w:p>
    <w:p>
      <w:pPr>
        <w:jc w:val="center"/>
        <w:ind w:right="2000"/>
        <w:spacing w:after="0"/>
        <w:rPr>
          <w:sz w:val="20"/>
          <w:szCs w:val="20"/>
          <w:color w:val="auto"/>
        </w:rPr>
      </w:pPr>
      <w:r>
        <w:rPr>
          <w:rFonts w:ascii="Arial" w:cs="Arial" w:eastAsia="Arial" w:hAnsi="Arial"/>
          <w:sz w:val="15"/>
          <w:szCs w:val="15"/>
          <w:b w:val="1"/>
          <w:bCs w:val="1"/>
          <w:color w:val="auto"/>
        </w:rPr>
        <w:t>3131 Las Vegas Boulevard South</w:t>
      </w:r>
    </w:p>
    <w:p>
      <w:pPr>
        <w:spacing w:after="0" w:line="56"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56" w:lineRule="exact"/>
        <w:rPr>
          <w:sz w:val="24"/>
          <w:szCs w:val="24"/>
          <w:color w:val="auto"/>
        </w:rPr>
      </w:pPr>
    </w:p>
    <w:p>
      <w:pPr>
        <w:sectPr>
          <w:pgSz w:w="11900" w:h="16838" w:orient="portrait"/>
          <w:cols w:equalWidth="0" w:num="2">
            <w:col w:w="7740" w:space="720"/>
            <w:col w:w="2140"/>
          </w:cols>
          <w:pgMar w:left="240" w:top="355" w:right="1059" w:bottom="1440" w:gutter="0" w:footer="0" w:header="0"/>
          <w:type w:val="continuous"/>
        </w:sectPr>
      </w:pPr>
    </w:p>
    <w:p>
      <w:pPr>
        <w:ind w:left="1220"/>
        <w:spacing w:after="0"/>
        <w:rPr>
          <w:sz w:val="20"/>
          <w:szCs w:val="20"/>
          <w:color w:val="auto"/>
        </w:rPr>
      </w:pPr>
      <w:r>
        <w:rPr>
          <w:rFonts w:ascii="Arial" w:cs="Arial" w:eastAsia="Arial" w:hAnsi="Arial"/>
          <w:sz w:val="11"/>
          <w:szCs w:val="11"/>
          <w:b w:val="1"/>
          <w:bCs w:val="1"/>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4"/>
          <w:szCs w:val="24"/>
          <w:color w:val="auto"/>
        </w:rPr>
      </w:pPr>
    </w:p>
    <w:p>
      <w:pPr>
        <w:sectPr>
          <w:pgSz w:w="11900" w:h="16838" w:orient="portrait"/>
          <w:cols w:equalWidth="0" w:num="2">
            <w:col w:w="7660" w:space="720"/>
            <w:col w:w="2220"/>
          </w:cols>
          <w:pgMar w:left="240" w:top="355" w:right="1059" w:bottom="1440" w:gutter="0" w:footer="0" w:header="0"/>
          <w:type w:val="continuous"/>
        </w:sectPr>
      </w:pPr>
    </w:p>
    <w:p>
      <w:pPr>
        <w:jc w:val="center"/>
        <w:ind w:right="-8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8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600"/>
          </w:cols>
          <w:pgMar w:left="240" w:top="355" w:right="10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 Other Events.</w:t>
      </w:r>
    </w:p>
    <w:p>
      <w:pPr>
        <w:spacing w:after="0" w:line="83"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 xml:space="preserve">On June 9, 2005, Wynn Las Vegas, LLC (“Wynn Las Vegas”) and Wynn Las Vegas Capital Corp. (together, the “Issuers”), wholly owned subsidiaries of Wynn Resorts, Limited, commenced a solicitation of consents to amend the indenture (the “Indenture”) for their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(the “Notes”). Wynn Las Vegas is concurrently seeking amendments to its credit agreement, dated December 14, 2004 (the “Credit Agreement”), and its master disbursement agreement, dated December 14, 2004 (the “Disbursement Agreement”). The press release of Wynn Resorts, Limited, dated June 9, 2005, is filed herewith as Exhibit 99.1 and incorporated herein by reference.</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Due to demand for the Wynn Las Vegas casino resort, continued strength in the Las Vegas market, and the desire to maximize the potential of their real estate assets, the Issuers continue to enlarge and refine the scope of their Encore at Wynn Las Vegas project (“Encore”). They have elevated Encore to the status of a free standing casino resort which will be fully integrated with Wynn Las Vegas. The purpose of the proposed amendments is to give the Issuers additional time to finalize the scope of Encore.</w:t>
      </w:r>
    </w:p>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Issuers are seeking consents from holders of the Notes to approve amendments to the Indenture that would (i) extend the deadline for approval of the project budget and the plans and specifications relating to the development and construction of Encore from June 30, 2005 to December 31, 2005, subject to further extension to March 31, 2006 if approved by a Majority of the Arrangers (as defined in the Credit Agreement) or the Required Lenders (as defined in the Credit Agreement), and (ii) change the outside date for completion of Encore from March 31, 2008 to the date set forth in the Disbursement Agreement, which is currently December 31, 2008, but may be extended upon the occurrence of an event of Force Majeure (as defined in the Disbursement Agreement) or with the approval of the Required Lenders. Approval of the proposed amendments to the Indenture requires the consent of holders of at least a majority in principal amount of the outstanding Notes. If the proposed amendments are approved, the Issuers will pay a consent fee of $2.50 for each $1,000.00 in principal amount of Notes to holders who have properly furnished, and not revoked, their consent to the amendments prior to the expiration of the consent solicitation.</w:t>
      </w:r>
    </w:p>
    <w:p>
      <w:pPr>
        <w:spacing w:after="0" w:line="105"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The proposed amendment to the Credit Agreement would extend the deadline for approval of Encore from June 30, 2005 to December 31, 2005 (subject to further extension to March 31, 2006 if approved by a Majority of the Arrangers or the Required Lenders). The proposed amendments to the Disbursement Agreement would effect a similar extension of the deadline for approval of Encore, and would make explicit the ability of the Required Lenders to extend the outside dates for opening and completion of Encore. The consent solicitation is conditioned on the effectiveness of these amendments.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83"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920"/>
        <w:spacing w:after="0"/>
        <w:tabs>
          <w:tab w:leader="none" w:pos="17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60325</wp:posOffset>
            </wp:positionV>
            <wp:extent cx="1037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88" w:lineRule="exact"/>
        <w:rPr>
          <w:sz w:val="20"/>
          <w:szCs w:val="20"/>
          <w:color w:val="auto"/>
        </w:rPr>
      </w:pPr>
    </w:p>
    <w:p>
      <w:pPr>
        <w:ind w:left="1020"/>
        <w:spacing w:after="0"/>
        <w:tabs>
          <w:tab w:leader="none" w:pos="1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9, 2005, of Wynn Resorts, Limited.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June 9,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0"/>
          </w:cols>
          <w:pgMar w:left="240" w:top="274" w:right="1119" w:bottom="1440" w:gutter="0" w:footer="0" w:header="0"/>
        </w:sectPr>
      </w:pPr>
    </w:p>
    <w:bookmarkStart w:id="3" w:name="page4"/>
    <w:bookmarkEnd w:id="3"/>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June 9,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Wynn Resorts Holdings, LLC, its sole member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Limited, its sole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0"/>
          </w:cols>
          <w:pgMar w:left="240" w:top="274" w:right="11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Announces Consent Solicitation Related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22"/>
          <w:szCs w:val="22"/>
          <w:b w:val="1"/>
          <w:bCs w:val="1"/>
          <w:color w:val="auto"/>
          <w:vertAlign w:val="superscript"/>
        </w:rPr>
        <w:t>5</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 due 2014</w:t>
      </w:r>
    </w:p>
    <w:p>
      <w:pPr>
        <w:spacing w:after="0" w:line="105"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 xml:space="preserve">Las Vegas, NV — June 9, 2005 — Wynn Resorts, Limited (Nasdaq: WYNN) announced today that its wholly owned subsidiaries, Wynn Las Vegas, LLC and Wynn Las Vegas Capital Corp. (the “Issuers”), have commenced a consent solicitation to amend certain provisions of the indenture relating to their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(the “Notes”).</w:t>
      </w:r>
    </w:p>
    <w:p>
      <w:pPr>
        <w:spacing w:after="0" w:line="144"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Due to demand for Wynn Las Vegas, continued strength in the Las Vegas market, and the desire to maximize the potential of their real estate assets, the Issuers continue to enlarge and refine the scope of their Encore at Wynn Las Vegas project. They have elevated Encore to the status of a free standing casino resort which will be fully integrated with Wynn Las Vegas. The purpose of the proposed amendments is to give the Issuers additional time to finalize the scope of Encore.</w:t>
      </w:r>
    </w:p>
    <w:p>
      <w:pPr>
        <w:spacing w:after="0" w:line="75"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The proposed amendments include: (i) extending the deadline for approval of the budget and the plans and specifications for Encore from June 30, 2005 to December 31, 2005, and (ii) extending the outside date for completion of Encore from March 31, 2008 to December 31, 2008.</w:t>
      </w:r>
    </w:p>
    <w:p>
      <w:pPr>
        <w:spacing w:after="0" w:line="7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Concurrently, the Issuers are also seeking a similar amendment to their credit agreement to extend the deadline for approval of the Encore project under the credit agreement from June 30, 2005 to December 31, 2005. The consent solicitation is conditioned on receiving approval of this amendment from the lenders under the credit agreement.</w:t>
      </w:r>
    </w:p>
    <w:p>
      <w:pPr>
        <w:spacing w:after="0" w:line="12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consent solicitation is being made upon the terms and is subject to the conditions set forth in a Consent Solicitation Statement to be distributed to all holders of record of the Notes. The adoption of the proposed amendments requires the consent of holders of at least a majority in principal amount of the outstanding Notes (the “Requisite Consents”).</w:t>
      </w:r>
    </w:p>
    <w:p>
      <w:pPr>
        <w:spacing w:after="0" w:line="12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Subject to certain conditions, Wynn Las Vegas, LLC will make a consent payment of $2.50 for each $1,000.00 principal amount of Notes to holders who have properly furnished, and not revoked, their consent to the amendments on or prior to June 24, 2005.</w:t>
      </w:r>
    </w:p>
    <w:p>
      <w:pPr>
        <w:spacing w:after="0" w:line="118"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record date for the determination of holders of Notes entitled to give consent is June 7, 2005. The Issuers reserve the right to establish from time to time any new date as the record date and, thereupon, any such new date will be deemed to be the record date for purposes of the consent solicitation.</w:t>
      </w:r>
    </w:p>
    <w:p>
      <w:pPr>
        <w:spacing w:after="0" w:line="7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Issuers have engaged Deutsche Bank Securities Inc., Banc of America Securities LLC, Bear, Stearns &amp; Co. Inc., J.P. Morgan Securities Inc. and SG Americas Securities, LLC to act as solicitation agents in connection with the consent solicitation, and MacKenzie Partners, Inc. to serve as the information agent. Questions regarding the consent solicitation may be directed to: Deutsche Bank Securities Inc. at (800) 553-2826 (U.S. toll-free); Banc of America Securities LLC at (888) 292-0070 (U.S. toll-free); Bear, Stearns &amp; Co. Inc. at (877) 696-BEAR (U.S. toll-free); J.P. Morgan Securities Inc. at (866) 834-4666 (U.S. toll-free); or SG Americas Securities, LLC, at (212) 278-5435 (call collect).</w:t>
      </w:r>
    </w:p>
    <w:p>
      <w:pPr>
        <w:sectPr>
          <w:pgSz w:w="11900" w:h="16838" w:orient="portrait"/>
          <w:cols w:equalWidth="0" w:num="1">
            <w:col w:w="11420"/>
          </w:cols>
          <w:pgMar w:left="240" w:top="125" w:right="239" w:bottom="1440" w:gutter="0" w:footer="0" w:header="0"/>
        </w:sectPr>
      </w:pPr>
    </w:p>
    <w:bookmarkStart w:id="5" w:name="page6"/>
    <w:bookmarkEnd w:id="5"/>
    <w:p>
      <w:pPr>
        <w:ind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Copies of the Consent Solicitation Statement and the Letter of Consent can be obtained by contacting the information agent, MacKenzie Partners, Inc., by telephone at (800) 322-2885 (U.S. toll-free), or in writing at 105 Madison Avenue, New York, NY 10016.</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Wynn Resorts is traded on the Nasdaq stock exchange under the ticker symbol “WYNN” and, since December 2004, it has been part of the NASDAQ-100 Index. Wynn Las Vegas, a luxury hotel and destination casino resort located on the Las Vegas Strip, opened to the public on April 28, 2005. Wynn Las Vegas features 2,716 luxurious guest rooms and suites; an 111,000 square foot casino; 22 food and beverage outlets; an on-site 18-hole golf course; approximately 223,000 square feet of meeting space; an on-site Ferrari and Maserati dealership; and approximately 76,000 square feet of retail space. For more information, visit www.wynnlasvegas.com.</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2019-12-15T08:08:30Z</dcterms:created>
  <dcterms:modified xsi:type="dcterms:W3CDTF">2019-12-15T08:08:30Z</dcterms:modified>
</cp:coreProperties>
</file>