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 of</w:t>
      </w:r>
    </w:p>
    <w:p>
      <w:pPr>
        <w:jc w:val="center"/>
        <w:ind w:right="-11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Date of Report (Date of Earliest Event Reported):</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May 5, 2008</w:t>
      </w:r>
    </w:p>
    <w:p>
      <w:pPr>
        <w:spacing w:after="0" w:line="200" w:lineRule="exact"/>
        <w:rPr>
          <w:sz w:val="24"/>
          <w:szCs w:val="24"/>
          <w:color w:val="auto"/>
        </w:rPr>
      </w:pPr>
    </w:p>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(Exact Name of Registrant as specified in Charter)</w:t>
      </w:r>
    </w:p>
    <w:p>
      <w:pPr>
        <w:spacing w:after="0" w:line="221" w:lineRule="exact"/>
        <w:rPr>
          <w:sz w:val="24"/>
          <w:szCs w:val="24"/>
          <w:color w:val="auto"/>
        </w:rPr>
      </w:pPr>
    </w:p>
    <w:tbl>
      <w:tblPr>
        <w:tblLayout w:type="fixed"/>
        <w:tblInd w:w="820" w:type="dxa"/>
        <w:tblCellMar>
          <w:top w:w="0" w:type="dxa"/>
          <w:left w:w="0" w:type="dxa"/>
          <w:bottom w:w="0" w:type="dxa"/>
          <w:right w:w="0" w:type="dxa"/>
        </w:tblCellMar>
      </w:tblPr>
      <w:tr>
        <w:trPr>
          <w:trHeight w:val="236"/>
        </w:trPr>
        <w:tc>
          <w:tcPr>
            <w:tcW w:w="2300" w:type="dxa"/>
            <w:vAlign w:val="bottom"/>
          </w:tcPr>
          <w:p>
            <w:pPr>
              <w:jc w:val="center"/>
              <w:ind w:right="41"/>
              <w:spacing w:after="0"/>
              <w:rPr>
                <w:sz w:val="20"/>
                <w:szCs w:val="20"/>
                <w:color w:val="auto"/>
              </w:rPr>
            </w:pPr>
            <w:r>
              <w:rPr>
                <w:rFonts w:ascii="Arial" w:cs="Arial" w:eastAsia="Arial" w:hAnsi="Arial"/>
                <w:sz w:val="20"/>
                <w:szCs w:val="20"/>
                <w:b w:val="1"/>
                <w:bCs w:val="1"/>
                <w:color w:val="auto"/>
                <w:w w:val="89"/>
              </w:rPr>
              <w:t>Nevada</w:t>
            </w:r>
          </w:p>
        </w:tc>
        <w:tc>
          <w:tcPr>
            <w:tcW w:w="5300" w:type="dxa"/>
            <w:vAlign w:val="bottom"/>
          </w:tcPr>
          <w:p>
            <w:pPr>
              <w:jc w:val="center"/>
              <w:spacing w:after="0"/>
              <w:rPr>
                <w:sz w:val="20"/>
                <w:szCs w:val="20"/>
                <w:color w:val="auto"/>
              </w:rPr>
            </w:pPr>
            <w:r>
              <w:rPr>
                <w:rFonts w:ascii="Arial" w:cs="Arial" w:eastAsia="Arial" w:hAnsi="Arial"/>
                <w:sz w:val="20"/>
                <w:szCs w:val="20"/>
                <w:b w:val="1"/>
                <w:bCs w:val="1"/>
                <w:color w:val="auto"/>
                <w:w w:val="89"/>
              </w:rPr>
              <w:t>000-50028</w:t>
            </w:r>
          </w:p>
        </w:tc>
        <w:tc>
          <w:tcPr>
            <w:tcW w:w="2100" w:type="dxa"/>
            <w:vAlign w:val="bottom"/>
          </w:tcPr>
          <w:p>
            <w:pPr>
              <w:jc w:val="center"/>
              <w:ind w:left="16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2300" w:type="dxa"/>
            <w:vAlign w:val="bottom"/>
          </w:tcPr>
          <w:p>
            <w:pPr>
              <w:jc w:val="center"/>
              <w:ind w:right="61"/>
              <w:spacing w:after="0"/>
              <w:rPr>
                <w:sz w:val="20"/>
                <w:szCs w:val="20"/>
                <w:color w:val="auto"/>
              </w:rPr>
            </w:pPr>
            <w:r>
              <w:rPr>
                <w:rFonts w:ascii="Arial" w:cs="Arial" w:eastAsia="Arial" w:hAnsi="Arial"/>
                <w:sz w:val="20"/>
                <w:szCs w:val="20"/>
                <w:color w:val="auto"/>
                <w:w w:val="89"/>
              </w:rPr>
              <w:t>(State or Other Jurisdiction</w:t>
            </w:r>
          </w:p>
        </w:tc>
        <w:tc>
          <w:tcPr>
            <w:tcW w:w="5300" w:type="dxa"/>
            <w:vAlign w:val="bottom"/>
          </w:tcPr>
          <w:p>
            <w:pPr>
              <w:jc w:val="center"/>
              <w:spacing w:after="0"/>
              <w:rPr>
                <w:sz w:val="20"/>
                <w:szCs w:val="20"/>
                <w:color w:val="auto"/>
              </w:rPr>
            </w:pPr>
            <w:r>
              <w:rPr>
                <w:rFonts w:ascii="Arial" w:cs="Arial" w:eastAsia="Arial" w:hAnsi="Arial"/>
                <w:sz w:val="20"/>
                <w:szCs w:val="20"/>
                <w:color w:val="auto"/>
                <w:w w:val="93"/>
              </w:rPr>
              <w:t>(Commission File</w:t>
            </w:r>
          </w:p>
        </w:tc>
        <w:tc>
          <w:tcPr>
            <w:tcW w:w="2100" w:type="dxa"/>
            <w:vAlign w:val="bottom"/>
          </w:tcPr>
          <w:p>
            <w:pPr>
              <w:jc w:val="center"/>
              <w:ind w:left="161"/>
              <w:spacing w:after="0"/>
              <w:rPr>
                <w:sz w:val="20"/>
                <w:szCs w:val="20"/>
                <w:color w:val="auto"/>
              </w:rPr>
            </w:pPr>
            <w:r>
              <w:rPr>
                <w:rFonts w:ascii="Arial" w:cs="Arial" w:eastAsia="Arial" w:hAnsi="Arial"/>
                <w:sz w:val="20"/>
                <w:szCs w:val="20"/>
                <w:color w:val="auto"/>
                <w:w w:val="92"/>
              </w:rPr>
              <w:t>(I.R.S. Employer</w:t>
            </w:r>
          </w:p>
        </w:tc>
      </w:tr>
      <w:tr>
        <w:trPr>
          <w:trHeight w:val="250"/>
        </w:trPr>
        <w:tc>
          <w:tcPr>
            <w:tcW w:w="2300" w:type="dxa"/>
            <w:vAlign w:val="bottom"/>
          </w:tcPr>
          <w:p>
            <w:pPr>
              <w:jc w:val="center"/>
              <w:ind w:right="41"/>
              <w:spacing w:after="0"/>
              <w:rPr>
                <w:sz w:val="20"/>
                <w:szCs w:val="20"/>
                <w:color w:val="auto"/>
              </w:rPr>
            </w:pPr>
            <w:r>
              <w:rPr>
                <w:rFonts w:ascii="Arial" w:cs="Arial" w:eastAsia="Arial" w:hAnsi="Arial"/>
                <w:sz w:val="20"/>
                <w:szCs w:val="20"/>
                <w:color w:val="auto"/>
                <w:w w:val="93"/>
              </w:rPr>
              <w:t>of Incorporation)</w:t>
            </w:r>
          </w:p>
        </w:tc>
        <w:tc>
          <w:tcPr>
            <w:tcW w:w="5300" w:type="dxa"/>
            <w:vAlign w:val="bottom"/>
          </w:tcPr>
          <w:p>
            <w:pPr>
              <w:jc w:val="center"/>
              <w:spacing w:after="0"/>
              <w:rPr>
                <w:sz w:val="20"/>
                <w:szCs w:val="20"/>
                <w:color w:val="auto"/>
              </w:rPr>
            </w:pPr>
            <w:r>
              <w:rPr>
                <w:rFonts w:ascii="Arial" w:cs="Arial" w:eastAsia="Arial" w:hAnsi="Arial"/>
                <w:sz w:val="20"/>
                <w:szCs w:val="20"/>
                <w:color w:val="auto"/>
                <w:w w:val="92"/>
              </w:rPr>
              <w:t>Number)</w:t>
            </w:r>
          </w:p>
        </w:tc>
        <w:tc>
          <w:tcPr>
            <w:tcW w:w="2100" w:type="dxa"/>
            <w:vAlign w:val="bottom"/>
          </w:tcPr>
          <w:p>
            <w:pPr>
              <w:jc w:val="center"/>
              <w:ind w:left="161"/>
              <w:spacing w:after="0"/>
              <w:rPr>
                <w:sz w:val="20"/>
                <w:szCs w:val="20"/>
                <w:color w:val="auto"/>
              </w:rPr>
            </w:pPr>
            <w:r>
              <w:rPr>
                <w:rFonts w:ascii="Arial" w:cs="Arial" w:eastAsia="Arial" w:hAnsi="Arial"/>
                <w:sz w:val="20"/>
                <w:szCs w:val="20"/>
                <w:color w:val="auto"/>
                <w:w w:val="94"/>
              </w:rPr>
              <w:t>Identification Number)</w:t>
            </w:r>
          </w:p>
        </w:tc>
      </w:tr>
      <w:tr>
        <w:trPr>
          <w:trHeight w:val="689"/>
        </w:trPr>
        <w:tc>
          <w:tcPr>
            <w:tcW w:w="2300" w:type="dxa"/>
            <w:vAlign w:val="bottom"/>
          </w:tcPr>
          <w:p>
            <w:pPr>
              <w:spacing w:after="0"/>
              <w:rPr>
                <w:sz w:val="24"/>
                <w:szCs w:val="24"/>
                <w:color w:val="auto"/>
              </w:rPr>
            </w:pPr>
          </w:p>
        </w:tc>
        <w:tc>
          <w:tcPr>
            <w:tcW w:w="5300" w:type="dxa"/>
            <w:vAlign w:val="bottom"/>
          </w:tcPr>
          <w:p>
            <w:pPr>
              <w:jc w:val="center"/>
              <w:ind w:right="1"/>
              <w:spacing w:after="0"/>
              <w:rPr>
                <w:sz w:val="20"/>
                <w:szCs w:val="20"/>
                <w:color w:val="auto"/>
              </w:rPr>
            </w:pPr>
            <w:r>
              <w:rPr>
                <w:rFonts w:ascii="Arial" w:cs="Arial" w:eastAsia="Arial" w:hAnsi="Arial"/>
                <w:sz w:val="20"/>
                <w:szCs w:val="20"/>
                <w:b w:val="1"/>
                <w:bCs w:val="1"/>
                <w:color w:val="auto"/>
                <w:w w:val="87"/>
              </w:rPr>
              <w:t>3131 Las Vegas Boulevard South</w:t>
            </w:r>
          </w:p>
        </w:tc>
        <w:tc>
          <w:tcPr>
            <w:tcW w:w="2100" w:type="dxa"/>
            <w:vAlign w:val="bottom"/>
          </w:tcPr>
          <w:p>
            <w:pPr>
              <w:spacing w:after="0"/>
              <w:rPr>
                <w:sz w:val="24"/>
                <w:szCs w:val="24"/>
                <w:color w:val="auto"/>
              </w:rPr>
            </w:pPr>
          </w:p>
        </w:tc>
      </w:tr>
      <w:tr>
        <w:trPr>
          <w:trHeight w:val="236"/>
        </w:trPr>
        <w:tc>
          <w:tcPr>
            <w:tcW w:w="2300" w:type="dxa"/>
            <w:vAlign w:val="bottom"/>
          </w:tcPr>
          <w:p>
            <w:pPr>
              <w:spacing w:after="0"/>
              <w:rPr>
                <w:sz w:val="20"/>
                <w:szCs w:val="20"/>
                <w:color w:val="auto"/>
              </w:rPr>
            </w:pPr>
          </w:p>
        </w:tc>
        <w:tc>
          <w:tcPr>
            <w:tcW w:w="5300" w:type="dxa"/>
            <w:vAlign w:val="bottom"/>
          </w:tcPr>
          <w:p>
            <w:pPr>
              <w:jc w:val="center"/>
              <w:ind w:right="1"/>
              <w:spacing w:after="0"/>
              <w:rPr>
                <w:sz w:val="20"/>
                <w:szCs w:val="20"/>
                <w:color w:val="auto"/>
              </w:rPr>
            </w:pPr>
            <w:r>
              <w:rPr>
                <w:rFonts w:ascii="Arial" w:cs="Arial" w:eastAsia="Arial" w:hAnsi="Arial"/>
                <w:sz w:val="20"/>
                <w:szCs w:val="20"/>
                <w:b w:val="1"/>
                <w:bCs w:val="1"/>
                <w:color w:val="auto"/>
                <w:w w:val="87"/>
              </w:rPr>
              <w:t>Las Vegas, Nevada 89109</w:t>
            </w:r>
          </w:p>
        </w:tc>
        <w:tc>
          <w:tcPr>
            <w:tcW w:w="2100" w:type="dxa"/>
            <w:vAlign w:val="bottom"/>
          </w:tcPr>
          <w:p>
            <w:pPr>
              <w:spacing w:after="0"/>
              <w:rPr>
                <w:sz w:val="20"/>
                <w:szCs w:val="20"/>
                <w:color w:val="auto"/>
              </w:rPr>
            </w:pPr>
          </w:p>
        </w:tc>
      </w:tr>
      <w:tr>
        <w:trPr>
          <w:trHeight w:val="250"/>
        </w:trPr>
        <w:tc>
          <w:tcPr>
            <w:tcW w:w="2300" w:type="dxa"/>
            <w:vAlign w:val="bottom"/>
          </w:tcPr>
          <w:p>
            <w:pPr>
              <w:spacing w:after="0"/>
              <w:rPr>
                <w:sz w:val="21"/>
                <w:szCs w:val="21"/>
                <w:color w:val="auto"/>
              </w:rPr>
            </w:pPr>
          </w:p>
        </w:tc>
        <w:tc>
          <w:tcPr>
            <w:tcW w:w="5300" w:type="dxa"/>
            <w:vAlign w:val="bottom"/>
          </w:tcPr>
          <w:p>
            <w:pPr>
              <w:jc w:val="center"/>
              <w:ind w:right="21"/>
              <w:spacing w:after="0"/>
              <w:rPr>
                <w:sz w:val="20"/>
                <w:szCs w:val="20"/>
                <w:color w:val="auto"/>
              </w:rPr>
            </w:pPr>
            <w:r>
              <w:rPr>
                <w:rFonts w:ascii="Arial" w:cs="Arial" w:eastAsia="Arial" w:hAnsi="Arial"/>
                <w:sz w:val="20"/>
                <w:szCs w:val="20"/>
                <w:color w:val="auto"/>
                <w:w w:val="91"/>
              </w:rPr>
              <w:t>(Address of principal executive offices) (Zip Code)</w:t>
            </w:r>
          </w:p>
        </w:tc>
        <w:tc>
          <w:tcPr>
            <w:tcW w:w="2100" w:type="dxa"/>
            <w:vAlign w:val="bottom"/>
          </w:tcPr>
          <w:p>
            <w:pPr>
              <w:spacing w:after="0"/>
              <w:rPr>
                <w:sz w:val="21"/>
                <w:szCs w:val="21"/>
                <w:color w:val="auto"/>
              </w:rPr>
            </w:pPr>
          </w:p>
        </w:tc>
      </w:tr>
      <w:tr>
        <w:trPr>
          <w:trHeight w:val="452"/>
        </w:trPr>
        <w:tc>
          <w:tcPr>
            <w:tcW w:w="2300" w:type="dxa"/>
            <w:vAlign w:val="bottom"/>
          </w:tcPr>
          <w:p>
            <w:pPr>
              <w:spacing w:after="0"/>
              <w:rPr>
                <w:sz w:val="24"/>
                <w:szCs w:val="24"/>
                <w:color w:val="auto"/>
              </w:rPr>
            </w:pPr>
          </w:p>
        </w:tc>
        <w:tc>
          <w:tcPr>
            <w:tcW w:w="5300" w:type="dxa"/>
            <w:vAlign w:val="bottom"/>
          </w:tcPr>
          <w:p>
            <w:pPr>
              <w:jc w:val="center"/>
              <w:ind w:right="1"/>
              <w:spacing w:after="0"/>
              <w:rPr>
                <w:sz w:val="20"/>
                <w:szCs w:val="20"/>
                <w:color w:val="auto"/>
              </w:rPr>
            </w:pPr>
            <w:r>
              <w:rPr>
                <w:rFonts w:ascii="Arial" w:cs="Arial" w:eastAsia="Arial" w:hAnsi="Arial"/>
                <w:sz w:val="20"/>
                <w:szCs w:val="20"/>
                <w:b w:val="1"/>
                <w:bCs w:val="1"/>
                <w:color w:val="auto"/>
                <w:w w:val="90"/>
              </w:rPr>
              <w:t>(702) 770-7555</w:t>
            </w:r>
          </w:p>
        </w:tc>
        <w:tc>
          <w:tcPr>
            <w:tcW w:w="2100" w:type="dxa"/>
            <w:vAlign w:val="bottom"/>
          </w:tcPr>
          <w:p>
            <w:pPr>
              <w:spacing w:after="0"/>
              <w:rPr>
                <w:sz w:val="24"/>
                <w:szCs w:val="24"/>
                <w:color w:val="auto"/>
              </w:rPr>
            </w:pPr>
          </w:p>
        </w:tc>
      </w:tr>
      <w:tr>
        <w:trPr>
          <w:trHeight w:val="250"/>
        </w:trPr>
        <w:tc>
          <w:tcPr>
            <w:tcW w:w="2300" w:type="dxa"/>
            <w:vAlign w:val="bottom"/>
          </w:tcPr>
          <w:p>
            <w:pPr>
              <w:spacing w:after="0"/>
              <w:rPr>
                <w:sz w:val="21"/>
                <w:szCs w:val="21"/>
                <w:color w:val="auto"/>
              </w:rPr>
            </w:pPr>
          </w:p>
        </w:tc>
        <w:tc>
          <w:tcPr>
            <w:tcW w:w="5300" w:type="dxa"/>
            <w:vAlign w:val="bottom"/>
          </w:tcPr>
          <w:p>
            <w:pPr>
              <w:jc w:val="center"/>
              <w:ind w:right="1"/>
              <w:spacing w:after="0"/>
              <w:rPr>
                <w:sz w:val="20"/>
                <w:szCs w:val="20"/>
                <w:color w:val="auto"/>
              </w:rPr>
            </w:pPr>
            <w:r>
              <w:rPr>
                <w:rFonts w:ascii="Arial" w:cs="Arial" w:eastAsia="Arial" w:hAnsi="Arial"/>
                <w:sz w:val="20"/>
                <w:szCs w:val="20"/>
                <w:color w:val="auto"/>
                <w:w w:val="89"/>
              </w:rPr>
              <w:t>(Registrant’s telephone number, including area code)</w:t>
            </w:r>
          </w:p>
        </w:tc>
        <w:tc>
          <w:tcPr>
            <w:tcW w:w="2100" w:type="dxa"/>
            <w:vAlign w:val="bottom"/>
          </w:tcPr>
          <w:p>
            <w:pPr>
              <w:spacing w:after="0"/>
              <w:rPr>
                <w:sz w:val="21"/>
                <w:szCs w:val="21"/>
                <w:color w:val="auto"/>
              </w:rPr>
            </w:pPr>
          </w:p>
        </w:tc>
      </w:tr>
      <w:tr>
        <w:trPr>
          <w:trHeight w:val="452"/>
        </w:trPr>
        <w:tc>
          <w:tcPr>
            <w:tcW w:w="2300" w:type="dxa"/>
            <w:vAlign w:val="bottom"/>
          </w:tcPr>
          <w:p>
            <w:pPr>
              <w:spacing w:after="0"/>
              <w:rPr>
                <w:sz w:val="24"/>
                <w:szCs w:val="24"/>
                <w:color w:val="auto"/>
              </w:rPr>
            </w:pPr>
          </w:p>
        </w:tc>
        <w:tc>
          <w:tcPr>
            <w:tcW w:w="5300" w:type="dxa"/>
            <w:vAlign w:val="bottom"/>
          </w:tcPr>
          <w:p>
            <w:pPr>
              <w:jc w:val="center"/>
              <w:ind w:right="1"/>
              <w:spacing w:after="0"/>
              <w:rPr>
                <w:sz w:val="20"/>
                <w:szCs w:val="20"/>
                <w:color w:val="auto"/>
              </w:rPr>
            </w:pPr>
            <w:r>
              <w:rPr>
                <w:rFonts w:ascii="Arial" w:cs="Arial" w:eastAsia="Arial" w:hAnsi="Arial"/>
                <w:sz w:val="20"/>
                <w:szCs w:val="20"/>
                <w:b w:val="1"/>
                <w:bCs w:val="1"/>
                <w:color w:val="auto"/>
                <w:w w:val="89"/>
              </w:rPr>
              <w:t>Not applicable.</w:t>
            </w:r>
          </w:p>
        </w:tc>
        <w:tc>
          <w:tcPr>
            <w:tcW w:w="2100" w:type="dxa"/>
            <w:vAlign w:val="bottom"/>
          </w:tcPr>
          <w:p>
            <w:pPr>
              <w:spacing w:after="0"/>
              <w:rPr>
                <w:sz w:val="24"/>
                <w:szCs w:val="24"/>
                <w:color w:val="auto"/>
              </w:rPr>
            </w:pPr>
          </w:p>
        </w:tc>
      </w:tr>
      <w:tr>
        <w:trPr>
          <w:trHeight w:val="250"/>
        </w:trPr>
        <w:tc>
          <w:tcPr>
            <w:tcW w:w="2300" w:type="dxa"/>
            <w:vAlign w:val="bottom"/>
          </w:tcPr>
          <w:p>
            <w:pPr>
              <w:spacing w:after="0"/>
              <w:rPr>
                <w:sz w:val="21"/>
                <w:szCs w:val="21"/>
                <w:color w:val="auto"/>
              </w:rPr>
            </w:pPr>
          </w:p>
        </w:tc>
        <w:tc>
          <w:tcPr>
            <w:tcW w:w="5300" w:type="dxa"/>
            <w:vAlign w:val="bottom"/>
          </w:tcPr>
          <w:p>
            <w:pPr>
              <w:jc w:val="center"/>
              <w:ind w:right="21"/>
              <w:spacing w:after="0"/>
              <w:rPr>
                <w:sz w:val="20"/>
                <w:szCs w:val="20"/>
                <w:color w:val="auto"/>
              </w:rPr>
            </w:pPr>
            <w:r>
              <w:rPr>
                <w:rFonts w:ascii="Arial" w:cs="Arial" w:eastAsia="Arial" w:hAnsi="Arial"/>
                <w:sz w:val="20"/>
                <w:szCs w:val="20"/>
                <w:color w:val="auto"/>
                <w:w w:val="88"/>
              </w:rPr>
              <w:t>(Former name or former address, if changed since last report)</w:t>
            </w:r>
          </w:p>
        </w:tc>
        <w:tc>
          <w:tcPr>
            <w:tcW w:w="2100" w:type="dxa"/>
            <w:vAlign w:val="bottom"/>
          </w:tcPr>
          <w:p>
            <w:pPr>
              <w:spacing w:after="0"/>
              <w:rPr>
                <w:sz w:val="21"/>
                <w:szCs w:val="21"/>
                <w:color w:val="auto"/>
              </w:rPr>
            </w:pPr>
          </w:p>
        </w:tc>
      </w:tr>
    </w:tbl>
    <w:p>
      <w:pPr>
        <w:spacing w:after="0" w:line="200" w:lineRule="exact"/>
        <w:rPr>
          <w:sz w:val="24"/>
          <w:szCs w:val="24"/>
          <w:color w:val="auto"/>
        </w:rPr>
      </w:pPr>
    </w:p>
    <w:p>
      <w:pPr>
        <w:spacing w:after="0" w:line="265"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340"/>
        <w:spacing w:after="0"/>
        <w:rPr>
          <w:sz w:val="20"/>
          <w:szCs w:val="20"/>
          <w:color w:val="auto"/>
        </w:rPr>
      </w:pPr>
      <w:r>
        <w:rPr>
          <w:rFonts w:ascii="Arial" w:cs="Arial" w:eastAsia="Arial" w:hAnsi="Arial"/>
          <w:sz w:val="20"/>
          <w:szCs w:val="20"/>
          <w:color w:val="auto"/>
        </w:rPr>
        <w:t>o Written communications pursuant to Rule 425 under the Securities Act (17 CFR 230.425)</w:t>
      </w:r>
    </w:p>
    <w:p>
      <w:pPr>
        <w:spacing w:after="0" w:line="243" w:lineRule="exact"/>
        <w:rPr>
          <w:sz w:val="24"/>
          <w:szCs w:val="24"/>
          <w:color w:val="auto"/>
        </w:rPr>
      </w:pPr>
    </w:p>
    <w:p>
      <w:pPr>
        <w:ind w:left="340"/>
        <w:spacing w:after="0"/>
        <w:rPr>
          <w:sz w:val="20"/>
          <w:szCs w:val="20"/>
          <w:color w:val="auto"/>
        </w:rPr>
      </w:pPr>
      <w:r>
        <w:rPr>
          <w:rFonts w:ascii="Arial" w:cs="Arial" w:eastAsia="Arial" w:hAnsi="Arial"/>
          <w:sz w:val="20"/>
          <w:szCs w:val="20"/>
          <w:color w:val="auto"/>
        </w:rPr>
        <w:t>o Soliciting material pursuant to Rule 14a-12 under the Exchange Act (17 CFR 240.14a-12)</w:t>
      </w:r>
    </w:p>
    <w:p>
      <w:pPr>
        <w:spacing w:after="0" w:line="243" w:lineRule="exact"/>
        <w:rPr>
          <w:sz w:val="24"/>
          <w:szCs w:val="24"/>
          <w:color w:val="auto"/>
        </w:rPr>
      </w:pPr>
    </w:p>
    <w:p>
      <w:pPr>
        <w:ind w:left="340"/>
        <w:spacing w:after="0"/>
        <w:rPr>
          <w:sz w:val="20"/>
          <w:szCs w:val="20"/>
          <w:color w:val="auto"/>
        </w:rPr>
      </w:pPr>
      <w:r>
        <w:rPr>
          <w:rFonts w:ascii="Arial" w:cs="Arial" w:eastAsia="Arial" w:hAnsi="Arial"/>
          <w:sz w:val="20"/>
          <w:szCs w:val="20"/>
          <w:color w:val="auto"/>
        </w:rPr>
        <w:t>o Pre-commencement communications pursuant to Rule 14d-2(b) under the Exchange Act (17 CFR 240.14d-2(b))</w:t>
      </w:r>
    </w:p>
    <w:p>
      <w:pPr>
        <w:spacing w:after="0" w:line="243" w:lineRule="exact"/>
        <w:rPr>
          <w:sz w:val="24"/>
          <w:szCs w:val="24"/>
          <w:color w:val="auto"/>
        </w:rPr>
      </w:pPr>
    </w:p>
    <w:p>
      <w:pPr>
        <w:ind w:left="340"/>
        <w:spacing w:after="0"/>
        <w:rPr>
          <w:sz w:val="20"/>
          <w:szCs w:val="20"/>
          <w:color w:val="auto"/>
        </w:rPr>
      </w:pPr>
      <w:r>
        <w:rPr>
          <w:rFonts w:ascii="Arial" w:cs="Arial" w:eastAsia="Arial" w:hAnsi="Arial"/>
          <w:sz w:val="20"/>
          <w:szCs w:val="20"/>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0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ind w:right="140"/>
        <w:spacing w:after="0" w:line="249" w:lineRule="auto"/>
        <w:rPr>
          <w:sz w:val="20"/>
          <w:szCs w:val="20"/>
          <w:color w:val="auto"/>
        </w:rPr>
      </w:pPr>
      <w:r>
        <w:rPr>
          <w:rFonts w:ascii="Arial" w:cs="Arial" w:eastAsia="Arial" w:hAnsi="Arial"/>
          <w:sz w:val="21"/>
          <w:szCs w:val="21"/>
          <w:color w:val="auto"/>
        </w:rPr>
        <w:t>On May 5, 2008, Wynn Resorts, Limited (the “Company”) entered into an amendment to the Employment Agreement, dated as of October 1, 2005, by and between Wynn Las Vegas, LLC and Matt Maddox, which employment agreement was subsequently assigned to the Company. The amendment reflects Mr. Maddox’s previously announced promotion to Chief Financial Officer on March 17, 2008, extends the term of his employment agreement to May 31, 2012 and provides for a base salary payable to Mr. Maddox of $650,000 per annum effective April 1, 2008.</w:t>
      </w:r>
    </w:p>
    <w:p>
      <w:pPr>
        <w:spacing w:after="0" w:line="200" w:lineRule="exact"/>
        <w:rPr>
          <w:sz w:val="20"/>
          <w:szCs w:val="20"/>
          <w:color w:val="auto"/>
        </w:rPr>
      </w:pPr>
    </w:p>
    <w:p>
      <w:pPr>
        <w:spacing w:after="0" w:line="243" w:lineRule="exact"/>
        <w:rPr>
          <w:sz w:val="20"/>
          <w:szCs w:val="20"/>
          <w:color w:val="auto"/>
        </w:rPr>
      </w:pPr>
    </w:p>
    <w:p>
      <w:pPr>
        <w:ind w:right="120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contained in Item 1.01 of this report is incorporated herein by reference.</w:t>
      </w:r>
    </w:p>
    <w:p>
      <w:pPr>
        <w:spacing w:after="0" w:line="23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Also on May 5, 2008, the Compensation Committee of the Company approved an increase in the base salary payable to Marc D. Schorr, the Company’s Chief Operating Officer, from $1,750,000 per annum to $2,000,000 per annum. The increase is effective as of March 3, 2008.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3" w:lineRule="exact"/>
        <w:rPr>
          <w:sz w:val="20"/>
          <w:szCs w:val="20"/>
          <w:color w:val="auto"/>
        </w:rPr>
      </w:pPr>
    </w:p>
    <w:p>
      <w:pPr>
        <w:ind w:left="1380" w:hanging="917"/>
        <w:spacing w:after="0" w:line="251" w:lineRule="auto"/>
        <w:tabs>
          <w:tab w:leader="none" w:pos="136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First Amendment to Employment Agreement, dated as of May 5, 2008, by and between Wynn Resorts, Limited and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516255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May 6, 2008</w:t>
      </w:r>
    </w:p>
    <w:p>
      <w:pPr>
        <w:spacing w:after="0" w:line="233"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WYNN RESORTS, LIMITED</w:t>
      </w:r>
    </w:p>
    <w:p>
      <w:pPr>
        <w:spacing w:after="0" w:line="193"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7620</wp:posOffset>
            </wp:positionV>
            <wp:extent cx="2975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22"/>
          <w:szCs w:val="22"/>
          <w:color w:val="auto"/>
        </w:rPr>
        <w:t>Kim Sinatra</w:t>
      </w:r>
    </w:p>
    <w:p>
      <w:pPr>
        <w:ind w:left="6740"/>
        <w:spacing w:after="0" w:line="230" w:lineRule="auto"/>
        <w:rPr>
          <w:sz w:val="20"/>
          <w:szCs w:val="20"/>
          <w:color w:val="auto"/>
        </w:rPr>
      </w:pPr>
      <w:r>
        <w:rPr>
          <w:rFonts w:ascii="Arial" w:cs="Arial" w:eastAsia="Arial" w:hAnsi="Arial"/>
          <w:sz w:val="22"/>
          <w:szCs w:val="22"/>
          <w:color w:val="auto"/>
        </w:rPr>
        <w:t>Senior Vice President, General</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Counsel and Secretary</w:t>
      </w:r>
    </w:p>
    <w:p>
      <w:pPr>
        <w:sectPr>
          <w:pgSz w:w="11900" w:h="16838" w:orient="portrait"/>
          <w:cols w:equalWidth="0" w:num="1">
            <w:col w:w="11420"/>
          </w:cols>
          <w:pgMar w:left="240" w:top="35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AMENDMENT TO EMPLOYMENT AGREEMENT</w:t>
      </w:r>
    </w:p>
    <w:p>
      <w:pPr>
        <w:spacing w:after="0" w:line="238" w:lineRule="exact"/>
        <w:rPr>
          <w:sz w:val="20"/>
          <w:szCs w:val="20"/>
          <w:color w:val="auto"/>
        </w:rPr>
      </w:pPr>
    </w:p>
    <w:p>
      <w:pPr>
        <w:ind w:right="460"/>
        <w:spacing w:after="0" w:line="210" w:lineRule="auto"/>
        <w:rPr>
          <w:sz w:val="20"/>
          <w:szCs w:val="20"/>
          <w:color w:val="auto"/>
        </w:rPr>
      </w:pPr>
      <w:r>
        <w:rPr>
          <w:rFonts w:ascii="Arial" w:cs="Arial" w:eastAsia="Arial" w:hAnsi="Arial"/>
          <w:sz w:val="22"/>
          <w:szCs w:val="22"/>
          <w:color w:val="auto"/>
        </w:rPr>
        <w:t>This First Amendment to Employment Agreement is made effective the 5</w:t>
      </w:r>
      <w:r>
        <w:rPr>
          <w:rFonts w:ascii="Arial" w:cs="Arial" w:eastAsia="Arial" w:hAnsi="Arial"/>
          <w:sz w:val="30"/>
          <w:szCs w:val="30"/>
          <w:color w:val="auto"/>
          <w:vertAlign w:val="superscript"/>
        </w:rPr>
        <w:t>th</w:t>
      </w:r>
      <w:r>
        <w:rPr>
          <w:rFonts w:ascii="Arial" w:cs="Arial" w:eastAsia="Arial" w:hAnsi="Arial"/>
          <w:sz w:val="22"/>
          <w:szCs w:val="22"/>
          <w:color w:val="auto"/>
        </w:rPr>
        <w:t xml:space="preserve"> day of May, 2008 by and between Wynn Resorts, Limited (“Employer”) and Matt Maddox (“Employee”).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left="1380" w:hanging="724"/>
        <w:spacing w:after="0" w:line="230" w:lineRule="auto"/>
        <w:tabs>
          <w:tab w:leader="none" w:pos="1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Employer and Employee are party to that certain Employment Agreement dated as of October 1, 2005 by and between Wynn Las Vegas, LLC and Employee, subsequently assigned to Employer (the “Existing Agreement”).</w:t>
      </w:r>
    </w:p>
    <w:p>
      <w:pPr>
        <w:spacing w:after="0" w:line="2" w:lineRule="exact"/>
        <w:rPr>
          <w:rFonts w:ascii="Arial" w:cs="Arial" w:eastAsia="Arial" w:hAnsi="Arial"/>
          <w:sz w:val="22"/>
          <w:szCs w:val="22"/>
          <w:color w:val="auto"/>
        </w:rPr>
      </w:pPr>
    </w:p>
    <w:p>
      <w:pPr>
        <w:ind w:left="1380" w:hanging="724"/>
        <w:spacing w:after="0"/>
        <w:tabs>
          <w:tab w:leader="none" w:pos="1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parties have agreed to amend the Existing Agreement as provided herein.</w:t>
      </w:r>
    </w:p>
    <w:p>
      <w:pPr>
        <w:spacing w:after="0" w:line="233" w:lineRule="exact"/>
        <w:rPr>
          <w:sz w:val="20"/>
          <w:szCs w:val="20"/>
          <w:color w:val="auto"/>
        </w:rPr>
      </w:pPr>
    </w:p>
    <w:p>
      <w:pPr>
        <w:ind w:right="760" w:firstLine="720"/>
        <w:spacing w:after="0" w:line="238" w:lineRule="auto"/>
        <w:rPr>
          <w:sz w:val="20"/>
          <w:szCs w:val="20"/>
          <w:color w:val="auto"/>
        </w:rPr>
      </w:pPr>
      <w:r>
        <w:rPr>
          <w:rFonts w:ascii="Arial" w:cs="Arial" w:eastAsia="Arial" w:hAnsi="Arial"/>
          <w:sz w:val="22"/>
          <w:szCs w:val="22"/>
          <w:color w:val="auto"/>
        </w:rPr>
        <w:t>Now therefore, in consideration of the above and other good and valuable consideration, the receipt and sufficiency of which is hereby acknowledged, the parties agree as follows:</w:t>
      </w:r>
    </w:p>
    <w:p>
      <w:pPr>
        <w:spacing w:after="0" w:line="228" w:lineRule="exact"/>
        <w:rPr>
          <w:sz w:val="20"/>
          <w:szCs w:val="20"/>
          <w:color w:val="auto"/>
        </w:rPr>
      </w:pPr>
    </w:p>
    <w:p>
      <w:pPr>
        <w:ind w:left="2000" w:right="80" w:hanging="1344"/>
        <w:spacing w:after="0" w:line="230" w:lineRule="auto"/>
        <w:tabs>
          <w:tab w:leader="none" w:pos="20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 xml:space="preserve"> Section 3 of the Existing Agreement is amended to provide that from and after March 17, 2008, Employee shall be employed as the Chief Financial Officer of Employer and shall discharge all duties attendant to that office as required by the Chief Executive Officer and the Board of Directors of Employer.</w:t>
      </w:r>
    </w:p>
    <w:p>
      <w:pPr>
        <w:spacing w:after="0" w:line="2" w:lineRule="exact"/>
        <w:rPr>
          <w:rFonts w:ascii="Arial" w:cs="Arial" w:eastAsia="Arial" w:hAnsi="Arial"/>
          <w:sz w:val="22"/>
          <w:szCs w:val="22"/>
          <w:color w:val="auto"/>
        </w:rPr>
      </w:pPr>
    </w:p>
    <w:p>
      <w:pPr>
        <w:ind w:left="2000" w:right="40" w:hanging="1344"/>
        <w:spacing w:after="0" w:line="230" w:lineRule="auto"/>
        <w:tabs>
          <w:tab w:leader="none" w:pos="20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Section 5 of the Existing Agreement is amended to provide that the Term will expire on May 31, 2012.</w:t>
      </w:r>
    </w:p>
    <w:p>
      <w:pPr>
        <w:spacing w:after="0" w:line="1" w:lineRule="exact"/>
        <w:rPr>
          <w:rFonts w:ascii="Arial" w:cs="Arial" w:eastAsia="Arial" w:hAnsi="Arial"/>
          <w:sz w:val="22"/>
          <w:szCs w:val="22"/>
          <w:color w:val="auto"/>
        </w:rPr>
      </w:pPr>
    </w:p>
    <w:p>
      <w:pPr>
        <w:ind w:left="2000" w:right="380" w:hanging="1344"/>
        <w:spacing w:after="0" w:line="235" w:lineRule="auto"/>
        <w:tabs>
          <w:tab w:leader="none" w:pos="20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Section 7(a) of the Existing Agreement is amended to provide that from and after April 1, 2008, Base Salary paid to Employee shall be Six Hundred Fifty Thousand Dollars ($650,000) per annum.</w:t>
      </w:r>
    </w:p>
    <w:p>
      <w:pPr>
        <w:spacing w:after="0" w:line="229" w:lineRule="exact"/>
        <w:rPr>
          <w:sz w:val="20"/>
          <w:szCs w:val="20"/>
          <w:color w:val="auto"/>
        </w:rPr>
      </w:pPr>
    </w:p>
    <w:p>
      <w:pPr>
        <w:ind w:right="600" w:firstLine="720"/>
        <w:spacing w:after="0" w:line="238" w:lineRule="auto"/>
        <w:rPr>
          <w:sz w:val="20"/>
          <w:szCs w:val="20"/>
          <w:color w:val="auto"/>
        </w:rPr>
      </w:pPr>
      <w:r>
        <w:rPr>
          <w:rFonts w:ascii="Arial" w:cs="Arial" w:eastAsia="Arial" w:hAnsi="Arial"/>
          <w:sz w:val="22"/>
          <w:szCs w:val="22"/>
          <w:color w:val="auto"/>
        </w:rPr>
        <w:t>Other than as provided herein, the terms and conditions of the Existing Agreement are hereby ratified and confirmed.</w:t>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In witness whereof, the parties hereunto set their hands this 5</w:t>
      </w:r>
      <w:r>
        <w:rPr>
          <w:rFonts w:ascii="Arial" w:cs="Arial" w:eastAsia="Arial" w:hAnsi="Arial"/>
          <w:sz w:val="30"/>
          <w:szCs w:val="30"/>
          <w:color w:val="auto"/>
          <w:vertAlign w:val="superscript"/>
        </w:rPr>
        <w:t>th</w:t>
      </w:r>
      <w:r>
        <w:rPr>
          <w:rFonts w:ascii="Arial" w:cs="Arial" w:eastAsia="Arial" w:hAnsi="Arial"/>
          <w:sz w:val="22"/>
          <w:szCs w:val="22"/>
          <w:color w:val="auto"/>
        </w:rPr>
        <w:t xml:space="preserve"> day of May, 2008.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40" w:type="dxa"/>
            <w:vAlign w:val="bottom"/>
            <w:gridSpan w:val="3"/>
          </w:tcPr>
          <w:p>
            <w:pPr>
              <w:spacing w:after="0"/>
              <w:rPr>
                <w:sz w:val="20"/>
                <w:szCs w:val="20"/>
                <w:color w:val="auto"/>
              </w:rPr>
            </w:pPr>
            <w:r>
              <w:rPr>
                <w:rFonts w:ascii="Arial" w:cs="Arial" w:eastAsia="Arial" w:hAnsi="Arial"/>
                <w:sz w:val="22"/>
                <w:szCs w:val="22"/>
                <w:color w:val="auto"/>
              </w:rPr>
              <w:t>By: /s/ Marc D. Schorr</w:t>
            </w:r>
          </w:p>
        </w:tc>
        <w:tc>
          <w:tcPr>
            <w:tcW w:w="2500" w:type="dxa"/>
            <w:vAlign w:val="bottom"/>
            <w:gridSpan w:val="2"/>
          </w:tcPr>
          <w:p>
            <w:pPr>
              <w:ind w:left="960"/>
              <w:spacing w:after="0"/>
              <w:rPr>
                <w:sz w:val="20"/>
                <w:szCs w:val="20"/>
                <w:color w:val="auto"/>
              </w:rPr>
            </w:pPr>
            <w:r>
              <w:rPr>
                <w:rFonts w:ascii="Arial" w:cs="Arial" w:eastAsia="Arial" w:hAnsi="Arial"/>
                <w:sz w:val="22"/>
                <w:szCs w:val="22"/>
                <w:color w:val="auto"/>
                <w:w w:val="97"/>
              </w:rPr>
              <w:t>/s/ Matt Maddox</w:t>
            </w:r>
          </w:p>
        </w:tc>
      </w:tr>
      <w:tr>
        <w:trPr>
          <w:trHeight w:val="20"/>
        </w:trPr>
        <w:tc>
          <w:tcPr>
            <w:tcW w:w="4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74"/>
        </w:trPr>
        <w:tc>
          <w:tcPr>
            <w:tcW w:w="4740" w:type="dxa"/>
            <w:vAlign w:val="bottom"/>
            <w:gridSpan w:val="3"/>
          </w:tcPr>
          <w:p>
            <w:pPr>
              <w:spacing w:after="0"/>
              <w:rPr>
                <w:sz w:val="20"/>
                <w:szCs w:val="20"/>
                <w:color w:val="auto"/>
              </w:rPr>
            </w:pPr>
            <w:r>
              <w:rPr>
                <w:rFonts w:ascii="Arial" w:cs="Arial" w:eastAsia="Arial" w:hAnsi="Arial"/>
                <w:sz w:val="22"/>
                <w:szCs w:val="22"/>
                <w:color w:val="auto"/>
              </w:rPr>
              <w:t>Marc D. Schorr, Chief Operating Officer</w:t>
            </w:r>
          </w:p>
        </w:tc>
        <w:tc>
          <w:tcPr>
            <w:tcW w:w="2500" w:type="dxa"/>
            <w:vAlign w:val="bottom"/>
            <w:gridSpan w:val="2"/>
          </w:tcPr>
          <w:p>
            <w:pPr>
              <w:ind w:left="960"/>
              <w:spacing w:after="0"/>
              <w:rPr>
                <w:sz w:val="20"/>
                <w:szCs w:val="20"/>
                <w:color w:val="auto"/>
              </w:rPr>
            </w:pPr>
            <w:r>
              <w:rPr>
                <w:rFonts w:ascii="Arial" w:cs="Arial" w:eastAsia="Arial" w:hAnsi="Arial"/>
                <w:sz w:val="22"/>
                <w:szCs w:val="22"/>
                <w:color w:val="auto"/>
              </w:rPr>
              <w:t>Matt Maddox</w:t>
            </w:r>
          </w:p>
        </w:tc>
      </w:tr>
    </w:tbl>
    <w:p>
      <w:pPr>
        <w:spacing w:after="0" w:line="1" w:lineRule="exact"/>
        <w:rPr>
          <w:sz w:val="20"/>
          <w:szCs w:val="20"/>
          <w:color w:val="auto"/>
        </w:rPr>
      </w:pP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2019-12-15T07:39:22Z</dcterms:created>
  <dcterms:modified xsi:type="dcterms:W3CDTF">2019-12-15T07:39:22Z</dcterms:modified>
</cp:coreProperties>
</file>