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 RULES 13d-1(b)(c), AND (d) AND AMENDMENTS THERETO FILED</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80010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Statement)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6" w:lineRule="exact"/>
        <w:rPr>
          <w:sz w:val="24"/>
          <w:szCs w:val="24"/>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 on following page(s))</w:t>
      </w:r>
    </w:p>
    <w:p>
      <w:pPr>
        <w:sectPr>
          <w:pgSz w:w="11900" w:h="16838" w:orient="portrait"/>
          <w:cols w:equalWidth="0" w:num="1">
            <w:col w:w="11340"/>
          </w:cols>
          <w:pgMar w:left="240" w:top="21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983134107</w:t>
      </w:r>
    </w:p>
    <w:p>
      <w:pPr>
        <w:spacing w:after="0" w:line="90" w:lineRule="exact"/>
        <w:rPr>
          <w:sz w:val="20"/>
          <w:szCs w:val="20"/>
          <w:color w:val="auto"/>
        </w:rPr>
      </w:pPr>
    </w:p>
    <w:p>
      <w:pPr>
        <w:ind w:left="280" w:hanging="18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Marsico Capital Management, LLC</w:t>
            </w:r>
          </w:p>
        </w:tc>
        <w:tc>
          <w:tcPr>
            <w:tcW w:w="4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84-1434992</w:t>
            </w:r>
          </w:p>
        </w:tc>
      </w:tr>
    </w:tbl>
    <w:p>
      <w:pPr>
        <w:spacing w:after="0" w:line="1" w:lineRule="exact"/>
        <w:rPr>
          <w:sz w:val="20"/>
          <w:szCs w:val="20"/>
          <w:color w:val="auto"/>
        </w:rPr>
      </w:pPr>
    </w:p>
    <w:p>
      <w:pPr>
        <w:ind w:left="280" w:hanging="18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1" w:lineRule="exact"/>
        <w:rPr>
          <w:rFonts w:ascii="Times New Roman" w:cs="Times New Roman" w:eastAsia="Times New Roman" w:hAnsi="Times New Roman"/>
          <w:sz w:val="18"/>
          <w:szCs w:val="18"/>
          <w:color w:val="auto"/>
        </w:rPr>
      </w:pPr>
    </w:p>
    <w:p>
      <w:pPr>
        <w:ind w:left="560" w:hanging="282"/>
        <w:spacing w:after="0" w:line="207" w:lineRule="exact"/>
        <w:tabs>
          <w:tab w:leader="none" w:pos="5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580" w:hanging="302"/>
        <w:spacing w:after="0" w:line="207" w:lineRule="exact"/>
        <w:tabs>
          <w:tab w:leader="none" w:pos="5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 SEC USE ONLY</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 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5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38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13,652,529</w:t>
            </w:r>
          </w:p>
        </w:tc>
        <w:tc>
          <w:tcPr>
            <w:tcW w:w="0" w:type="dxa"/>
            <w:vAlign w:val="bottom"/>
          </w:tcPr>
          <w:p>
            <w:pPr>
              <w:spacing w:after="0"/>
              <w:rPr>
                <w:sz w:val="1"/>
                <w:szCs w:val="1"/>
                <w:color w:val="auto"/>
              </w:rPr>
            </w:pPr>
          </w:p>
        </w:tc>
      </w:tr>
      <w:tr>
        <w:trPr>
          <w:trHeight w:val="68"/>
        </w:trPr>
        <w:tc>
          <w:tcPr>
            <w:tcW w:w="150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SHARES</w:t>
            </w:r>
          </w:p>
        </w:tc>
        <w:tc>
          <w:tcPr>
            <w:tcW w:w="38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500" w:type="dxa"/>
            <w:vAlign w:val="bottom"/>
            <w:vMerge w:val="continue"/>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38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380" w:type="dxa"/>
            <w:vAlign w:val="bottom"/>
          </w:tcPr>
          <w:p>
            <w:pPr>
              <w:spacing w:after="0"/>
              <w:rPr>
                <w:sz w:val="20"/>
                <w:szCs w:val="20"/>
                <w:color w:val="auto"/>
              </w:rPr>
            </w:pPr>
          </w:p>
        </w:tc>
        <w:tc>
          <w:tcPr>
            <w:tcW w:w="9540" w:type="dxa"/>
            <w:vAlign w:val="bottom"/>
          </w:tcPr>
          <w:p>
            <w:pPr>
              <w:ind w:left="6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5"/>
        </w:trPr>
        <w:tc>
          <w:tcPr>
            <w:tcW w:w="1500" w:type="dxa"/>
            <w:vAlign w:val="bottom"/>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EACH</w:t>
            </w:r>
          </w:p>
        </w:tc>
        <w:tc>
          <w:tcPr>
            <w:tcW w:w="380" w:type="dxa"/>
            <w:vAlign w:val="bottom"/>
            <w:tcBorders>
              <w:bottom w:val="single" w:sz="8" w:color="auto"/>
            </w:tcBorders>
          </w:tcPr>
          <w:p>
            <w:pPr>
              <w:spacing w:after="0"/>
              <w:rPr>
                <w:sz w:val="6"/>
                <w:szCs w:val="6"/>
                <w:color w:val="auto"/>
              </w:rPr>
            </w:pPr>
          </w:p>
        </w:tc>
        <w:tc>
          <w:tcPr>
            <w:tcW w:w="9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380" w:type="dxa"/>
            <w:vAlign w:val="bottom"/>
            <w:vMerge w:val="continue"/>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PERSON</w:t>
            </w:r>
          </w:p>
        </w:tc>
        <w:tc>
          <w:tcPr>
            <w:tcW w:w="380" w:type="dxa"/>
            <w:vAlign w:val="bottom"/>
          </w:tcPr>
          <w:p>
            <w:pPr>
              <w:spacing w:after="0"/>
              <w:rPr>
                <w:sz w:val="20"/>
                <w:szCs w:val="20"/>
                <w:color w:val="auto"/>
              </w:rPr>
            </w:pPr>
          </w:p>
        </w:tc>
        <w:tc>
          <w:tcPr>
            <w:tcW w:w="9540" w:type="dxa"/>
            <w:vAlign w:val="bottom"/>
          </w:tcPr>
          <w:p>
            <w:pPr>
              <w:ind w:left="600"/>
              <w:spacing w:after="0" w:line="230" w:lineRule="exact"/>
              <w:rPr>
                <w:sz w:val="20"/>
                <w:szCs w:val="20"/>
                <w:color w:val="auto"/>
              </w:rPr>
            </w:pPr>
            <w:r>
              <w:rPr>
                <w:rFonts w:ascii="Times New Roman" w:cs="Times New Roman" w:eastAsia="Times New Roman" w:hAnsi="Times New Roman"/>
                <w:sz w:val="22"/>
                <w:szCs w:val="22"/>
                <w:color w:val="auto"/>
              </w:rPr>
              <w:t>14,891,731</w:t>
            </w:r>
          </w:p>
        </w:tc>
        <w:tc>
          <w:tcPr>
            <w:tcW w:w="0" w:type="dxa"/>
            <w:vAlign w:val="bottom"/>
          </w:tcPr>
          <w:p>
            <w:pPr>
              <w:spacing w:after="0"/>
              <w:rPr>
                <w:sz w:val="1"/>
                <w:szCs w:val="1"/>
                <w:color w:val="auto"/>
              </w:rPr>
            </w:pPr>
          </w:p>
        </w:tc>
      </w:tr>
      <w:tr>
        <w:trPr>
          <w:trHeight w:val="68"/>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500" w:type="dxa"/>
            <w:vAlign w:val="bottom"/>
            <w:vMerge w:val="continue"/>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14,891,731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p>
      <w:pPr>
        <w:ind w:left="104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14.8%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271"/>
        </w:trPr>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3131 Las Vegas Blvd. South</w:t>
            </w:r>
          </w:p>
        </w:tc>
      </w:tr>
      <w:tr>
        <w:trPr>
          <w:trHeight w:val="228"/>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Marsico Capital Management, LLC</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71"/>
        </w:trPr>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1200 17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Suite 1600</w:t>
            </w:r>
          </w:p>
        </w:tc>
      </w:tr>
      <w:tr>
        <w:trPr>
          <w:trHeight w:val="228"/>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Denver, Colorado 80202</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Citizenship:</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CUSIP Number:</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983134107</w:t>
            </w:r>
          </w:p>
        </w:tc>
      </w:tr>
      <w:tr>
        <w:trPr>
          <w:trHeight w:val="33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34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tc>
      </w:tr>
      <w:tr>
        <w:trPr>
          <w:trHeight w:val="32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tc>
      </w:tr>
      <w:tr>
        <w:trPr>
          <w:trHeight w:val="292"/>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A church plan that is excluded from the definition of an investment company under Section 3(c)(14) of the Investment</w:t>
            </w:r>
          </w:p>
        </w:tc>
      </w:tr>
      <w:tr>
        <w:trPr>
          <w:trHeight w:val="228"/>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Company Act;</w:t>
            </w:r>
          </w:p>
        </w:tc>
      </w:tr>
      <w:tr>
        <w:trPr>
          <w:trHeight w:val="344"/>
        </w:trPr>
        <w:tc>
          <w:tcPr>
            <w:tcW w:w="60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w:t>
            </w:r>
          </w:p>
        </w:tc>
        <w:tc>
          <w:tcPr>
            <w:tcW w:w="884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13d-1(b)(1)(ii)(J).</w:t>
            </w: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720"/>
        <w:spacing w:after="0" w:line="207" w:lineRule="exact"/>
        <w:rPr>
          <w:sz w:val="20"/>
          <w:szCs w:val="20"/>
          <w:color w:val="auto"/>
        </w:rPr>
      </w:pPr>
      <w:r>
        <w:rPr>
          <w:rFonts w:ascii="Times New Roman" w:cs="Times New Roman" w:eastAsia="Times New Roman" w:hAnsi="Times New Roman"/>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6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6"/>
          <w:szCs w:val="16"/>
          <w:color w:val="auto"/>
        </w:rPr>
        <w:t>Ownership:</w:t>
      </w:r>
    </w:p>
    <w:p>
      <w:pPr>
        <w:spacing w:after="0" w:line="77" w:lineRule="exact"/>
        <w:rPr>
          <w:sz w:val="20"/>
          <w:szCs w:val="20"/>
          <w:color w:val="auto"/>
        </w:rPr>
      </w:pPr>
    </w:p>
    <w:p>
      <w:pPr>
        <w:ind w:left="700" w:right="479"/>
        <w:spacing w:after="0" w:line="275" w:lineRule="auto"/>
        <w:rPr>
          <w:sz w:val="20"/>
          <w:szCs w:val="20"/>
          <w:color w:val="auto"/>
        </w:rPr>
      </w:pPr>
      <w:r>
        <w:rPr>
          <w:rFonts w:ascii="Times New Roman" w:cs="Times New Roman" w:eastAsia="Times New Roman" w:hAnsi="Times New Roman"/>
          <w:sz w:val="18"/>
          <w:szCs w:val="18"/>
          <w:color w:val="auto"/>
        </w:rPr>
        <w:t>With respect to the beneficial ownership of the reporting person, see Items 5 through 11 of the cover pages to this Schedule 13G, which are incorporated herein by reference.</w:t>
      </w:r>
    </w:p>
    <w:p>
      <w:pPr>
        <w:spacing w:after="0" w:line="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77" w:lineRule="exact"/>
        <w:rPr>
          <w:sz w:val="20"/>
          <w:szCs w:val="20"/>
          <w:color w:val="auto"/>
        </w:rPr>
      </w:pPr>
    </w:p>
    <w:p>
      <w:pPr>
        <w:ind w:left="700" w:right="139"/>
        <w:spacing w:after="0" w:line="232"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6"/>
          <w:szCs w:val="16"/>
          <w:color w:val="auto"/>
        </w:rPr>
        <w:t>Identification and Classification of the Subsidiary which Acquired the Security Being Reported on By the Parent Holding Company:</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Certification:</w:t>
      </w:r>
    </w:p>
    <w:p>
      <w:pPr>
        <w:spacing w:after="0" w:line="77" w:lineRule="exact"/>
        <w:rPr>
          <w:sz w:val="20"/>
          <w:szCs w:val="20"/>
          <w:color w:val="auto"/>
        </w:rPr>
      </w:pPr>
    </w:p>
    <w:p>
      <w:pPr>
        <w:ind w:left="700" w:right="259"/>
        <w:spacing w:after="0" w:line="258"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74" w:right="1440" w:bottom="1440" w:gutter="0" w:footer="0" w:header="0"/>
        </w:sectPr>
      </w:pPr>
    </w:p>
    <w:bookmarkStart w:id="4" w:name="page5"/>
    <w:bookmarkEnd w:id="4"/>
    <w:p>
      <w:pPr>
        <w:ind w:left="5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13,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Marsico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 Steven R. Carlson</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Steven R. Carlson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Compliance Officer</w:t>
            </w:r>
          </w:p>
        </w:tc>
      </w:tr>
    </w:tbl>
    <w:p>
      <w:pPr>
        <w:spacing w:after="0" w:line="1" w:lineRule="exact"/>
        <w:rPr>
          <w:sz w:val="20"/>
          <w:szCs w:val="20"/>
          <w:color w:val="auto"/>
        </w:rPr>
      </w:pP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2019-12-15T06:39:58Z</dcterms:created>
  <dcterms:modified xsi:type="dcterms:W3CDTF">2019-12-15T06:39:58Z</dcterms:modified>
</cp:coreProperties>
</file>