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STRZEMP JOHN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BOULEVARD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83"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01/14/2016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EVP, Chief Administrative Ofc</w:t>
      </w:r>
    </w:p>
    <w:p>
      <w:pPr>
        <w:spacing w:after="0" w:line="390"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30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540" w:type="dxa"/>
            <w:vAlign w:val="bottom"/>
            <w:tcBorders>
              <w:bottom w:val="single" w:sz="8" w:color="9A9A9A"/>
            </w:tcBorders>
          </w:tcPr>
          <w:p>
            <w:pPr>
              <w:spacing w:after="0"/>
              <w:rPr>
                <w:sz w:val="16"/>
                <w:szCs w:val="16"/>
                <w:color w:val="auto"/>
              </w:rPr>
            </w:pPr>
          </w:p>
        </w:tc>
        <w:tc>
          <w:tcPr>
            <w:tcW w:w="66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3900" w:type="dxa"/>
            <w:vAlign w:val="bottom"/>
            <w:gridSpan w:val="7"/>
          </w:tcPr>
          <w:p>
            <w:pPr>
              <w:ind w:left="160"/>
              <w:spacing w:after="0"/>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7"/>
          </w:tcPr>
          <w:p>
            <w:pPr>
              <w:ind w:left="2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20" w:type="dxa"/>
            <w:vAlign w:val="bottom"/>
            <w:gridSpan w:val="2"/>
          </w:tcPr>
          <w:p>
            <w:pPr>
              <w:ind w:left="24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10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54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3"/>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5"/>
                <w:szCs w:val="15"/>
                <w:color w:val="auto"/>
              </w:rPr>
            </w:pPr>
          </w:p>
        </w:tc>
        <w:tc>
          <w:tcPr>
            <w:tcW w:w="1300" w:type="dxa"/>
            <w:vAlign w:val="bottom"/>
            <w:gridSpan w:val="3"/>
          </w:tcPr>
          <w:p>
            <w:pPr>
              <w:ind w:left="2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gridSpan w:val="3"/>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tcBorders>
              <w:bottom w:val="single" w:sz="8" w:color="2C2C2C"/>
            </w:tcBorders>
            <w:gridSpan w:val="3"/>
          </w:tcPr>
          <w:p>
            <w:pPr>
              <w:jc w:val="right"/>
              <w:ind w:right="118"/>
              <w:spacing w:after="0"/>
              <w:rPr>
                <w:sz w:val="20"/>
                <w:szCs w:val="20"/>
                <w:color w:val="auto"/>
              </w:rPr>
            </w:pPr>
            <w:r>
              <w:rPr>
                <w:rFonts w:ascii="Arial" w:cs="Arial" w:eastAsia="Arial" w:hAnsi="Arial"/>
                <w:sz w:val="18"/>
                <w:szCs w:val="18"/>
                <w:color w:val="0000FF"/>
              </w:rPr>
              <w:t>01/14/2016</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11,650</w:t>
            </w:r>
          </w:p>
        </w:tc>
        <w:tc>
          <w:tcPr>
            <w:tcW w:w="7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2"/>
          </w:tcPr>
          <w:p>
            <w:pPr>
              <w:jc w:val="center"/>
              <w:ind w:right="74"/>
              <w:spacing w:after="0" w:line="324" w:lineRule="exact"/>
              <w:rPr>
                <w:sz w:val="20"/>
                <w:szCs w:val="20"/>
                <w:color w:val="auto"/>
              </w:rPr>
            </w:pPr>
            <w:r>
              <w:rPr>
                <w:rFonts w:ascii="Arial" w:cs="Arial" w:eastAsia="Arial" w:hAnsi="Arial"/>
                <w:sz w:val="35"/>
                <w:szCs w:val="35"/>
                <w:color w:val="000000"/>
                <w:vertAlign w:val="subscript"/>
              </w:rPr>
              <w:t>$</w:t>
            </w:r>
            <w:r>
              <w:rPr>
                <w:rFonts w:ascii="Arial" w:cs="Arial" w:eastAsia="Arial" w:hAnsi="Arial"/>
                <w:sz w:val="35"/>
                <w:szCs w:val="35"/>
                <w:color w:val="0000FF"/>
                <w:vertAlign w:val="subscript"/>
              </w:rPr>
              <w:t>0</w:t>
            </w:r>
            <w:r>
              <w:rPr>
                <w:rFonts w:ascii="Arial" w:cs="Arial" w:eastAsia="Arial" w:hAnsi="Arial"/>
                <w:sz w:val="11"/>
                <w:szCs w:val="11"/>
                <w:color w:val="008000"/>
              </w:rPr>
              <w:t>(1)</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245,680</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80" w:type="dxa"/>
            <w:vAlign w:val="bottom"/>
            <w:gridSpan w:val="6"/>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1300" w:type="dxa"/>
            <w:vAlign w:val="bottom"/>
            <w:gridSpan w:val="3"/>
          </w:tcPr>
          <w:p>
            <w:pPr>
              <w:jc w:val="right"/>
              <w:ind w:right="118"/>
              <w:spacing w:after="0"/>
              <w:rPr>
                <w:sz w:val="20"/>
                <w:szCs w:val="20"/>
                <w:color w:val="auto"/>
              </w:rPr>
            </w:pPr>
            <w:r>
              <w:rPr>
                <w:rFonts w:ascii="Arial" w:cs="Arial" w:eastAsia="Arial" w:hAnsi="Arial"/>
                <w:sz w:val="18"/>
                <w:szCs w:val="18"/>
                <w:color w:val="0000FF"/>
              </w:rPr>
              <w:t>01/14/2016</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ind w:left="200"/>
              <w:spacing w:after="0"/>
              <w:rPr>
                <w:sz w:val="20"/>
                <w:szCs w:val="20"/>
                <w:color w:val="auto"/>
              </w:rPr>
            </w:pPr>
            <w:r>
              <w:rPr>
                <w:rFonts w:ascii="Arial" w:cs="Arial" w:eastAsia="Arial" w:hAnsi="Arial"/>
                <w:sz w:val="14"/>
                <w:szCs w:val="14"/>
                <w:color w:val="0000FF"/>
              </w:rPr>
              <w:t>F</w:t>
            </w:r>
          </w:p>
        </w:tc>
        <w:tc>
          <w:tcPr>
            <w:tcW w:w="740" w:type="dxa"/>
            <w:vAlign w:val="bottom"/>
          </w:tcPr>
          <w:p>
            <w:pPr>
              <w:jc w:val="right"/>
              <w:spacing w:after="0"/>
              <w:rPr>
                <w:sz w:val="20"/>
                <w:szCs w:val="20"/>
                <w:color w:val="auto"/>
              </w:rPr>
            </w:pPr>
            <w:r>
              <w:rPr>
                <w:rFonts w:ascii="Arial" w:cs="Arial" w:eastAsia="Arial" w:hAnsi="Arial"/>
                <w:sz w:val="18"/>
                <w:szCs w:val="18"/>
                <w:color w:val="0000FF"/>
              </w:rPr>
              <w:t>3,754</w:t>
            </w:r>
          </w:p>
        </w:tc>
        <w:tc>
          <w:tcPr>
            <w:tcW w:w="700" w:type="dxa"/>
            <w:vAlign w:val="bottom"/>
          </w:tcPr>
          <w:p>
            <w:pPr>
              <w:ind w:left="360"/>
              <w:spacing w:after="0"/>
              <w:rPr>
                <w:sz w:val="20"/>
                <w:szCs w:val="20"/>
                <w:color w:val="auto"/>
              </w:rPr>
            </w:pPr>
            <w:r>
              <w:rPr>
                <w:rFonts w:ascii="Arial" w:cs="Arial" w:eastAsia="Arial" w:hAnsi="Arial"/>
                <w:sz w:val="18"/>
                <w:szCs w:val="18"/>
                <w:color w:val="0000FF"/>
              </w:rPr>
              <w:t>D</w:t>
            </w:r>
          </w:p>
        </w:tc>
        <w:tc>
          <w:tcPr>
            <w:tcW w:w="620" w:type="dxa"/>
            <w:vAlign w:val="bottom"/>
            <w:gridSpan w:val="2"/>
          </w:tcPr>
          <w:p>
            <w:pPr>
              <w:jc w:val="center"/>
              <w:ind w:right="3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51.5</w:t>
            </w: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241,926</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8"/>
                <w:szCs w:val="18"/>
                <w:color w:val="0000FF"/>
                <w:w w:val="91"/>
              </w:rPr>
              <w:t>Common Stock, par value $0.01 per share</w:t>
            </w: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vMerge w:val="restart"/>
          </w:tcPr>
          <w:p>
            <w:pPr>
              <w:jc w:val="center"/>
              <w:ind w:right="437"/>
              <w:spacing w:after="0"/>
              <w:rPr>
                <w:sz w:val="20"/>
                <w:szCs w:val="20"/>
                <w:color w:val="auto"/>
              </w:rPr>
            </w:pPr>
            <w:r>
              <w:rPr>
                <w:rFonts w:ascii="Arial" w:cs="Arial" w:eastAsia="Arial" w:hAnsi="Arial"/>
                <w:sz w:val="18"/>
                <w:szCs w:val="18"/>
                <w:color w:val="0000FF"/>
                <w:w w:val="86"/>
              </w:rPr>
              <w:t>500</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w w:val="97"/>
              </w:rPr>
              <w:t>mother</w:t>
            </w:r>
            <w:r>
              <w:rPr>
                <w:rFonts w:ascii="Arial" w:cs="Arial" w:eastAsia="Arial" w:hAnsi="Arial"/>
                <w:sz w:val="22"/>
                <w:szCs w:val="22"/>
                <w:color w:val="008000"/>
                <w:w w:val="97"/>
                <w:vertAlign w:val="superscript"/>
              </w:rPr>
              <w:t>(2)</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40" w:type="dxa"/>
            <w:vAlign w:val="bottom"/>
            <w:tcBorders>
              <w:top w:val="single" w:sz="8" w:color="2C2C2C"/>
            </w:tcBorders>
            <w:gridSpan w:val="14"/>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240" w:type="dxa"/>
            <w:vAlign w:val="bottom"/>
            <w:gridSpan w:val="11"/>
          </w:tcPr>
          <w:p>
            <w:pPr>
              <w:jc w:val="center"/>
              <w:ind w:right="134"/>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2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par value $0.01 per share, of Wynn Resorts, Limited (the "Company") granted pursuant to the Company's 2014 Omnibus Incentive Plan, which shares vested immediately upon grant.</w:t>
      </w:r>
    </w:p>
    <w:p>
      <w:pPr>
        <w:spacing w:after="0" w:line="30" w:lineRule="exact"/>
        <w:rPr>
          <w:rFonts w:ascii="Arial" w:cs="Arial" w:eastAsia="Arial" w:hAnsi="Arial"/>
          <w:sz w:val="14"/>
          <w:szCs w:val="14"/>
          <w:color w:val="008000"/>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disclaims beneficial ownership of these securities, and this report shall not be deemed an admission that the reporting person is the beneficial owner of the securities for purposes of Section 16.</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Kevin Tourek, Attorney-in-</w:t>
            </w:r>
          </w:p>
        </w:tc>
        <w:tc>
          <w:tcPr>
            <w:tcW w:w="60" w:type="dxa"/>
            <w:vAlign w:val="bottom"/>
          </w:tcPr>
          <w:p>
            <w:pPr>
              <w:spacing w:after="0"/>
              <w:rPr>
                <w:sz w:val="19"/>
                <w:szCs w:val="19"/>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8"/>
                <w:szCs w:val="18"/>
                <w:color w:val="0000FF"/>
                <w:w w:val="86"/>
              </w:rPr>
              <w:t>01/15/2016</w:t>
            </w:r>
          </w:p>
        </w:tc>
        <w:tc>
          <w:tcPr>
            <w:tcW w:w="0" w:type="dxa"/>
            <w:vAlign w:val="bottom"/>
          </w:tcPr>
          <w:p>
            <w:pPr>
              <w:spacing w:after="0"/>
              <w:rPr>
                <w:sz w:val="1"/>
                <w:szCs w:val="1"/>
                <w:color w:val="auto"/>
              </w:rPr>
            </w:pPr>
          </w:p>
        </w:tc>
      </w:tr>
      <w:tr>
        <w:trPr>
          <w:trHeight w:val="88"/>
        </w:trPr>
        <w:tc>
          <w:tcPr>
            <w:tcW w:w="22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John Strzemp</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6845"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2019-12-07T17:06:38Z</dcterms:created>
  <dcterms:modified xsi:type="dcterms:W3CDTF">2019-12-07T17:06:38Z</dcterms:modified>
</cp:coreProperties>
</file>