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1" w:lineRule="exact"/>
        <w:rPr>
          <w:sz w:val="24"/>
          <w:szCs w:val="24"/>
          <w:color w:val="auto"/>
        </w:rPr>
      </w:pPr>
    </w:p>
    <w:p>
      <w:pPr>
        <w:ind w:left="4140" w:right="232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2005</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860"/>
        <w:spacing w:after="0"/>
        <w:tabs>
          <w:tab w:leader="none" w:pos="6500" w:val="left"/>
        </w:tabs>
        <w:rPr>
          <w:sz w:val="20"/>
          <w:szCs w:val="20"/>
          <w:color w:val="auto"/>
        </w:rPr>
      </w:pPr>
      <w:r>
        <w:rPr>
          <w:rFonts w:ascii="Arial" w:cs="Arial" w:eastAsia="Arial" w:hAnsi="Arial"/>
          <w:sz w:val="18"/>
          <w:szCs w:val="18"/>
          <w:color w:val="auto"/>
        </w:rPr>
        <w:t>For the transition period</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1257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5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4"/>
              </w:rPr>
              <w:t>NEVADA</w:t>
            </w:r>
          </w:p>
        </w:tc>
        <w:tc>
          <w:tcPr>
            <w:tcW w:w="1480" w:type="dxa"/>
            <w:vAlign w:val="bottom"/>
          </w:tcPr>
          <w:p>
            <w:pPr>
              <w:jc w:val="center"/>
              <w:ind w:right="6"/>
              <w:spacing w:after="0"/>
              <w:rPr>
                <w:sz w:val="20"/>
                <w:szCs w:val="20"/>
                <w:color w:val="auto"/>
              </w:rPr>
            </w:pPr>
            <w:r>
              <w:rPr>
                <w:rFonts w:ascii="Arial" w:cs="Arial" w:eastAsia="Arial" w:hAnsi="Arial"/>
                <w:sz w:val="18"/>
                <w:szCs w:val="18"/>
                <w:b w:val="1"/>
                <w:bCs w:val="1"/>
                <w:color w:val="auto"/>
                <w:w w:val="87"/>
              </w:rPr>
              <w:t>46-0484987</w:t>
            </w:r>
          </w:p>
        </w:tc>
        <w:tc>
          <w:tcPr>
            <w:tcW w:w="680" w:type="dxa"/>
            <w:vAlign w:val="bottom"/>
          </w:tcPr>
          <w:p>
            <w:pPr>
              <w:spacing w:after="0"/>
              <w:rPr>
                <w:sz w:val="18"/>
                <w:szCs w:val="18"/>
                <w:color w:val="auto"/>
              </w:rPr>
            </w:pPr>
          </w:p>
        </w:tc>
      </w:tr>
      <w:tr>
        <w:trPr>
          <w:trHeight w:val="149"/>
        </w:trPr>
        <w:tc>
          <w:tcPr>
            <w:tcW w:w="7520" w:type="dxa"/>
            <w:vAlign w:val="bottom"/>
            <w:gridSpan w:val="3"/>
          </w:tcPr>
          <w:p>
            <w:pPr>
              <w:jc w:val="center"/>
              <w:ind w:right="27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r>
      <w:tr>
        <w:trPr>
          <w:trHeight w:val="174"/>
        </w:trPr>
        <w:tc>
          <w:tcPr>
            <w:tcW w:w="752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88"/>
              </w:rPr>
              <w:t>or organization)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680" w:type="dxa"/>
            <w:vAlign w:val="bottom"/>
          </w:tcPr>
          <w:p>
            <w:pPr>
              <w:spacing w:after="0"/>
              <w:rPr>
                <w:sz w:val="15"/>
                <w:szCs w:val="15"/>
                <w:color w:val="auto"/>
              </w:rPr>
            </w:pPr>
          </w:p>
        </w:tc>
      </w:tr>
      <w:tr>
        <w:trPr>
          <w:trHeight w:val="366"/>
        </w:trPr>
        <w:tc>
          <w:tcPr>
            <w:tcW w:w="7520" w:type="dxa"/>
            <w:vAlign w:val="bottom"/>
            <w:gridSpan w:val="3"/>
          </w:tcPr>
          <w:p>
            <w:pPr>
              <w:jc w:val="center"/>
              <w:ind w:left="2920"/>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4"/>
        </w:trPr>
        <w:tc>
          <w:tcPr>
            <w:tcW w:w="7520" w:type="dxa"/>
            <w:vAlign w:val="bottom"/>
            <w:gridSpan w:val="3"/>
          </w:tcPr>
          <w:p>
            <w:pPr>
              <w:jc w:val="center"/>
              <w:ind w:left="2900"/>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4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52"/>
        </w:trPr>
        <w:tc>
          <w:tcPr>
            <w:tcW w:w="6240" w:type="dxa"/>
            <w:vAlign w:val="bottom"/>
            <w:gridSpan w:val="2"/>
          </w:tcPr>
          <w:p>
            <w:pPr>
              <w:jc w:val="center"/>
              <w:ind w:left="4180"/>
              <w:spacing w:after="0"/>
              <w:rPr>
                <w:sz w:val="20"/>
                <w:szCs w:val="20"/>
                <w:color w:val="auto"/>
              </w:rPr>
            </w:pPr>
            <w:r>
              <w:rPr>
                <w:rFonts w:ascii="Arial" w:cs="Arial" w:eastAsia="Arial" w:hAnsi="Arial"/>
                <w:sz w:val="18"/>
                <w:szCs w:val="18"/>
                <w:b w:val="1"/>
                <w:bCs w:val="1"/>
                <w:color w:val="auto"/>
                <w:w w:val="89"/>
              </w:rPr>
              <w:t>(702) 770-7555</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4"/>
        </w:trPr>
        <w:tc>
          <w:tcPr>
            <w:tcW w:w="7520" w:type="dxa"/>
            <w:vAlign w:val="bottom"/>
            <w:gridSpan w:val="3"/>
          </w:tcPr>
          <w:p>
            <w:pPr>
              <w:jc w:val="center"/>
              <w:ind w:left="290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28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16"/>
        </w:trPr>
        <w:tc>
          <w:tcPr>
            <w:tcW w:w="7520" w:type="dxa"/>
            <w:vAlign w:val="bottom"/>
            <w:gridSpan w:val="3"/>
          </w:tcPr>
          <w:p>
            <w:pPr>
              <w:jc w:val="center"/>
              <w:ind w:left="2920"/>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324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None</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7520" w:type="dxa"/>
            <w:vAlign w:val="bottom"/>
            <w:gridSpan w:val="3"/>
          </w:tcPr>
          <w:p>
            <w:pPr>
              <w:jc w:val="center"/>
              <w:ind w:left="2920"/>
              <w:spacing w:after="0"/>
              <w:rPr>
                <w:sz w:val="20"/>
                <w:szCs w:val="20"/>
                <w:color w:val="auto"/>
              </w:rPr>
            </w:pPr>
            <w:r>
              <w:rPr>
                <w:rFonts w:ascii="Arial" w:cs="Arial" w:eastAsia="Arial" w:hAnsi="Arial"/>
                <w:sz w:val="18"/>
                <w:szCs w:val="18"/>
                <w:color w:val="auto"/>
                <w:w w:val="88"/>
              </w:rPr>
              <w:t>Securities registered pursuant to Section 12(g) of the Act:</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3240" w:type="dxa"/>
            <w:vAlign w:val="bottom"/>
            <w:gridSpan w:val="2"/>
          </w:tcPr>
          <w:p>
            <w:pPr>
              <w:jc w:val="center"/>
              <w:ind w:right="1300"/>
              <w:spacing w:after="0"/>
              <w:rPr>
                <w:sz w:val="20"/>
                <w:szCs w:val="20"/>
                <w:color w:val="auto"/>
              </w:rPr>
            </w:pPr>
            <w:r>
              <w:rPr>
                <w:rFonts w:ascii="Arial" w:cs="Arial" w:eastAsia="Arial" w:hAnsi="Arial"/>
                <w:sz w:val="18"/>
                <w:szCs w:val="18"/>
                <w:color w:val="auto"/>
                <w:w w:val="88"/>
              </w:rPr>
              <w:t>None</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42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76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r>
      <w:tr>
        <w:trPr>
          <w:trHeight w:val="336"/>
        </w:trPr>
        <w:tc>
          <w:tcPr>
            <w:tcW w:w="9000" w:type="dxa"/>
            <w:vAlign w:val="bottom"/>
            <w:gridSpan w:val="4"/>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6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900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680" w:type="dxa"/>
            <w:vAlign w:val="bottom"/>
          </w:tcPr>
          <w:p>
            <w:pPr>
              <w:ind w:left="22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136"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99" w:lineRule="exact"/>
        <w:rPr>
          <w:sz w:val="24"/>
          <w:szCs w:val="24"/>
          <w:color w:val="auto"/>
        </w:rPr>
      </w:pPr>
    </w:p>
    <w:p>
      <w:pPr>
        <w:ind w:left="460"/>
        <w:spacing w:after="0" w:line="207" w:lineRule="exact"/>
        <w:tabs>
          <w:tab w:leader="none" w:pos="3060" w:val="left"/>
          <w:tab w:leader="none" w:pos="5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84" w:lineRule="exact"/>
        <w:tabs>
          <w:tab w:leader="none" w:pos="92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Stock Market on June 30, 2005 was $2,246,308,311.</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10, 2006, 99,754,014 shares of the registrant’s Common Stock, $0.01 par value, were outstanding.</w:t>
      </w:r>
    </w:p>
    <w:p>
      <w:pPr>
        <w:spacing w:after="0" w:line="171"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2006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30" w:right="319" w:bottom="94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This Amendment No. 1 to Annual Report on Form 10-K/A (this “Amendment”) is being filed, as permitted by instruction A.(4) of the General Instructions to Form 10-K, solely to add Schedule I – “Condensed Financial Information of the Registrant” to the Registrant’s Annual Report on Form 10-K for the year ended December 31, 2005, as filed with the Securities and Exchange Commission on March 16, 2006 (the “Original Filing”). Pursuant to Rule 12b-15 under the Securities Exchange Act of 1934, as a result of this Amendment, the certifications filed pursuant to Section 302 and Section 906 of the Sarbanes-Oxley Act of 2002, included as exhibits to the Original Filing, have been amended, restated, re-executed and re-filed as of the date of this Amendment and are included as Exhibits 31.1, 31.2 and 32.1 hereto.</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Except as described above, this Amendment does not modify or update disclosures in, or exhibits to, the Original Filing. Furthermore, this Amendment does not change any previously reported financial results, nor does it reflect events occurring after the date of the Original Filing.</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Consolidated Statements of Stockholders’ Equity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860" w:hanging="393"/>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Schedule I – Condensed Financial Information of the Registrant</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90" w:lineRule="exact"/>
        <w:rPr>
          <w:sz w:val="20"/>
          <w:szCs w:val="20"/>
          <w:color w:val="auto"/>
        </w:rPr>
      </w:pPr>
    </w:p>
    <w:p>
      <w:pPr>
        <w:ind w:left="460" w:right="180" w:firstLine="438"/>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5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760" w:type="dxa"/>
            <w:vAlign w:val="bottom"/>
            <w:gridSpan w:val="2"/>
          </w:tcPr>
          <w:p>
            <w:pPr>
              <w:ind w:left="88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18"/>
                <w:szCs w:val="18"/>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316"/>
        </w:trPr>
        <w:tc>
          <w:tcPr>
            <w:tcW w:w="660" w:type="dxa"/>
            <w:vAlign w:val="bottom"/>
          </w:tcPr>
          <w:p>
            <w:pPr>
              <w:ind w:left="180"/>
              <w:spacing w:after="0"/>
              <w:rPr>
                <w:sz w:val="20"/>
                <w:szCs w:val="20"/>
                <w:color w:val="auto"/>
              </w:rPr>
            </w:pPr>
            <w:r>
              <w:rPr>
                <w:rFonts w:ascii="Arial" w:cs="Arial" w:eastAsia="Arial" w:hAnsi="Arial"/>
                <w:sz w:val="18"/>
                <w:szCs w:val="18"/>
                <w:color w:val="auto"/>
              </w:rPr>
              <w:t>3.2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Third Amended and Restated Bylaws of the Registrant, as amended.(2)</w:t>
            </w:r>
          </w:p>
        </w:tc>
      </w:tr>
      <w:tr>
        <w:trPr>
          <w:trHeight w:val="324"/>
        </w:trPr>
        <w:tc>
          <w:tcPr>
            <w:tcW w:w="660" w:type="dxa"/>
            <w:vAlign w:val="bottom"/>
          </w:tcPr>
          <w:p>
            <w:pPr>
              <w:ind w:left="180"/>
              <w:spacing w:after="0"/>
              <w:rPr>
                <w:sz w:val="20"/>
                <w:szCs w:val="20"/>
                <w:color w:val="auto"/>
              </w:rPr>
            </w:pPr>
            <w:r>
              <w:rPr>
                <w:rFonts w:ascii="Arial" w:cs="Arial" w:eastAsia="Arial" w:hAnsi="Arial"/>
                <w:sz w:val="18"/>
                <w:szCs w:val="18"/>
                <w:color w:val="auto"/>
              </w:rPr>
              <w:t>4.1</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4.2</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8"/>
              </w:rPr>
              <w:t>Indenture, dated as of October 30, 2002, governing the 12% Second Mortgage Notes due 2010 by and among Wynn Las Vegas, LLC; Wynn</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0"/>
              </w:rPr>
              <w:t>Las Vegas Capital Corp.; Desert Inn Water Company, LLC; Wynn Design &amp; Development, LLC; Wynn Resorts Holdings, LLC; Las Vegas</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0"/>
              </w:rPr>
              <w:t>Jet, LLC; World Travel, LLC; Palo, LLC; Valvino Lamore, LLC; the Registrant and Wells Fargo Bank, National Association, Inc., as trustee</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(including the Form of Second Mortgage Note and the Form of Notation of Guarantee).(3)</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4.3</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3"/>
              </w:rPr>
              <w:t>Indenture, dated as of July 7, 2003, governing the 6% Convertible Subordinated Debentures due 2015 by and among Wynn Resorts,</w:t>
            </w:r>
          </w:p>
        </w:tc>
      </w:tr>
      <w:tr>
        <w:trPr>
          <w:trHeight w:val="216"/>
        </w:trPr>
        <w:tc>
          <w:tcPr>
            <w:tcW w:w="660" w:type="dxa"/>
            <w:vAlign w:val="bottom"/>
          </w:tcPr>
          <w:p>
            <w:pPr>
              <w:spacing w:after="0"/>
              <w:rPr>
                <w:sz w:val="18"/>
                <w:szCs w:val="18"/>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0"/>
              </w:rPr>
              <w:t>Limited, as obligor, Wynn Resorts Funding, LLC, as guarantor and U.S. National Bank Association, as Trustee (including the Form of 6%</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Convertible Subordinated Debenture due 2015 and Form of Notation of Guarantee).(4)</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4.4</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and U.S. Bank National Association, as trustee.(5)</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4.5</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8"/>
              </w:rPr>
              <w:t>Supplemental Indenture, dated as of December 14, 2004, among Wynn Las Vegas, LLC, Wynn Las Vegas Capital Corp., the Guarantors set</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forth therein and Wells Fargo Bank, National Association, as trustee.(5)</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4.6</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forth therein and U.S. Bank National Association, as trustee.(25)</w:t>
            </w:r>
          </w:p>
        </w:tc>
      </w:tr>
      <w:tr>
        <w:trPr>
          <w:trHeight w:val="324"/>
        </w:trPr>
        <w:tc>
          <w:tcPr>
            <w:tcW w:w="660" w:type="dxa"/>
            <w:vAlign w:val="bottom"/>
          </w:tcPr>
          <w:p>
            <w:pPr>
              <w:ind w:left="180"/>
              <w:spacing w:after="0"/>
              <w:rPr>
                <w:sz w:val="20"/>
                <w:szCs w:val="20"/>
                <w:color w:val="auto"/>
              </w:rPr>
            </w:pPr>
            <w:r>
              <w:rPr>
                <w:rFonts w:ascii="Arial" w:cs="Arial" w:eastAsia="Arial" w:hAnsi="Arial"/>
                <w:sz w:val="18"/>
                <w:szCs w:val="18"/>
                <w:color w:val="auto"/>
              </w:rPr>
              <w:t>4.7</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Wynn.(3)</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4.8</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1"/>
              </w:rPr>
              <w:t>Registration Rights Agreement, dated as of June 12, 2003, by and between Wynn Resorts, Limited and Societe des Bains de Mer et du</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Cercle des Etrangers a Monaco.(6)</w:t>
            </w:r>
          </w:p>
        </w:tc>
      </w:tr>
      <w:tr>
        <w:trPr>
          <w:trHeight w:val="318"/>
        </w:trPr>
        <w:tc>
          <w:tcPr>
            <w:tcW w:w="660" w:type="dxa"/>
            <w:vAlign w:val="bottom"/>
          </w:tcPr>
          <w:p>
            <w:pPr>
              <w:ind w:left="180"/>
              <w:spacing w:after="0"/>
              <w:rPr>
                <w:sz w:val="20"/>
                <w:szCs w:val="20"/>
                <w:color w:val="auto"/>
              </w:rPr>
            </w:pPr>
            <w:r>
              <w:rPr>
                <w:rFonts w:ascii="Arial" w:cs="Arial" w:eastAsia="Arial" w:hAnsi="Arial"/>
                <w:sz w:val="18"/>
                <w:szCs w:val="18"/>
                <w:color w:val="auto"/>
              </w:rPr>
              <w:t>4.9</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1"/>
              </w:rPr>
              <w:t>Registration Rights Agreement, dated as of July 7, 2003, by and among Wynn Resorts, Limited, Wynn Resorts Funding, LLC, Deutsche</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rPr>
              <w:t>Bank Securities Inc. and SG Cowen Securities Corporation.(4)</w:t>
            </w:r>
          </w:p>
        </w:tc>
      </w:tr>
      <w:tr>
        <w:trPr>
          <w:trHeight w:val="324"/>
        </w:trPr>
        <w:tc>
          <w:tcPr>
            <w:tcW w:w="660" w:type="dxa"/>
            <w:vAlign w:val="bottom"/>
          </w:tcPr>
          <w:p>
            <w:pPr>
              <w:ind w:left="180"/>
              <w:spacing w:after="0"/>
              <w:rPr>
                <w:sz w:val="20"/>
                <w:szCs w:val="20"/>
                <w:color w:val="auto"/>
              </w:rPr>
            </w:pPr>
            <w:r>
              <w:rPr>
                <w:rFonts w:ascii="Arial" w:cs="Arial" w:eastAsia="Arial" w:hAnsi="Arial"/>
                <w:sz w:val="18"/>
                <w:szCs w:val="18"/>
                <w:color w:val="auto"/>
              </w:rPr>
              <w:t>4.10</w:t>
            </w:r>
          </w:p>
        </w:tc>
        <w:tc>
          <w:tcPr>
            <w:tcW w:w="10760" w:type="dxa"/>
            <w:vAlign w:val="bottom"/>
            <w:gridSpan w:val="2"/>
          </w:tcPr>
          <w:p>
            <w:pPr>
              <w:ind w:left="880"/>
              <w:spacing w:after="0"/>
              <w:rPr>
                <w:sz w:val="20"/>
                <w:szCs w:val="20"/>
                <w:color w:val="auto"/>
              </w:rPr>
            </w:pPr>
            <w:r>
              <w:rPr>
                <w:rFonts w:ascii="Arial" w:cs="Arial" w:eastAsia="Arial" w:hAnsi="Arial"/>
                <w:sz w:val="18"/>
                <w:szCs w:val="18"/>
                <w:color w:val="auto"/>
                <w:w w:val="94"/>
              </w:rPr>
              <w:t>Registration Rights Agreement, dated as of August 28, 2004, by and between S.H.W. &amp; Co. Limited and Wynn Resorts, Limited.(7)</w:t>
            </w: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560" w:type="dxa"/>
            <w:vAlign w:val="bottom"/>
          </w:tcPr>
          <w:p>
            <w:pPr>
              <w:spacing w:after="0"/>
              <w:rPr>
                <w:sz w:val="15"/>
                <w:szCs w:val="15"/>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ind w:left="240"/>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5"/>
              </w:rPr>
              <w:t>Registration Rights Agreement, dated as of September 1, 2004, by and between Classic Wave Limited and Wynn Resorts, Limited.(7)</w:t>
            </w:r>
          </w:p>
        </w:tc>
      </w:tr>
      <w:tr>
        <w:trPr>
          <w:trHeight w:val="316"/>
        </w:trPr>
        <w:tc>
          <w:tcPr>
            <w:tcW w:w="660" w:type="dxa"/>
            <w:vAlign w:val="bottom"/>
          </w:tcPr>
          <w:p>
            <w:pPr>
              <w:ind w:left="220"/>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Registration Rights Agreement, dated as of September 1, 2004, by and between L’Arc de Triomphe Limited and Wynn Resorts, Limited.(7)</w:t>
            </w:r>
          </w:p>
        </w:tc>
      </w:tr>
      <w:tr>
        <w:trPr>
          <w:trHeight w:val="324"/>
        </w:trPr>
        <w:tc>
          <w:tcPr>
            <w:tcW w:w="660" w:type="dxa"/>
            <w:vAlign w:val="bottom"/>
          </w:tcPr>
          <w:p>
            <w:pPr>
              <w:ind w:left="220"/>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Limited.(7)</w:t>
            </w:r>
          </w:p>
        </w:tc>
      </w:tr>
      <w:tr>
        <w:trPr>
          <w:trHeight w:val="318"/>
        </w:trPr>
        <w:tc>
          <w:tcPr>
            <w:tcW w:w="660" w:type="dxa"/>
            <w:vAlign w:val="bottom"/>
          </w:tcPr>
          <w:p>
            <w:pPr>
              <w:ind w:left="220"/>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Securities Inc. and SG Americas Securities, LLC.(22)</w:t>
            </w:r>
          </w:p>
        </w:tc>
      </w:tr>
      <w:tr>
        <w:trPr>
          <w:trHeight w:val="324"/>
        </w:trPr>
        <w:tc>
          <w:tcPr>
            <w:tcW w:w="660" w:type="dxa"/>
            <w:vAlign w:val="bottom"/>
          </w:tcPr>
          <w:p>
            <w:pPr>
              <w:ind w:left="140"/>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Agreement between Wynn Design &amp; Development, LLC and Butler/Ashworth Architects, Inc.(1)</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 and Marnell Corrao Associates, Inc. for Le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Rêve.(8)</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Change Order No. 1 to Agreement for Guaranteed Maximum Price Construction Services dated as of August 12, 2002,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as Contractor and Wynn Las Vegas, LLC.(9)</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Change Order No. 2 to Agreement for Guarantee Maximum Price Construction Services, dated as of August 31, 2003,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as Contractor and Wynn Las Vegas, LLC.(10)</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Change Order No. 3 to Agreement for Guarantee Maximum Price Construction Services, dated as of March 31, 2004,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as Contractor and Wynn Las Vegas.(11)</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Change Order No. 4 to Agreement for Guarantee Maximum Price Construction Services, dated as of June 30, 2004,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as Contractor and Wynn Las Vegas.(12)</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Change Order No. 5 to Agreement for Guarantee Maximum Price Construction Services, dated as of August 30, 2004,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and Wynn Las Vegas, LLC.(13)</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Change Order No. 6 to Agreement for Guarantee Maximum Price Construction Services, dated as of November 30, 2004, by and between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Marnell Corrao Associates, Inc. and Wynn Las Vegas, LLC.(22)</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Change Order No. 7 to Agreement for Guarantee Maximum Price Construction Services, dated as of December 30, 2004, by and between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Marnell Corrao Associates, Inc. and Wynn Las Vegas, LLC.(22)</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10.10</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Change Order No. 8 to Agreement for Guarantee Maximum Price Construction Services, dated as of May 31, 2005,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and Wynn Las Vegas, LLC.(34)</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Change Order No. 9 to Agreement for Guarantee Maximum Price Construction Services, dated as of July 20, 2005,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and Wynn Las Vegas, LLC.(34)</w:t>
            </w:r>
          </w:p>
        </w:tc>
      </w:tr>
      <w:tr>
        <w:trPr>
          <w:trHeight w:val="318"/>
        </w:trPr>
        <w:tc>
          <w:tcPr>
            <w:tcW w:w="660" w:type="dxa"/>
            <w:vAlign w:val="bottom"/>
          </w:tcPr>
          <w:p>
            <w:pPr>
              <w:ind w:left="140"/>
              <w:spacing w:after="0"/>
              <w:rPr>
                <w:sz w:val="20"/>
                <w:szCs w:val="20"/>
                <w:color w:val="auto"/>
              </w:rPr>
            </w:pPr>
            <w:r>
              <w:rPr>
                <w:rFonts w:ascii="Arial" w:cs="Arial" w:eastAsia="Arial" w:hAnsi="Arial"/>
                <w:sz w:val="18"/>
                <w:szCs w:val="18"/>
                <w:color w:val="auto"/>
              </w:rPr>
              <w:t>10.12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Change Order No. 10 to Agreement for Guarantee Maximum Price Construction Services, dated as of July 20, 2005, by and between Marnell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Corrao Associates, Inc. and Wynn Las Vegas, LLC.(34)</w:t>
            </w:r>
          </w:p>
        </w:tc>
      </w:tr>
      <w:tr>
        <w:trPr>
          <w:trHeight w:val="324"/>
        </w:trPr>
        <w:tc>
          <w:tcPr>
            <w:tcW w:w="660" w:type="dxa"/>
            <w:vAlign w:val="bottom"/>
          </w:tcPr>
          <w:p>
            <w:pPr>
              <w:ind w:left="140"/>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LLC.(3)</w:t>
            </w:r>
          </w:p>
        </w:tc>
      </w:tr>
      <w:tr>
        <w:trPr>
          <w:trHeight w:val="324"/>
        </w:trPr>
        <w:tc>
          <w:tcPr>
            <w:tcW w:w="660" w:type="dxa"/>
            <w:vAlign w:val="bottom"/>
          </w:tcPr>
          <w:p>
            <w:pPr>
              <w:ind w:left="140"/>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9"/>
              </w:rPr>
              <w:t>Design/Build Agreement, dated June 6, 2002, by and between Wynn Las Vegas, LLC and Bomel Construction Company, Inc.(8)</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3"/>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10.15</w:t>
            </w:r>
          </w:p>
        </w:tc>
        <w:tc>
          <w:tcPr>
            <w:tcW w:w="440" w:type="dxa"/>
            <w:vAlign w:val="bottom"/>
          </w:tcPr>
          <w:p>
            <w:pPr>
              <w:spacing w:after="0"/>
              <w:rPr>
                <w:sz w:val="17"/>
                <w:szCs w:val="17"/>
                <w:color w:val="auto"/>
              </w:rPr>
            </w:pPr>
          </w:p>
        </w:tc>
        <w:tc>
          <w:tcPr>
            <w:tcW w:w="10320" w:type="dxa"/>
            <w:vAlign w:val="bottom"/>
          </w:tcPr>
          <w:p>
            <w:pPr>
              <w:spacing w:after="0" w:line="201" w:lineRule="exact"/>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440"/>
              <w:spacing w:after="0"/>
              <w:rPr>
                <w:sz w:val="20"/>
                <w:szCs w:val="20"/>
                <w:color w:val="auto"/>
              </w:rPr>
            </w:pPr>
            <w:r>
              <w:rPr>
                <w:rFonts w:ascii="Arial" w:cs="Arial" w:eastAsia="Arial" w:hAnsi="Arial"/>
                <w:sz w:val="18"/>
                <w:szCs w:val="18"/>
                <w:color w:val="auto"/>
              </w:rPr>
              <w:t>(14)</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10.16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Design-Build Agreement for Guaranteed Maximum Price Architectural, Engineering and Construction Services, dated as of May 10, 2004,</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between Wynn Resorts (Macau) S.A. and Leighton Contractors (Asia) Limited, China State Construction Engineering (Hong Kong) Limited, and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China Construction Engineering (Macau) Company Limited.(12)</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10.17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Amended and Restated Design-Build Agreement for Guaranteed Maximum Price Architectural, Engineering and Construction Services, dated as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of September 14, 2005, between Wynn Resorts (Macau), S.A. as Owner and Leighton Contractors (Asia)—Limited, China State Construction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Engineering (Hong Kong) Limited, and China Construction Engineering (Macau) Company Limited, jointly and severally, the Contractor.(28)</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the Bank Agent, and U.S. Bank National Association, as Indenture Trustee.(22)</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Employment Agreement, dated as of July 7, 2000, by and between Wynn Design &amp; Development, LLC and William Todd Nisbet.(15)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*10.20</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September 6, 2002, by and between Wynn Resorts, Limited and Marc H. Rubinstein.(15)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Employment Agreement, dated as of September 26, 2002, by and between Wynn Design &amp; Development, LLC and DeRuyter O. Butler.(1)</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First Amendment to Employment Agreement, dated as of August 6, 2004, by and between Stephen A. Wynn and Wynn Resorts, Limited.(13)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*10.24</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Marc D. Schorr.(17)</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December 11, 2002, by and between Wynn Las Vegas, LLC and Arthur Nathan.(33)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First Amendment to Employment Agreement, dated as of August 28, 2003, by and between Wynn Las Vegas, LLC and Arthur Nathan.(33)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December 16, 2002, by and between Wynn Las Vegas, LLC and James E. Pettis.(33)</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8"/>
              </w:rPr>
              <w:t>Credit Agreement, dated as of December 14, 2004, among Wynn Las Vegas, LLC, Deutsche Bank Securities Inc., Deutsche Bank Trust Company</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Americas, Banc of America Securities LLC, Bank of America, N.A., Bear Stearns Corporate Lending Inc., Bear, Stearns &amp; Co. Inc., JPMorgan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Chase Bank, N.A., J.P. Morgan Securities Inc., Societe Generale and SG Americas Securities, LLC. (5)</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March 2003, by and between Worldwide Wynn, LLC and Matt Maddox.(23)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First Amendment to Employment Agreement, dated as of September 1, 2004, by and between Worldwide Wynn, LLC and Matt Maddox.(23)</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*10.31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April 1, 2003, by and between Wynn Resorts, Limited and Ronald J. Kramer.(14)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Employment Agreement, dated as of July 18, 2003, by and between Wynn Resorts (Macau), S.A. and Grant Bowie.(23)</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3"/>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8890</wp:posOffset>
            </wp:positionV>
            <wp:extent cx="6551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Employment Agreement, dated as of September 16, 2003 by and between Wynn Las Vegas, LLC and David Sisk.(23)</w:t>
      </w:r>
    </w:p>
    <w:p>
      <w:pPr>
        <w:spacing w:after="0" w:line="109"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First Amendment to Employment Agreement, dated as of October 20, 2003 by and between Wynn Las Vegas, LLC and David Sisk.(23)</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Employment Agreement, dated as of January 1, 2005, by and between Wynn Resorts, Limited and Karen Bozich.(23)</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Employment Agreement, dated as of June 27, 2005, between Worldwide Wynn, LLC and Scott Peterson.(34)</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Addendum to Employment Agreement, dated as of June 27, 2005, between Worldwide Wynn, LLC and Scott Peterson.(34)</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Employment Agreement, dated as of August 31, 2005, between Wynn Resorts, Limited and John Strzemp.(29)</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Employment Agreement, dated as of August 31, 2005, between Worldwide Wynn, LLC and Linda Chen.(29)</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5"/>
          <w:szCs w:val="15"/>
          <w:color w:val="auto"/>
        </w:rPr>
        <w:t>Employment Agreement, dated as of August 31, 2005, between Wynn Las Vegas, LLC and Andrew Pascal.(29)</w:t>
      </w:r>
    </w:p>
    <w:p>
      <w:pPr>
        <w:spacing w:after="0" w:line="117" w:lineRule="exact"/>
        <w:rPr>
          <w:sz w:val="20"/>
          <w:szCs w:val="20"/>
          <w:color w:val="auto"/>
        </w:rPr>
      </w:pPr>
    </w:p>
    <w:p>
      <w:pPr>
        <w:jc w:val="both"/>
        <w:ind w:left="1100" w:right="420" w:hanging="960"/>
        <w:spacing w:after="0" w:line="259" w:lineRule="auto"/>
        <w:tabs>
          <w:tab w:leader="none" w:pos="108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 on behalf of the Baron Asset Fund Series, Baron Asset Fund on behalf of the Baron Growth Fund Series, Kenneth R. Wynn Family Trust dated February 20, 1985, Valvino Lamore, LLC and Wynn Resorts, Limited.(1)</w:t>
      </w:r>
    </w:p>
    <w:p>
      <w:pPr>
        <w:spacing w:after="0" w:line="86"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2002 Stock Incentive Plan.(3)</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Form of Stock Option Agreement.(18)</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Form of Stock Option Grant Notice.(17)</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Form of Restricted Stock Agreement.(17)</w:t>
      </w:r>
    </w:p>
    <w:p>
      <w:pPr>
        <w:spacing w:after="0" w:line="117" w:lineRule="exact"/>
        <w:rPr>
          <w:sz w:val="20"/>
          <w:szCs w:val="20"/>
          <w:color w:val="auto"/>
        </w:rPr>
      </w:pPr>
    </w:p>
    <w:p>
      <w:pPr>
        <w:ind w:left="100"/>
        <w:spacing w:after="0"/>
        <w:tabs>
          <w:tab w:leader="none" w:pos="108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Indemnity Agreement.(17)</w:t>
      </w:r>
    </w:p>
    <w:p>
      <w:pPr>
        <w:spacing w:after="0" w:line="117" w:lineRule="exact"/>
        <w:rPr>
          <w:sz w:val="20"/>
          <w:szCs w:val="20"/>
          <w:color w:val="auto"/>
        </w:rPr>
      </w:pPr>
    </w:p>
    <w:p>
      <w:pPr>
        <w:ind w:left="1100" w:right="100" w:hanging="916"/>
        <w:spacing w:after="0" w:line="268" w:lineRule="auto"/>
        <w:tabs>
          <w:tab w:leader="none" w:pos="108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Purchase Agreement, dated as of June 12, 2003, by and between Wynn Resorts, Limited and Societe des Bains de Mer et du Cercle des Etrangers a Monaco.(6)</w:t>
      </w:r>
    </w:p>
    <w:p>
      <w:pPr>
        <w:spacing w:after="0" w:line="78" w:lineRule="exact"/>
        <w:rPr>
          <w:sz w:val="20"/>
          <w:szCs w:val="20"/>
          <w:color w:val="auto"/>
        </w:rPr>
      </w:pPr>
    </w:p>
    <w:p>
      <w:pPr>
        <w:ind w:left="1100" w:right="260" w:hanging="916"/>
        <w:spacing w:after="0" w:line="268" w:lineRule="auto"/>
        <w:tabs>
          <w:tab w:leader="none" w:pos="108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Wynn.(8)</w:t>
      </w:r>
    </w:p>
    <w:p>
      <w:pPr>
        <w:spacing w:after="0" w:line="78" w:lineRule="exact"/>
        <w:rPr>
          <w:sz w:val="20"/>
          <w:szCs w:val="20"/>
          <w:color w:val="auto"/>
        </w:rPr>
      </w:pPr>
    </w:p>
    <w:p>
      <w:pPr>
        <w:ind w:left="1100" w:right="120" w:hanging="916"/>
        <w:spacing w:after="0" w:line="332" w:lineRule="auto"/>
        <w:tabs>
          <w:tab w:leader="none" w:pos="108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First Amendment to Asset and Land Purchase Agreement, dated as of May 26, 2000, by and among Starwood Hotels &amp; Resorts Worldwide, Inc., Sheraton Gaming Corporation, Sheraton Desert Inn Corporation, Valvino Lamore, LLC and Stephen A. Wynn.(8)</w:t>
      </w:r>
    </w:p>
    <w:p>
      <w:pPr>
        <w:spacing w:after="0" w:line="31" w:lineRule="exact"/>
        <w:rPr>
          <w:sz w:val="20"/>
          <w:szCs w:val="20"/>
          <w:color w:val="auto"/>
        </w:rPr>
      </w:pPr>
    </w:p>
    <w:p>
      <w:pPr>
        <w:ind w:left="1100" w:hanging="916"/>
        <w:spacing w:after="0" w:line="259" w:lineRule="auto"/>
        <w:tabs>
          <w:tab w:leader="none" w:pos="108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LLC.(8)</w:t>
      </w:r>
    </w:p>
    <w:p>
      <w:pPr>
        <w:spacing w:after="0" w:line="86" w:lineRule="exact"/>
        <w:rPr>
          <w:sz w:val="20"/>
          <w:szCs w:val="20"/>
          <w:color w:val="auto"/>
        </w:rPr>
      </w:pPr>
    </w:p>
    <w:p>
      <w:pPr>
        <w:ind w:left="1100" w:right="60" w:hanging="916"/>
        <w:spacing w:after="0" w:line="259" w:lineRule="auto"/>
        <w:tabs>
          <w:tab w:leader="none" w:pos="108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60" w:type="dxa"/>
            <w:vAlign w:val="bottom"/>
          </w:tcPr>
          <w:p>
            <w:pPr>
              <w:spacing w:after="0"/>
              <w:rPr>
                <w:sz w:val="15"/>
                <w:szCs w:val="15"/>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8"/>
              </w:rPr>
              <w:t>10.52</w:t>
            </w:r>
          </w:p>
        </w:tc>
        <w:tc>
          <w:tcPr>
            <w:tcW w:w="560" w:type="dxa"/>
            <w:vAlign w:val="bottom"/>
          </w:tcPr>
          <w:p>
            <w:pPr>
              <w:spacing w:after="0"/>
              <w:rPr>
                <w:sz w:val="17"/>
                <w:szCs w:val="17"/>
                <w:color w:val="auto"/>
              </w:rPr>
            </w:pPr>
          </w:p>
        </w:tc>
        <w:tc>
          <w:tcPr>
            <w:tcW w:w="10200" w:type="dxa"/>
            <w:vAlign w:val="bottom"/>
          </w:tcPr>
          <w:p>
            <w:pPr>
              <w:spacing w:after="0" w:line="201" w:lineRule="exact"/>
              <w:rPr>
                <w:sz w:val="20"/>
                <w:szCs w:val="20"/>
                <w:color w:val="auto"/>
              </w:rPr>
            </w:pPr>
            <w:r>
              <w:rPr>
                <w:rFonts w:ascii="Arial" w:cs="Arial" w:eastAsia="Arial" w:hAnsi="Arial"/>
                <w:sz w:val="18"/>
                <w:szCs w:val="18"/>
                <w:color w:val="auto"/>
                <w:w w:val="95"/>
              </w:rPr>
              <w:t>Fourth Amendment to Asset and Land Purchase Agreement, dated as of October 27, 2000, by and among Starwood Hotels &amp; Resorts</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Worldwide, Inc., Sheraton Gaming Corporation, Sheraton SGC Sub Corporation, Valvino Lamore, LLC, Stephen A. Wynn, Rambas Marketing</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 LLC, and Desert Inn Water Company, LLC.(8)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Fifth Amendment to Asset and Land Purchase Agreement, dated as of November 3, 2000, by and among Starwood Hotels &amp; Resorts Worldwide,</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Inc., Sheraton Gaming Corporation, Sheraton SGC Sub Corporation, Valvino Lamore, LLC, Stephen A. Wynn, Rambas Marketing Co., LLC,</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and Desert Inn Water Company, LLC.(8)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4"/>
              </w:rPr>
              <w:t>License Agreement, dated October 31, 2002, by and between Wynn Las Vegas, LLC and Calitri Services and Licensing Limited Liability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Company.(16)</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4"/>
              </w:rPr>
              <w:t>Production Services Agreement, dated October 31, 2002, by and between Wynn Las Vegas, LLC and Productions Du Dragon, S.A.(16)</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10.56</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9"/>
              </w:rPr>
              <w:t>Stockholders Agreement, dated as of April 11, 2002, by and among Stephen A. Wynn, Baron Asset Fund and Aruze USA, Inc.(8)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10.57</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Amended and Restated Shareholders Agreement, dated as of September 16, 2004 by and among Wynn Resorts (Macau), Ltd., Wong Chi Seng</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and Wynn Resorts (Macau), S.A.(13)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10.58</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Concession Contract for the Operation of Games of Chance or Other Games in Casinos in the Macau Special Administrative Region, dated</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 of</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Concession Agreement).(9)</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10.59</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Concession Contract for Operating Casino Gaming or Other Forms of Gaming in the Macao Special Administrative Region, dated June 24,</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2002, between the Macau Special Administrative Region and Wynn Resorts (Macau) S.A. (English translation of Chinese version of Concession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Agreement).(15)</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10.60</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5"/>
              </w:rPr>
              <w:t>Pledge and Security Agreement, dated as of July 7, 2003, by and between Wynn Resorts, Limited, as pledgor, and U.S. Bank National</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Association, as trustee and collateral agent.(4)</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Collateral Pledge and Security Agreement, dated as of July 7, 2003, by and between Wynn Resorts Funding, LLC, as the pledgor, and U.S. Bank</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National Association, as collateral agent and trustee.(4)</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Supplement No. 1, dated as of July 30, 2003, to the Collateral Pledge and Security Agreement dated as of July 7, 2003, by and between Wynn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Resorts Funding, LLC, as pledgor and U.S. Bank National Association, as collateral agent and trustee.(4)</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the lenders named therein.(19)</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Unofficial English translation of Land Concession Contract between the Macau Special Administrative Region and Wynn Resorts (Macau) S.A.</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(12)</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10.65</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Agreement, dated as of June 13, 2002, by and between Stephen A. Wynn and Wynn Resorts, Limited.(9)</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10.66</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8"/>
              </w:rPr>
              <w:t>Surname Rights Agreement, dated as of August 6, 2004, by and between Stephen A. Wynn and Wynn Resorts Holdings, LLC.(13)</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10.67</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9"/>
              </w:rPr>
              <w:t>Rights of Publicity License, dated as of August 6, 2004, by and between Stephen A. Wynn and Wynn Resorts Holdings, LLC.(13)</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3"/>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60" w:type="dxa"/>
            <w:vAlign w:val="bottom"/>
          </w:tcPr>
          <w:p>
            <w:pPr>
              <w:spacing w:after="0"/>
              <w:rPr>
                <w:sz w:val="15"/>
                <w:szCs w:val="15"/>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10.68</w:t>
            </w: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LLC.(13)</w:t>
            </w:r>
          </w:p>
        </w:tc>
      </w:tr>
      <w:tr>
        <w:trPr>
          <w:trHeight w:val="316"/>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10.69</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10.70</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Third Amended and Restated Art Rental and Licensing Agreement, dated as of August 6, 2004, by and between Stephen A. Wynn and Wynn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Las Vegas, LLC.(13)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Exchange Agreement, dated as of August 28, 2004, by and among Wong Chi Seng, S.H.W. &amp; Co. Limited, Wynn Resorts, Limited and Wynn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Resorts International, Ltd.(7)</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Exchange Agreement, dated as of September 1, 2004, by and among Kwan Yan Ming, Classic Wave Limited, Wynn Resorts, Limited and Wynn</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Resorts International, Ltd.(7)</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Exchange Agreement, dated as of September 1, 2004, by and among Kwan Yan Ming, L’Arc de Triomphe Limited, Wynn Resorts, Limited and</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Wynn Resorts International, Ltd.(7)</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Exchange Agreement, dated as of September 1, 2004, by and among Wong Chi Seng, SKKG Limited, Wynn Resorts, Limited and Wynn Resorts</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International, Ltd.(7)</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10.75</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Common Terms Agreement, dated as of September 14, 2004, among Wynn Resorts (Macau), S.A., certain financial institutions as Hotel Facility</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Limited as Global Coordinating Lead Arrangers and Societe Generale Asia Limited as Hotel Facility Agent, Project Facility Agent, Intercreditor</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Agent and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10.76</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8"/>
              </w:rPr>
              <w:t>Hotel Facility Agreement, dated as of September 14, 2004, among Wynn Resorts (Macau), S.A., Societe Generale Asia Limited as Hotel Facility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Agent and the several Hotel Facility Lenders named therein.(13)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10.77</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Project Facility Agreement, dated as of September 14, 2004, among Wynn Resorts (Macau), S.A., Societe Generale Asia Limited as Project</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Facility Agent and the several Project Facility Lenders named therein.(13)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10.78</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1"/>
              </w:rPr>
              <w:t>Revolving Credit Facility Agreement, dated as of September 14, 2004, among Wynn Resorts (Macau), S.A. and the several Revolving Credit</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Facility Lenders named therein.(13)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10.79</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4"/>
              </w:rPr>
              <w:t>Deed of Appointment and Priority, dated as of September 14, 2004, among Wynn Resorts (Macau), S.A., certain financial institutions as</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0"/>
              </w:rPr>
              <w:t>Original First Ranking Lenders, Banco Nacional Ultramarino, S.A. as Second Ranking Finance Party, Wynn Group Asia, Inc. as Third Ranking</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Finance Party, Societe Generale -Hong Kong Branch as Security Agent, Societe Generale Asia Limited as Intercreditor Agent and Hotel Facility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Agent and Project Facility Agent and others.(13)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10.80</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Unofficial English translation of Mortgage, dated September 14, 2004 between Wynn Resorts (Macau), S.A. as borrower and Societe Generale,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Hong Kong Branch as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10.81</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Land Security Assignment, dated September 14, 2004, between Wynn Resorts (Macau), S.A. and Societe Generale, Hong Kong Branch as the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10.82</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3"/>
              </w:rPr>
              <w:t>Assignment of Rights, dated September 14, 2004 between Wynn Resorts (Macau), S.A. and Societe Generale, Hong Kong Branch as the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10.83</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Assignment of Insurances, dated September 14, 2004 between Wynn Resorts (Macau), S.A. and Societe Generale, Hong Kong Branch as the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10.84</w:t>
            </w:r>
          </w:p>
        </w:tc>
        <w:tc>
          <w:tcPr>
            <w:tcW w:w="56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89"/>
              </w:rPr>
              <w:t>Assignment of Reinsurances, dated September 14, 2004 between Companhia De Seguros De Macau, S.A. as Assignor and Societe Generale,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Hong Kong Branch as the Security Agent.(13)</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73"/>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560" w:type="dxa"/>
            <w:vAlign w:val="bottom"/>
          </w:tcPr>
          <w:p>
            <w:pPr>
              <w:spacing w:after="0"/>
              <w:rPr>
                <w:sz w:val="15"/>
                <w:szCs w:val="15"/>
                <w:color w:val="auto"/>
              </w:rPr>
            </w:pPr>
          </w:p>
        </w:tc>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10.85</w:t>
            </w:r>
          </w:p>
        </w:tc>
        <w:tc>
          <w:tcPr>
            <w:tcW w:w="560" w:type="dxa"/>
            <w:vAlign w:val="bottom"/>
          </w:tcPr>
          <w:p>
            <w:pPr>
              <w:spacing w:after="0"/>
              <w:rPr>
                <w:sz w:val="17"/>
                <w:szCs w:val="17"/>
                <w:color w:val="auto"/>
              </w:rPr>
            </w:pPr>
          </w:p>
        </w:tc>
        <w:tc>
          <w:tcPr>
            <w:tcW w:w="10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Floating Charge (unofficial English Translation), dated September 14, 2004 between Wynn Resorts (Macau), S.A. and Societe Generale, Hong</w:t>
            </w:r>
          </w:p>
        </w:tc>
        <w:tc>
          <w:tcPr>
            <w:tcW w:w="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Kong Branch as the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10.86</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Debenture, dated September 14, 2004 between Wynn Resorts (Macau), S.A. and Societe Generale, Hong Kong Branch as the Security Agent.</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10.87</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Wynn Resorts Support Agreement, dated September 14, 2004 between Wynn Resorts, Limited, Wynn Resorts (Macau), S.A. and Societe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Generale, Hong Kong Branch as the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10.88</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Wynn Pledgors’ Guarantee, dated September 14, 2004 between Wynn Group Asia, Inc., Wynn Resorts International, Ltd., Wynn Resorts</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(Macau) Holdings, Ltd. and Wynn Resorts (Macau), Ltd. as Guarantors; and Societe Generale, Hong Kong Branch as the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10.89</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Sponsors’ Subordination Deed, dated September 14, 2004 between Wynn Resorts (Macau), S.A., Wynn Group Asia, Inc., Wynn Resorts</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International, Ltd., Wynn Resorts (Macau) Holdings, Ltd. and Wynn Resorts (Macau), Ltd. as the Wynn Companies and Societe Generale, Hong</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Kong Branch as the Security Agent.(13)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10.90</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Bank Guarantee Reimbursement Agreement, dated September 14, 2004, between Wynn Resorts (Macau), S.A. and Banco Nacional Ultramarino.</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5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10.91</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Note Purchase Agreement, dated September 14, 2004, by and among Wynn Resorts (Macau), S.A. and Wynn Group Asia, Inc.(13)</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10.92</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Amended and Restated Note Purchase Agreement, dated as of September 14, 2005, between Wynn Resorts (Macau), S.A. and Wynn Group</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Asia, Inc.(28)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10.93</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Hotel Facility Agreement Amendment Agreement, dated as of September 14, 2005, between Wynn Resorts (Macau), S.A. as Company, Societe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10.94</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Project Facility Agreement Amendment Agreement, dated as of September 14, 2005, between Wynn Resorts (Macau), S.A. as Company, Societe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10.95</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Revolving Credit Facility Agreement Amendment Agreement, dated as of September 14, 2005, between Wynn Resorts (Macau), S.A. as</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Company and Certain Financial Institutions as Revolving Credit Facility Lenders.(28)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10.96</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Common Terms Agreement Amendment Agreement, dated as of September 14, 2005, between Wynn Resorts (Macau), S.A. as the Company,</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Certain Financial Institutions as Hotel Facility Lenders, Project Facility Lenders, Revolving Credit Facility Lenders and Hedging Counterparties,</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Bank of America Securities Asia Limited, Deutsche Bank AG, Hong Kong Branch and Societe Generale Asia Limited as Global Coordinating</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Lead Arrangers, Societe Generale Asia Limited as Hotel Facility Agent and Project Facility Agent, Societe Generale Asia Limited as</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Intercreditor Agent, and Societe Generale, Hong Kong Branch as Security Agent.(28)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10.97</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Wynn Resorts Support Agreement Deed of Amendment, dated as of September 14, 2005, between Wynn Resorts (Macau), S.A. and Societe</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Generale, Hong Kong Branch as Security Agent.(28)</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88"/>
              </w:rPr>
              <w:t>10.98</w:t>
            </w:r>
          </w:p>
        </w:tc>
        <w:tc>
          <w:tcPr>
            <w:tcW w:w="5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Deed of Appointment and Priority Deed of Amendment, dated as of September 14, 2005, between Wynn Resorts (Macau), S.A. as Company,</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Certain Financial Institutions as Original First Ranking Lenders, Certain Financial Institutions as Original Hedging Counterparties, Banco</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bl>
    <w:p>
      <w:pPr>
        <w:ind w:left="1220" w:right="240"/>
        <w:spacing w:after="0" w:line="261" w:lineRule="auto"/>
        <w:rPr>
          <w:sz w:val="20"/>
          <w:szCs w:val="20"/>
          <w:color w:val="auto"/>
        </w:rPr>
      </w:pPr>
      <w:r>
        <w:rPr>
          <w:rFonts w:ascii="Arial" w:cs="Arial" w:eastAsia="Arial" w:hAnsi="Arial"/>
          <w:sz w:val="18"/>
          <w:szCs w:val="18"/>
          <w:color w:val="auto"/>
        </w:rPr>
        <w:t>Limited as Security Agent, Societe Generale Asia Limited as Intercreditor Agent , Societe Generale Asia Limited as Hotel Facility Agent and Project Facility Agent, and Others.(28)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ind w:left="100"/>
              <w:spacing w:after="0" w:line="201" w:lineRule="exact"/>
              <w:rPr>
                <w:sz w:val="20"/>
                <w:szCs w:val="20"/>
                <w:color w:val="auto"/>
              </w:rPr>
            </w:pPr>
            <w:r>
              <w:rPr>
                <w:rFonts w:ascii="Arial" w:cs="Arial" w:eastAsia="Arial" w:hAnsi="Arial"/>
                <w:sz w:val="18"/>
                <w:szCs w:val="18"/>
                <w:color w:val="auto"/>
              </w:rPr>
              <w:t>10.99</w:t>
            </w:r>
          </w:p>
        </w:tc>
        <w:tc>
          <w:tcPr>
            <w:tcW w:w="440" w:type="dxa"/>
            <w:vAlign w:val="bottom"/>
          </w:tcPr>
          <w:p>
            <w:pPr>
              <w:spacing w:after="0"/>
              <w:rPr>
                <w:sz w:val="17"/>
                <w:szCs w:val="17"/>
                <w:color w:val="auto"/>
              </w:rPr>
            </w:pPr>
          </w:p>
        </w:tc>
        <w:tc>
          <w:tcPr>
            <w:tcW w:w="10320" w:type="dxa"/>
            <w:vAlign w:val="bottom"/>
            <w:gridSpan w:val="3"/>
          </w:tcPr>
          <w:p>
            <w:pPr>
              <w:spacing w:after="0" w:line="201" w:lineRule="exact"/>
              <w:rPr>
                <w:sz w:val="20"/>
                <w:szCs w:val="20"/>
                <w:color w:val="auto"/>
              </w:rPr>
            </w:pPr>
            <w:r>
              <w:rPr>
                <w:rFonts w:ascii="Arial" w:cs="Arial" w:eastAsia="Arial" w:hAnsi="Arial"/>
                <w:sz w:val="18"/>
                <w:szCs w:val="18"/>
                <w:color w:val="auto"/>
                <w:w w:val="91"/>
              </w:rPr>
              <w:t>First Amendment to Credit Agreement, dated April 26, 2005, among Wynn Las Vegas, LLC, Wynn Las Vegas Capital Corp., Wynn Golf, LLC,</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Wynn Show Performers, LLC, Wynn Sunrise, LLC, World Travel, LLC and Deutsche Bank Trust Company Americas, as administrative agent.</w:t>
            </w:r>
          </w:p>
        </w:tc>
      </w:tr>
      <w:tr>
        <w:trPr>
          <w:trHeight w:val="222"/>
        </w:trPr>
        <w:tc>
          <w:tcPr>
            <w:tcW w:w="660" w:type="dxa"/>
            <w:vAlign w:val="bottom"/>
          </w:tcPr>
          <w:p>
            <w:pPr>
              <w:spacing w:after="0"/>
              <w:rPr>
                <w:sz w:val="19"/>
                <w:szCs w:val="19"/>
                <w:color w:val="auto"/>
              </w:rPr>
            </w:pP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10.100</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Las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10.101</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December 14, 2004, made by Wynn Sunrise,</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10.102</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10.103</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10.104</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Trust Company Americas and U.S. Bank National Association.(5)</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10.105</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Company Americas, as collateral agent, and U.S. Bank National Association, as trustee.(5)</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10.106</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10.107</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7"/>
              </w:rPr>
              <w:t>Management Fees Subordination Agreement, dated as of December 14, 2004, by Wynn Resorts, Limited, Wynn Las Vegas, LLC, Wynn Las Vegas</w:t>
            </w:r>
          </w:p>
        </w:tc>
      </w:tr>
      <w:tr>
        <w:trPr>
          <w:trHeight w:val="184"/>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20" w:type="dxa"/>
            <w:vAlign w:val="bottom"/>
            <w:gridSpan w:val="3"/>
          </w:tcPr>
          <w:p>
            <w:pPr>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A hereto in favor of Deutsche Bank Trust Company Americas, as</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35"/>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administrative agent, and U.S. Bank National Association, as trustee.(22)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10.108</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10.109</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Fargo Bank, National Association, as Trustee.(22)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10.110</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&amp; Development, LLC.(22)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10.111</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Wynn Las Vegas, LLC.(22)</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10.112</w:t>
            </w:r>
          </w:p>
        </w:tc>
        <w:tc>
          <w:tcPr>
            <w:tcW w:w="44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rPr>
              <w:t>Agreement of Lease, dated January 10, 2005, by and between Stephen A. Wynn and Wynn Las Vegas, LLC.(23)</w:t>
            </w:r>
          </w:p>
        </w:tc>
      </w:tr>
      <w:tr>
        <w:trPr>
          <w:trHeight w:val="365"/>
        </w:trPr>
        <w:tc>
          <w:tcPr>
            <w:tcW w:w="660" w:type="dxa"/>
            <w:vAlign w:val="bottom"/>
          </w:tcPr>
          <w:p>
            <w:pPr>
              <w:spacing w:after="0"/>
              <w:rPr>
                <w:sz w:val="24"/>
                <w:szCs w:val="24"/>
                <w:color w:val="auto"/>
              </w:rPr>
            </w:pPr>
          </w:p>
        </w:tc>
        <w:tc>
          <w:tcPr>
            <w:tcW w:w="5540" w:type="dxa"/>
            <w:vAlign w:val="bottom"/>
            <w:gridSpan w:val="2"/>
          </w:tcPr>
          <w:p>
            <w:pPr>
              <w:jc w:val="right"/>
              <w:ind w:right="353"/>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15"/>
                <w:szCs w:val="15"/>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10.113</w:t>
            </w: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8"/>
              </w:rPr>
              <w:t>Amendment No. 1 to Agreement of Lease, dated April 21, 2005, by and between Stephen A. Wynn and Wynn Las Vegas, LLC.(23)</w:t>
            </w:r>
          </w:p>
        </w:tc>
      </w:tr>
      <w:tr>
        <w:trPr>
          <w:trHeight w:val="309"/>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10.114</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Second Amendment to Credit Agreement, dated as of June 29, 2005, among Wynn Las Vegas, LLC, the Wynn Amendment Parties (as defined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therein) and Deutsche Bank Trust Company Americas, as administrative agent on behalf of the Lenders (as defined therein).(30)</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10.115</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Third Amendment to Credit Agreement, dated as of March 15, 2006, among Wynn Las Vegas, LLC, the Wynn Amendment Parties (as defined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therein) and Deutsche Bank Trust Company Americas, as administrative agent on behalf of the Lenders (as defined therein).(34)</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3"/>
              </w:rPr>
              <w:t>First Amendment to Master Disbursement Agreement, dated April 26, 2005, among Wynn Las Vegas, LLC, Deutsche Bank Trust Company</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Americas, as bank agent and Deutsche Bank Trust Company Americas, as disbursement agent.(26)</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 Bank Trust</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Company Americas.(25)</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10.118</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Association, not in its individual capacity but solely as collateral agent.(27)</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10.119</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Bank, National Association, not in its individual capacity but solely as collateral agent.(27)</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10.120</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agent.(27)</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agent.(27)</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LLC.(24)</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10.123</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Gallery, LLC, as lessee.(24)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10.124</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Art Gallery Lease, dated June 30, 2005, between Wynn Las Vegas, LLC, as landlord and Wynn Gallery, LLC, as tenant.(24)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10.125</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Description of discretionary bonuses for Fiscal Year 2004 for certain executive officers.(31)</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Description of Performance Based Incentive Plan Bonus Criteria for Fiscal Year 2005.(32)</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Third Amendment to Master Disbursement Agreement, dated as of March 13, 2006, between Wynn Las Vegas, LLC and Deutsche Bank Trust</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Company Americas.(34)</w:t>
            </w:r>
          </w:p>
        </w:tc>
      </w:tr>
      <w:tr>
        <w:trPr>
          <w:trHeight w:val="318"/>
        </w:trPr>
        <w:tc>
          <w:tcPr>
            <w:tcW w:w="660" w:type="dxa"/>
            <w:vAlign w:val="bottom"/>
          </w:tcPr>
          <w:p>
            <w:pPr>
              <w:ind w:left="100"/>
              <w:spacing w:after="0"/>
              <w:rPr>
                <w:sz w:val="20"/>
                <w:szCs w:val="20"/>
                <w:color w:val="auto"/>
              </w:rPr>
            </w:pPr>
            <w:r>
              <w:rPr>
                <w:rFonts w:ascii="Arial" w:cs="Arial" w:eastAsia="Arial" w:hAnsi="Arial"/>
                <w:sz w:val="18"/>
                <w:szCs w:val="18"/>
                <w:color w:val="auto"/>
                <w:w w:val="98"/>
              </w:rPr>
              <w:t>10.128</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Subconcession Sale Agreement, dated as of March 4, 2006, between Wynn Resorts, Limited, Wynn Resorts (Macau), S.A. and Publishing and</w:t>
            </w:r>
          </w:p>
        </w:tc>
      </w:tr>
      <w:tr>
        <w:trPr>
          <w:trHeight w:val="222"/>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Broadcasting, Ltd.(34)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2003)(20)</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Letter from Arthur Andersen, LLP(21)</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Subsidiaries of the Registrant(34)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 of Deloitte &amp; Touche LLP(34)</w:t>
            </w:r>
          </w:p>
        </w:tc>
      </w:tr>
      <w:tr>
        <w:trPr>
          <w:trHeight w:val="324"/>
        </w:trPr>
        <w:tc>
          <w:tcPr>
            <w:tcW w:w="660" w:type="dxa"/>
            <w:vAlign w:val="bottom"/>
          </w:tcPr>
          <w:p>
            <w:pPr>
              <w:ind w:left="100"/>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 of Deloitte &amp; Touche LLP(35)</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78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2002.(35)</w:t>
            </w:r>
          </w:p>
        </w:tc>
      </w:tr>
      <w:tr>
        <w:trPr>
          <w:trHeight w:val="3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2002.(35)</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w w:val="89"/>
              </w:rPr>
              <w:t>Certification of CEO and CFO Pursuant to 18 U.S.C. Section 1350, as Adopted Pursuant to Section 906 of the Sarbanes-Oxley Act of 2002.</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780"/>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December 9,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13,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5,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28, 2003.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5 to the Form S-1 filed by the Registrant on October 21, 2002 (File No. 333-90600).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Form S-8 filed by the Registrant on October 31, 2002.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2 to the Form S-1 filed by the Registrant on August 26, 2002 (File No. 333-90600).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8,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2005.</w:t>
      </w:r>
    </w:p>
    <w:p>
      <w:pPr>
        <w:spacing w:after="0" w:line="17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27,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Current Report on Form 8-K filed by the Registrant on September 29,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February 3,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24,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Form S-4 filed by Wynn Las Vegas, LLC on April 13, 2005.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16,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 THE REGISTRANT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7"/>
            <w:vMerge w:val="restart"/>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Report of Independent Registered Public Accounting Firm</w:t>
              </w:r>
            </w:hyperlink>
          </w:p>
        </w:tc>
        <w:tc>
          <w:tcPr>
            <w:tcW w:w="628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860" w:type="dxa"/>
            <w:vAlign w:val="bottom"/>
            <w:gridSpan w:val="7"/>
            <w:vMerge w:val="continue"/>
          </w:tcPr>
          <w:p>
            <w:pPr>
              <w:spacing w:after="0"/>
              <w:rPr>
                <w:sz w:val="14"/>
                <w:szCs w:val="14"/>
                <w:color w:val="auto"/>
              </w:rPr>
            </w:pPr>
          </w:p>
        </w:tc>
        <w:tc>
          <w:tcPr>
            <w:tcW w:w="62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900" w:type="dxa"/>
            <w:vAlign w:val="bottom"/>
            <w:tcBorders>
              <w:top w:val="single" w:sz="8" w:color="0000EE"/>
              <w:bottom w:val="single" w:sz="8" w:color="0000EE"/>
            </w:tcBorders>
          </w:tcPr>
          <w:p>
            <w:pPr>
              <w:spacing w:after="0"/>
              <w:rPr>
                <w:rFonts w:ascii="Arial" w:cs="Arial" w:eastAsia="Arial" w:hAnsi="Arial"/>
                <w:sz w:val="18"/>
                <w:szCs w:val="18"/>
                <w:color w:val="0000EE"/>
                <w:w w:val="84"/>
              </w:rPr>
            </w:pPr>
            <w:hyperlink w:anchor="page14">
              <w:r>
                <w:rPr>
                  <w:rFonts w:ascii="Arial" w:cs="Arial" w:eastAsia="Arial" w:hAnsi="Arial"/>
                  <w:sz w:val="18"/>
                  <w:szCs w:val="18"/>
                  <w:color w:val="0000EE"/>
                  <w:w w:val="84"/>
                </w:rPr>
                <w:t>Condensed Balance Sheets</w:t>
              </w:r>
            </w:hyperlink>
          </w:p>
        </w:tc>
        <w:tc>
          <w:tcPr>
            <w:tcW w:w="2220" w:type="dxa"/>
            <w:vAlign w:val="bottom"/>
            <w:tcBorders>
              <w:top w:val="single" w:sz="8" w:color="0000EE"/>
            </w:tcBorders>
            <w:gridSpan w:val="5"/>
          </w:tcPr>
          <w:p>
            <w:pPr>
              <w:spacing w:after="0"/>
              <w:rPr>
                <w:sz w:val="24"/>
                <w:szCs w:val="24"/>
                <w:color w:val="auto"/>
              </w:rPr>
            </w:pPr>
          </w:p>
        </w:tc>
        <w:tc>
          <w:tcPr>
            <w:tcW w:w="7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I-3</w:t>
            </w:r>
          </w:p>
        </w:tc>
        <w:tc>
          <w:tcPr>
            <w:tcW w:w="0" w:type="dxa"/>
            <w:vAlign w:val="bottom"/>
          </w:tcPr>
          <w:p>
            <w:pPr>
              <w:spacing w:after="0"/>
              <w:rPr>
                <w:sz w:val="1"/>
                <w:szCs w:val="1"/>
                <w:color w:val="auto"/>
              </w:rPr>
            </w:pPr>
          </w:p>
        </w:tc>
      </w:tr>
      <w:tr>
        <w:trPr>
          <w:trHeight w:val="304"/>
        </w:trPr>
        <w:tc>
          <w:tcPr>
            <w:tcW w:w="486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Condensed Statements of Operations</w:t>
              </w:r>
            </w:hyperlink>
          </w:p>
        </w:tc>
        <w:tc>
          <w:tcPr>
            <w:tcW w:w="6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I-4</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Condensed Statements of Stockholders’ Equity</w:t>
              </w:r>
            </w:hyperlink>
          </w:p>
        </w:tc>
        <w:tc>
          <w:tcPr>
            <w:tcW w:w="6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I-5</w:t>
            </w:r>
          </w:p>
        </w:tc>
        <w:tc>
          <w:tcPr>
            <w:tcW w:w="0" w:type="dxa"/>
            <w:vAlign w:val="bottom"/>
          </w:tcPr>
          <w:p>
            <w:pPr>
              <w:spacing w:after="0"/>
              <w:rPr>
                <w:sz w:val="1"/>
                <w:szCs w:val="1"/>
                <w:color w:val="auto"/>
              </w:rPr>
            </w:pPr>
          </w:p>
        </w:tc>
      </w:tr>
      <w:tr>
        <w:trPr>
          <w:trHeight w:val="304"/>
        </w:trPr>
        <w:tc>
          <w:tcPr>
            <w:tcW w:w="3320" w:type="dxa"/>
            <w:vAlign w:val="bottom"/>
            <w:tcBorders>
              <w:top w:val="single" w:sz="8" w:color="0000EE"/>
            </w:tcBorders>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Condensed Statements of Cash Flows</w:t>
              </w:r>
            </w:hyperlink>
          </w:p>
        </w:tc>
        <w:tc>
          <w:tcPr>
            <w:tcW w:w="1540" w:type="dxa"/>
            <w:vAlign w:val="bottom"/>
            <w:gridSpan w:val="2"/>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I-6</w:t>
            </w:r>
          </w:p>
        </w:tc>
        <w:tc>
          <w:tcPr>
            <w:tcW w:w="0" w:type="dxa"/>
            <w:vAlign w:val="bottom"/>
          </w:tcPr>
          <w:p>
            <w:pPr>
              <w:spacing w:after="0"/>
              <w:rPr>
                <w:sz w:val="1"/>
                <w:szCs w:val="1"/>
                <w:color w:val="auto"/>
              </w:rPr>
            </w:pPr>
          </w:p>
        </w:tc>
      </w:tr>
      <w:tr>
        <w:trPr>
          <w:trHeight w:val="20"/>
        </w:trPr>
        <w:tc>
          <w:tcPr>
            <w:tcW w:w="26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Notes to Condensed Financial Statements</w:t>
              </w:r>
            </w:hyperlink>
          </w:p>
        </w:tc>
        <w:tc>
          <w:tcPr>
            <w:tcW w:w="6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383"/>
        </w:trPr>
        <w:tc>
          <w:tcPr>
            <w:tcW w:w="19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80" w:type="dxa"/>
            <w:vAlign w:val="bottom"/>
            <w:gridSpan w:val="3"/>
          </w:tcPr>
          <w:p>
            <w:pPr>
              <w:jc w:val="right"/>
              <w:ind w:right="562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audited the consolidated financial statements and financial statement schedule of Valuation and Qualifying Accounts of Wynn Resorts, Limited and subsidiaries (the “Company”) as of December 31, 2005 and 2004, and for each of the three years in the period ended December 31, 2005, management’s assessment of the effectiveness of the Company’s internal control over financial reporting as of December 31, 2005, and the effectiveness of the Company’s internal control over financial reporting as of December 31, 2005, and have issued our reports thereon dated March 15, 2006 (which report on the consolidated financial statements and financial statement schedule expresses an unqualified opinion and includes an explanatory paragraph relating to the restatement of the 2003 and 2004 consolidated financial statements, and which report on the effectiveness of the Company’s internal controls over financial reporting expresses an adverse opinion on the effectiveness of the Company’s internal control over financial reporting because of a material weakness); such reports have previously been filed as part of the Company’s Annual Report on Form 10-K for the year ended December 31, 2005. Our audits also included the financial statement schedules listed in the accompanying index at Item 15.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42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311,699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302,571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Note receivable from Wynn Group Asia,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Due from subsidiaries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196,476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1,395,223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1,912,083</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1,909,174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Wynn Las Vegas, LLC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w w:val="88"/>
              </w:rPr>
              <w:t>Common stock, par value $0.01; authorized 400,000,000 shares; 99,331,294 and 98,983,344 shares issued and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1,972,847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1,951,906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compensation - restricted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(4,079)</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(395,161)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(304,325)</w:t>
            </w: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1,562,895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1,644,492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1,912,083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1,909,174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Wynn Las Vegas management fee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10,836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royalty fee</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16,836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28,056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(97,190)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(189,067)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(29,830)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(101,379)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(211,203)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(38,591)</w:t>
            </w: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(90,836)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(204,171)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(40,099)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98,308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86,778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86,778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060" w:type="dxa"/>
            <w:vAlign w:val="bottom"/>
            <w:gridSpan w:val="2"/>
            <w:vMerge w:val="restart"/>
          </w:tcPr>
          <w:p>
            <w:pPr>
              <w:jc w:val="right"/>
              <w:ind w:right="360"/>
              <w:spacing w:after="0" w:line="123" w:lineRule="exact"/>
              <w:rPr>
                <w:sz w:val="20"/>
                <w:szCs w:val="20"/>
                <w:color w:val="auto"/>
              </w:rPr>
            </w:pPr>
            <w:r>
              <w:rPr>
                <w:rFonts w:ascii="Arial" w:cs="Arial" w:eastAsia="Arial" w:hAnsi="Arial"/>
                <w:sz w:val="14"/>
                <w:szCs w:val="14"/>
                <w:b w:val="1"/>
                <w:bCs w:val="1"/>
                <w:color w:val="auto"/>
                <w:w w:val="99"/>
              </w:rPr>
              <w:t>Additional</w:t>
            </w:r>
          </w:p>
        </w:tc>
        <w:tc>
          <w:tcPr>
            <w:tcW w:w="1160" w:type="dxa"/>
            <w:vAlign w:val="bottom"/>
            <w:gridSpan w:val="3"/>
            <w:vMerge w:val="restart"/>
          </w:tcPr>
          <w:p>
            <w:pPr>
              <w:jc w:val="center"/>
              <w:ind w:right="280"/>
              <w:spacing w:after="0" w:line="123" w:lineRule="exact"/>
              <w:rPr>
                <w:sz w:val="20"/>
                <w:szCs w:val="20"/>
                <w:color w:val="auto"/>
              </w:rPr>
            </w:pPr>
            <w:r>
              <w:rPr>
                <w:rFonts w:ascii="Arial" w:cs="Arial" w:eastAsia="Arial" w:hAnsi="Arial"/>
                <w:sz w:val="14"/>
                <w:szCs w:val="14"/>
                <w:b w:val="1"/>
                <w:bCs w:val="1"/>
                <w:color w:val="auto"/>
                <w:w w:val="85"/>
              </w:rPr>
              <w:t>compensation -</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right"/>
              <w:ind w:right="320"/>
              <w:spacing w:after="0" w:line="12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 - in</w:t>
            </w:r>
          </w:p>
        </w:tc>
        <w:tc>
          <w:tcPr>
            <w:tcW w:w="14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260" w:type="dxa"/>
            <w:vAlign w:val="bottom"/>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1"/>
              </w:rPr>
              <w:t>stock</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78,972,511</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$1,065,649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189,723</w:t>
            </w: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Forfeiture of restricted stock</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(189,723)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deferred compensation - restricted stock</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(40,099)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Balances, December 31, 2003</w:t>
            </w: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81,978,761</w:t>
            </w:r>
          </w:p>
        </w:tc>
        <w:tc>
          <w:tcPr>
            <w:tcW w:w="26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86"/>
              </w:rPr>
              <w:t>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1,110,813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(9,664)</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(100,154)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1,001,815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16,958,333</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840,391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46,250</w:t>
            </w:r>
          </w:p>
        </w:tc>
        <w:tc>
          <w:tcPr>
            <w:tcW w:w="26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compensation - restricted stock</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(204,171)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(204,171)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98,983,344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990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1,951,906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(304,325)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275,000</w:t>
            </w:r>
          </w:p>
        </w:tc>
        <w:tc>
          <w:tcPr>
            <w:tcW w:w="2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18,532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(18,535)</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Acceleration of stock options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to consultant.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deferred compensation - restricted stock</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(90,836)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Balances, December 31, 2005</w:t>
            </w: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99,331,294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1,972,847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(15,784)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(395,161)</w:t>
            </w: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1,562,895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 (90,836)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$(204,171)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(40,099)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77</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compensation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723</w:t>
            </w:r>
          </w:p>
        </w:tc>
        <w:tc>
          <w:tcPr>
            <w:tcW w:w="6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97,190</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189,067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(86)</w:t>
            </w: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16,401</w:t>
            </w:r>
          </w:p>
        </w:tc>
        <w:tc>
          <w:tcPr>
            <w:tcW w:w="18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(4,568)</w:t>
            </w:r>
          </w:p>
        </w:tc>
        <w:tc>
          <w:tcPr>
            <w:tcW w:w="680" w:type="dxa"/>
            <w:vAlign w:val="bottom"/>
          </w:tcPr>
          <w:p>
            <w:pPr>
              <w:jc w:val="right"/>
              <w:spacing w:after="0"/>
              <w:rPr>
                <w:sz w:val="20"/>
                <w:szCs w:val="20"/>
                <w:color w:val="auto"/>
              </w:rPr>
            </w:pPr>
            <w:r>
              <w:rPr>
                <w:rFonts w:ascii="Arial" w:cs="Arial" w:eastAsia="Arial" w:hAnsi="Arial"/>
                <w:sz w:val="18"/>
                <w:szCs w:val="18"/>
                <w:color w:val="auto"/>
              </w:rPr>
              <w:t>1,656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(2,530)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(5,674)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 from subsidiaries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(9,292)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(213,128)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(592,110)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(44,024)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(12,054)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(811,697)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(38,367)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1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702</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794,295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(5,134)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(8,657)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deferred financing costs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6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789,782</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286,222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5,751</w:t>
            </w: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(26,483)</w:t>
            </w:r>
          </w:p>
        </w:tc>
        <w:tc>
          <w:tcPr>
            <w:tcW w:w="680" w:type="dxa"/>
            <w:vAlign w:val="bottom"/>
          </w:tcPr>
          <w:p>
            <w:pPr>
              <w:jc w:val="right"/>
              <w:spacing w:after="0"/>
              <w:rPr>
                <w:sz w:val="20"/>
                <w:szCs w:val="20"/>
                <w:color w:val="auto"/>
              </w:rPr>
            </w:pPr>
            <w:r>
              <w:rPr>
                <w:rFonts w:ascii="Arial" w:cs="Arial" w:eastAsia="Arial" w:hAnsi="Arial"/>
                <w:sz w:val="18"/>
                <w:szCs w:val="18"/>
                <w:color w:val="auto"/>
              </w:rPr>
              <w:t>249,511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302,262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328,745</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308,013</w:t>
            </w:r>
          </w:p>
        </w:tc>
        <w:tc>
          <w:tcPr>
            <w:tcW w:w="18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$ 302,262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328,745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9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and their two 50%-owned joint ventures operating the Ferrari and Maserati automobile dealership and the Brioni mens’ retail clothing store inside Wynn Las Vegas are accounted for under the equity method.</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56" w:lineRule="exact"/>
        <w:rPr>
          <w:sz w:val="20"/>
          <w:szCs w:val="20"/>
          <w:color w:val="auto"/>
        </w:rPr>
      </w:pPr>
    </w:p>
    <w:p>
      <w:pPr>
        <w:ind w:right="7560" w:firstLine="8"/>
        <w:spacing w:after="0" w:line="417" w:lineRule="auto"/>
        <w:tabs>
          <w:tab w:leader="none" w:pos="44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Notes Receivable and Payable to Subsidiaries </w:t>
      </w:r>
      <w:r>
        <w:rPr>
          <w:rFonts w:ascii="Arial" w:cs="Arial" w:eastAsia="Arial" w:hAnsi="Arial"/>
          <w:sz w:val="15"/>
          <w:szCs w:val="15"/>
          <w:i w:val="1"/>
          <w:iCs w:val="1"/>
          <w:color w:val="auto"/>
        </w:rPr>
        <w:t>Note Receivable from Wynn Group Asia, Inc.</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23, 2005, the Company loaned $80.0 million to Wynn Group Asia, Inc., a wholly-owned subsidiary of the Company, to fund a portion of the construction costs for the casino resort facility currently under construction by Wynn Resorts (Macau), S.A., another wholly-owned indirect subsidiary of the Company, in the Macau Special Administrative Region of the People’s Republic of China (“Macau”), known as “Wynn Macau”. Interest is payable semi-annually at 7.5% per annum. Unpaid principal and interest is due at maturity on August 23, 2011. No principal amounts are receivable for the next 5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2005, the Company accrued approximately $2.3 million in interest income related to this note.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to Wynn Las Vegas, LLC</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August 15, 2005, the Company borrowed $80.0 million from its wholly-owned subsidiary, Wynn Las Vegas, LLC, to fund a portion of the construction costs for Wynn Macau (see “Note Receivable from Wynn Group Asia, Inc.,” above). Interest is payable semi-annually at 7.5% per annum. Unpaid principal and interest is due at maturity on August 15, 2012. No principal amounts are due for the next 5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2005, the Company accrued approximately $2.3 million in interest expense related to this note.</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LLC’s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defined in the agreements governing Wynn Las Vegas, LLC’s debt instruments, unless certain financial and non-financial criteria have been satisfied. The terms of the loan agreements of Wynn Resorts (Macau), S.A. contain similar restrictions.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Provision for</w:t>
            </w:r>
          </w:p>
        </w:tc>
        <w:tc>
          <w:tcPr>
            <w:tcW w:w="5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Doubtful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8"/>
        </w:trPr>
        <w:tc>
          <w:tcPr>
            <w:tcW w:w="396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7"/>
              </w:rPr>
              <w:t>Accounts</w:t>
            </w:r>
          </w:p>
        </w:tc>
        <w:tc>
          <w:tcPr>
            <w:tcW w:w="50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2"/>
                <w:szCs w:val="12"/>
                <w:color w:val="auto"/>
              </w:rPr>
            </w:pPr>
          </w:p>
        </w:tc>
        <w:tc>
          <w:tcPr>
            <w:tcW w:w="700" w:type="dxa"/>
            <w:vAlign w:val="bottom"/>
          </w:tcPr>
          <w:p>
            <w:pPr>
              <w:jc w:val="center"/>
              <w:ind w:right="26"/>
              <w:spacing w:after="0" w:line="148"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16,206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Provision for</w:t>
            </w:r>
          </w:p>
        </w:tc>
        <w:tc>
          <w:tcPr>
            <w:tcW w:w="5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Doubtful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8"/>
        </w:trPr>
        <w:tc>
          <w:tcPr>
            <w:tcW w:w="396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96"/>
              </w:rPr>
              <w:t>2004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7"/>
              </w:rPr>
              <w:t>Accounts</w:t>
            </w:r>
          </w:p>
        </w:tc>
        <w:tc>
          <w:tcPr>
            <w:tcW w:w="50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2"/>
                <w:szCs w:val="12"/>
                <w:color w:val="auto"/>
              </w:rPr>
            </w:pPr>
          </w:p>
        </w:tc>
        <w:tc>
          <w:tcPr>
            <w:tcW w:w="700" w:type="dxa"/>
            <w:vAlign w:val="bottom"/>
          </w:tcPr>
          <w:p>
            <w:pPr>
              <w:jc w:val="center"/>
              <w:ind w:right="26"/>
              <w:spacing w:after="0" w:line="148"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5"/>
              </w:rPr>
              <w:t>Provision for</w:t>
            </w:r>
          </w:p>
        </w:tc>
        <w:tc>
          <w:tcPr>
            <w:tcW w:w="5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Doubtful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8"/>
        </w:trPr>
        <w:tc>
          <w:tcPr>
            <w:tcW w:w="396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96"/>
              </w:rPr>
              <w:t>2003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7"/>
              </w:rPr>
              <w:t>Accounts</w:t>
            </w:r>
          </w:p>
        </w:tc>
        <w:tc>
          <w:tcPr>
            <w:tcW w:w="500" w:type="dxa"/>
            <w:vAlign w:val="bottom"/>
          </w:tcPr>
          <w:p>
            <w:pPr>
              <w:spacing w:after="0"/>
              <w:rPr>
                <w:sz w:val="12"/>
                <w:szCs w:val="12"/>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2"/>
                <w:szCs w:val="12"/>
                <w:color w:val="auto"/>
              </w:rPr>
            </w:pPr>
          </w:p>
        </w:tc>
        <w:tc>
          <w:tcPr>
            <w:tcW w:w="700" w:type="dxa"/>
            <w:vAlign w:val="bottom"/>
          </w:tcPr>
          <w:p>
            <w:pPr>
              <w:jc w:val="center"/>
              <w:ind w:right="26"/>
              <w:spacing w:after="0" w:line="148" w:lineRule="exact"/>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20" w:type="dxa"/>
            <w:vAlign w:val="bottom"/>
            <w:gridSpan w:val="3"/>
          </w:tcPr>
          <w:p>
            <w:pPr>
              <w:ind w:left="1660"/>
              <w:spacing w:after="0"/>
              <w:rPr>
                <w:sz w:val="20"/>
                <w:szCs w:val="20"/>
                <w:color w:val="auto"/>
              </w:rPr>
            </w:pPr>
            <w:r>
              <w:rPr>
                <w:rFonts w:ascii="Arial" w:cs="Arial" w:eastAsia="Arial" w:hAnsi="Arial"/>
                <w:sz w:val="18"/>
                <w:szCs w:val="18"/>
                <w:color w:val="auto"/>
              </w:rPr>
              <w:t>I-8</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6060" w:val="left"/>
          <w:tab w:leader="none" w:pos="8020" w:val="left"/>
          <w:tab w:leader="none" w:pos="8380" w:val="left"/>
        </w:tabs>
        <w:rPr>
          <w:sz w:val="20"/>
          <w:szCs w:val="20"/>
          <w:color w:val="auto"/>
        </w:rPr>
      </w:pPr>
      <w:r>
        <w:rPr>
          <w:rFonts w:ascii="Arial" w:cs="Arial" w:eastAsia="Arial" w:hAnsi="Arial"/>
          <w:sz w:val="18"/>
          <w:szCs w:val="18"/>
          <w:color w:val="auto"/>
        </w:rPr>
        <w:t>Dated: April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John Strzemp</w:t>
      </w:r>
    </w:p>
    <w:p>
      <w:pPr>
        <w:jc w:val="center"/>
        <w:ind w:left="640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400"/>
        <w:spacing w:after="0"/>
        <w:rPr>
          <w:sz w:val="20"/>
          <w:szCs w:val="20"/>
          <w:color w:val="auto"/>
        </w:rPr>
      </w:pPr>
      <w:r>
        <w:rPr>
          <w:rFonts w:ascii="Arial" w:cs="Arial" w:eastAsia="Arial" w:hAnsi="Arial"/>
          <w:sz w:val="14"/>
          <w:szCs w:val="14"/>
          <w:b w:val="1"/>
          <w:bCs w:val="1"/>
          <w:color w:val="auto"/>
        </w:rPr>
        <w:t>of Wynn Resorts, Limited</w:t>
      </w:r>
    </w:p>
    <w:p>
      <w:pPr>
        <w:sectPr>
          <w:pgSz w:w="11900" w:h="16838" w:orient="portrait"/>
          <w:cols w:equalWidth="0" w:num="1">
            <w:col w:w="11180"/>
          </w:cols>
          <w:pgMar w:left="240" w:top="459" w:right="4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consent to the incorporation by reference in Registration Statement No. 333-100891 on Form S-8 and Registration Statement No. 333-111064 on Form S-3 of our report dated March 15, 2006 relating to the financial statement schedules of Wynn Resorts, Limited, appearing in this Annual Report on Form 10-K/A.</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2006</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Amendment No.1 to Annual Report on Form 10-K/A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2006</w:t>
      </w:r>
    </w:p>
    <w:p>
      <w:pPr>
        <w:spacing w:after="0" w:line="200" w:lineRule="exact"/>
        <w:rPr>
          <w:sz w:val="20"/>
          <w:szCs w:val="20"/>
          <w:color w:val="auto"/>
        </w:rPr>
      </w:pPr>
    </w:p>
    <w:p>
      <w:pPr>
        <w:spacing w:after="0" w:line="228"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tab/>
        <w:t>STEPHEN A. WYNN</w:t>
      </w:r>
    </w:p>
    <w:p>
      <w:pPr>
        <w:spacing w:after="0" w:line="17"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Chairman of the Board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14, 2006</w:t>
      </w:r>
    </w:p>
    <w:p>
      <w:pPr>
        <w:spacing w:after="0" w:line="200" w:lineRule="exact"/>
        <w:rPr>
          <w:sz w:val="20"/>
          <w:szCs w:val="20"/>
          <w:color w:val="auto"/>
        </w:rPr>
      </w:pPr>
    </w:p>
    <w:p>
      <w:pPr>
        <w:spacing w:after="0" w:line="228" w:lineRule="exact"/>
        <w:rPr>
          <w:sz w:val="20"/>
          <w:szCs w:val="20"/>
          <w:color w:val="auto"/>
        </w:rPr>
      </w:pPr>
    </w:p>
    <w:p>
      <w:pPr>
        <w:ind w:left="8140"/>
        <w:spacing w:after="0"/>
        <w:tabs>
          <w:tab w:leader="none" w:pos="8480" w:val="left"/>
        </w:tabs>
        <w:rPr>
          <w:sz w:val="20"/>
          <w:szCs w:val="20"/>
          <w:color w:val="auto"/>
        </w:rPr>
      </w:pPr>
      <w:r>
        <w:rPr>
          <w:rFonts w:ascii="Arial" w:cs="Arial" w:eastAsia="Arial" w:hAnsi="Arial"/>
          <w:sz w:val="18"/>
          <w:szCs w:val="18"/>
          <w:color w:val="auto"/>
        </w:rPr>
        <w:t>/S/</w:t>
        <w:tab/>
        <w:t>JOHN STRZEMP</w:t>
      </w:r>
    </w:p>
    <w:p>
      <w:pPr>
        <w:spacing w:after="0" w:line="17"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Amendment No. 1 to Annual Report on Form 10-K/A of Wynn Resorts, Limited (the “Company”) for the year ended December 31, 2005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w:t>
      </w:r>
    </w:p>
    <w:p>
      <w:pPr>
        <w:spacing w:after="0" w:line="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April 14, 2006</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John Strzemp</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April 14, 2006</w:t>
      </w:r>
    </w:p>
    <w:p>
      <w:pPr>
        <w:spacing w:after="0" w:line="17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3"/>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2019-12-12T04:07:34Z</dcterms:created>
  <dcterms:modified xsi:type="dcterms:W3CDTF">2019-12-12T04:07:34Z</dcterms:modified>
</cp:coreProperties>
</file>