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May 5, 2010</w:t>
      </w:r>
    </w:p>
    <w:p>
      <w:pPr>
        <w:spacing w:after="0" w:line="1" w:lineRule="exact"/>
        <w:rPr>
          <w:sz w:val="24"/>
          <w:szCs w:val="24"/>
          <w:color w:val="auto"/>
        </w:rPr>
      </w:pPr>
    </w:p>
    <w:p>
      <w:pPr>
        <w:ind w:left="9160"/>
        <w:spacing w:after="0"/>
        <w:rPr>
          <w:sz w:val="20"/>
          <w:szCs w:val="20"/>
          <w:color w:val="auto"/>
        </w:rPr>
      </w:pPr>
      <w:r>
        <w:rPr>
          <w:rFonts w:ascii="Arial" w:cs="Arial" w:eastAsia="Arial" w:hAnsi="Arial"/>
          <w:sz w:val="14"/>
          <w:szCs w:val="14"/>
          <w:b w:val="1"/>
          <w:bCs w:val="1"/>
          <w:color w:val="auto"/>
        </w:rPr>
        <w:t>Registration Statement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-232410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 THE SECURITIES ACT OF 1933</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Wynn Las Vegas,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-232410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6" w:lineRule="exact"/>
        <w:rPr>
          <w:sz w:val="24"/>
          <w:szCs w:val="24"/>
          <w:color w:val="auto"/>
        </w:rPr>
      </w:pPr>
    </w:p>
    <w:tbl>
      <w:tblPr>
        <w:tblLayout w:type="fixed"/>
        <w:tblInd w:w="108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5260" w:type="dxa"/>
            <w:vAlign w:val="bottom"/>
          </w:tcPr>
          <w:p>
            <w:pPr>
              <w:jc w:val="center"/>
              <w:ind w:right="163"/>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c>
          <w:tcPr>
            <w:tcW w:w="1660" w:type="dxa"/>
            <w:vAlign w:val="bottom"/>
          </w:tcPr>
          <w:p>
            <w:pPr>
              <w:spacing w:after="0"/>
              <w:rPr>
                <w:sz w:val="14"/>
                <w:szCs w:val="14"/>
                <w:color w:val="auto"/>
              </w:rPr>
            </w:pPr>
          </w:p>
        </w:tc>
      </w:tr>
      <w:tr>
        <w:trPr>
          <w:trHeight w:val="149"/>
        </w:trPr>
        <w:tc>
          <w:tcPr>
            <w:tcW w:w="2120" w:type="dxa"/>
            <w:vAlign w:val="bottom"/>
          </w:tcPr>
          <w:p>
            <w:pPr>
              <w:jc w:val="center"/>
              <w:ind w:right="292"/>
              <w:spacing w:after="0" w:line="149" w:lineRule="exact"/>
              <w:rPr>
                <w:sz w:val="20"/>
                <w:szCs w:val="20"/>
                <w:color w:val="auto"/>
              </w:rPr>
            </w:pPr>
            <w:r>
              <w:rPr>
                <w:rFonts w:ascii="Arial" w:cs="Arial" w:eastAsia="Arial" w:hAnsi="Arial"/>
                <w:sz w:val="14"/>
                <w:szCs w:val="14"/>
                <w:b w:val="1"/>
                <w:bCs w:val="1"/>
                <w:color w:val="auto"/>
                <w:w w:val="88"/>
              </w:rPr>
              <w:t>Nevada</w:t>
            </w:r>
          </w:p>
        </w:tc>
        <w:tc>
          <w:tcPr>
            <w:tcW w:w="5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7990</w:t>
            </w:r>
          </w:p>
        </w:tc>
        <w:tc>
          <w:tcPr>
            <w:tcW w:w="1660" w:type="dxa"/>
            <w:vAlign w:val="bottom"/>
          </w:tcPr>
          <w:p>
            <w:pPr>
              <w:jc w:val="center"/>
              <w:ind w:left="552"/>
              <w:spacing w:after="0" w:line="149" w:lineRule="exact"/>
              <w:rPr>
                <w:sz w:val="20"/>
                <w:szCs w:val="20"/>
                <w:color w:val="auto"/>
              </w:rPr>
            </w:pPr>
            <w:r>
              <w:rPr>
                <w:rFonts w:ascii="Arial" w:cs="Arial" w:eastAsia="Arial" w:hAnsi="Arial"/>
                <w:sz w:val="14"/>
                <w:szCs w:val="14"/>
                <w:b w:val="1"/>
                <w:bCs w:val="1"/>
                <w:color w:val="auto"/>
                <w:w w:val="85"/>
              </w:rPr>
              <w:t>88-0494875</w:t>
            </w:r>
          </w:p>
        </w:tc>
      </w:tr>
      <w:tr>
        <w:trPr>
          <w:trHeight w:val="149"/>
        </w:trPr>
        <w:tc>
          <w:tcPr>
            <w:tcW w:w="2120" w:type="dxa"/>
            <w:vAlign w:val="bottom"/>
          </w:tcPr>
          <w:p>
            <w:pPr>
              <w:jc w:val="center"/>
              <w:ind w:right="312"/>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5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(Primary Standard Industrial</w:t>
            </w:r>
          </w:p>
        </w:tc>
        <w:tc>
          <w:tcPr>
            <w:tcW w:w="1660" w:type="dxa"/>
            <w:vAlign w:val="bottom"/>
          </w:tcPr>
          <w:p>
            <w:pPr>
              <w:jc w:val="center"/>
              <w:ind w:left="532"/>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34"/>
        </w:trPr>
        <w:tc>
          <w:tcPr>
            <w:tcW w:w="2120" w:type="dxa"/>
            <w:vAlign w:val="bottom"/>
          </w:tcPr>
          <w:p>
            <w:pPr>
              <w:jc w:val="center"/>
              <w:ind w:right="292"/>
              <w:spacing w:after="0" w:line="135" w:lineRule="exact"/>
              <w:rPr>
                <w:sz w:val="20"/>
                <w:szCs w:val="20"/>
                <w:color w:val="auto"/>
              </w:rPr>
            </w:pPr>
            <w:r>
              <w:rPr>
                <w:rFonts w:ascii="Arial" w:cs="Arial" w:eastAsia="Arial" w:hAnsi="Arial"/>
                <w:sz w:val="14"/>
                <w:szCs w:val="14"/>
                <w:b w:val="1"/>
                <w:bCs w:val="1"/>
                <w:color w:val="auto"/>
                <w:w w:val="88"/>
              </w:rPr>
              <w:t>incorporation or organization)</w:t>
            </w:r>
          </w:p>
        </w:tc>
        <w:tc>
          <w:tcPr>
            <w:tcW w:w="52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Classification Code Number)</w:t>
            </w:r>
          </w:p>
        </w:tc>
        <w:tc>
          <w:tcPr>
            <w:tcW w:w="1660" w:type="dxa"/>
            <w:vAlign w:val="bottom"/>
          </w:tcPr>
          <w:p>
            <w:pPr>
              <w:jc w:val="center"/>
              <w:ind w:left="532"/>
              <w:spacing w:after="0" w:line="135" w:lineRule="exact"/>
              <w:rPr>
                <w:sz w:val="20"/>
                <w:szCs w:val="20"/>
                <w:color w:val="auto"/>
              </w:rPr>
            </w:pPr>
            <w:r>
              <w:rPr>
                <w:rFonts w:ascii="Arial" w:cs="Arial" w:eastAsia="Arial" w:hAnsi="Arial"/>
                <w:sz w:val="14"/>
                <w:szCs w:val="14"/>
                <w:b w:val="1"/>
                <w:bCs w:val="1"/>
                <w:color w:val="auto"/>
                <w:w w:val="89"/>
              </w:rPr>
              <w:t>Identification No.)</w:t>
            </w:r>
          </w:p>
        </w:tc>
      </w:tr>
      <w:tr>
        <w:trPr>
          <w:trHeight w:val="392"/>
        </w:trPr>
        <w:tc>
          <w:tcPr>
            <w:tcW w:w="2120" w:type="dxa"/>
            <w:vAlign w:val="bottom"/>
          </w:tcPr>
          <w:p>
            <w:pPr>
              <w:spacing w:after="0"/>
              <w:rPr>
                <w:sz w:val="24"/>
                <w:szCs w:val="24"/>
                <w:color w:val="auto"/>
              </w:rPr>
            </w:pPr>
          </w:p>
        </w:tc>
        <w:tc>
          <w:tcPr>
            <w:tcW w:w="5260" w:type="dxa"/>
            <w:vAlign w:val="bottom"/>
          </w:tcPr>
          <w:p>
            <w:pPr>
              <w:jc w:val="center"/>
              <w:ind w:right="163"/>
              <w:spacing w:after="0"/>
              <w:rPr>
                <w:sz w:val="20"/>
                <w:szCs w:val="20"/>
                <w:color w:val="auto"/>
              </w:rPr>
            </w:pPr>
            <w:r>
              <w:rPr>
                <w:rFonts w:ascii="Arial" w:cs="Arial" w:eastAsia="Arial" w:hAnsi="Arial"/>
                <w:sz w:val="32"/>
                <w:szCs w:val="32"/>
                <w:b w:val="1"/>
                <w:bCs w:val="1"/>
                <w:color w:val="auto"/>
                <w:w w:val="92"/>
              </w:rPr>
              <w:t>Wynn Las Vegas Capital Corp.</w:t>
            </w:r>
          </w:p>
        </w:tc>
        <w:tc>
          <w:tcPr>
            <w:tcW w:w="1660" w:type="dxa"/>
            <w:vAlign w:val="bottom"/>
          </w:tcPr>
          <w:p>
            <w:pPr>
              <w:spacing w:after="0"/>
              <w:rPr>
                <w:sz w:val="24"/>
                <w:szCs w:val="24"/>
                <w:color w:val="auto"/>
              </w:rPr>
            </w:pPr>
          </w:p>
        </w:tc>
      </w:tr>
      <w:tr>
        <w:trPr>
          <w:trHeight w:val="162"/>
        </w:trPr>
        <w:tc>
          <w:tcPr>
            <w:tcW w:w="2120" w:type="dxa"/>
            <w:vAlign w:val="bottom"/>
          </w:tcPr>
          <w:p>
            <w:pPr>
              <w:spacing w:after="0"/>
              <w:rPr>
                <w:sz w:val="14"/>
                <w:szCs w:val="14"/>
                <w:color w:val="auto"/>
              </w:rPr>
            </w:pPr>
          </w:p>
        </w:tc>
        <w:tc>
          <w:tcPr>
            <w:tcW w:w="5260" w:type="dxa"/>
            <w:vAlign w:val="bottom"/>
          </w:tcPr>
          <w:p>
            <w:pPr>
              <w:jc w:val="center"/>
              <w:ind w:right="163"/>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c>
          <w:tcPr>
            <w:tcW w:w="1660" w:type="dxa"/>
            <w:vAlign w:val="bottom"/>
          </w:tcPr>
          <w:p>
            <w:pPr>
              <w:spacing w:after="0"/>
              <w:rPr>
                <w:sz w:val="14"/>
                <w:szCs w:val="14"/>
                <w:color w:val="auto"/>
              </w:rPr>
            </w:pPr>
          </w:p>
        </w:tc>
      </w:tr>
      <w:tr>
        <w:trPr>
          <w:trHeight w:val="149"/>
        </w:trPr>
        <w:tc>
          <w:tcPr>
            <w:tcW w:w="2120" w:type="dxa"/>
            <w:vAlign w:val="bottom"/>
          </w:tcPr>
          <w:p>
            <w:pPr>
              <w:jc w:val="center"/>
              <w:ind w:right="292"/>
              <w:spacing w:after="0" w:line="149" w:lineRule="exact"/>
              <w:rPr>
                <w:sz w:val="20"/>
                <w:szCs w:val="20"/>
                <w:color w:val="auto"/>
              </w:rPr>
            </w:pPr>
            <w:r>
              <w:rPr>
                <w:rFonts w:ascii="Arial" w:cs="Arial" w:eastAsia="Arial" w:hAnsi="Arial"/>
                <w:sz w:val="14"/>
                <w:szCs w:val="14"/>
                <w:b w:val="1"/>
                <w:bCs w:val="1"/>
                <w:color w:val="auto"/>
                <w:w w:val="88"/>
              </w:rPr>
              <w:t>Nevada</w:t>
            </w:r>
          </w:p>
        </w:tc>
        <w:tc>
          <w:tcPr>
            <w:tcW w:w="5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7990</w:t>
            </w:r>
          </w:p>
        </w:tc>
        <w:tc>
          <w:tcPr>
            <w:tcW w:w="1660" w:type="dxa"/>
            <w:vAlign w:val="bottom"/>
          </w:tcPr>
          <w:p>
            <w:pPr>
              <w:jc w:val="center"/>
              <w:ind w:left="552"/>
              <w:spacing w:after="0" w:line="149" w:lineRule="exact"/>
              <w:rPr>
                <w:sz w:val="20"/>
                <w:szCs w:val="20"/>
                <w:color w:val="auto"/>
              </w:rPr>
            </w:pPr>
            <w:r>
              <w:rPr>
                <w:rFonts w:ascii="Arial" w:cs="Arial" w:eastAsia="Arial" w:hAnsi="Arial"/>
                <w:sz w:val="14"/>
                <w:szCs w:val="14"/>
                <w:b w:val="1"/>
                <w:bCs w:val="1"/>
                <w:color w:val="auto"/>
                <w:w w:val="85"/>
              </w:rPr>
              <w:t>46-0484992</w:t>
            </w:r>
          </w:p>
        </w:tc>
      </w:tr>
      <w:tr>
        <w:trPr>
          <w:trHeight w:val="149"/>
        </w:trPr>
        <w:tc>
          <w:tcPr>
            <w:tcW w:w="2120" w:type="dxa"/>
            <w:vAlign w:val="bottom"/>
          </w:tcPr>
          <w:p>
            <w:pPr>
              <w:jc w:val="center"/>
              <w:ind w:right="312"/>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5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(Primary Standard</w:t>
            </w:r>
          </w:p>
        </w:tc>
        <w:tc>
          <w:tcPr>
            <w:tcW w:w="1660" w:type="dxa"/>
            <w:vAlign w:val="bottom"/>
          </w:tcPr>
          <w:p>
            <w:pPr>
              <w:jc w:val="center"/>
              <w:ind w:left="532"/>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49"/>
        </w:trPr>
        <w:tc>
          <w:tcPr>
            <w:tcW w:w="2120" w:type="dxa"/>
            <w:vAlign w:val="bottom"/>
          </w:tcPr>
          <w:p>
            <w:pPr>
              <w:jc w:val="center"/>
              <w:ind w:right="292"/>
              <w:spacing w:after="0" w:line="149" w:lineRule="exact"/>
              <w:rPr>
                <w:sz w:val="20"/>
                <w:szCs w:val="20"/>
                <w:color w:val="auto"/>
              </w:rPr>
            </w:pPr>
            <w:r>
              <w:rPr>
                <w:rFonts w:ascii="Arial" w:cs="Arial" w:eastAsia="Arial" w:hAnsi="Arial"/>
                <w:sz w:val="14"/>
                <w:szCs w:val="14"/>
                <w:b w:val="1"/>
                <w:bCs w:val="1"/>
                <w:color w:val="auto"/>
                <w:w w:val="88"/>
              </w:rPr>
              <w:t>incorporation or organization)</w:t>
            </w:r>
          </w:p>
        </w:tc>
        <w:tc>
          <w:tcPr>
            <w:tcW w:w="5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Industrial Classification Code Number)</w:t>
            </w:r>
          </w:p>
        </w:tc>
        <w:tc>
          <w:tcPr>
            <w:tcW w:w="1660" w:type="dxa"/>
            <w:vAlign w:val="bottom"/>
          </w:tcPr>
          <w:p>
            <w:pPr>
              <w:jc w:val="center"/>
              <w:ind w:left="532"/>
              <w:spacing w:after="0" w:line="149" w:lineRule="exact"/>
              <w:rPr>
                <w:sz w:val="20"/>
                <w:szCs w:val="20"/>
                <w:color w:val="auto"/>
              </w:rPr>
            </w:pPr>
            <w:r>
              <w:rPr>
                <w:rFonts w:ascii="Arial" w:cs="Arial" w:eastAsia="Arial" w:hAnsi="Arial"/>
                <w:sz w:val="14"/>
                <w:szCs w:val="14"/>
                <w:b w:val="1"/>
                <w:bCs w:val="1"/>
                <w:color w:val="auto"/>
                <w:w w:val="89"/>
              </w:rPr>
              <w:t>Identification No.)</w:t>
            </w:r>
          </w:p>
        </w:tc>
      </w:tr>
      <w:tr>
        <w:trPr>
          <w:trHeight w:val="174"/>
        </w:trPr>
        <w:tc>
          <w:tcPr>
            <w:tcW w:w="2120" w:type="dxa"/>
            <w:vAlign w:val="bottom"/>
          </w:tcPr>
          <w:p>
            <w:pPr>
              <w:spacing w:after="0"/>
              <w:rPr>
                <w:sz w:val="15"/>
                <w:szCs w:val="15"/>
                <w:color w:val="auto"/>
              </w:rPr>
            </w:pPr>
          </w:p>
        </w:tc>
        <w:tc>
          <w:tcPr>
            <w:tcW w:w="5260" w:type="dxa"/>
            <w:vAlign w:val="bottom"/>
          </w:tcPr>
          <w:p>
            <w:pPr>
              <w:jc w:val="center"/>
              <w:spacing w:after="0"/>
              <w:rPr>
                <w:sz w:val="20"/>
                <w:szCs w:val="20"/>
                <w:color w:val="auto"/>
              </w:rPr>
            </w:pPr>
            <w:r>
              <w:rPr>
                <w:rFonts w:ascii="Arial" w:cs="Arial" w:eastAsia="Arial" w:hAnsi="Arial"/>
                <w:sz w:val="14"/>
                <w:szCs w:val="14"/>
                <w:b w:val="1"/>
                <w:bCs w:val="1"/>
                <w:color w:val="auto"/>
                <w:w w:val="87"/>
              </w:rPr>
              <w:t>*See Table of Additional Registrants below</w:t>
            </w:r>
          </w:p>
        </w:tc>
        <w:tc>
          <w:tcPr>
            <w:tcW w:w="166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60325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3131 Las Vegas Boulevard South</w:t>
      </w:r>
    </w:p>
    <w:p>
      <w:pPr>
        <w:jc w:val="center"/>
        <w:spacing w:after="0" w:line="223" w:lineRule="auto"/>
        <w:rPr>
          <w:sz w:val="20"/>
          <w:szCs w:val="20"/>
          <w:color w:val="auto"/>
        </w:rPr>
      </w:pPr>
      <w:r>
        <w:rPr>
          <w:rFonts w:ascii="Arial" w:cs="Arial" w:eastAsia="Arial" w:hAnsi="Arial"/>
          <w:sz w:val="14"/>
          <w:szCs w:val="14"/>
          <w:b w:val="1"/>
          <w:bCs w:val="1"/>
          <w:color w:val="auto"/>
        </w:rPr>
        <w:t>Las Vegas, Nevada 89109</w:t>
      </w:r>
    </w:p>
    <w:p>
      <w:pPr>
        <w:jc w:val="center"/>
        <w:spacing w:after="0" w:line="222" w:lineRule="auto"/>
        <w:rPr>
          <w:sz w:val="20"/>
          <w:szCs w:val="20"/>
          <w:color w:val="auto"/>
        </w:rPr>
      </w:pPr>
      <w:r>
        <w:rPr>
          <w:rFonts w:ascii="Arial" w:cs="Arial" w:eastAsia="Arial" w:hAnsi="Arial"/>
          <w:sz w:val="14"/>
          <w:szCs w:val="14"/>
          <w:b w:val="1"/>
          <w:bCs w:val="1"/>
          <w:color w:val="auto"/>
        </w:rPr>
        <w:t>(702) 770-7555</w:t>
      </w: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60325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Matt Maddox</w:t>
      </w:r>
    </w:p>
    <w:p>
      <w:pPr>
        <w:jc w:val="center"/>
        <w:spacing w:after="0" w:line="223" w:lineRule="auto"/>
        <w:rPr>
          <w:sz w:val="20"/>
          <w:szCs w:val="20"/>
          <w:color w:val="auto"/>
        </w:rPr>
      </w:pPr>
      <w:r>
        <w:rPr>
          <w:rFonts w:ascii="Arial" w:cs="Arial" w:eastAsia="Arial" w:hAnsi="Arial"/>
          <w:sz w:val="14"/>
          <w:szCs w:val="14"/>
          <w:b w:val="1"/>
          <w:bCs w:val="1"/>
          <w:color w:val="auto"/>
        </w:rPr>
        <w:t>Chief Financial Operations and Treasurer</w:t>
      </w:r>
    </w:p>
    <w:p>
      <w:pPr>
        <w:jc w:val="center"/>
        <w:spacing w:after="0" w:line="222" w:lineRule="auto"/>
        <w:rPr>
          <w:sz w:val="20"/>
          <w:szCs w:val="20"/>
          <w:color w:val="auto"/>
        </w:rPr>
      </w:pPr>
      <w:r>
        <w:rPr>
          <w:rFonts w:ascii="Arial" w:cs="Arial" w:eastAsia="Arial" w:hAnsi="Arial"/>
          <w:sz w:val="14"/>
          <w:szCs w:val="14"/>
          <w:b w:val="1"/>
          <w:bCs w:val="1"/>
          <w:color w:val="auto"/>
        </w:rPr>
        <w:t>c/o Wynn Resorts, Limited</w:t>
      </w:r>
    </w:p>
    <w:p>
      <w:pPr>
        <w:jc w:val="center"/>
        <w:spacing w:after="0" w:line="221" w:lineRule="auto"/>
        <w:rPr>
          <w:sz w:val="20"/>
          <w:szCs w:val="20"/>
          <w:color w:val="auto"/>
        </w:rPr>
      </w:pPr>
      <w:r>
        <w:rPr>
          <w:rFonts w:ascii="Arial" w:cs="Arial" w:eastAsia="Arial" w:hAnsi="Arial"/>
          <w:sz w:val="14"/>
          <w:szCs w:val="14"/>
          <w:b w:val="1"/>
          <w:bCs w:val="1"/>
          <w:color w:val="auto"/>
        </w:rPr>
        <w:t>3131 Las Vegas Boulevard South</w:t>
      </w:r>
    </w:p>
    <w:p>
      <w:pPr>
        <w:jc w:val="center"/>
        <w:spacing w:after="0" w:line="222" w:lineRule="auto"/>
        <w:rPr>
          <w:sz w:val="20"/>
          <w:szCs w:val="20"/>
          <w:color w:val="auto"/>
        </w:rPr>
      </w:pPr>
      <w:r>
        <w:rPr>
          <w:rFonts w:ascii="Arial" w:cs="Arial" w:eastAsia="Arial" w:hAnsi="Arial"/>
          <w:sz w:val="14"/>
          <w:szCs w:val="14"/>
          <w:b w:val="1"/>
          <w:bCs w:val="1"/>
          <w:color w:val="auto"/>
        </w:rPr>
        <w:t>Las Vegas, Nevada 89109</w:t>
      </w:r>
    </w:p>
    <w:p>
      <w:pPr>
        <w:jc w:val="center"/>
        <w:spacing w:after="0" w:line="221" w:lineRule="auto"/>
        <w:rPr>
          <w:sz w:val="20"/>
          <w:szCs w:val="20"/>
          <w:color w:val="auto"/>
        </w:rPr>
      </w:pPr>
      <w:r>
        <w:rPr>
          <w:rFonts w:ascii="Arial" w:cs="Arial" w:eastAsia="Arial" w:hAnsi="Arial"/>
          <w:sz w:val="14"/>
          <w:szCs w:val="14"/>
          <w:b w:val="1"/>
          <w:bCs w:val="1"/>
          <w:color w:val="auto"/>
        </w:rPr>
        <w:t>(702) 770-7000</w:t>
      </w: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51435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Copies of all communications to:</w:t>
      </w:r>
    </w:p>
    <w:p>
      <w:pPr>
        <w:jc w:val="center"/>
        <w:spacing w:after="0" w:line="221" w:lineRule="auto"/>
        <w:rPr>
          <w:sz w:val="20"/>
          <w:szCs w:val="20"/>
          <w:color w:val="auto"/>
        </w:rPr>
      </w:pPr>
      <w:r>
        <w:rPr>
          <w:rFonts w:ascii="Arial" w:cs="Arial" w:eastAsia="Arial" w:hAnsi="Arial"/>
          <w:sz w:val="14"/>
          <w:szCs w:val="14"/>
          <w:b w:val="1"/>
          <w:bCs w:val="1"/>
          <w:color w:val="auto"/>
        </w:rPr>
        <w:t>Casey T. Fleck, Esq.</w:t>
      </w:r>
    </w:p>
    <w:p>
      <w:pPr>
        <w:jc w:val="center"/>
        <w:spacing w:after="0" w:line="221" w:lineRule="auto"/>
        <w:rPr>
          <w:sz w:val="20"/>
          <w:szCs w:val="20"/>
          <w:color w:val="auto"/>
        </w:rPr>
      </w:pPr>
      <w:r>
        <w:rPr>
          <w:rFonts w:ascii="Arial" w:cs="Arial" w:eastAsia="Arial" w:hAnsi="Arial"/>
          <w:sz w:val="14"/>
          <w:szCs w:val="14"/>
          <w:b w:val="1"/>
          <w:bCs w:val="1"/>
          <w:color w:val="auto"/>
        </w:rPr>
        <w:t>Skadden, Arps, Slate, Meagher &amp; Flom LLP</w:t>
      </w:r>
    </w:p>
    <w:p>
      <w:pPr>
        <w:jc w:val="center"/>
        <w:spacing w:after="0" w:line="222" w:lineRule="auto"/>
        <w:rPr>
          <w:sz w:val="20"/>
          <w:szCs w:val="20"/>
          <w:color w:val="auto"/>
        </w:rPr>
      </w:pPr>
      <w:r>
        <w:rPr>
          <w:rFonts w:ascii="Arial" w:cs="Arial" w:eastAsia="Arial" w:hAnsi="Arial"/>
          <w:sz w:val="14"/>
          <w:szCs w:val="14"/>
          <w:b w:val="1"/>
          <w:bCs w:val="1"/>
          <w:color w:val="auto"/>
        </w:rPr>
        <w:t>300 South Grand Avenue, Suite 3400</w:t>
      </w:r>
    </w:p>
    <w:p>
      <w:pPr>
        <w:jc w:val="center"/>
        <w:spacing w:after="0" w:line="221" w:lineRule="auto"/>
        <w:rPr>
          <w:sz w:val="20"/>
          <w:szCs w:val="20"/>
          <w:color w:val="auto"/>
        </w:rPr>
      </w:pPr>
      <w:r>
        <w:rPr>
          <w:rFonts w:ascii="Arial" w:cs="Arial" w:eastAsia="Arial" w:hAnsi="Arial"/>
          <w:sz w:val="14"/>
          <w:szCs w:val="14"/>
          <w:b w:val="1"/>
          <w:bCs w:val="1"/>
          <w:color w:val="auto"/>
        </w:rPr>
        <w:t>Los Angeles, California 90071</w:t>
      </w:r>
    </w:p>
    <w:p>
      <w:pPr>
        <w:ind w:left="5300"/>
        <w:spacing w:after="0" w:line="222" w:lineRule="auto"/>
        <w:rPr>
          <w:sz w:val="24"/>
          <w:szCs w:val="24"/>
          <w:color w:val="auto"/>
        </w:rPr>
      </w:pPr>
      <w:r>
        <w:rPr>
          <w:rFonts w:ascii="Arial" w:cs="Arial" w:eastAsia="Arial" w:hAnsi="Arial"/>
          <w:sz w:val="14"/>
          <w:szCs w:val="14"/>
          <w:b w:val="1"/>
          <w:bCs w:val="1"/>
          <w:color w:val="auto"/>
        </w:rPr>
        <w:t>(213) 687-5000</w:t>
      </w:r>
    </w:p>
    <w:p>
      <w:pPr>
        <w:ind w:left="5300" w:hanging="325"/>
        <w:spacing w:after="0"/>
        <w:tabs>
          <w:tab w:leader="none" w:pos="5300" w:val="left"/>
        </w:tabs>
        <w:numPr>
          <w:ilvl w:val="0"/>
          <w:numId w:val="1"/>
        </w:numPr>
        <w:rPr>
          <w:rFonts w:ascii="Arial" w:cs="Arial" w:eastAsia="Arial" w:hAnsi="Arial"/>
          <w:sz w:val="12"/>
          <w:szCs w:val="12"/>
          <w:b w:val="1"/>
          <w:bCs w:val="1"/>
          <w:color w:val="auto"/>
        </w:rPr>
      </w:pPr>
      <w:r>
        <w:rPr>
          <w:rFonts w:ascii="Arial" w:cs="Arial" w:eastAsia="Arial" w:hAnsi="Arial"/>
          <w:sz w:val="12"/>
          <w:szCs w:val="12"/>
          <w:b w:val="1"/>
          <w:bCs w:val="1"/>
          <w:color w:val="auto"/>
        </w:rPr>
        <w:t>687-5600 (facsimile)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66040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2" w:lineRule="exact"/>
        <w:rPr>
          <w:sz w:val="24"/>
          <w:szCs w:val="24"/>
          <w:color w:val="auto"/>
        </w:rPr>
      </w:pPr>
    </w:p>
    <w:p>
      <w:pPr>
        <w:ind w:left="360"/>
        <w:spacing w:after="0"/>
        <w:tabs>
          <w:tab w:leader="none" w:pos="4340" w:val="left"/>
        </w:tabs>
        <w:rPr>
          <w:sz w:val="20"/>
          <w:szCs w:val="20"/>
          <w:color w:val="auto"/>
        </w:rPr>
      </w:pPr>
      <w:r>
        <w:rPr>
          <w:rFonts w:ascii="Arial" w:cs="Arial" w:eastAsia="Arial" w:hAnsi="Arial"/>
          <w:sz w:val="14"/>
          <w:szCs w:val="14"/>
          <w:b w:val="1"/>
          <w:bCs w:val="1"/>
          <w:color w:val="auto"/>
        </w:rPr>
        <w:t>Approximate date of commencement of proposed sale to the public:</w:t>
      </w:r>
      <w:r>
        <w:rPr>
          <w:sz w:val="20"/>
          <w:szCs w:val="20"/>
          <w:color w:val="auto"/>
        </w:rPr>
        <w:tab/>
      </w:r>
      <w:r>
        <w:rPr>
          <w:rFonts w:ascii="Arial" w:cs="Arial" w:eastAsia="Arial" w:hAnsi="Arial"/>
          <w:sz w:val="12"/>
          <w:szCs w:val="12"/>
          <w:color w:val="auto"/>
        </w:rPr>
        <w:t>As soon as practicable after this registration statement becomes effective.</w:t>
      </w:r>
    </w:p>
    <w:p>
      <w:pPr>
        <w:spacing w:after="0" w:line="10" w:lineRule="exact"/>
        <w:rPr>
          <w:sz w:val="24"/>
          <w:szCs w:val="24"/>
          <w:color w:val="auto"/>
        </w:rPr>
      </w:pPr>
    </w:p>
    <w:p>
      <w:pPr>
        <w:ind w:left="360"/>
        <w:spacing w:after="0" w:line="138" w:lineRule="exact"/>
        <w:rPr>
          <w:sz w:val="20"/>
          <w:szCs w:val="20"/>
          <w:color w:val="auto"/>
        </w:rPr>
      </w:pPr>
      <w:r>
        <w:rPr>
          <w:rFonts w:ascii="Arial" w:cs="Arial" w:eastAsia="Arial" w:hAnsi="Arial"/>
          <w:sz w:val="12"/>
          <w:szCs w:val="12"/>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2"/>
          <w:szCs w:val="12"/>
          <w:color w:val="auto"/>
        </w:rPr>
        <w:t>☐</w:t>
      </w:r>
    </w:p>
    <w:p>
      <w:pPr>
        <w:spacing w:after="0" w:line="29" w:lineRule="exact"/>
        <w:rPr>
          <w:sz w:val="24"/>
          <w:szCs w:val="24"/>
          <w:color w:val="auto"/>
        </w:rPr>
      </w:pPr>
    </w:p>
    <w:p>
      <w:pPr>
        <w:ind w:right="60" w:firstLine="342"/>
        <w:spacing w:after="0" w:line="155"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right="260" w:firstLine="342"/>
        <w:spacing w:after="0" w:line="161" w:lineRule="exact"/>
        <w:rPr>
          <w:sz w:val="20"/>
          <w:szCs w:val="20"/>
          <w:color w:val="auto"/>
        </w:rPr>
      </w:pPr>
      <w:r>
        <w:rPr>
          <w:rFonts w:ascii="Arial" w:cs="Arial" w:eastAsia="Arial" w:hAnsi="Arial"/>
          <w:sz w:val="14"/>
          <w:szCs w:val="14"/>
          <w:color w:val="auto"/>
        </w:rPr>
        <w:t xml:space="preserve">If this Form is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52070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0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820" w:type="dxa"/>
            <w:vAlign w:val="bottom"/>
            <w:tcBorders>
              <w:top w:val="single" w:sz="8" w:color="auto"/>
              <w:bottom w:val="single" w:sz="8" w:color="auto"/>
            </w:tcBorders>
          </w:tcPr>
          <w:p>
            <w:pPr>
              <w:spacing w:after="0"/>
              <w:rPr>
                <w:sz w:val="3"/>
                <w:szCs w:val="3"/>
                <w:color w:val="auto"/>
              </w:rPr>
            </w:pPr>
          </w:p>
        </w:tc>
        <w:tc>
          <w:tcPr>
            <w:tcW w:w="134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4"/>
              </w:rPr>
              <w:t>Title of each class of</w:t>
            </w:r>
          </w:p>
        </w:tc>
        <w:tc>
          <w:tcPr>
            <w:tcW w:w="160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jc w:val="center"/>
              <w:ind w:left="13"/>
              <w:spacing w:after="0" w:line="117" w:lineRule="exact"/>
              <w:rPr>
                <w:sz w:val="20"/>
                <w:szCs w:val="20"/>
                <w:color w:val="auto"/>
              </w:rPr>
            </w:pPr>
            <w:r>
              <w:rPr>
                <w:rFonts w:ascii="Arial" w:cs="Arial" w:eastAsia="Arial" w:hAnsi="Arial"/>
                <w:sz w:val="12"/>
                <w:szCs w:val="12"/>
                <w:b w:val="1"/>
                <w:bCs w:val="1"/>
                <w:color w:val="auto"/>
              </w:rPr>
              <w:t>Proposed maximum</w:t>
            </w:r>
          </w:p>
        </w:tc>
        <w:tc>
          <w:tcPr>
            <w:tcW w:w="1820" w:type="dxa"/>
            <w:vAlign w:val="bottom"/>
            <w:tcBorders>
              <w:right w:val="single" w:sz="8" w:color="auto"/>
            </w:tcBorders>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040" w:type="dxa"/>
            <w:vAlign w:val="bottom"/>
            <w:tcBorders>
              <w:right w:val="single" w:sz="8" w:color="auto"/>
            </w:tcBorders>
            <w:vMerge w:val="continue"/>
          </w:tcPr>
          <w:p>
            <w:pPr>
              <w:spacing w:after="0"/>
              <w:rPr>
                <w:sz w:val="11"/>
                <w:szCs w:val="11"/>
                <w:color w:val="auto"/>
              </w:rPr>
            </w:pPr>
          </w:p>
        </w:tc>
        <w:tc>
          <w:tcPr>
            <w:tcW w:w="1600" w:type="dxa"/>
            <w:vAlign w:val="bottom"/>
            <w:tcBorders>
              <w:right w:val="single" w:sz="8" w:color="auto"/>
            </w:tcBorders>
          </w:tcPr>
          <w:p>
            <w:pPr>
              <w:jc w:val="center"/>
              <w:ind w:left="12"/>
              <w:spacing w:after="0" w:line="135" w:lineRule="exact"/>
              <w:rPr>
                <w:sz w:val="20"/>
                <w:szCs w:val="20"/>
                <w:color w:val="auto"/>
              </w:rPr>
            </w:pPr>
            <w:r>
              <w:rPr>
                <w:rFonts w:ascii="Arial" w:cs="Arial" w:eastAsia="Arial" w:hAnsi="Arial"/>
                <w:sz w:val="14"/>
                <w:szCs w:val="14"/>
                <w:b w:val="1"/>
                <w:bCs w:val="1"/>
                <w:color w:val="auto"/>
                <w:w w:val="88"/>
              </w:rPr>
              <w:t>Amount to be</w:t>
            </w:r>
          </w:p>
        </w:tc>
        <w:tc>
          <w:tcPr>
            <w:tcW w:w="1600" w:type="dxa"/>
            <w:vAlign w:val="bottom"/>
            <w:tcBorders>
              <w:right w:val="single" w:sz="8" w:color="auto"/>
            </w:tcBorders>
          </w:tcPr>
          <w:p>
            <w:pPr>
              <w:jc w:val="center"/>
              <w:ind w:left="13"/>
              <w:spacing w:after="0" w:line="135" w:lineRule="exact"/>
              <w:rPr>
                <w:sz w:val="20"/>
                <w:szCs w:val="20"/>
                <w:color w:val="auto"/>
              </w:rPr>
            </w:pPr>
            <w:r>
              <w:rPr>
                <w:rFonts w:ascii="Arial" w:cs="Arial" w:eastAsia="Arial" w:hAnsi="Arial"/>
                <w:sz w:val="14"/>
                <w:szCs w:val="14"/>
                <w:b w:val="1"/>
                <w:bCs w:val="1"/>
                <w:color w:val="auto"/>
                <w:w w:val="86"/>
              </w:rPr>
              <w:t>offering price per</w:t>
            </w:r>
          </w:p>
        </w:tc>
        <w:tc>
          <w:tcPr>
            <w:tcW w:w="1820" w:type="dxa"/>
            <w:vAlign w:val="bottom"/>
            <w:tcBorders>
              <w:right w:val="single" w:sz="8" w:color="auto"/>
            </w:tcBorders>
          </w:tcPr>
          <w:p>
            <w:pPr>
              <w:jc w:val="center"/>
              <w:ind w:left="32"/>
              <w:spacing w:after="0" w:line="135" w:lineRule="exact"/>
              <w:rPr>
                <w:sz w:val="20"/>
                <w:szCs w:val="20"/>
                <w:color w:val="auto"/>
              </w:rPr>
            </w:pPr>
            <w:r>
              <w:rPr>
                <w:rFonts w:ascii="Arial" w:cs="Arial" w:eastAsia="Arial" w:hAnsi="Arial"/>
                <w:sz w:val="14"/>
                <w:szCs w:val="14"/>
                <w:b w:val="1"/>
                <w:bCs w:val="1"/>
                <w:color w:val="auto"/>
                <w:w w:val="86"/>
              </w:rPr>
              <w:t>Proposed maximum</w:t>
            </w:r>
          </w:p>
        </w:tc>
        <w:tc>
          <w:tcPr>
            <w:tcW w:w="1340" w:type="dxa"/>
            <w:vAlign w:val="bottom"/>
          </w:tcPr>
          <w:p>
            <w:pPr>
              <w:jc w:val="center"/>
              <w:ind w:left="12"/>
              <w:spacing w:after="0" w:line="135" w:lineRule="exact"/>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securities to be registered</w:t>
            </w:r>
          </w:p>
        </w:tc>
        <w:tc>
          <w:tcPr>
            <w:tcW w:w="1600" w:type="dxa"/>
            <w:vAlign w:val="bottom"/>
            <w:tcBorders>
              <w:bottom w:val="single" w:sz="8" w:color="auto"/>
              <w:right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82"/>
              </w:rPr>
              <w:t>registered</w:t>
            </w:r>
          </w:p>
        </w:tc>
        <w:tc>
          <w:tcPr>
            <w:tcW w:w="1600" w:type="dxa"/>
            <w:vAlign w:val="bottom"/>
            <w:tcBorders>
              <w:bottom w:val="single" w:sz="8" w:color="auto"/>
              <w:right w:val="single" w:sz="8" w:color="auto"/>
            </w:tcBorders>
          </w:tcPr>
          <w:p>
            <w:pPr>
              <w:jc w:val="center"/>
              <w:ind w:left="33"/>
              <w:spacing w:after="0"/>
              <w:rPr>
                <w:sz w:val="20"/>
                <w:szCs w:val="20"/>
                <w:color w:val="auto"/>
              </w:rPr>
            </w:pPr>
            <w:r>
              <w:rPr>
                <w:rFonts w:ascii="Arial" w:cs="Arial" w:eastAsia="Arial" w:hAnsi="Arial"/>
                <w:sz w:val="14"/>
                <w:szCs w:val="14"/>
                <w:b w:val="1"/>
                <w:bCs w:val="1"/>
                <w:color w:val="auto"/>
                <w:w w:val="85"/>
              </w:rPr>
              <w:t>security</w:t>
            </w:r>
          </w:p>
        </w:tc>
        <w:tc>
          <w:tcPr>
            <w:tcW w:w="1820" w:type="dxa"/>
            <w:vAlign w:val="bottom"/>
            <w:tcBorders>
              <w:bottom w:val="single" w:sz="8" w:color="auto"/>
              <w:right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86"/>
              </w:rPr>
              <w:t>aggregate offering price</w:t>
            </w:r>
          </w:p>
        </w:tc>
        <w:tc>
          <w:tcPr>
            <w:tcW w:w="1340" w:type="dxa"/>
            <w:vAlign w:val="bottom"/>
            <w:tcBorders>
              <w:bottom w:val="single" w:sz="8" w:color="auto"/>
            </w:tcBorders>
          </w:tcPr>
          <w:p>
            <w:pPr>
              <w:jc w:val="center"/>
              <w:ind w:left="32"/>
              <w:spacing w:after="0"/>
              <w:rPr>
                <w:sz w:val="20"/>
                <w:szCs w:val="20"/>
                <w:color w:val="auto"/>
              </w:rPr>
            </w:pPr>
            <w:r>
              <w:rPr>
                <w:rFonts w:ascii="Arial" w:cs="Arial" w:eastAsia="Arial" w:hAnsi="Arial"/>
                <w:sz w:val="14"/>
                <w:szCs w:val="14"/>
                <w:b w:val="1"/>
                <w:bCs w:val="1"/>
                <w:color w:val="auto"/>
                <w:w w:val="86"/>
              </w:rPr>
              <w:t>registration fee</w:t>
            </w:r>
          </w:p>
        </w:tc>
        <w:tc>
          <w:tcPr>
            <w:tcW w:w="0" w:type="dxa"/>
            <w:vAlign w:val="bottom"/>
          </w:tcPr>
          <w:p>
            <w:pPr>
              <w:spacing w:after="0"/>
              <w:rPr>
                <w:sz w:val="1"/>
                <w:szCs w:val="1"/>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504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1"/>
                <w:szCs w:val="11"/>
                <w:color w:val="auto"/>
              </w:rPr>
              <w:t xml:space="preserve">7 </w:t>
            </w:r>
            <w:r>
              <w:rPr>
                <w:rFonts w:ascii="Arial" w:cs="Arial" w:eastAsia="Arial" w:hAnsi="Arial"/>
                <w:sz w:val="16"/>
                <w:szCs w:val="16"/>
                <w:color w:val="auto"/>
                <w:vertAlign w:val="superscript"/>
              </w:rPr>
              <w:t>7</w:t>
            </w:r>
            <w:r>
              <w:rPr>
                <w:rFonts w:ascii="Arial" w:cs="Arial" w:eastAsia="Arial" w:hAnsi="Arial"/>
                <w:sz w:val="11"/>
                <w:szCs w:val="11"/>
                <w:color w:val="auto"/>
              </w:rPr>
              <w:t>/8 % First Mortgage Notes due 2017</w:t>
            </w:r>
          </w:p>
        </w:tc>
        <w:tc>
          <w:tcPr>
            <w:tcW w:w="160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6"/>
              </w:rPr>
              <w:t>$500,000,000</w:t>
            </w:r>
          </w:p>
        </w:tc>
        <w:tc>
          <w:tcPr>
            <w:tcW w:w="1600" w:type="dxa"/>
            <w:vAlign w:val="bottom"/>
            <w:tcBorders>
              <w:bottom w:val="single" w:sz="8" w:color="auto"/>
              <w:right w:val="single" w:sz="8" w:color="auto"/>
            </w:tcBorders>
          </w:tcPr>
          <w:p>
            <w:pPr>
              <w:jc w:val="center"/>
              <w:ind w:left="13"/>
              <w:spacing w:after="0" w:line="142" w:lineRule="exact"/>
              <w:rPr>
                <w:sz w:val="20"/>
                <w:szCs w:val="20"/>
                <w:color w:val="auto"/>
              </w:rPr>
            </w:pPr>
            <w:r>
              <w:rPr>
                <w:rFonts w:ascii="Arial" w:cs="Arial" w:eastAsia="Arial" w:hAnsi="Arial"/>
                <w:sz w:val="14"/>
                <w:szCs w:val="14"/>
                <w:color w:val="auto"/>
                <w:w w:val="89"/>
              </w:rPr>
              <w:t>100%</w:t>
            </w:r>
          </w:p>
        </w:tc>
        <w:tc>
          <w:tcPr>
            <w:tcW w:w="1820" w:type="dxa"/>
            <w:vAlign w:val="bottom"/>
            <w:tcBorders>
              <w:bottom w:val="single" w:sz="8" w:color="auto"/>
              <w:right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87"/>
              </w:rPr>
              <w:t>$500,000,000(1)</w:t>
            </w:r>
          </w:p>
        </w:tc>
        <w:tc>
          <w:tcPr>
            <w:tcW w:w="1340" w:type="dxa"/>
            <w:vAlign w:val="bottom"/>
            <w:tcBorders>
              <w:bottom w:val="single" w:sz="8" w:color="auto"/>
            </w:tcBorders>
          </w:tcPr>
          <w:p>
            <w:pPr>
              <w:jc w:val="center"/>
              <w:ind w:left="32"/>
              <w:spacing w:after="0" w:line="142" w:lineRule="exact"/>
              <w:rPr>
                <w:sz w:val="20"/>
                <w:szCs w:val="20"/>
                <w:color w:val="auto"/>
              </w:rPr>
            </w:pPr>
            <w:r>
              <w:rPr>
                <w:rFonts w:ascii="Arial" w:cs="Arial" w:eastAsia="Arial" w:hAnsi="Arial"/>
                <w:sz w:val="14"/>
                <w:szCs w:val="14"/>
                <w:color w:val="auto"/>
                <w:w w:val="85"/>
              </w:rPr>
              <w:t>$35,650.00</w:t>
            </w:r>
          </w:p>
        </w:tc>
        <w:tc>
          <w:tcPr>
            <w:tcW w:w="0" w:type="dxa"/>
            <w:vAlign w:val="bottom"/>
          </w:tcPr>
          <w:p>
            <w:pPr>
              <w:spacing w:after="0"/>
              <w:rPr>
                <w:sz w:val="1"/>
                <w:szCs w:val="1"/>
                <w:color w:val="auto"/>
              </w:rPr>
            </w:pPr>
          </w:p>
        </w:tc>
      </w:tr>
      <w:tr>
        <w:trPr>
          <w:trHeight w:val="142"/>
        </w:trPr>
        <w:tc>
          <w:tcPr>
            <w:tcW w:w="5060" w:type="dxa"/>
            <w:vAlign w:val="bottom"/>
            <w:tcBorders>
              <w:bottom w:val="single" w:sz="8" w:color="auto"/>
              <w:right w:val="single" w:sz="8" w:color="auto"/>
            </w:tcBorders>
            <w:gridSpan w:val="2"/>
          </w:tcPr>
          <w:p>
            <w:pPr>
              <w:spacing w:after="0" w:line="142" w:lineRule="exact"/>
              <w:rPr>
                <w:sz w:val="20"/>
                <w:szCs w:val="20"/>
                <w:color w:val="auto"/>
              </w:rPr>
            </w:pPr>
            <w:r>
              <w:rPr>
                <w:rFonts w:ascii="Arial" w:cs="Arial" w:eastAsia="Arial" w:hAnsi="Arial"/>
                <w:sz w:val="11"/>
                <w:szCs w:val="11"/>
                <w:color w:val="auto"/>
              </w:rPr>
              <w:t xml:space="preserve">7 </w:t>
            </w:r>
            <w:r>
              <w:rPr>
                <w:rFonts w:ascii="Arial" w:cs="Arial" w:eastAsia="Arial" w:hAnsi="Arial"/>
                <w:sz w:val="16"/>
                <w:szCs w:val="16"/>
                <w:color w:val="auto"/>
                <w:vertAlign w:val="superscript"/>
              </w:rPr>
              <w:t>7</w:t>
            </w:r>
            <w:r>
              <w:rPr>
                <w:rFonts w:ascii="Arial" w:cs="Arial" w:eastAsia="Arial" w:hAnsi="Arial"/>
                <w:sz w:val="11"/>
                <w:szCs w:val="11"/>
                <w:color w:val="auto"/>
              </w:rPr>
              <w:t>/8 % First Mortgage Notes due 2020</w:t>
            </w:r>
          </w:p>
        </w:tc>
        <w:tc>
          <w:tcPr>
            <w:tcW w:w="160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6"/>
              </w:rPr>
              <w:t>$382,010,000</w:t>
            </w:r>
          </w:p>
        </w:tc>
        <w:tc>
          <w:tcPr>
            <w:tcW w:w="1600" w:type="dxa"/>
            <w:vAlign w:val="bottom"/>
            <w:tcBorders>
              <w:bottom w:val="single" w:sz="8" w:color="auto"/>
              <w:right w:val="single" w:sz="8" w:color="auto"/>
            </w:tcBorders>
          </w:tcPr>
          <w:p>
            <w:pPr>
              <w:jc w:val="center"/>
              <w:ind w:left="13"/>
              <w:spacing w:after="0" w:line="142" w:lineRule="exact"/>
              <w:rPr>
                <w:sz w:val="20"/>
                <w:szCs w:val="20"/>
                <w:color w:val="auto"/>
              </w:rPr>
            </w:pPr>
            <w:r>
              <w:rPr>
                <w:rFonts w:ascii="Arial" w:cs="Arial" w:eastAsia="Arial" w:hAnsi="Arial"/>
                <w:sz w:val="14"/>
                <w:szCs w:val="14"/>
                <w:color w:val="auto"/>
                <w:w w:val="89"/>
              </w:rPr>
              <w:t>100%</w:t>
            </w:r>
          </w:p>
        </w:tc>
        <w:tc>
          <w:tcPr>
            <w:tcW w:w="1820" w:type="dxa"/>
            <w:vAlign w:val="bottom"/>
            <w:tcBorders>
              <w:bottom w:val="single" w:sz="8" w:color="auto"/>
              <w:right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87"/>
              </w:rPr>
              <w:t>$382,010,000(1)</w:t>
            </w:r>
          </w:p>
        </w:tc>
        <w:tc>
          <w:tcPr>
            <w:tcW w:w="1340" w:type="dxa"/>
            <w:vAlign w:val="bottom"/>
            <w:tcBorders>
              <w:bottom w:val="single" w:sz="8" w:color="auto"/>
            </w:tcBorders>
          </w:tcPr>
          <w:p>
            <w:pPr>
              <w:jc w:val="center"/>
              <w:ind w:left="32"/>
              <w:spacing w:after="0" w:line="142" w:lineRule="exact"/>
              <w:rPr>
                <w:sz w:val="20"/>
                <w:szCs w:val="20"/>
                <w:color w:val="auto"/>
              </w:rPr>
            </w:pPr>
            <w:r>
              <w:rPr>
                <w:rFonts w:ascii="Arial" w:cs="Arial" w:eastAsia="Arial" w:hAnsi="Arial"/>
                <w:sz w:val="14"/>
                <w:szCs w:val="14"/>
                <w:color w:val="auto"/>
                <w:w w:val="85"/>
              </w:rPr>
              <w:t>$27,237.32</w:t>
            </w:r>
          </w:p>
        </w:tc>
        <w:tc>
          <w:tcPr>
            <w:tcW w:w="0" w:type="dxa"/>
            <w:vAlign w:val="bottom"/>
          </w:tcPr>
          <w:p>
            <w:pPr>
              <w:spacing w:after="0"/>
              <w:rPr>
                <w:sz w:val="1"/>
                <w:szCs w:val="1"/>
                <w:color w:val="auto"/>
              </w:rPr>
            </w:pPr>
          </w:p>
        </w:tc>
      </w:tr>
      <w:tr>
        <w:trPr>
          <w:trHeight w:val="142"/>
        </w:trPr>
        <w:tc>
          <w:tcPr>
            <w:tcW w:w="5060" w:type="dxa"/>
            <w:vAlign w:val="bottom"/>
            <w:tcBorders>
              <w:bottom w:val="single" w:sz="8" w:color="auto"/>
              <w:right w:val="single" w:sz="8" w:color="auto"/>
            </w:tcBorders>
            <w:gridSpan w:val="2"/>
          </w:tcPr>
          <w:p>
            <w:pPr>
              <w:spacing w:after="0" w:line="142" w:lineRule="exact"/>
              <w:rPr>
                <w:sz w:val="20"/>
                <w:szCs w:val="20"/>
                <w:color w:val="auto"/>
              </w:rPr>
            </w:pPr>
            <w:r>
              <w:rPr>
                <w:rFonts w:ascii="Arial" w:cs="Arial" w:eastAsia="Arial" w:hAnsi="Arial"/>
                <w:sz w:val="11"/>
                <w:szCs w:val="11"/>
                <w:color w:val="auto"/>
              </w:rPr>
              <w:t xml:space="preserve">Guarantees related to the 7 </w:t>
            </w:r>
            <w:r>
              <w:rPr>
                <w:rFonts w:ascii="Arial" w:cs="Arial" w:eastAsia="Arial" w:hAnsi="Arial"/>
                <w:sz w:val="16"/>
                <w:szCs w:val="16"/>
                <w:color w:val="auto"/>
                <w:vertAlign w:val="superscript"/>
              </w:rPr>
              <w:t>7</w:t>
            </w:r>
            <w:r>
              <w:rPr>
                <w:rFonts w:ascii="Arial" w:cs="Arial" w:eastAsia="Arial" w:hAnsi="Arial"/>
                <w:sz w:val="11"/>
                <w:szCs w:val="11"/>
                <w:color w:val="auto"/>
              </w:rPr>
              <w:t>/8% First Mortgage Notes due 2017</w:t>
            </w:r>
          </w:p>
        </w:tc>
        <w:tc>
          <w:tcPr>
            <w:tcW w:w="1600" w:type="dxa"/>
            <w:vAlign w:val="bottom"/>
            <w:tcBorders>
              <w:bottom w:val="single" w:sz="8" w:color="auto"/>
              <w:right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rPr>
              <w:t>N/A</w:t>
            </w:r>
          </w:p>
        </w:tc>
        <w:tc>
          <w:tcPr>
            <w:tcW w:w="1600" w:type="dxa"/>
            <w:vAlign w:val="bottom"/>
            <w:tcBorders>
              <w:bottom w:val="single" w:sz="8" w:color="auto"/>
              <w:right w:val="single" w:sz="8" w:color="auto"/>
            </w:tcBorders>
          </w:tcPr>
          <w:p>
            <w:pPr>
              <w:jc w:val="center"/>
              <w:ind w:left="13"/>
              <w:spacing w:after="0" w:line="142" w:lineRule="exact"/>
              <w:rPr>
                <w:sz w:val="20"/>
                <w:szCs w:val="20"/>
                <w:color w:val="auto"/>
              </w:rPr>
            </w:pPr>
            <w:r>
              <w:rPr>
                <w:rFonts w:ascii="Arial" w:cs="Arial" w:eastAsia="Arial" w:hAnsi="Arial"/>
                <w:sz w:val="14"/>
                <w:szCs w:val="14"/>
                <w:color w:val="auto"/>
              </w:rPr>
              <w:t>N/A</w:t>
            </w:r>
          </w:p>
        </w:tc>
        <w:tc>
          <w:tcPr>
            <w:tcW w:w="1820" w:type="dxa"/>
            <w:vAlign w:val="bottom"/>
            <w:tcBorders>
              <w:bottom w:val="single" w:sz="8" w:color="auto"/>
              <w:right w:val="single" w:sz="8" w:color="auto"/>
            </w:tcBorders>
          </w:tcPr>
          <w:p>
            <w:pPr>
              <w:jc w:val="center"/>
              <w:ind w:left="32"/>
              <w:spacing w:after="0" w:line="142" w:lineRule="exact"/>
              <w:rPr>
                <w:sz w:val="20"/>
                <w:szCs w:val="20"/>
                <w:color w:val="auto"/>
              </w:rPr>
            </w:pPr>
            <w:r>
              <w:rPr>
                <w:rFonts w:ascii="Arial" w:cs="Arial" w:eastAsia="Arial" w:hAnsi="Arial"/>
                <w:sz w:val="14"/>
                <w:szCs w:val="14"/>
                <w:color w:val="auto"/>
              </w:rPr>
              <w:t>N/A</w:t>
            </w:r>
          </w:p>
        </w:tc>
        <w:tc>
          <w:tcPr>
            <w:tcW w:w="1340" w:type="dxa"/>
            <w:vAlign w:val="bottom"/>
            <w:tcBorders>
              <w:bottom w:val="single" w:sz="8" w:color="auto"/>
            </w:tcBorders>
          </w:tcPr>
          <w:p>
            <w:pPr>
              <w:jc w:val="center"/>
              <w:ind w:left="32"/>
              <w:spacing w:after="0" w:line="142" w:lineRule="exact"/>
              <w:rPr>
                <w:sz w:val="20"/>
                <w:szCs w:val="20"/>
                <w:color w:val="auto"/>
              </w:rPr>
            </w:pPr>
            <w:r>
              <w:rPr>
                <w:rFonts w:ascii="Arial" w:cs="Arial" w:eastAsia="Arial" w:hAnsi="Arial"/>
                <w:sz w:val="14"/>
                <w:szCs w:val="14"/>
                <w:color w:val="auto"/>
                <w:w w:val="98"/>
              </w:rPr>
              <w:t>N/A(2)</w:t>
            </w:r>
          </w:p>
        </w:tc>
        <w:tc>
          <w:tcPr>
            <w:tcW w:w="0" w:type="dxa"/>
            <w:vAlign w:val="bottom"/>
          </w:tcPr>
          <w:p>
            <w:pPr>
              <w:spacing w:after="0"/>
              <w:rPr>
                <w:sz w:val="1"/>
                <w:szCs w:val="1"/>
                <w:color w:val="auto"/>
              </w:rPr>
            </w:pPr>
          </w:p>
        </w:tc>
      </w:tr>
      <w:tr>
        <w:trPr>
          <w:trHeight w:val="142"/>
        </w:trPr>
        <w:tc>
          <w:tcPr>
            <w:tcW w:w="5060" w:type="dxa"/>
            <w:vAlign w:val="bottom"/>
            <w:tcBorders>
              <w:bottom w:val="single" w:sz="8" w:color="auto"/>
              <w:right w:val="single" w:sz="8" w:color="auto"/>
            </w:tcBorders>
            <w:gridSpan w:val="2"/>
          </w:tcPr>
          <w:p>
            <w:pPr>
              <w:spacing w:after="0" w:line="142" w:lineRule="exact"/>
              <w:rPr>
                <w:sz w:val="20"/>
                <w:szCs w:val="20"/>
                <w:color w:val="auto"/>
              </w:rPr>
            </w:pPr>
            <w:r>
              <w:rPr>
                <w:rFonts w:ascii="Arial" w:cs="Arial" w:eastAsia="Arial" w:hAnsi="Arial"/>
                <w:sz w:val="11"/>
                <w:szCs w:val="11"/>
                <w:color w:val="auto"/>
              </w:rPr>
              <w:t xml:space="preserve">Guarantees related to the 7 </w:t>
            </w:r>
            <w:r>
              <w:rPr>
                <w:rFonts w:ascii="Arial" w:cs="Arial" w:eastAsia="Arial" w:hAnsi="Arial"/>
                <w:sz w:val="16"/>
                <w:szCs w:val="16"/>
                <w:color w:val="auto"/>
                <w:vertAlign w:val="superscript"/>
              </w:rPr>
              <w:t>7</w:t>
            </w:r>
            <w:r>
              <w:rPr>
                <w:rFonts w:ascii="Arial" w:cs="Arial" w:eastAsia="Arial" w:hAnsi="Arial"/>
                <w:sz w:val="11"/>
                <w:szCs w:val="11"/>
                <w:color w:val="auto"/>
              </w:rPr>
              <w:t>/8% First Mortgage Notes due 2020</w:t>
            </w:r>
          </w:p>
        </w:tc>
        <w:tc>
          <w:tcPr>
            <w:tcW w:w="1600" w:type="dxa"/>
            <w:vAlign w:val="bottom"/>
            <w:tcBorders>
              <w:bottom w:val="single" w:sz="8" w:color="auto"/>
              <w:right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rPr>
              <w:t>N/A</w:t>
            </w:r>
          </w:p>
        </w:tc>
        <w:tc>
          <w:tcPr>
            <w:tcW w:w="1600" w:type="dxa"/>
            <w:vAlign w:val="bottom"/>
            <w:tcBorders>
              <w:bottom w:val="single" w:sz="8" w:color="auto"/>
              <w:right w:val="single" w:sz="8" w:color="auto"/>
            </w:tcBorders>
          </w:tcPr>
          <w:p>
            <w:pPr>
              <w:jc w:val="center"/>
              <w:ind w:left="13"/>
              <w:spacing w:after="0" w:line="142" w:lineRule="exact"/>
              <w:rPr>
                <w:sz w:val="20"/>
                <w:szCs w:val="20"/>
                <w:color w:val="auto"/>
              </w:rPr>
            </w:pPr>
            <w:r>
              <w:rPr>
                <w:rFonts w:ascii="Arial" w:cs="Arial" w:eastAsia="Arial" w:hAnsi="Arial"/>
                <w:sz w:val="14"/>
                <w:szCs w:val="14"/>
                <w:color w:val="auto"/>
              </w:rPr>
              <w:t>N/A</w:t>
            </w:r>
          </w:p>
        </w:tc>
        <w:tc>
          <w:tcPr>
            <w:tcW w:w="1820" w:type="dxa"/>
            <w:vAlign w:val="bottom"/>
            <w:tcBorders>
              <w:bottom w:val="single" w:sz="8" w:color="auto"/>
              <w:right w:val="single" w:sz="8" w:color="auto"/>
            </w:tcBorders>
          </w:tcPr>
          <w:p>
            <w:pPr>
              <w:jc w:val="center"/>
              <w:ind w:left="32"/>
              <w:spacing w:after="0" w:line="142" w:lineRule="exact"/>
              <w:rPr>
                <w:sz w:val="20"/>
                <w:szCs w:val="20"/>
                <w:color w:val="auto"/>
              </w:rPr>
            </w:pPr>
            <w:r>
              <w:rPr>
                <w:rFonts w:ascii="Arial" w:cs="Arial" w:eastAsia="Arial" w:hAnsi="Arial"/>
                <w:sz w:val="14"/>
                <w:szCs w:val="14"/>
                <w:color w:val="auto"/>
              </w:rPr>
              <w:t>N/A</w:t>
            </w:r>
          </w:p>
        </w:tc>
        <w:tc>
          <w:tcPr>
            <w:tcW w:w="1340" w:type="dxa"/>
            <w:vAlign w:val="bottom"/>
            <w:tcBorders>
              <w:bottom w:val="single" w:sz="8" w:color="auto"/>
            </w:tcBorders>
          </w:tcPr>
          <w:p>
            <w:pPr>
              <w:jc w:val="center"/>
              <w:ind w:left="32"/>
              <w:spacing w:after="0" w:line="142" w:lineRule="exact"/>
              <w:rPr>
                <w:sz w:val="20"/>
                <w:szCs w:val="20"/>
                <w:color w:val="auto"/>
              </w:rPr>
            </w:pPr>
            <w:r>
              <w:rPr>
                <w:rFonts w:ascii="Arial" w:cs="Arial" w:eastAsia="Arial" w:hAnsi="Arial"/>
                <w:sz w:val="14"/>
                <w:szCs w:val="14"/>
                <w:color w:val="auto"/>
                <w:w w:val="98"/>
              </w:rPr>
              <w:t>N/A(2)</w:t>
            </w:r>
          </w:p>
        </w:tc>
        <w:tc>
          <w:tcPr>
            <w:tcW w:w="0" w:type="dxa"/>
            <w:vAlign w:val="bottom"/>
          </w:tcPr>
          <w:p>
            <w:pPr>
              <w:spacing w:after="0"/>
              <w:rPr>
                <w:sz w:val="1"/>
                <w:szCs w:val="1"/>
                <w:color w:val="auto"/>
              </w:rPr>
            </w:pPr>
          </w:p>
        </w:tc>
      </w:tr>
      <w:tr>
        <w:trPr>
          <w:trHeight w:val="142"/>
        </w:trPr>
        <w:tc>
          <w:tcPr>
            <w:tcW w:w="5060" w:type="dxa"/>
            <w:vAlign w:val="bottom"/>
            <w:tcBorders>
              <w:right w:val="single" w:sz="8" w:color="auto"/>
            </w:tcBorders>
            <w:gridSpan w:val="2"/>
          </w:tcPr>
          <w:p>
            <w:pPr>
              <w:spacing w:after="0" w:line="142" w:lineRule="exact"/>
              <w:rPr>
                <w:sz w:val="20"/>
                <w:szCs w:val="20"/>
                <w:color w:val="auto"/>
              </w:rPr>
            </w:pPr>
            <w:r>
              <w:rPr>
                <w:rFonts w:ascii="Arial" w:cs="Arial" w:eastAsia="Arial" w:hAnsi="Arial"/>
                <w:sz w:val="14"/>
                <w:szCs w:val="14"/>
                <w:color w:val="auto"/>
              </w:rPr>
              <w:t>Total</w:t>
            </w:r>
          </w:p>
        </w:tc>
        <w:tc>
          <w:tcPr>
            <w:tcW w:w="160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6"/>
              </w:rPr>
              <w:t>$882,010,000</w:t>
            </w:r>
          </w:p>
        </w:tc>
        <w:tc>
          <w:tcPr>
            <w:tcW w:w="1600" w:type="dxa"/>
            <w:vAlign w:val="bottom"/>
            <w:tcBorders>
              <w:right w:val="single" w:sz="8" w:color="auto"/>
            </w:tcBorders>
          </w:tcPr>
          <w:p>
            <w:pPr>
              <w:jc w:val="center"/>
              <w:ind w:left="13"/>
              <w:spacing w:after="0" w:line="142" w:lineRule="exact"/>
              <w:rPr>
                <w:sz w:val="20"/>
                <w:szCs w:val="20"/>
                <w:color w:val="auto"/>
              </w:rPr>
            </w:pPr>
            <w:r>
              <w:rPr>
                <w:rFonts w:ascii="Arial" w:cs="Arial" w:eastAsia="Arial" w:hAnsi="Arial"/>
                <w:sz w:val="14"/>
                <w:szCs w:val="14"/>
                <w:color w:val="auto"/>
              </w:rPr>
              <w:t>N/A</w:t>
            </w:r>
          </w:p>
        </w:tc>
        <w:tc>
          <w:tcPr>
            <w:tcW w:w="1820" w:type="dxa"/>
            <w:vAlign w:val="bottom"/>
            <w:tcBorders>
              <w:right w:val="single" w:sz="8" w:color="auto"/>
            </w:tcBorders>
          </w:tcPr>
          <w:p>
            <w:pPr>
              <w:jc w:val="center"/>
              <w:ind w:left="32"/>
              <w:spacing w:after="0" w:line="142" w:lineRule="exact"/>
              <w:rPr>
                <w:sz w:val="20"/>
                <w:szCs w:val="20"/>
                <w:color w:val="auto"/>
              </w:rPr>
            </w:pPr>
            <w:r>
              <w:rPr>
                <w:rFonts w:ascii="Arial" w:cs="Arial" w:eastAsia="Arial" w:hAnsi="Arial"/>
                <w:sz w:val="14"/>
                <w:szCs w:val="14"/>
                <w:color w:val="auto"/>
              </w:rPr>
              <w:t>N/A</w:t>
            </w:r>
          </w:p>
        </w:tc>
        <w:tc>
          <w:tcPr>
            <w:tcW w:w="1340" w:type="dxa"/>
            <w:vAlign w:val="bottom"/>
          </w:tcPr>
          <w:p>
            <w:pPr>
              <w:jc w:val="center"/>
              <w:ind w:left="32"/>
              <w:spacing w:after="0" w:line="142" w:lineRule="exact"/>
              <w:rPr>
                <w:sz w:val="20"/>
                <w:szCs w:val="20"/>
                <w:color w:val="auto"/>
              </w:rPr>
            </w:pPr>
            <w:r>
              <w:rPr>
                <w:rFonts w:ascii="Arial" w:cs="Arial" w:eastAsia="Arial" w:hAnsi="Arial"/>
                <w:sz w:val="14"/>
                <w:szCs w:val="14"/>
                <w:color w:val="auto"/>
                <w:w w:val="85"/>
              </w:rPr>
              <w:t>$62,887.32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 w:lineRule="exact"/>
        <w:rPr>
          <w:sz w:val="24"/>
          <w:szCs w:val="24"/>
          <w:color w:val="auto"/>
        </w:rPr>
      </w:pPr>
    </w:p>
    <w:p>
      <w:pPr>
        <w:ind w:left="340" w:hanging="332"/>
        <w:spacing w:after="0"/>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in accordance with Rule 457(f) promulgated under the Securities Act of 1933, as amended.</w:t>
      </w:r>
    </w:p>
    <w:p>
      <w:pPr>
        <w:ind w:left="340" w:hanging="332"/>
        <w:spacing w:after="0"/>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Pursuant to Rule 457(n), no additional fee is being paid in respect of the Guarantees. The Guarantees are not traded separately.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51435</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89" w:lineRule="exact"/>
        <w:rPr>
          <w:sz w:val="24"/>
          <w:szCs w:val="24"/>
          <w:color w:val="auto"/>
        </w:rPr>
      </w:pPr>
    </w:p>
    <w:p>
      <w:pPr>
        <w:ind w:right="20" w:firstLine="342"/>
        <w:spacing w:after="0" w:line="231" w:lineRule="auto"/>
        <w:rPr>
          <w:sz w:val="20"/>
          <w:szCs w:val="20"/>
          <w:color w:val="auto"/>
        </w:rPr>
      </w:pPr>
      <w:r>
        <w:rPr>
          <w:rFonts w:ascii="Arial" w:cs="Arial" w:eastAsia="Arial" w:hAnsi="Arial"/>
          <w:sz w:val="14"/>
          <w:szCs w:val="14"/>
          <w:b w:val="1"/>
          <w:bCs w:val="1"/>
          <w:color w:val="auto"/>
        </w:rPr>
        <w:t>THE REGISTRANTS HEREBY AMEND THIS REGISTRATION STATEMENT ON SUCH DATE OR DATES AS MAY BE NECESSARY TO DELAY ITS EFFECTIVE DATE UNTIL THE REGISTRANTS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SECTION 8(a), MAY DETERMINE.</w:t>
      </w:r>
    </w:p>
    <w:p>
      <w:pPr>
        <w:spacing w:after="0" w:line="15"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17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840" w:type="dxa"/>
            <w:vAlign w:val="bottom"/>
            <w:gridSpan w:val="3"/>
          </w:tcPr>
          <w:p>
            <w:pPr>
              <w:jc w:val="right"/>
              <w:ind w:right="980"/>
              <w:spacing w:after="0"/>
              <w:rPr>
                <w:sz w:val="20"/>
                <w:szCs w:val="20"/>
                <w:color w:val="auto"/>
              </w:rPr>
            </w:pPr>
            <w:r>
              <w:rPr>
                <w:rFonts w:ascii="Arial" w:cs="Arial" w:eastAsia="Arial" w:hAnsi="Arial"/>
                <w:sz w:val="14"/>
                <w:szCs w:val="14"/>
                <w:b w:val="1"/>
                <w:bCs w:val="1"/>
                <w:color w:val="auto"/>
              </w:rPr>
              <w:t>TABLE OF ADDITIONAL REGISTRANTS</w:t>
            </w:r>
          </w:p>
        </w:tc>
        <w:tc>
          <w:tcPr>
            <w:tcW w:w="1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7"/>
        </w:trPr>
        <w:tc>
          <w:tcPr>
            <w:tcW w:w="17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40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88"/>
              </w:rPr>
              <w:t>State or Other Jurisdiction</w:t>
            </w:r>
          </w:p>
        </w:tc>
        <w:tc>
          <w:tcPr>
            <w:tcW w:w="20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Primary Standard</w:t>
            </w: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49"/>
        </w:trPr>
        <w:tc>
          <w:tcPr>
            <w:tcW w:w="17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400" w:type="dxa"/>
            <w:vAlign w:val="bottom"/>
            <w:gridSpan w:val="2"/>
          </w:tcPr>
          <w:p>
            <w:pPr>
              <w:jc w:val="right"/>
              <w:ind w:right="1520"/>
              <w:spacing w:after="0" w:line="149" w:lineRule="exact"/>
              <w:rPr>
                <w:sz w:val="20"/>
                <w:szCs w:val="20"/>
                <w:color w:val="auto"/>
              </w:rPr>
            </w:pPr>
            <w:r>
              <w:rPr>
                <w:rFonts w:ascii="Arial" w:cs="Arial" w:eastAsia="Arial" w:hAnsi="Arial"/>
                <w:sz w:val="14"/>
                <w:szCs w:val="14"/>
                <w:b w:val="1"/>
                <w:bCs w:val="1"/>
                <w:color w:val="auto"/>
              </w:rPr>
              <w:t>of</w:t>
            </w:r>
          </w:p>
        </w:tc>
        <w:tc>
          <w:tcPr>
            <w:tcW w:w="2040" w:type="dxa"/>
            <w:vAlign w:val="bottom"/>
            <w:gridSpan w:val="2"/>
          </w:tcPr>
          <w:p>
            <w:pPr>
              <w:jc w:val="right"/>
              <w:ind w:right="920"/>
              <w:spacing w:after="0" w:line="149" w:lineRule="exact"/>
              <w:rPr>
                <w:sz w:val="20"/>
                <w:szCs w:val="20"/>
                <w:color w:val="auto"/>
              </w:rPr>
            </w:pPr>
            <w:r>
              <w:rPr>
                <w:rFonts w:ascii="Arial" w:cs="Arial" w:eastAsia="Arial" w:hAnsi="Arial"/>
                <w:sz w:val="14"/>
                <w:szCs w:val="14"/>
                <w:b w:val="1"/>
                <w:bCs w:val="1"/>
                <w:color w:val="auto"/>
              </w:rPr>
              <w:t>Industrial</w:t>
            </w:r>
          </w:p>
        </w:tc>
        <w:tc>
          <w:tcPr>
            <w:tcW w:w="38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93"/>
              </w:rPr>
              <w:t>I.R.S. Employer</w:t>
            </w:r>
          </w:p>
        </w:tc>
      </w:tr>
      <w:tr>
        <w:trPr>
          <w:trHeight w:val="161"/>
        </w:trPr>
        <w:tc>
          <w:tcPr>
            <w:tcW w:w="3140" w:type="dxa"/>
            <w:vAlign w:val="bottom"/>
            <w:gridSpan w:val="2"/>
          </w:tcPr>
          <w:p>
            <w:pPr>
              <w:spacing w:after="0"/>
              <w:rPr>
                <w:sz w:val="20"/>
                <w:szCs w:val="20"/>
                <w:color w:val="auto"/>
              </w:rPr>
            </w:pPr>
            <w:r>
              <w:rPr>
                <w:rFonts w:ascii="Arial" w:cs="Arial" w:eastAsia="Arial" w:hAnsi="Arial"/>
                <w:sz w:val="14"/>
                <w:szCs w:val="14"/>
                <w:b w:val="1"/>
                <w:bCs w:val="1"/>
                <w:color w:val="auto"/>
              </w:rPr>
              <w:t>Name of Additional Registrant*</w:t>
            </w:r>
          </w:p>
        </w:tc>
        <w:tc>
          <w:tcPr>
            <w:tcW w:w="2440" w:type="dxa"/>
            <w:vAlign w:val="bottom"/>
          </w:tcPr>
          <w:p>
            <w:pPr>
              <w:spacing w:after="0"/>
              <w:rPr>
                <w:sz w:val="14"/>
                <w:szCs w:val="14"/>
                <w:color w:val="auto"/>
              </w:rPr>
            </w:pPr>
          </w:p>
        </w:tc>
        <w:tc>
          <w:tcPr>
            <w:tcW w:w="24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88"/>
              </w:rPr>
              <w:t>Incorporation or Formation</w:t>
            </w:r>
          </w:p>
        </w:tc>
        <w:tc>
          <w:tcPr>
            <w:tcW w:w="2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6"/>
              </w:rPr>
              <w:t>Classification Code Number</w:t>
            </w:r>
          </w:p>
        </w:tc>
        <w:tc>
          <w:tcPr>
            <w:tcW w:w="14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Identification No.</w:t>
            </w:r>
          </w:p>
        </w:tc>
      </w:tr>
      <w:tr>
        <w:trPr>
          <w:trHeight w:val="131"/>
        </w:trPr>
        <w:tc>
          <w:tcPr>
            <w:tcW w:w="1720" w:type="dxa"/>
            <w:vAlign w:val="bottom"/>
            <w:tcBorders>
              <w:top w:val="single" w:sz="8" w:color="auto"/>
            </w:tcBorders>
          </w:tcPr>
          <w:p>
            <w:pPr>
              <w:spacing w:after="0" w:line="131" w:lineRule="exact"/>
              <w:rPr>
                <w:sz w:val="20"/>
                <w:szCs w:val="20"/>
                <w:color w:val="auto"/>
              </w:rPr>
            </w:pPr>
            <w:r>
              <w:rPr>
                <w:rFonts w:ascii="Arial" w:cs="Arial" w:eastAsia="Arial" w:hAnsi="Arial"/>
                <w:sz w:val="14"/>
                <w:szCs w:val="14"/>
                <w:color w:val="auto"/>
              </w:rPr>
              <w:t>Las Vegas Jet, LLC</w:t>
            </w:r>
          </w:p>
        </w:tc>
        <w:tc>
          <w:tcPr>
            <w:tcW w:w="14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62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rPr>
              <w:t>Nevada</w:t>
            </w:r>
          </w:p>
        </w:tc>
        <w:tc>
          <w:tcPr>
            <w:tcW w:w="780" w:type="dxa"/>
            <w:vAlign w:val="bottom"/>
          </w:tcPr>
          <w:p>
            <w:pPr>
              <w:spacing w:after="0"/>
              <w:rPr>
                <w:sz w:val="11"/>
                <w:szCs w:val="11"/>
                <w:color w:val="auto"/>
              </w:rPr>
            </w:pPr>
          </w:p>
        </w:tc>
        <w:tc>
          <w:tcPr>
            <w:tcW w:w="164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rPr>
              <w:t>7990</w:t>
            </w: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rPr>
              <w:t>88-0460935</w:t>
            </w:r>
          </w:p>
        </w:tc>
        <w:tc>
          <w:tcPr>
            <w:tcW w:w="20" w:type="dxa"/>
            <w:vAlign w:val="bottom"/>
          </w:tcPr>
          <w:p>
            <w:pPr>
              <w:spacing w:after="0"/>
              <w:rPr>
                <w:sz w:val="11"/>
                <w:szCs w:val="11"/>
                <w:color w:val="auto"/>
              </w:rPr>
            </w:pPr>
          </w:p>
        </w:tc>
      </w:tr>
      <w:tr>
        <w:trPr>
          <w:trHeight w:val="149"/>
        </w:trPr>
        <w:tc>
          <w:tcPr>
            <w:tcW w:w="3140" w:type="dxa"/>
            <w:vAlign w:val="bottom"/>
            <w:gridSpan w:val="2"/>
          </w:tcPr>
          <w:p>
            <w:pPr>
              <w:spacing w:after="0" w:line="149" w:lineRule="exact"/>
              <w:rPr>
                <w:sz w:val="20"/>
                <w:szCs w:val="20"/>
                <w:color w:val="auto"/>
              </w:rPr>
            </w:pPr>
            <w:r>
              <w:rPr>
                <w:rFonts w:ascii="Arial" w:cs="Arial" w:eastAsia="Arial" w:hAnsi="Arial"/>
                <w:sz w:val="14"/>
                <w:szCs w:val="14"/>
                <w:color w:val="auto"/>
              </w:rPr>
              <w:t>World Travel, LLC</w:t>
            </w:r>
          </w:p>
        </w:tc>
        <w:tc>
          <w:tcPr>
            <w:tcW w:w="2440" w:type="dxa"/>
            <w:vAlign w:val="bottom"/>
          </w:tcPr>
          <w:p>
            <w:pPr>
              <w:spacing w:after="0"/>
              <w:rPr>
                <w:sz w:val="12"/>
                <w:szCs w:val="12"/>
                <w:color w:val="auto"/>
              </w:rPr>
            </w:pPr>
          </w:p>
        </w:tc>
        <w:tc>
          <w:tcPr>
            <w:tcW w:w="240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Nevada</w:t>
            </w:r>
          </w:p>
        </w:tc>
        <w:tc>
          <w:tcPr>
            <w:tcW w:w="2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7990</w:t>
            </w:r>
          </w:p>
        </w:tc>
        <w:tc>
          <w:tcPr>
            <w:tcW w:w="14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47-0846667</w:t>
            </w:r>
          </w:p>
        </w:tc>
      </w:tr>
      <w:tr>
        <w:trPr>
          <w:trHeight w:val="149"/>
        </w:trPr>
        <w:tc>
          <w:tcPr>
            <w:tcW w:w="3140" w:type="dxa"/>
            <w:vAlign w:val="bottom"/>
            <w:gridSpan w:val="2"/>
          </w:tcPr>
          <w:p>
            <w:pPr>
              <w:spacing w:after="0" w:line="149" w:lineRule="exact"/>
              <w:rPr>
                <w:sz w:val="20"/>
                <w:szCs w:val="20"/>
                <w:color w:val="auto"/>
              </w:rPr>
            </w:pPr>
            <w:r>
              <w:rPr>
                <w:rFonts w:ascii="Arial" w:cs="Arial" w:eastAsia="Arial" w:hAnsi="Arial"/>
                <w:sz w:val="14"/>
                <w:szCs w:val="14"/>
                <w:color w:val="auto"/>
              </w:rPr>
              <w:t>Wynn Golf, LLC</w:t>
            </w:r>
          </w:p>
        </w:tc>
        <w:tc>
          <w:tcPr>
            <w:tcW w:w="2440" w:type="dxa"/>
            <w:vAlign w:val="bottom"/>
          </w:tcPr>
          <w:p>
            <w:pPr>
              <w:spacing w:after="0"/>
              <w:rPr>
                <w:sz w:val="12"/>
                <w:szCs w:val="12"/>
                <w:color w:val="auto"/>
              </w:rPr>
            </w:pPr>
          </w:p>
        </w:tc>
        <w:tc>
          <w:tcPr>
            <w:tcW w:w="240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Nevada</w:t>
            </w:r>
          </w:p>
        </w:tc>
        <w:tc>
          <w:tcPr>
            <w:tcW w:w="2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7990</w:t>
            </w:r>
          </w:p>
        </w:tc>
        <w:tc>
          <w:tcPr>
            <w:tcW w:w="14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20-1267401</w:t>
            </w:r>
          </w:p>
        </w:tc>
      </w:tr>
      <w:tr>
        <w:trPr>
          <w:trHeight w:val="149"/>
        </w:trPr>
        <w:tc>
          <w:tcPr>
            <w:tcW w:w="3140" w:type="dxa"/>
            <w:vAlign w:val="bottom"/>
            <w:gridSpan w:val="2"/>
          </w:tcPr>
          <w:p>
            <w:pPr>
              <w:spacing w:after="0" w:line="149" w:lineRule="exact"/>
              <w:rPr>
                <w:sz w:val="20"/>
                <w:szCs w:val="20"/>
                <w:color w:val="auto"/>
              </w:rPr>
            </w:pPr>
            <w:r>
              <w:rPr>
                <w:rFonts w:ascii="Arial" w:cs="Arial" w:eastAsia="Arial" w:hAnsi="Arial"/>
                <w:sz w:val="14"/>
                <w:szCs w:val="14"/>
                <w:color w:val="auto"/>
              </w:rPr>
              <w:t>Wynn Show Performers, LLC</w:t>
            </w:r>
          </w:p>
        </w:tc>
        <w:tc>
          <w:tcPr>
            <w:tcW w:w="2440" w:type="dxa"/>
            <w:vAlign w:val="bottom"/>
          </w:tcPr>
          <w:p>
            <w:pPr>
              <w:spacing w:after="0"/>
              <w:rPr>
                <w:sz w:val="12"/>
                <w:szCs w:val="12"/>
                <w:color w:val="auto"/>
              </w:rPr>
            </w:pPr>
          </w:p>
        </w:tc>
        <w:tc>
          <w:tcPr>
            <w:tcW w:w="240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Nevada</w:t>
            </w:r>
          </w:p>
        </w:tc>
        <w:tc>
          <w:tcPr>
            <w:tcW w:w="2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7990</w:t>
            </w:r>
          </w:p>
        </w:tc>
        <w:tc>
          <w:tcPr>
            <w:tcW w:w="14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20-0475541</w:t>
            </w:r>
          </w:p>
        </w:tc>
      </w:tr>
      <w:tr>
        <w:trPr>
          <w:trHeight w:val="149"/>
        </w:trPr>
        <w:tc>
          <w:tcPr>
            <w:tcW w:w="3140" w:type="dxa"/>
            <w:vAlign w:val="bottom"/>
            <w:gridSpan w:val="2"/>
          </w:tcPr>
          <w:p>
            <w:pPr>
              <w:spacing w:after="0" w:line="149" w:lineRule="exact"/>
              <w:rPr>
                <w:sz w:val="20"/>
                <w:szCs w:val="20"/>
                <w:color w:val="auto"/>
              </w:rPr>
            </w:pPr>
            <w:r>
              <w:rPr>
                <w:rFonts w:ascii="Arial" w:cs="Arial" w:eastAsia="Arial" w:hAnsi="Arial"/>
                <w:sz w:val="14"/>
                <w:szCs w:val="14"/>
                <w:color w:val="auto"/>
              </w:rPr>
              <w:t>Wynn Sunrise, LLC</w:t>
            </w:r>
          </w:p>
        </w:tc>
        <w:tc>
          <w:tcPr>
            <w:tcW w:w="2440" w:type="dxa"/>
            <w:vAlign w:val="bottom"/>
          </w:tcPr>
          <w:p>
            <w:pPr>
              <w:spacing w:after="0"/>
              <w:rPr>
                <w:sz w:val="12"/>
                <w:szCs w:val="12"/>
                <w:color w:val="auto"/>
              </w:rPr>
            </w:pPr>
          </w:p>
        </w:tc>
        <w:tc>
          <w:tcPr>
            <w:tcW w:w="240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Nevada</w:t>
            </w:r>
          </w:p>
        </w:tc>
        <w:tc>
          <w:tcPr>
            <w:tcW w:w="2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7990</w:t>
            </w:r>
          </w:p>
        </w:tc>
        <w:tc>
          <w:tcPr>
            <w:tcW w:w="14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20-1366675</w:t>
            </w:r>
          </w:p>
        </w:tc>
      </w:tr>
      <w:tr>
        <w:trPr>
          <w:trHeight w:val="172"/>
        </w:trPr>
        <w:tc>
          <w:tcPr>
            <w:tcW w:w="3140" w:type="dxa"/>
            <w:vAlign w:val="bottom"/>
            <w:gridSpan w:val="2"/>
          </w:tcPr>
          <w:p>
            <w:pPr>
              <w:spacing w:after="0"/>
              <w:rPr>
                <w:sz w:val="20"/>
                <w:szCs w:val="20"/>
                <w:color w:val="auto"/>
              </w:rPr>
            </w:pPr>
            <w:r>
              <w:rPr>
                <w:rFonts w:ascii="Arial" w:cs="Arial" w:eastAsia="Arial" w:hAnsi="Arial"/>
                <w:sz w:val="14"/>
                <w:szCs w:val="14"/>
                <w:color w:val="auto"/>
              </w:rPr>
              <w:t>Kevyn, LLC</w:t>
            </w:r>
          </w:p>
        </w:tc>
        <w:tc>
          <w:tcPr>
            <w:tcW w:w="2440" w:type="dxa"/>
            <w:vAlign w:val="bottom"/>
          </w:tcPr>
          <w:p>
            <w:pPr>
              <w:spacing w:after="0"/>
              <w:rPr>
                <w:sz w:val="14"/>
                <w:szCs w:val="14"/>
                <w:color w:val="auto"/>
              </w:rPr>
            </w:pPr>
          </w:p>
        </w:tc>
        <w:tc>
          <w:tcPr>
            <w:tcW w:w="2400" w:type="dxa"/>
            <w:vAlign w:val="bottom"/>
            <w:gridSpan w:val="2"/>
          </w:tcPr>
          <w:p>
            <w:pPr>
              <w:jc w:val="right"/>
              <w:ind w:right="780"/>
              <w:spacing w:after="0"/>
              <w:rPr>
                <w:sz w:val="20"/>
                <w:szCs w:val="20"/>
                <w:color w:val="auto"/>
              </w:rPr>
            </w:pPr>
            <w:r>
              <w:rPr>
                <w:rFonts w:ascii="Arial" w:cs="Arial" w:eastAsia="Arial" w:hAnsi="Arial"/>
                <w:sz w:val="14"/>
                <w:szCs w:val="14"/>
                <w:color w:val="auto"/>
              </w:rPr>
              <w:t>Nevada</w:t>
            </w:r>
          </w:p>
        </w:tc>
        <w:tc>
          <w:tcPr>
            <w:tcW w:w="2040" w:type="dxa"/>
            <w:vAlign w:val="bottom"/>
            <w:gridSpan w:val="2"/>
          </w:tcPr>
          <w:p>
            <w:pPr>
              <w:jc w:val="right"/>
              <w:ind w:right="400"/>
              <w:spacing w:after="0"/>
              <w:rPr>
                <w:sz w:val="20"/>
                <w:szCs w:val="20"/>
                <w:color w:val="auto"/>
              </w:rPr>
            </w:pPr>
            <w:r>
              <w:rPr>
                <w:rFonts w:ascii="Arial" w:cs="Arial" w:eastAsia="Arial" w:hAnsi="Arial"/>
                <w:sz w:val="14"/>
                <w:szCs w:val="14"/>
                <w:color w:val="auto"/>
              </w:rPr>
              <w:t>7990</w:t>
            </w:r>
          </w:p>
        </w:tc>
        <w:tc>
          <w:tcPr>
            <w:tcW w:w="1420" w:type="dxa"/>
            <w:vAlign w:val="bottom"/>
            <w:gridSpan w:val="3"/>
          </w:tcPr>
          <w:p>
            <w:pPr>
              <w:jc w:val="right"/>
              <w:ind w:right="20"/>
              <w:spacing w:after="0"/>
              <w:rPr>
                <w:sz w:val="20"/>
                <w:szCs w:val="20"/>
                <w:color w:val="auto"/>
              </w:rPr>
            </w:pPr>
            <w:r>
              <w:rPr>
                <w:rFonts w:ascii="Arial" w:cs="Arial" w:eastAsia="Arial" w:hAnsi="Arial"/>
                <w:sz w:val="14"/>
                <w:szCs w:val="14"/>
                <w:color w:val="auto"/>
              </w:rPr>
              <w:t>88-0464939</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89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86" w:lineRule="exact"/>
        <w:rPr>
          <w:sz w:val="24"/>
          <w:szCs w:val="24"/>
          <w:color w:val="auto"/>
        </w:rPr>
      </w:pPr>
    </w:p>
    <w:p>
      <w:pPr>
        <w:ind w:left="120" w:right="100" w:hanging="112"/>
        <w:spacing w:after="0" w:line="196" w:lineRule="auto"/>
        <w:tabs>
          <w:tab w:leader="none" w:pos="120"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Address and telephone number of principal executive offices are the same as Wynn Las Vegas, LLC. The 7 </w:t>
      </w:r>
      <w:r>
        <w:rPr>
          <w:rFonts w:ascii="Arial" w:cs="Arial" w:eastAsia="Arial" w:hAnsi="Arial"/>
          <w:sz w:val="22"/>
          <w:szCs w:val="22"/>
          <w:color w:val="auto"/>
          <w:vertAlign w:val="superscript"/>
        </w:rPr>
        <w:t>7</w:t>
      </w:r>
      <w:r>
        <w:rPr>
          <w:rFonts w:ascii="Arial" w:cs="Arial" w:eastAsia="Arial" w:hAnsi="Arial"/>
          <w:sz w:val="14"/>
          <w:szCs w:val="14"/>
          <w:color w:val="auto"/>
        </w:rPr>
        <w:t xml:space="preserve">/8% First Mortgage Notes due 2017 and the 7 </w:t>
      </w:r>
      <w:r>
        <w:rPr>
          <w:rFonts w:ascii="Arial" w:cs="Arial" w:eastAsia="Arial" w:hAnsi="Arial"/>
          <w:sz w:val="22"/>
          <w:szCs w:val="22"/>
          <w:color w:val="auto"/>
          <w:vertAlign w:val="superscript"/>
        </w:rPr>
        <w:t>7</w:t>
      </w:r>
      <w:r>
        <w:rPr>
          <w:rFonts w:ascii="Arial" w:cs="Arial" w:eastAsia="Arial" w:hAnsi="Arial"/>
          <w:sz w:val="14"/>
          <w:szCs w:val="14"/>
          <w:color w:val="auto"/>
        </w:rPr>
        <w:t>/8% First Mortgage Notes due 2020 were issued by Wynn Las Vegas, LLC and Wynn Las Vegas Capital Corp. The additional registrants are guarantors.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20"/>
        <w:spacing w:after="0" w:line="249" w:lineRule="auto"/>
        <w:rPr>
          <w:sz w:val="20"/>
          <w:szCs w:val="20"/>
          <w:color w:val="auto"/>
        </w:rPr>
      </w:pPr>
      <w:r>
        <w:rPr>
          <w:rFonts w:ascii="Arial" w:cs="Arial" w:eastAsia="Arial" w:hAnsi="Arial"/>
          <w:sz w:val="18"/>
          <w:szCs w:val="18"/>
          <w:b w:val="1"/>
          <w:bCs w:val="1"/>
          <w:color w:val="CC062A"/>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CC062A"/>
        </w:rPr>
        <w:t>Subject to completion, dated May 5, 2010</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Wynn Las Vegas, LLC</w:t>
      </w:r>
    </w:p>
    <w:p>
      <w:pPr>
        <w:spacing w:after="0" w:line="33"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Wynn Las Vegas Capital Corp.</w:t>
      </w:r>
    </w:p>
    <w:p>
      <w:pPr>
        <w:spacing w:after="0" w:line="55"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Offer to Exchange $500,000,000 of their outstanding</w:t>
      </w:r>
    </w:p>
    <w:p>
      <w:pPr>
        <w:spacing w:after="0" w:line="71" w:lineRule="exact"/>
        <w:rPr>
          <w:sz w:val="20"/>
          <w:szCs w:val="20"/>
          <w:color w:val="auto"/>
        </w:rPr>
      </w:pPr>
    </w:p>
    <w:p>
      <w:pPr>
        <w:ind w:left="3880" w:right="3840" w:firstLine="76"/>
        <w:spacing w:after="0" w:line="317" w:lineRule="auto"/>
        <w:tabs>
          <w:tab w:leader="none" w:pos="4131" w:val="left"/>
        </w:tabs>
        <w:numPr>
          <w:ilvl w:val="0"/>
          <w:numId w:val="4"/>
        </w:numPr>
        <w:rPr>
          <w:rFonts w:ascii="Arial" w:cs="Arial" w:eastAsia="Arial" w:hAnsi="Arial"/>
          <w:sz w:val="22"/>
          <w:szCs w:val="22"/>
          <w:b w:val="1"/>
          <w:bCs w:val="1"/>
          <w:color w:val="auto"/>
        </w:rPr>
      </w:pPr>
      <w:r>
        <w:rPr>
          <w:rFonts w:ascii="Arial" w:cs="Arial" w:eastAsia="Arial" w:hAnsi="Arial"/>
          <w:sz w:val="15"/>
          <w:szCs w:val="15"/>
          <w:b w:val="1"/>
          <w:bCs w:val="1"/>
          <w:color w:val="auto"/>
        </w:rPr>
        <w:t>7</w:t>
      </w:r>
      <w:r>
        <w:rPr>
          <w:rFonts w:ascii="Arial" w:cs="Arial" w:eastAsia="Arial" w:hAnsi="Arial"/>
          <w:sz w:val="21"/>
          <w:szCs w:val="21"/>
          <w:b w:val="1"/>
          <w:bCs w:val="1"/>
          <w:color w:val="auto"/>
        </w:rPr>
        <w:t>/</w:t>
      </w:r>
      <w:r>
        <w:rPr>
          <w:rFonts w:ascii="Arial" w:cs="Arial" w:eastAsia="Arial" w:hAnsi="Arial"/>
          <w:sz w:val="17"/>
          <w:szCs w:val="17"/>
          <w:b w:val="1"/>
          <w:bCs w:val="1"/>
          <w:color w:val="auto"/>
        </w:rPr>
        <w:t>8</w:t>
      </w:r>
      <w:r>
        <w:rPr>
          <w:rFonts w:ascii="Arial" w:cs="Arial" w:eastAsia="Arial" w:hAnsi="Arial"/>
          <w:sz w:val="21"/>
          <w:szCs w:val="21"/>
          <w:b w:val="1"/>
          <w:bCs w:val="1"/>
          <w:color w:val="auto"/>
        </w:rPr>
        <w:t>% First Mortgage Notes due 2017</w:t>
      </w:r>
      <w:r>
        <w:rPr>
          <w:rFonts w:ascii="Arial" w:cs="Arial" w:eastAsia="Arial" w:hAnsi="Arial"/>
          <w:sz w:val="15"/>
          <w:szCs w:val="15"/>
          <w:b w:val="1"/>
          <w:bCs w:val="1"/>
          <w:color w:val="auto"/>
        </w:rPr>
        <w:t xml:space="preserve"> </w:t>
      </w:r>
      <w:r>
        <w:rPr>
          <w:rFonts w:ascii="Arial" w:cs="Arial" w:eastAsia="Arial" w:hAnsi="Arial"/>
          <w:sz w:val="21"/>
          <w:szCs w:val="21"/>
          <w:b w:val="1"/>
          <w:bCs w:val="1"/>
          <w:color w:val="auto"/>
        </w:rPr>
        <w:t>(CUSIPs 983130 AL9 and U98347 AE4) for</w:t>
      </w:r>
    </w:p>
    <w:p>
      <w:pPr>
        <w:ind w:left="4140" w:hanging="184"/>
        <w:spacing w:after="0"/>
        <w:tabs>
          <w:tab w:leader="none" w:pos="4140" w:val="left"/>
        </w:tabs>
        <w:numPr>
          <w:ilvl w:val="0"/>
          <w:numId w:val="4"/>
        </w:numPr>
        <w:rPr>
          <w:rFonts w:ascii="Arial" w:cs="Arial" w:eastAsia="Arial" w:hAnsi="Arial"/>
          <w:sz w:val="22"/>
          <w:szCs w:val="22"/>
          <w:b w:val="1"/>
          <w:bCs w:val="1"/>
          <w:color w:val="auto"/>
        </w:rPr>
      </w:pPr>
      <w:r>
        <w:rPr>
          <w:rFonts w:ascii="Arial" w:cs="Arial" w:eastAsia="Arial" w:hAnsi="Arial"/>
          <w:sz w:val="15"/>
          <w:szCs w:val="15"/>
          <w:b w:val="1"/>
          <w:bCs w:val="1"/>
          <w:color w:val="auto"/>
        </w:rPr>
        <w:t>7</w:t>
      </w:r>
      <w:r>
        <w:rPr>
          <w:rFonts w:ascii="Arial" w:cs="Arial" w:eastAsia="Arial" w:hAnsi="Arial"/>
          <w:sz w:val="21"/>
          <w:szCs w:val="21"/>
          <w:b w:val="1"/>
          <w:bCs w:val="1"/>
          <w:color w:val="auto"/>
        </w:rPr>
        <w:t>/</w:t>
      </w:r>
      <w:r>
        <w:rPr>
          <w:rFonts w:ascii="Arial" w:cs="Arial" w:eastAsia="Arial" w:hAnsi="Arial"/>
          <w:sz w:val="17"/>
          <w:szCs w:val="17"/>
          <w:b w:val="1"/>
          <w:bCs w:val="1"/>
          <w:color w:val="auto"/>
        </w:rPr>
        <w:t>8</w:t>
      </w:r>
      <w:r>
        <w:rPr>
          <w:rFonts w:ascii="Arial" w:cs="Arial" w:eastAsia="Arial" w:hAnsi="Arial"/>
          <w:sz w:val="21"/>
          <w:szCs w:val="21"/>
          <w:b w:val="1"/>
          <w:bCs w:val="1"/>
          <w:color w:val="auto"/>
        </w:rPr>
        <w:t>% First Mortgage Notes due 2017</w:t>
      </w:r>
    </w:p>
    <w:p>
      <w:pPr>
        <w:spacing w:after="0" w:line="71" w:lineRule="exact"/>
        <w:rPr>
          <w:sz w:val="20"/>
          <w:szCs w:val="20"/>
          <w:color w:val="auto"/>
        </w:rPr>
      </w:pPr>
    </w:p>
    <w:p>
      <w:pPr>
        <w:ind w:left="4960"/>
        <w:spacing w:after="0"/>
        <w:tabs>
          <w:tab w:leader="none" w:pos="6360" w:val="left"/>
        </w:tabs>
        <w:rPr>
          <w:sz w:val="20"/>
          <w:szCs w:val="20"/>
          <w:color w:val="auto"/>
        </w:rPr>
      </w:pPr>
      <w:r>
        <w:rPr>
          <w:rFonts w:ascii="Arial" w:cs="Arial" w:eastAsia="Arial" w:hAnsi="Arial"/>
          <w:sz w:val="22"/>
          <w:szCs w:val="22"/>
          <w:b w:val="1"/>
          <w:bCs w:val="1"/>
          <w:color w:val="auto"/>
        </w:rPr>
        <w:t>(CUSIP</w:t>
      </w:r>
      <w:r>
        <w:rPr>
          <w:sz w:val="20"/>
          <w:szCs w:val="20"/>
          <w:color w:val="auto"/>
        </w:rPr>
        <w:tab/>
      </w:r>
      <w:r>
        <w:rPr>
          <w:rFonts w:ascii="Arial" w:cs="Arial" w:eastAsia="Arial" w:hAnsi="Arial"/>
          <w:sz w:val="22"/>
          <w:szCs w:val="22"/>
          <w:b w:val="1"/>
          <w:bCs w:val="1"/>
          <w:color w:val="auto"/>
        </w:rPr>
        <w:t>)</w:t>
      </w:r>
    </w:p>
    <w:p>
      <w:pPr>
        <w:spacing w:after="0" w:line="71"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And</w:t>
      </w:r>
    </w:p>
    <w:p>
      <w:pPr>
        <w:spacing w:after="0" w:line="71"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$382,010,000 of their outstanding</w:t>
      </w:r>
    </w:p>
    <w:p>
      <w:pPr>
        <w:spacing w:after="0" w:line="71" w:lineRule="exact"/>
        <w:rPr>
          <w:sz w:val="20"/>
          <w:szCs w:val="20"/>
          <w:color w:val="auto"/>
        </w:rPr>
      </w:pPr>
    </w:p>
    <w:p>
      <w:pPr>
        <w:ind w:left="3860" w:right="3820" w:firstLine="96"/>
        <w:spacing w:after="0" w:line="317" w:lineRule="auto"/>
        <w:tabs>
          <w:tab w:leader="none" w:pos="4135" w:val="left"/>
        </w:tabs>
        <w:numPr>
          <w:ilvl w:val="0"/>
          <w:numId w:val="5"/>
        </w:numPr>
        <w:rPr>
          <w:rFonts w:ascii="Arial" w:cs="Arial" w:eastAsia="Arial" w:hAnsi="Arial"/>
          <w:sz w:val="22"/>
          <w:szCs w:val="22"/>
          <w:b w:val="1"/>
          <w:bCs w:val="1"/>
          <w:color w:val="auto"/>
        </w:rPr>
      </w:pPr>
      <w:r>
        <w:rPr>
          <w:rFonts w:ascii="Arial" w:cs="Arial" w:eastAsia="Arial" w:hAnsi="Arial"/>
          <w:sz w:val="15"/>
          <w:szCs w:val="15"/>
          <w:b w:val="1"/>
          <w:bCs w:val="1"/>
          <w:color w:val="auto"/>
        </w:rPr>
        <w:t>7</w:t>
      </w:r>
      <w:r>
        <w:rPr>
          <w:rFonts w:ascii="Arial" w:cs="Arial" w:eastAsia="Arial" w:hAnsi="Arial"/>
          <w:sz w:val="21"/>
          <w:szCs w:val="21"/>
          <w:b w:val="1"/>
          <w:bCs w:val="1"/>
          <w:color w:val="auto"/>
        </w:rPr>
        <w:t>/</w:t>
      </w:r>
      <w:r>
        <w:rPr>
          <w:rFonts w:ascii="Arial" w:cs="Arial" w:eastAsia="Arial" w:hAnsi="Arial"/>
          <w:sz w:val="17"/>
          <w:szCs w:val="17"/>
          <w:b w:val="1"/>
          <w:bCs w:val="1"/>
          <w:color w:val="auto"/>
        </w:rPr>
        <w:t>8</w:t>
      </w:r>
      <w:r>
        <w:rPr>
          <w:rFonts w:ascii="Arial" w:cs="Arial" w:eastAsia="Arial" w:hAnsi="Arial"/>
          <w:sz w:val="21"/>
          <w:szCs w:val="21"/>
          <w:b w:val="1"/>
          <w:bCs w:val="1"/>
          <w:color w:val="auto"/>
        </w:rPr>
        <w:t>% First Mortgage Notes due 2020</w:t>
      </w:r>
      <w:r>
        <w:rPr>
          <w:rFonts w:ascii="Arial" w:cs="Arial" w:eastAsia="Arial" w:hAnsi="Arial"/>
          <w:sz w:val="15"/>
          <w:szCs w:val="15"/>
          <w:b w:val="1"/>
          <w:bCs w:val="1"/>
          <w:color w:val="auto"/>
        </w:rPr>
        <w:t xml:space="preserve"> </w:t>
      </w:r>
      <w:r>
        <w:rPr>
          <w:rFonts w:ascii="Arial" w:cs="Arial" w:eastAsia="Arial" w:hAnsi="Arial"/>
          <w:sz w:val="21"/>
          <w:szCs w:val="21"/>
          <w:b w:val="1"/>
          <w:bCs w:val="1"/>
          <w:color w:val="auto"/>
        </w:rPr>
        <w:t>(CUSIPs 983130 AM7 and U98347 AF1) for</w:t>
      </w:r>
    </w:p>
    <w:p>
      <w:pPr>
        <w:ind w:left="4140" w:hanging="184"/>
        <w:spacing w:after="0"/>
        <w:tabs>
          <w:tab w:leader="none" w:pos="4140" w:val="left"/>
        </w:tabs>
        <w:numPr>
          <w:ilvl w:val="0"/>
          <w:numId w:val="5"/>
        </w:numPr>
        <w:rPr>
          <w:rFonts w:ascii="Arial" w:cs="Arial" w:eastAsia="Arial" w:hAnsi="Arial"/>
          <w:sz w:val="22"/>
          <w:szCs w:val="22"/>
          <w:b w:val="1"/>
          <w:bCs w:val="1"/>
          <w:color w:val="auto"/>
        </w:rPr>
      </w:pPr>
      <w:r>
        <w:rPr>
          <w:rFonts w:ascii="Arial" w:cs="Arial" w:eastAsia="Arial" w:hAnsi="Arial"/>
          <w:sz w:val="15"/>
          <w:szCs w:val="15"/>
          <w:b w:val="1"/>
          <w:bCs w:val="1"/>
          <w:color w:val="auto"/>
        </w:rPr>
        <w:t>7</w:t>
      </w:r>
      <w:r>
        <w:rPr>
          <w:rFonts w:ascii="Arial" w:cs="Arial" w:eastAsia="Arial" w:hAnsi="Arial"/>
          <w:sz w:val="21"/>
          <w:szCs w:val="21"/>
          <w:b w:val="1"/>
          <w:bCs w:val="1"/>
          <w:color w:val="auto"/>
        </w:rPr>
        <w:t>/</w:t>
      </w:r>
      <w:r>
        <w:rPr>
          <w:rFonts w:ascii="Arial" w:cs="Arial" w:eastAsia="Arial" w:hAnsi="Arial"/>
          <w:sz w:val="17"/>
          <w:szCs w:val="17"/>
          <w:b w:val="1"/>
          <w:bCs w:val="1"/>
          <w:color w:val="auto"/>
        </w:rPr>
        <w:t>8</w:t>
      </w:r>
      <w:r>
        <w:rPr>
          <w:rFonts w:ascii="Arial" w:cs="Arial" w:eastAsia="Arial" w:hAnsi="Arial"/>
          <w:sz w:val="21"/>
          <w:szCs w:val="21"/>
          <w:b w:val="1"/>
          <w:bCs w:val="1"/>
          <w:color w:val="auto"/>
        </w:rPr>
        <w:t>% First Mortgage Notes due 2020</w:t>
      </w:r>
    </w:p>
    <w:p>
      <w:pPr>
        <w:spacing w:after="0" w:line="71" w:lineRule="exact"/>
        <w:rPr>
          <w:rFonts w:ascii="Arial" w:cs="Arial" w:eastAsia="Arial" w:hAnsi="Arial"/>
          <w:sz w:val="22"/>
          <w:szCs w:val="22"/>
          <w:b w:val="1"/>
          <w:bCs w:val="1"/>
          <w:color w:val="auto"/>
        </w:rPr>
      </w:pPr>
    </w:p>
    <w:p>
      <w:pPr>
        <w:ind w:left="49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(CUSIP)</w:t>
      </w:r>
    </w:p>
    <w:p>
      <w:pPr>
        <w:spacing w:after="0" w:line="71" w:lineRule="exact"/>
        <w:rPr>
          <w:sz w:val="20"/>
          <w:szCs w:val="20"/>
          <w:color w:val="auto"/>
        </w:rPr>
      </w:pPr>
    </w:p>
    <w:p>
      <w:pPr>
        <w:ind w:left="2460"/>
        <w:spacing w:after="0"/>
        <w:rPr>
          <w:sz w:val="20"/>
          <w:szCs w:val="20"/>
          <w:color w:val="auto"/>
        </w:rPr>
      </w:pPr>
      <w:r>
        <w:rPr>
          <w:rFonts w:ascii="Arial" w:cs="Arial" w:eastAsia="Arial" w:hAnsi="Arial"/>
          <w:sz w:val="22"/>
          <w:szCs w:val="22"/>
          <w:b w:val="1"/>
          <w:bCs w:val="1"/>
          <w:color w:val="auto"/>
        </w:rPr>
        <w:t>that have been registered under the Securities Act of 1933, as amended</w:t>
      </w:r>
    </w:p>
    <w:p>
      <w:pPr>
        <w:spacing w:after="0" w:line="86" w:lineRule="exact"/>
        <w:rPr>
          <w:sz w:val="20"/>
          <w:szCs w:val="20"/>
          <w:color w:val="auto"/>
        </w:rPr>
      </w:pPr>
    </w:p>
    <w:p>
      <w:pPr>
        <w:ind w:left="360"/>
        <w:spacing w:after="0"/>
        <w:tabs>
          <w:tab w:leader="none" w:pos="4920" w:val="left"/>
        </w:tabs>
        <w:rPr>
          <w:sz w:val="20"/>
          <w:szCs w:val="20"/>
          <w:color w:val="auto"/>
        </w:rPr>
      </w:pPr>
      <w:r>
        <w:rPr>
          <w:rFonts w:ascii="Arial" w:cs="Arial" w:eastAsia="Arial" w:hAnsi="Arial"/>
          <w:sz w:val="14"/>
          <w:szCs w:val="14"/>
          <w:b w:val="1"/>
          <w:bCs w:val="1"/>
          <w:color w:val="auto"/>
        </w:rPr>
        <w:t>The exchange offer will expire at 5:00 p.m., New York City time, on</w:t>
      </w:r>
      <w:r>
        <w:rPr>
          <w:sz w:val="20"/>
          <w:szCs w:val="20"/>
          <w:color w:val="auto"/>
        </w:rPr>
        <w:tab/>
      </w:r>
      <w:r>
        <w:rPr>
          <w:rFonts w:ascii="Arial" w:cs="Arial" w:eastAsia="Arial" w:hAnsi="Arial"/>
          <w:sz w:val="11"/>
          <w:szCs w:val="11"/>
          <w:b w:val="1"/>
          <w:bCs w:val="1"/>
          <w:color w:val="auto"/>
        </w:rPr>
        <w:t>, 2010, unless we extend the exchange offer.</w:t>
      </w:r>
    </w:p>
    <w:p>
      <w:pPr>
        <w:spacing w:after="0" w:line="71" w:lineRule="exact"/>
        <w:rPr>
          <w:sz w:val="20"/>
          <w:szCs w:val="20"/>
          <w:color w:val="auto"/>
        </w:rPr>
      </w:pPr>
    </w:p>
    <w:p>
      <w:pPr>
        <w:ind w:firstLine="342"/>
        <w:spacing w:after="0" w:line="189" w:lineRule="auto"/>
        <w:rPr>
          <w:sz w:val="20"/>
          <w:szCs w:val="20"/>
          <w:color w:val="auto"/>
        </w:rPr>
      </w:pPr>
      <w:r>
        <w:rPr>
          <w:rFonts w:ascii="Arial" w:cs="Arial" w:eastAsia="Arial" w:hAnsi="Arial"/>
          <w:sz w:val="13"/>
          <w:szCs w:val="13"/>
          <w:color w:val="auto"/>
        </w:rPr>
        <w:t xml:space="preserve">We refer to the registered notes offered in this exchange offer as the “new 2017 notes” and the “new 2020 notes” (collectively, the “new notes”). We refer to all outstanding $500,000,000 aggregate principal amount of our 7 </w:t>
      </w:r>
      <w:r>
        <w:rPr>
          <w:rFonts w:ascii="Arial" w:cs="Arial" w:eastAsia="Arial" w:hAnsi="Arial"/>
          <w:sz w:val="21"/>
          <w:szCs w:val="21"/>
          <w:color w:val="auto"/>
          <w:vertAlign w:val="superscript"/>
        </w:rPr>
        <w:t>7</w:t>
      </w:r>
      <w:r>
        <w:rPr>
          <w:rFonts w:ascii="Arial" w:cs="Arial" w:eastAsia="Arial" w:hAnsi="Arial"/>
          <w:sz w:val="13"/>
          <w:szCs w:val="13"/>
          <w:color w:val="auto"/>
        </w:rPr>
        <w:t xml:space="preserve">/8% first mortgage notes due 2017 issued on October 19, 2009 as the “old 2017 notes” and all outstanding $382,010,000 aggregate principal amount of our 7 </w:t>
      </w:r>
      <w:r>
        <w:rPr>
          <w:rFonts w:ascii="Arial" w:cs="Arial" w:eastAsia="Arial" w:hAnsi="Arial"/>
          <w:sz w:val="21"/>
          <w:szCs w:val="21"/>
          <w:color w:val="auto"/>
          <w:vertAlign w:val="superscript"/>
        </w:rPr>
        <w:t>7</w:t>
      </w:r>
      <w:r>
        <w:rPr>
          <w:rFonts w:ascii="Arial" w:cs="Arial" w:eastAsia="Arial" w:hAnsi="Arial"/>
          <w:sz w:val="13"/>
          <w:szCs w:val="13"/>
          <w:color w:val="auto"/>
        </w:rPr>
        <w:t>/8% first mortgage notes due 2020 issued on April 28, 2010 as the “old 2020 notes” (collectively, the “old notes”). The old 2017 notes were issued under the indenture, dated as of October 19, 2009, and the old 2020 notes were issued under the indenture, dated as of April 28, 2010.</w:t>
      </w:r>
    </w:p>
    <w:p>
      <w:pPr>
        <w:spacing w:after="0" w:line="41" w:lineRule="exact"/>
        <w:rPr>
          <w:sz w:val="20"/>
          <w:szCs w:val="20"/>
          <w:color w:val="auto"/>
        </w:rPr>
      </w:pPr>
    </w:p>
    <w:p>
      <w:pPr>
        <w:ind w:right="20" w:firstLine="342"/>
        <w:spacing w:after="0" w:line="196" w:lineRule="auto"/>
        <w:rPr>
          <w:sz w:val="20"/>
          <w:szCs w:val="20"/>
          <w:color w:val="auto"/>
        </w:rPr>
      </w:pPr>
      <w:r>
        <w:rPr>
          <w:rFonts w:ascii="Arial" w:cs="Arial" w:eastAsia="Arial" w:hAnsi="Arial"/>
          <w:sz w:val="14"/>
          <w:szCs w:val="14"/>
          <w:color w:val="auto"/>
        </w:rPr>
        <w:t xml:space="preserve">The old notes are, and, upon consummation of the exchange offer, the new notes will be, pari passu with our outstanding 6 </w:t>
      </w:r>
      <w:r>
        <w:rPr>
          <w:rFonts w:ascii="Arial" w:cs="Arial" w:eastAsia="Arial" w:hAnsi="Arial"/>
          <w:sz w:val="22"/>
          <w:szCs w:val="22"/>
          <w:color w:val="auto"/>
          <w:vertAlign w:val="superscript"/>
        </w:rPr>
        <w:t>5</w:t>
      </w:r>
      <w:r>
        <w:rPr>
          <w:rFonts w:ascii="Arial" w:cs="Arial" w:eastAsia="Arial" w:hAnsi="Arial"/>
          <w:sz w:val="14"/>
          <w:szCs w:val="14"/>
          <w:color w:val="auto"/>
        </w:rPr>
        <w:t>/8% first mortgage notes due 2014 (the “2014 notes”) and our obligations under our credit facilities.</w:t>
      </w:r>
    </w:p>
    <w:p>
      <w:pPr>
        <w:spacing w:after="0" w:line="5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Terms of the exchange offer:</w:t>
      </w:r>
    </w:p>
    <w:p>
      <w:pPr>
        <w:spacing w:after="0" w:line="55" w:lineRule="exact"/>
        <w:rPr>
          <w:sz w:val="20"/>
          <w:szCs w:val="20"/>
          <w:color w:val="auto"/>
        </w:rPr>
      </w:pPr>
    </w:p>
    <w:p>
      <w:pPr>
        <w:ind w:left="800" w:right="40" w:hanging="454"/>
        <w:spacing w:after="0" w:line="239" w:lineRule="auto"/>
        <w:tabs>
          <w:tab w:leader="none" w:pos="800" w:val="left"/>
        </w:tabs>
        <w:numPr>
          <w:ilvl w:val="0"/>
          <w:numId w:val="6"/>
        </w:numPr>
        <w:rPr>
          <w:rFonts w:ascii="Arial" w:cs="Arial" w:eastAsia="Arial" w:hAnsi="Arial"/>
          <w:sz w:val="14"/>
          <w:szCs w:val="14"/>
          <w:color w:val="auto"/>
        </w:rPr>
      </w:pPr>
      <w:r>
        <w:rPr>
          <w:rFonts w:ascii="Arial" w:cs="Arial" w:eastAsia="Arial" w:hAnsi="Arial"/>
          <w:sz w:val="14"/>
          <w:szCs w:val="14"/>
          <w:color w:val="auto"/>
        </w:rPr>
        <w:t>We will exchange the new 2017 notes for all outstanding old 2017 notes that are validly tendered pursuant to the exchange offer and not properly withdrawn prior to the expiration of the exchange offer.</w:t>
      </w:r>
    </w:p>
    <w:p>
      <w:pPr>
        <w:spacing w:after="0" w:line="57" w:lineRule="exact"/>
        <w:rPr>
          <w:rFonts w:ascii="Arial" w:cs="Arial" w:eastAsia="Arial" w:hAnsi="Arial"/>
          <w:sz w:val="14"/>
          <w:szCs w:val="14"/>
          <w:color w:val="auto"/>
        </w:rPr>
      </w:pPr>
    </w:p>
    <w:p>
      <w:pPr>
        <w:ind w:left="800" w:right="320" w:hanging="454"/>
        <w:spacing w:after="0" w:line="239" w:lineRule="auto"/>
        <w:tabs>
          <w:tab w:leader="none" w:pos="800" w:val="left"/>
        </w:tabs>
        <w:numPr>
          <w:ilvl w:val="0"/>
          <w:numId w:val="6"/>
        </w:numPr>
        <w:rPr>
          <w:rFonts w:ascii="Arial" w:cs="Arial" w:eastAsia="Arial" w:hAnsi="Arial"/>
          <w:sz w:val="14"/>
          <w:szCs w:val="14"/>
          <w:color w:val="auto"/>
        </w:rPr>
      </w:pPr>
      <w:r>
        <w:rPr>
          <w:rFonts w:ascii="Arial" w:cs="Arial" w:eastAsia="Arial" w:hAnsi="Arial"/>
          <w:sz w:val="14"/>
          <w:szCs w:val="14"/>
          <w:color w:val="auto"/>
        </w:rPr>
        <w:t>We will also exchange the new 2020 notes for all outstanding old 2020 notes that are validly tendered pursuant to the exchange offer and not properly withdrawn prior to the expiration of the exchange offer.</w:t>
      </w:r>
    </w:p>
    <w:p>
      <w:pPr>
        <w:spacing w:after="0" w:line="57" w:lineRule="exact"/>
        <w:rPr>
          <w:rFonts w:ascii="Arial" w:cs="Arial" w:eastAsia="Arial" w:hAnsi="Arial"/>
          <w:sz w:val="14"/>
          <w:szCs w:val="14"/>
          <w:color w:val="auto"/>
        </w:rPr>
      </w:pPr>
    </w:p>
    <w:p>
      <w:pPr>
        <w:ind w:left="800" w:hanging="454"/>
        <w:spacing w:after="0"/>
        <w:tabs>
          <w:tab w:leader="none" w:pos="800" w:val="left"/>
        </w:tabs>
        <w:numPr>
          <w:ilvl w:val="0"/>
          <w:numId w:val="6"/>
        </w:numPr>
        <w:rPr>
          <w:rFonts w:ascii="Arial" w:cs="Arial" w:eastAsia="Arial" w:hAnsi="Arial"/>
          <w:sz w:val="14"/>
          <w:szCs w:val="14"/>
          <w:color w:val="auto"/>
        </w:rPr>
      </w:pPr>
      <w:r>
        <w:rPr>
          <w:rFonts w:ascii="Arial" w:cs="Arial" w:eastAsia="Arial" w:hAnsi="Arial"/>
          <w:sz w:val="14"/>
          <w:szCs w:val="14"/>
          <w:color w:val="auto"/>
        </w:rPr>
        <w:t>You may withdraw tenders of old notes at any time prior to the expiration of the exchange offer.</w:t>
      </w:r>
    </w:p>
    <w:p>
      <w:pPr>
        <w:spacing w:after="0" w:line="68" w:lineRule="exact"/>
        <w:rPr>
          <w:rFonts w:ascii="Arial" w:cs="Arial" w:eastAsia="Arial" w:hAnsi="Arial"/>
          <w:sz w:val="14"/>
          <w:szCs w:val="14"/>
          <w:color w:val="auto"/>
        </w:rPr>
      </w:pPr>
    </w:p>
    <w:p>
      <w:pPr>
        <w:ind w:left="800" w:right="120" w:hanging="454"/>
        <w:spacing w:after="0" w:line="239" w:lineRule="auto"/>
        <w:tabs>
          <w:tab w:leader="none" w:pos="80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terms of the new 2017 notes are substantially identical to those of the old 2017 notes, except that the transfer restrictions, registration rights and liquidated damages provisions relating to the old 2017 notes will not apply to the new 2017 notes.</w:t>
      </w:r>
    </w:p>
    <w:p>
      <w:pPr>
        <w:spacing w:after="0" w:line="57" w:lineRule="exact"/>
        <w:rPr>
          <w:rFonts w:ascii="Arial" w:cs="Arial" w:eastAsia="Arial" w:hAnsi="Arial"/>
          <w:sz w:val="14"/>
          <w:szCs w:val="14"/>
          <w:color w:val="auto"/>
        </w:rPr>
      </w:pPr>
    </w:p>
    <w:p>
      <w:pPr>
        <w:ind w:left="800" w:right="120" w:hanging="454"/>
        <w:spacing w:after="0" w:line="239" w:lineRule="auto"/>
        <w:tabs>
          <w:tab w:leader="none" w:pos="80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terms of the new 2020 notes are substantially identical to those of the old 2020 notes, except that the transfer restrictions, registration rights and liquidated damages provisions relating to the old 2020 notes will not apply to the new 2020 notes.</w:t>
      </w:r>
    </w:p>
    <w:p>
      <w:pPr>
        <w:spacing w:after="0" w:line="57" w:lineRule="exact"/>
        <w:rPr>
          <w:rFonts w:ascii="Arial" w:cs="Arial" w:eastAsia="Arial" w:hAnsi="Arial"/>
          <w:sz w:val="14"/>
          <w:szCs w:val="14"/>
          <w:color w:val="auto"/>
        </w:rPr>
      </w:pPr>
    </w:p>
    <w:p>
      <w:pPr>
        <w:ind w:left="800" w:right="320" w:hanging="454"/>
        <w:spacing w:after="0" w:line="239" w:lineRule="auto"/>
        <w:tabs>
          <w:tab w:leader="none" w:pos="80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exchange of old notes for new notes will not be a taxable transaction for United States federal income tax purposes, but you should see the discussion under the heading “Material United States Federal Income Tax Considerations” for more information.</w:t>
      </w:r>
    </w:p>
    <w:p>
      <w:pPr>
        <w:spacing w:after="0" w:line="57" w:lineRule="exact"/>
        <w:rPr>
          <w:rFonts w:ascii="Arial" w:cs="Arial" w:eastAsia="Arial" w:hAnsi="Arial"/>
          <w:sz w:val="14"/>
          <w:szCs w:val="14"/>
          <w:color w:val="auto"/>
        </w:rPr>
      </w:pPr>
    </w:p>
    <w:p>
      <w:pPr>
        <w:ind w:left="800" w:hanging="454"/>
        <w:spacing w:after="0"/>
        <w:tabs>
          <w:tab w:leader="none" w:pos="800" w:val="left"/>
        </w:tabs>
        <w:numPr>
          <w:ilvl w:val="0"/>
          <w:numId w:val="6"/>
        </w:numPr>
        <w:rPr>
          <w:rFonts w:ascii="Arial" w:cs="Arial" w:eastAsia="Arial" w:hAnsi="Arial"/>
          <w:sz w:val="14"/>
          <w:szCs w:val="14"/>
          <w:color w:val="auto"/>
        </w:rPr>
      </w:pPr>
      <w:r>
        <w:rPr>
          <w:rFonts w:ascii="Arial" w:cs="Arial" w:eastAsia="Arial" w:hAnsi="Arial"/>
          <w:sz w:val="14"/>
          <w:szCs w:val="14"/>
          <w:color w:val="auto"/>
        </w:rPr>
        <w:t>We will not receive any cash proceeds from the exchange offer.</w:t>
      </w:r>
    </w:p>
    <w:p>
      <w:pPr>
        <w:spacing w:after="0" w:line="68" w:lineRule="exact"/>
        <w:rPr>
          <w:rFonts w:ascii="Arial" w:cs="Arial" w:eastAsia="Arial" w:hAnsi="Arial"/>
          <w:sz w:val="14"/>
          <w:szCs w:val="14"/>
          <w:color w:val="auto"/>
        </w:rPr>
      </w:pPr>
    </w:p>
    <w:p>
      <w:pPr>
        <w:ind w:left="800" w:right="140" w:hanging="454"/>
        <w:spacing w:after="0" w:line="239" w:lineRule="auto"/>
        <w:tabs>
          <w:tab w:leader="none" w:pos="800" w:val="left"/>
        </w:tabs>
        <w:numPr>
          <w:ilvl w:val="0"/>
          <w:numId w:val="6"/>
        </w:numPr>
        <w:rPr>
          <w:rFonts w:ascii="Arial" w:cs="Arial" w:eastAsia="Arial" w:hAnsi="Arial"/>
          <w:sz w:val="14"/>
          <w:szCs w:val="14"/>
          <w:color w:val="auto"/>
        </w:rPr>
      </w:pPr>
      <w:r>
        <w:rPr>
          <w:rFonts w:ascii="Arial" w:cs="Arial" w:eastAsia="Arial" w:hAnsi="Arial"/>
          <w:sz w:val="14"/>
          <w:szCs w:val="14"/>
          <w:color w:val="auto"/>
        </w:rPr>
        <w:t>We issued the old notes in transactions not requiring registration under the Securities Act of 1933, as amended (the “Securities Act”), and as a result, transfer of the old notes is restricted. We are making the exchange offer to satisfy your registration rights as a holder of old notes.</w:t>
      </w:r>
    </w:p>
    <w:p>
      <w:pPr>
        <w:spacing w:after="0" w:line="5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There is no established trading market for the new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110490</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4" w:lineRule="exact"/>
        <w:rPr>
          <w:sz w:val="20"/>
          <w:szCs w:val="20"/>
          <w:color w:val="auto"/>
        </w:rPr>
      </w:pPr>
    </w:p>
    <w:p>
      <w:pPr>
        <w:ind w:left="36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See “</w:t>
      </w:r>
      <w:hyperlink w:anchor="page22">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18 for a discussion of risks you should consider prior to tendering your old notes for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132715</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2" w:lineRule="exact"/>
        <w:rPr>
          <w:sz w:val="20"/>
          <w:szCs w:val="20"/>
          <w:color w:val="auto"/>
        </w:rPr>
      </w:pPr>
    </w:p>
    <w:p>
      <w:pPr>
        <w:ind w:right="400" w:firstLine="342"/>
        <w:spacing w:after="0" w:line="239" w:lineRule="auto"/>
        <w:rPr>
          <w:sz w:val="20"/>
          <w:szCs w:val="20"/>
          <w:color w:val="auto"/>
        </w:rPr>
      </w:pPr>
      <w:r>
        <w:rPr>
          <w:rFonts w:ascii="Arial" w:cs="Arial" w:eastAsia="Arial" w:hAnsi="Arial"/>
          <w:sz w:val="14"/>
          <w:szCs w:val="14"/>
          <w:i w:val="1"/>
          <w:iCs w:val="1"/>
          <w:color w:val="auto"/>
        </w:rPr>
        <w:t>Neither the Securities and Exchange Commission (the “SEC”) nor any state securities commission has approved or disapproved of these securities or passed upon the adequacy or accuracy of this prospectus. Any representation to the contrary is a criminal offense.</w:t>
      </w:r>
    </w:p>
    <w:p>
      <w:pPr>
        <w:spacing w:after="0" w:line="58" w:lineRule="exact"/>
        <w:rPr>
          <w:sz w:val="20"/>
          <w:szCs w:val="20"/>
          <w:color w:val="auto"/>
        </w:rPr>
      </w:pPr>
    </w:p>
    <w:p>
      <w:pPr>
        <w:ind w:right="520" w:firstLine="342"/>
        <w:spacing w:after="0" w:line="239" w:lineRule="auto"/>
        <w:rPr>
          <w:sz w:val="20"/>
          <w:szCs w:val="20"/>
          <w:color w:val="auto"/>
        </w:rPr>
      </w:pPr>
      <w:r>
        <w:rPr>
          <w:rFonts w:ascii="Arial" w:cs="Arial" w:eastAsia="Arial" w:hAnsi="Arial"/>
          <w:sz w:val="14"/>
          <w:szCs w:val="14"/>
          <w:i w:val="1"/>
          <w:iCs w:val="1"/>
          <w:color w:val="auto"/>
        </w:rPr>
        <w:t>Neither the Nevada Gaming Commission, the Nevada State Gaming Control Board nor any other state gaming commission or gaming authority has passed upon the accuracy or adequacy of this prospectus or the investment merits of the new notes being offered by this prospectus. Any representation to the contrary is unlawful.</w:t>
      </w:r>
    </w:p>
    <w:p>
      <w:pPr>
        <w:spacing w:after="0" w:line="58" w:lineRule="exact"/>
        <w:rPr>
          <w:sz w:val="20"/>
          <w:szCs w:val="20"/>
          <w:color w:val="auto"/>
        </w:rPr>
      </w:pPr>
    </w:p>
    <w:tbl>
      <w:tblPr>
        <w:tblLayout w:type="fixed"/>
        <w:tblInd w:w="4400" w:type="dxa"/>
        <w:tblCellMar>
          <w:top w:w="0" w:type="dxa"/>
          <w:left w:w="0" w:type="dxa"/>
          <w:bottom w:w="0" w:type="dxa"/>
          <w:right w:w="0" w:type="dxa"/>
        </w:tblCellMar>
      </w:tblPr>
      <w:tr>
        <w:trPr>
          <w:trHeight w:val="172"/>
        </w:trPr>
        <w:tc>
          <w:tcPr>
            <w:tcW w:w="1940" w:type="dxa"/>
            <w:vAlign w:val="bottom"/>
          </w:tcPr>
          <w:p>
            <w:pPr>
              <w:spacing w:after="0"/>
              <w:rPr>
                <w:sz w:val="20"/>
                <w:szCs w:val="20"/>
                <w:color w:val="auto"/>
              </w:rPr>
            </w:pPr>
            <w:r>
              <w:rPr>
                <w:rFonts w:ascii="Arial" w:cs="Arial" w:eastAsia="Arial" w:hAnsi="Arial"/>
                <w:sz w:val="14"/>
                <w:szCs w:val="14"/>
                <w:color w:val="auto"/>
              </w:rPr>
              <w:t>The date of this prospectus is</w:t>
            </w:r>
          </w:p>
        </w:tc>
        <w:tc>
          <w:tcPr>
            <w:tcW w:w="680" w:type="dxa"/>
            <w:vAlign w:val="bottom"/>
          </w:tcPr>
          <w:p>
            <w:pPr>
              <w:jc w:val="right"/>
              <w:spacing w:after="0"/>
              <w:rPr>
                <w:sz w:val="20"/>
                <w:szCs w:val="20"/>
                <w:color w:val="auto"/>
              </w:rPr>
            </w:pPr>
            <w:r>
              <w:rPr>
                <w:rFonts w:ascii="Arial" w:cs="Arial" w:eastAsia="Arial" w:hAnsi="Arial"/>
                <w:sz w:val="14"/>
                <w:szCs w:val="14"/>
                <w:color w:val="auto"/>
              </w:rPr>
              <w:t>, 2010</w:t>
            </w:r>
          </w:p>
        </w:tc>
      </w:tr>
    </w:tbl>
    <w:p>
      <w:pPr>
        <w:sectPr>
          <w:pgSz w:w="11900" w:h="16838" w:orient="portrait"/>
          <w:cols w:equalWidth="0" w:num="1">
            <w:col w:w="11380"/>
          </w:cols>
          <w:pgMar w:left="240" w:top="459" w:right="2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You should rely only on the information contained in this prospectus. We have not authorized any other person to provide you with different information. If anyone provides you with different or inconsistent information, you should not rely on it. We are not making an offer to exchange the new notes in any jurisdiction where it is not permitted. You should assume that the information appearing in this prospectus is accurate only as of the date of the applicable document. Our business, financial condition, results of operations and prospects may have changed since that date.</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TABLE OF CONTENTS</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060" w:type="dxa"/>
            <w:vAlign w:val="bottom"/>
            <w:gridSpan w:val="24"/>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Industry Data</w:t>
              </w:r>
            </w:hyperlink>
          </w:p>
        </w:tc>
        <w:tc>
          <w:tcPr>
            <w:tcW w:w="3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11060" w:type="dxa"/>
            <w:vAlign w:val="bottom"/>
            <w:gridSpan w:val="24"/>
            <w:vMerge w:val="continue"/>
          </w:tcPr>
          <w:p>
            <w:pPr>
              <w:spacing w:after="0"/>
              <w:rPr>
                <w:sz w:val="14"/>
                <w:szCs w:val="14"/>
                <w:color w:val="auto"/>
              </w:rPr>
            </w:pPr>
          </w:p>
        </w:tc>
        <w:tc>
          <w:tcPr>
            <w:tcW w:w="36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Special Note Regarding Forward-Looking Statements</w:t>
              </w:r>
            </w:hyperlink>
          </w:p>
        </w:tc>
        <w:tc>
          <w:tcPr>
            <w:tcW w:w="7260" w:type="dxa"/>
            <w:vAlign w:val="bottom"/>
            <w:gridSpan w:val="5"/>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196"/>
        </w:trPr>
        <w:tc>
          <w:tcPr>
            <w:tcW w:w="70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Summary</w:t>
              </w:r>
            </w:hyperlink>
          </w:p>
        </w:tc>
        <w:tc>
          <w:tcPr>
            <w:tcW w:w="10360" w:type="dxa"/>
            <w:vAlign w:val="bottom"/>
            <w:gridSpan w:val="21"/>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22">
              <w:r>
                <w:rPr>
                  <w:rFonts w:ascii="Arial" w:cs="Arial" w:eastAsia="Arial" w:hAnsi="Arial"/>
                  <w:sz w:val="18"/>
                  <w:szCs w:val="18"/>
                  <w:color w:val="0000EE"/>
                  <w:w w:val="87"/>
                </w:rPr>
                <w:t>Risk Factors</w:t>
              </w:r>
            </w:hyperlink>
          </w:p>
        </w:tc>
        <w:tc>
          <w:tcPr>
            <w:tcW w:w="10160" w:type="dxa"/>
            <w:vAlign w:val="bottom"/>
            <w:gridSpan w:val="20"/>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11060" w:type="dxa"/>
            <w:vAlign w:val="bottom"/>
            <w:gridSpan w:val="24"/>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Use of Proceeds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24"/>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Ratio of Earnings to Fixed Charges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43">
              <w:r>
                <w:rPr>
                  <w:rFonts w:ascii="Arial" w:cs="Arial" w:eastAsia="Arial" w:hAnsi="Arial"/>
                  <w:sz w:val="18"/>
                  <w:szCs w:val="18"/>
                  <w:color w:val="0000EE"/>
                  <w:w w:val="90"/>
                </w:rPr>
                <w:t>Capitalization</w:t>
              </w:r>
            </w:hyperlink>
          </w:p>
        </w:tc>
        <w:tc>
          <w:tcPr>
            <w:tcW w:w="1480" w:type="dxa"/>
            <w:vAlign w:val="bottom"/>
            <w:tcBorders>
              <w:top w:val="single" w:sz="8" w:color="0000EE"/>
            </w:tcBorders>
            <w:gridSpan w:val="5"/>
          </w:tcPr>
          <w:p>
            <w:pPr>
              <w:spacing w:after="0"/>
              <w:rPr>
                <w:sz w:val="17"/>
                <w:szCs w:val="17"/>
                <w:color w:val="auto"/>
              </w:rPr>
            </w:pPr>
          </w:p>
        </w:tc>
        <w:tc>
          <w:tcPr>
            <w:tcW w:w="8580" w:type="dxa"/>
            <w:vAlign w:val="bottom"/>
            <w:gridSpan w:val="1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11060" w:type="dxa"/>
            <w:vAlign w:val="bottom"/>
            <w:gridSpan w:val="24"/>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Selected Consolidated Financial Data</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24"/>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Management’s Discussion and Analysis of Financial Condition and Results of Operations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6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4"/>
              </w:rPr>
            </w:pPr>
            <w:hyperlink w:anchor="page61">
              <w:r>
                <w:rPr>
                  <w:rFonts w:ascii="Arial" w:cs="Arial" w:eastAsia="Arial" w:hAnsi="Arial"/>
                  <w:sz w:val="18"/>
                  <w:szCs w:val="18"/>
                  <w:color w:val="0000EE"/>
                  <w:w w:val="84"/>
                </w:rPr>
                <w:t>Business</w:t>
              </w:r>
            </w:hyperlink>
          </w:p>
        </w:tc>
        <w:tc>
          <w:tcPr>
            <w:tcW w:w="5660" w:type="dxa"/>
            <w:vAlign w:val="bottom"/>
            <w:tcBorders>
              <w:top w:val="single" w:sz="8" w:color="0000EE"/>
            </w:tcBorders>
            <w:gridSpan w:val="21"/>
          </w:tcPr>
          <w:p>
            <w:pPr>
              <w:spacing w:after="0"/>
              <w:rPr>
                <w:sz w:val="17"/>
                <w:szCs w:val="17"/>
                <w:color w:val="auto"/>
              </w:rPr>
            </w:pPr>
          </w:p>
        </w:tc>
        <w:tc>
          <w:tcPr>
            <w:tcW w:w="476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11060" w:type="dxa"/>
            <w:vAlign w:val="bottom"/>
            <w:gridSpan w:val="24"/>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Management</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24"/>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Director and Executive Officer Compensation and Other Matters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8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w:anchor="page92">
              <w:r>
                <w:rPr>
                  <w:rFonts w:ascii="Arial" w:cs="Arial" w:eastAsia="Arial" w:hAnsi="Arial"/>
                  <w:sz w:val="18"/>
                  <w:szCs w:val="18"/>
                  <w:color w:val="0000EE"/>
                  <w:w w:val="89"/>
                </w:rPr>
                <w:t>Security Ownership of Certain Beneficial Owners and Management</w:t>
              </w:r>
            </w:hyperlink>
          </w:p>
        </w:tc>
        <w:tc>
          <w:tcPr>
            <w:tcW w:w="6280" w:type="dxa"/>
            <w:vAlign w:val="bottom"/>
            <w:gridSpan w:val="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196"/>
        </w:trPr>
        <w:tc>
          <w:tcPr>
            <w:tcW w:w="3340" w:type="dxa"/>
            <w:vAlign w:val="bottom"/>
            <w:tcBorders>
              <w:bottom w:val="single" w:sz="8" w:color="0000EE"/>
            </w:tcBorders>
            <w:gridSpan w:val="18"/>
          </w:tcPr>
          <w:p>
            <w:pPr>
              <w:spacing w:after="0" w:line="196" w:lineRule="exact"/>
              <w:rPr>
                <w:rFonts w:ascii="Arial" w:cs="Arial" w:eastAsia="Arial" w:hAnsi="Arial"/>
                <w:sz w:val="18"/>
                <w:szCs w:val="18"/>
                <w:color w:val="0000EE"/>
                <w:w w:val="87"/>
              </w:rPr>
            </w:pPr>
            <w:hyperlink w:anchor="page95">
              <w:r>
                <w:rPr>
                  <w:rFonts w:ascii="Arial" w:cs="Arial" w:eastAsia="Arial" w:hAnsi="Arial"/>
                  <w:sz w:val="18"/>
                  <w:szCs w:val="18"/>
                  <w:color w:val="0000EE"/>
                  <w:w w:val="87"/>
                </w:rPr>
                <w:t>Certain Relationships and Related Transactions</w:t>
              </w:r>
            </w:hyperlink>
          </w:p>
        </w:tc>
        <w:tc>
          <w:tcPr>
            <w:tcW w:w="7720" w:type="dxa"/>
            <w:vAlign w:val="bottom"/>
            <w:gridSpan w:val="6"/>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196"/>
        </w:trPr>
        <w:tc>
          <w:tcPr>
            <w:tcW w:w="144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98">
              <w:r>
                <w:rPr>
                  <w:rFonts w:ascii="Arial" w:cs="Arial" w:eastAsia="Arial" w:hAnsi="Arial"/>
                  <w:sz w:val="18"/>
                  <w:szCs w:val="18"/>
                  <w:color w:val="0000EE"/>
                  <w:w w:val="88"/>
                </w:rPr>
                <w:t>The Exchange Offer</w:t>
              </w:r>
            </w:hyperlink>
          </w:p>
        </w:tc>
        <w:tc>
          <w:tcPr>
            <w:tcW w:w="9620" w:type="dxa"/>
            <w:vAlign w:val="bottom"/>
            <w:gridSpan w:val="14"/>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96"/>
        </w:trPr>
        <w:tc>
          <w:tcPr>
            <w:tcW w:w="250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105">
              <w:r>
                <w:rPr>
                  <w:rFonts w:ascii="Arial" w:cs="Arial" w:eastAsia="Arial" w:hAnsi="Arial"/>
                  <w:sz w:val="18"/>
                  <w:szCs w:val="18"/>
                  <w:color w:val="0000EE"/>
                  <w:w w:val="89"/>
                </w:rPr>
                <w:t>Description of the New 2017 Notes</w:t>
              </w:r>
            </w:hyperlink>
          </w:p>
        </w:tc>
        <w:tc>
          <w:tcPr>
            <w:tcW w:w="8560" w:type="dxa"/>
            <w:vAlign w:val="bottom"/>
            <w:gridSpan w:val="11"/>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96"/>
        </w:trPr>
        <w:tc>
          <w:tcPr>
            <w:tcW w:w="250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178">
              <w:r>
                <w:rPr>
                  <w:rFonts w:ascii="Arial" w:cs="Arial" w:eastAsia="Arial" w:hAnsi="Arial"/>
                  <w:sz w:val="18"/>
                  <w:szCs w:val="18"/>
                  <w:color w:val="0000EE"/>
                  <w:w w:val="89"/>
                </w:rPr>
                <w:t>Description of the New 2020 Notes</w:t>
              </w:r>
            </w:hyperlink>
          </w:p>
        </w:tc>
        <w:tc>
          <w:tcPr>
            <w:tcW w:w="8560" w:type="dxa"/>
            <w:vAlign w:val="bottom"/>
            <w:gridSpan w:val="11"/>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196"/>
        </w:trPr>
        <w:tc>
          <w:tcPr>
            <w:tcW w:w="254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250">
              <w:r>
                <w:rPr>
                  <w:rFonts w:ascii="Arial" w:cs="Arial" w:eastAsia="Arial" w:hAnsi="Arial"/>
                  <w:sz w:val="18"/>
                  <w:szCs w:val="18"/>
                  <w:color w:val="0000EE"/>
                  <w:w w:val="88"/>
                </w:rPr>
                <w:t>Description of Certain Indebtedness</w:t>
              </w:r>
            </w:hyperlink>
          </w:p>
        </w:tc>
        <w:tc>
          <w:tcPr>
            <w:tcW w:w="8520" w:type="dxa"/>
            <w:vAlign w:val="bottom"/>
            <w:gridSpan w:val="10"/>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196"/>
        </w:trPr>
        <w:tc>
          <w:tcPr>
            <w:tcW w:w="11060" w:type="dxa"/>
            <w:vAlign w:val="bottom"/>
            <w:gridSpan w:val="24"/>
          </w:tcPr>
          <w:p>
            <w:pPr>
              <w:spacing w:after="0" w:line="196" w:lineRule="exact"/>
              <w:rPr>
                <w:rFonts w:ascii="Arial" w:cs="Arial" w:eastAsia="Arial" w:hAnsi="Arial"/>
                <w:sz w:val="18"/>
                <w:szCs w:val="18"/>
                <w:color w:val="0000EE"/>
              </w:rPr>
            </w:pPr>
            <w:hyperlink w:anchor="page253">
              <w:r>
                <w:rPr>
                  <w:rFonts w:ascii="Arial" w:cs="Arial" w:eastAsia="Arial" w:hAnsi="Arial"/>
                  <w:sz w:val="18"/>
                  <w:szCs w:val="18"/>
                  <w:color w:val="0000EE"/>
                </w:rPr>
                <w:t>Intercreditor Agreement</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692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40" w:type="dxa"/>
            <w:vAlign w:val="bottom"/>
            <w:tcBorders>
              <w:bottom w:val="single" w:sz="8" w:color="0000EE"/>
            </w:tcBorders>
            <w:gridSpan w:val="20"/>
          </w:tcPr>
          <w:p>
            <w:pPr>
              <w:spacing w:after="0" w:line="196" w:lineRule="exact"/>
              <w:rPr>
                <w:rFonts w:ascii="Arial" w:cs="Arial" w:eastAsia="Arial" w:hAnsi="Arial"/>
                <w:sz w:val="18"/>
                <w:szCs w:val="18"/>
                <w:color w:val="0000EE"/>
                <w:w w:val="88"/>
              </w:rPr>
            </w:pPr>
            <w:hyperlink w:anchor="page260">
              <w:r>
                <w:rPr>
                  <w:rFonts w:ascii="Arial" w:cs="Arial" w:eastAsia="Arial" w:hAnsi="Arial"/>
                  <w:sz w:val="18"/>
                  <w:szCs w:val="18"/>
                  <w:color w:val="0000EE"/>
                  <w:w w:val="88"/>
                </w:rPr>
                <w:t>Material United States Federal Income Tax Considerations</w:t>
              </w:r>
            </w:hyperlink>
          </w:p>
        </w:tc>
        <w:tc>
          <w:tcPr>
            <w:tcW w:w="6920" w:type="dxa"/>
            <w:vAlign w:val="bottom"/>
            <w:gridSpan w:val="4"/>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196"/>
        </w:trPr>
        <w:tc>
          <w:tcPr>
            <w:tcW w:w="11060" w:type="dxa"/>
            <w:vAlign w:val="bottom"/>
            <w:gridSpan w:val="24"/>
          </w:tcPr>
          <w:p>
            <w:pPr>
              <w:spacing w:after="0" w:line="196" w:lineRule="exact"/>
              <w:rPr>
                <w:rFonts w:ascii="Arial" w:cs="Arial" w:eastAsia="Arial" w:hAnsi="Arial"/>
                <w:sz w:val="18"/>
                <w:szCs w:val="18"/>
                <w:color w:val="0000EE"/>
              </w:rPr>
            </w:pPr>
            <w:hyperlink w:anchor="page261">
              <w:r>
                <w:rPr>
                  <w:rFonts w:ascii="Arial" w:cs="Arial" w:eastAsia="Arial" w:hAnsi="Arial"/>
                  <w:sz w:val="18"/>
                  <w:szCs w:val="18"/>
                  <w:color w:val="0000EE"/>
                </w:rPr>
                <w:t>Plan of Distribution</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262">
              <w:r>
                <w:rPr>
                  <w:rFonts w:ascii="Arial" w:cs="Arial" w:eastAsia="Arial" w:hAnsi="Arial"/>
                  <w:sz w:val="18"/>
                  <w:szCs w:val="18"/>
                  <w:color w:val="0000EE"/>
                </w:rPr>
                <w:t>Legal Matters</w:t>
              </w:r>
            </w:hyperlink>
          </w:p>
        </w:tc>
        <w:tc>
          <w:tcPr>
            <w:tcW w:w="9660" w:type="dxa"/>
            <w:vAlign w:val="bottom"/>
            <w:gridSpan w:val="15"/>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262">
              <w:r>
                <w:rPr>
                  <w:rFonts w:ascii="Arial" w:cs="Arial" w:eastAsia="Arial" w:hAnsi="Arial"/>
                  <w:sz w:val="18"/>
                  <w:szCs w:val="18"/>
                  <w:color w:val="0000EE"/>
                </w:rPr>
                <w:t>Experts</w:t>
              </w:r>
            </w:hyperlink>
          </w:p>
        </w:tc>
        <w:tc>
          <w:tcPr>
            <w:tcW w:w="10080" w:type="dxa"/>
            <w:vAlign w:val="bottom"/>
            <w:gridSpan w:val="18"/>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1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980" w:type="dxa"/>
            <w:vAlign w:val="bottom"/>
            <w:gridSpan w:val="7"/>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24"/>
          </w:tcPr>
          <w:p>
            <w:pPr>
              <w:spacing w:after="0" w:line="196" w:lineRule="exact"/>
              <w:rPr>
                <w:rFonts w:ascii="Arial" w:cs="Arial" w:eastAsia="Arial" w:hAnsi="Arial"/>
                <w:sz w:val="18"/>
                <w:szCs w:val="18"/>
                <w:color w:val="0000EE"/>
              </w:rPr>
            </w:pPr>
            <w:hyperlink w:anchor="page262">
              <w:r>
                <w:rPr>
                  <w:rFonts w:ascii="Arial" w:cs="Arial" w:eastAsia="Arial" w:hAnsi="Arial"/>
                  <w:sz w:val="18"/>
                  <w:szCs w:val="18"/>
                  <w:color w:val="0000EE"/>
                </w:rPr>
                <w:t>Where You Can Find More Information</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0"/>
        </w:trPr>
        <w:tc>
          <w:tcPr>
            <w:tcW w:w="2800" w:type="dxa"/>
            <w:vAlign w:val="bottom"/>
            <w:gridSpan w:val="16"/>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980" w:type="dxa"/>
            <w:vAlign w:val="bottom"/>
            <w:gridSpan w:val="7"/>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8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263">
              <w:r>
                <w:rPr>
                  <w:rFonts w:ascii="Arial" w:cs="Arial" w:eastAsia="Arial" w:hAnsi="Arial"/>
                  <w:sz w:val="18"/>
                  <w:szCs w:val="18"/>
                  <w:color w:val="0000EE"/>
                  <w:w w:val="88"/>
                </w:rPr>
                <w:t>Index to Consolidated Financial Statements</w:t>
              </w:r>
            </w:hyperlink>
          </w:p>
        </w:tc>
        <w:tc>
          <w:tcPr>
            <w:tcW w:w="7980" w:type="dxa"/>
            <w:vAlign w:val="bottom"/>
            <w:gridSpan w:val="7"/>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 xml:space="preserve">This prospectus contains summaries of the material terms of certain documents. Copies of these documents, except for certain exhibits and schedules, will be made available to you without charge upon written or oral request to us. Requests for documents or other additional information should be directed to Wynn Las Vegas, LLC, 3131 Las Vegas Boulevard South, Las Vegas, Nevada 89109, Attention: Legal Department, Telephone (702) 770-7000. </w:t>
      </w:r>
      <w:r>
        <w:rPr>
          <w:rFonts w:ascii="Arial" w:cs="Arial" w:eastAsia="Arial" w:hAnsi="Arial"/>
          <w:sz w:val="15"/>
          <w:szCs w:val="15"/>
          <w:b w:val="1"/>
          <w:bCs w:val="1"/>
          <w:color w:val="auto"/>
        </w:rPr>
        <w:t>To obtain timely</w:t>
      </w:r>
      <w:r>
        <w:rPr>
          <w:rFonts w:ascii="Arial" w:cs="Arial" w:eastAsia="Arial" w:hAnsi="Arial"/>
          <w:sz w:val="15"/>
          <w:szCs w:val="15"/>
          <w:color w:val="auto"/>
        </w:rPr>
        <w:t xml:space="preserve"> </w:t>
      </w:r>
      <w:r>
        <w:rPr>
          <w:rFonts w:ascii="Arial" w:cs="Arial" w:eastAsia="Arial" w:hAnsi="Arial"/>
          <w:sz w:val="15"/>
          <w:szCs w:val="15"/>
          <w:b w:val="1"/>
          <w:bCs w:val="1"/>
          <w:color w:val="auto"/>
        </w:rPr>
        <w:t>delivery of documents or information, we must receive your request no later than five (5) business days before the expiration date of the exchange offer.</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INDUSTRY DATA</w:t>
      </w:r>
    </w:p>
    <w:p>
      <w:pPr>
        <w:spacing w:after="0" w:line="177"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Industry data used throughout this prospectus are based on surveys and studies conducted by third parties and industry and general publications. Although we believe these sources are reliable, we have not independently verified the information and cannot guarantee its accuracy and completeness.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This prospectus contains statements that are “forward-looking” statements within the meaning of Section 27A of the Securities Act and Section 21E of the Exchange Act, including, but not limited to, statements relating to our business strategy and development activities as well as other capital spending, financing sources, the effects of regulation (including gaming and tax regulations), expectations concerning future operations, profitability and competition.</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Any statements contained in this prospectus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 those relating to:</w:t>
      </w:r>
    </w:p>
    <w:p>
      <w:pPr>
        <w:spacing w:after="0" w:line="35"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 tourism and consumer spending trends given the current domestic and international economic conditions;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volatility and weakness in world-wide credit and financial markets;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global macroeconomic conditions;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further decreases in levels of travel, leisure and consumer spending;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occupancy rates and average daily room rates;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conditions precedent to funding under the agreements governing the disbursement of the proceeds of borrowings under our credit facilities;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continued compliance with all provisions in our credit agreements;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 and action taken by our competitors in reaction to adverse economic conditions;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Wynn Las Vegas and Encore for all of our cash flow;</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state law regarding water rights;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approvals under applicable jurisdictional laws and regulations (including gaming laws and regulations);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that an outbreak of an infectious disease or the impact a natural disaster may have on the travel and leisure industry;</w:t>
      </w:r>
    </w:p>
    <w:p>
      <w:pPr>
        <w:spacing w:after="0" w:line="9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consequences of the wars in Iraq and Afghanistan, and other military conflicts in the Middle East and any future security alerts and/or terrorist attacks;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171"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For a more detailed discussion of these and other risk factors, please read carefully the information under the caption “Risk Factors.”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prospectus.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867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55867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SUMMARY</w:t>
      </w:r>
    </w:p>
    <w:p>
      <w:pPr>
        <w:spacing w:after="0" w:line="177" w:lineRule="exact"/>
        <w:rPr>
          <w:sz w:val="20"/>
          <w:szCs w:val="20"/>
          <w:color w:val="auto"/>
        </w:rPr>
      </w:pPr>
    </w:p>
    <w:p>
      <w:pPr>
        <w:ind w:left="200" w:right="40" w:firstLine="443"/>
        <w:spacing w:after="0" w:line="256" w:lineRule="auto"/>
        <w:rPr>
          <w:sz w:val="20"/>
          <w:szCs w:val="20"/>
          <w:color w:val="auto"/>
        </w:rPr>
      </w:pPr>
      <w:r>
        <w:rPr>
          <w:rFonts w:ascii="Arial" w:cs="Arial" w:eastAsia="Arial" w:hAnsi="Arial"/>
          <w:sz w:val="18"/>
          <w:szCs w:val="18"/>
          <w:i w:val="1"/>
          <w:iCs w:val="1"/>
          <w:color w:val="auto"/>
        </w:rPr>
        <w:t>This summary highlights certain material information contained in this prospectus and does not contain all of the information that may be important to you. We urge you to read this entire prospectus carefully, including the financial data and related notes and the “Risk Factors” section beginning on page 18 before making an investment decision. You should read this summary together with the more detailed information contained elsewhere in this prospectus and in our financial statements and accompanying notes.</w:t>
      </w:r>
    </w:p>
    <w:p>
      <w:pPr>
        <w:spacing w:after="0" w:line="143" w:lineRule="exact"/>
        <w:rPr>
          <w:sz w:val="20"/>
          <w:szCs w:val="20"/>
          <w:color w:val="auto"/>
        </w:rPr>
      </w:pPr>
    </w:p>
    <w:p>
      <w:pPr>
        <w:ind w:left="200" w:firstLine="443"/>
        <w:spacing w:after="0" w:line="287" w:lineRule="auto"/>
        <w:rPr>
          <w:sz w:val="20"/>
          <w:szCs w:val="20"/>
          <w:color w:val="auto"/>
        </w:rPr>
      </w:pPr>
      <w:r>
        <w:rPr>
          <w:rFonts w:ascii="Arial" w:cs="Arial" w:eastAsia="Arial" w:hAnsi="Arial"/>
          <w:sz w:val="16"/>
          <w:szCs w:val="16"/>
          <w:i w:val="1"/>
          <w:iCs w:val="1"/>
          <w:color w:val="auto"/>
        </w:rPr>
        <w:t xml:space="preserve">The new notes will be jointly issued by Wynn Las Vegas, LLC, a Nevada limited liability company, and its wholly owned subsidiary, Wynn Las Vegas Capital Corp., a Nevada corporation (“Wynn Capital”). Wynn Las Vegas, LLC and Wynn Capital together are hereinafter referred to as the “Issuers.” The new notes will be guaranteed by all of our subsidiaries other than Wynn Capital and Wynn Completion Guarantor, LLC (the “guarantors”). Unless the context otherwise requires, all references in this prospectus to the “Company,” “we,” “us” or “our,” or similar terms, refer to Wynn Las Vegas, LLC and its consolidated subsidiaries (other than Wynn Completion Guarantor, LLC). The 7 </w:t>
      </w:r>
      <w:r>
        <w:rPr>
          <w:rFonts w:ascii="Arial" w:cs="Arial" w:eastAsia="Arial" w:hAnsi="Arial"/>
          <w:sz w:val="10"/>
          <w:szCs w:val="10"/>
          <w:i w:val="1"/>
          <w:iCs w:val="1"/>
          <w:color w:val="auto"/>
        </w:rPr>
        <w:t>7</w:t>
      </w:r>
      <w:r>
        <w:rPr>
          <w:rFonts w:ascii="Arial" w:cs="Arial" w:eastAsia="Arial" w:hAnsi="Arial"/>
          <w:sz w:val="16"/>
          <w:szCs w:val="16"/>
          <w:i w:val="1"/>
          <w:iCs w:val="1"/>
          <w:color w:val="auto"/>
        </w:rPr>
        <w:t xml:space="preserve"> /</w:t>
      </w:r>
      <w:r>
        <w:rPr>
          <w:rFonts w:ascii="Arial" w:cs="Arial" w:eastAsia="Arial" w:hAnsi="Arial"/>
          <w:sz w:val="12"/>
          <w:szCs w:val="12"/>
          <w:i w:val="1"/>
          <w:iCs w:val="1"/>
          <w:color w:val="auto"/>
        </w:rPr>
        <w:t>8</w:t>
      </w:r>
      <w:r>
        <w:rPr>
          <w:rFonts w:ascii="Arial" w:cs="Arial" w:eastAsia="Arial" w:hAnsi="Arial"/>
          <w:sz w:val="16"/>
          <w:szCs w:val="16"/>
          <w:i w:val="1"/>
          <w:iCs w:val="1"/>
          <w:color w:val="auto"/>
        </w:rPr>
        <w:t xml:space="preserve">% first mortgage notes due 2017 are sometimes referred to herein as the “2017 notes,” which term, except with respect to discussions of original issue discount and other income tax consequences and unless the context otherwise requires, includes the new 2017 notes and the old 2017 notes. The 7 </w:t>
      </w:r>
      <w:r>
        <w:rPr>
          <w:rFonts w:ascii="Arial" w:cs="Arial" w:eastAsia="Arial" w:hAnsi="Arial"/>
          <w:sz w:val="10"/>
          <w:szCs w:val="10"/>
          <w:i w:val="1"/>
          <w:iCs w:val="1"/>
          <w:color w:val="auto"/>
        </w:rPr>
        <w:t>7</w:t>
      </w:r>
      <w:r>
        <w:rPr>
          <w:rFonts w:ascii="Arial" w:cs="Arial" w:eastAsia="Arial" w:hAnsi="Arial"/>
          <w:sz w:val="16"/>
          <w:szCs w:val="16"/>
          <w:i w:val="1"/>
          <w:iCs w:val="1"/>
          <w:color w:val="auto"/>
        </w:rPr>
        <w:t>/</w:t>
      </w:r>
      <w:r>
        <w:rPr>
          <w:rFonts w:ascii="Arial" w:cs="Arial" w:eastAsia="Arial" w:hAnsi="Arial"/>
          <w:sz w:val="12"/>
          <w:szCs w:val="12"/>
          <w:i w:val="1"/>
          <w:iCs w:val="1"/>
          <w:color w:val="auto"/>
        </w:rPr>
        <w:t>8</w:t>
      </w:r>
      <w:r>
        <w:rPr>
          <w:rFonts w:ascii="Arial" w:cs="Arial" w:eastAsia="Arial" w:hAnsi="Arial"/>
          <w:sz w:val="16"/>
          <w:szCs w:val="16"/>
          <w:i w:val="1"/>
          <w:iCs w:val="1"/>
          <w:color w:val="auto"/>
        </w:rPr>
        <w:t>% first mortgage notes due 2020 are sometimes referred to herein as the “2020 notes,” which term, except with respect to discussions of original issue discount and other income tax consequences and unless the context otherwise requires, includes the new 2020 notes and the old 2020 notes. The sole member of Wynn Las Vegas, LLC is Wynn Resorts Holdings, LLC (“Wynn Holdings”), and the sole member of Wynn Holdings is Wynn Resorts, Limited (“Wynn Resorts”).</w:t>
      </w: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Overview</w:t>
      </w:r>
    </w:p>
    <w:p>
      <w:pPr>
        <w:spacing w:after="0" w:line="177" w:lineRule="exact"/>
        <w:rPr>
          <w:sz w:val="20"/>
          <w:szCs w:val="20"/>
          <w:color w:val="auto"/>
        </w:rPr>
      </w:pPr>
    </w:p>
    <w:p>
      <w:pPr>
        <w:ind w:left="200" w:right="180" w:firstLine="443"/>
        <w:spacing w:after="0" w:line="306" w:lineRule="auto"/>
        <w:rPr>
          <w:sz w:val="20"/>
          <w:szCs w:val="20"/>
          <w:color w:val="auto"/>
        </w:rPr>
      </w:pPr>
      <w:r>
        <w:rPr>
          <w:rFonts w:ascii="Arial" w:cs="Arial" w:eastAsia="Arial" w:hAnsi="Arial"/>
          <w:sz w:val="16"/>
          <w:szCs w:val="16"/>
          <w:color w:val="auto"/>
        </w:rPr>
        <w:t>Wynn Las Vegas, LLC owns and operates “Wynn Las Vegas,” a destination casino resort on the “Strip” in Las Vegas, Nevada, and “Encore at Wynn Las Vegas,” or “Encore,” which is located adjacent to and is connected with Wynn Las Vegas. We commenced operations with the opening of Wynn Las Vegas on April 28, 2005. We opened Encore on December 22, 2008. Prior to April 28, 2005, we were solely a development stage company.</w:t>
      </w:r>
    </w:p>
    <w:p>
      <w:pPr>
        <w:spacing w:after="0" w:line="107" w:lineRule="exact"/>
        <w:rPr>
          <w:sz w:val="20"/>
          <w:szCs w:val="20"/>
          <w:color w:val="auto"/>
        </w:rPr>
      </w:pPr>
    </w:p>
    <w:p>
      <w:pPr>
        <w:ind w:left="200" w:firstLine="443"/>
        <w:spacing w:after="0" w:line="256" w:lineRule="auto"/>
        <w:rPr>
          <w:sz w:val="20"/>
          <w:szCs w:val="20"/>
          <w:color w:val="auto"/>
        </w:rPr>
      </w:pPr>
      <w:r>
        <w:rPr>
          <w:rFonts w:ascii="Arial" w:cs="Arial" w:eastAsia="Arial" w:hAnsi="Arial"/>
          <w:sz w:val="18"/>
          <w:szCs w:val="18"/>
          <w:color w:val="auto"/>
        </w:rPr>
        <w:t>We believe that Wynn Las Vegas offers exceptional accommodations, amenities and service with 2,716 rooms and suites, including 36 fairway villas and 6 private-entry villas for our premium guests. The Tower Suites at Wynn Las Vegas has received the Forbes five-star and AAA five-diamond distinctions for 2010. The Spa at Wynn Las Vegas earned five-star recognition from Forbes for the second year in a row. The Spa at Wynn Las Vegas and the Spa at Encore are the only spas in Las Vegas to be recognized with the Forbes five-star award.</w:t>
      </w:r>
    </w:p>
    <w:p>
      <w:pPr>
        <w:spacing w:after="0" w:line="143" w:lineRule="exact"/>
        <w:rPr>
          <w:sz w:val="20"/>
          <w:szCs w:val="20"/>
          <w:color w:val="auto"/>
        </w:rPr>
      </w:pPr>
    </w:p>
    <w:p>
      <w:pPr>
        <w:ind w:left="200" w:right="20" w:firstLine="443"/>
        <w:spacing w:after="0" w:line="290" w:lineRule="auto"/>
        <w:rPr>
          <w:sz w:val="20"/>
          <w:szCs w:val="20"/>
          <w:color w:val="auto"/>
        </w:rPr>
      </w:pPr>
      <w:r>
        <w:rPr>
          <w:rFonts w:ascii="Arial" w:cs="Arial" w:eastAsia="Arial" w:hAnsi="Arial"/>
          <w:sz w:val="16"/>
          <w:szCs w:val="16"/>
          <w:color w:val="auto"/>
        </w:rPr>
        <w:t>Wynn Las Vegas’s approximately 110,000 square foot casino features approximately 130 table games, a baccarat salon, private VIP gaming rooms, a poker room, approximately 1,920 slot machines, and a race and sports book. The resort’s 22 food and beverage outlets feature six fine dining restaurants, including restaurants helmed by award winning chefs. Wynn Las Vegas also offers two nightclubs, a spa and salon, a Ferrari and Maserati automobile dealership, wedding chapels, an 18-hole golf course, approximately 223,000 square feet of meeting space and an approximately 74,000 square foot retail promenade featuring boutiques from Alexander McQueen, Brioni, Cartier, Chanel, Dior, Graff, Louis Vuitton, Manolo Blahnik, Oscar de la Renta and Vertu. Wynn Las Vegas also has a showroom which features “Le Rêve”, a water-based theatrical production. We believe that the unique experience of Wynn Las Vegas drives the significant visitation experienced since opening.</w:t>
      </w:r>
    </w:p>
    <w:p>
      <w:pPr>
        <w:spacing w:after="0" w:line="118" w:lineRule="exact"/>
        <w:rPr>
          <w:sz w:val="20"/>
          <w:szCs w:val="20"/>
          <w:color w:val="auto"/>
        </w:rPr>
      </w:pPr>
    </w:p>
    <w:p>
      <w:pPr>
        <w:ind w:left="200" w:right="40" w:firstLine="443"/>
        <w:spacing w:after="0" w:line="259" w:lineRule="auto"/>
        <w:rPr>
          <w:sz w:val="20"/>
          <w:szCs w:val="20"/>
          <w:color w:val="auto"/>
        </w:rPr>
      </w:pPr>
      <w:r>
        <w:rPr>
          <w:rFonts w:ascii="Arial" w:cs="Arial" w:eastAsia="Arial" w:hAnsi="Arial"/>
          <w:sz w:val="18"/>
          <w:szCs w:val="18"/>
          <w:color w:val="auto"/>
        </w:rPr>
        <w:t>Encore features a 2,034 all-suite hotel as well as an approximately 76,000 square foot casino with approximately 90 table games, a baccarat salon, private VIP gaming rooms, approximately 790 slot machines and a sports book. In its first full year of operations, the Encore Tower Suites has received both the Forbes five-star</w:t>
      </w:r>
    </w:p>
    <w:p>
      <w:pPr>
        <w:spacing w:after="0" w:line="3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210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562102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60"/>
        <w:spacing w:after="0" w:line="294" w:lineRule="auto"/>
        <w:rPr>
          <w:sz w:val="20"/>
          <w:szCs w:val="20"/>
          <w:color w:val="auto"/>
        </w:rPr>
      </w:pPr>
      <w:r>
        <w:rPr>
          <w:rFonts w:ascii="Arial" w:cs="Arial" w:eastAsia="Arial" w:hAnsi="Arial"/>
          <w:sz w:val="16"/>
          <w:szCs w:val="16"/>
          <w:color w:val="auto"/>
        </w:rPr>
        <w:t>and AAA five-diamond awards. The Spa at Encore also earned five-star recognition from Forbes. The resort’s 12 food and beverage outlets include five restaurants, many of which feature award winning chefs. Encore also offers a night club, a spa and salon, approximately 60,000 square feet of meeting space and approximately 27,000 square feet of upscale retail outlets featuring boutiques from Hermes, Chanel and others. The Encore Theater featured several headliner entertainment acts during 2009, including the return of Garth Brooks. Our agreement with Garth Brooks provides for the performance of 300 shows in the Encore Theater before 2014, but is cancelable by either party under certain conditions.</w:t>
      </w:r>
    </w:p>
    <w:p>
      <w:pPr>
        <w:spacing w:after="0" w:line="11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principal executive offices are located at 3131 Las Vegas Boulevard South, Las Vegas, Nevada 89109, and our telephone number is (702) 770-</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7000.</w:t>
      </w:r>
    </w:p>
    <w:p>
      <w:pPr>
        <w:spacing w:after="0" w:line="3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Business Strategy</w:t>
      </w:r>
    </w:p>
    <w:p>
      <w:pPr>
        <w:spacing w:after="0" w:line="177"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We believe that Steve Wynn is the preeminent designer, developer and operator of destination casino resorts and has developed brand name status.</w:t>
      </w:r>
    </w:p>
    <w:p>
      <w:pPr>
        <w:spacing w:after="0" w:line="38" w:lineRule="exact"/>
        <w:rPr>
          <w:sz w:val="20"/>
          <w:szCs w:val="20"/>
          <w:color w:val="auto"/>
        </w:rPr>
      </w:pPr>
    </w:p>
    <w:p>
      <w:pPr>
        <w:ind w:left="200"/>
        <w:spacing w:after="0" w:line="323" w:lineRule="auto"/>
        <w:rPr>
          <w:sz w:val="20"/>
          <w:szCs w:val="20"/>
          <w:color w:val="auto"/>
        </w:rPr>
      </w:pPr>
      <w:r>
        <w:rPr>
          <w:rFonts w:ascii="Arial" w:cs="Arial" w:eastAsia="Arial" w:hAnsi="Arial"/>
          <w:sz w:val="16"/>
          <w:szCs w:val="16"/>
          <w:color w:val="auto"/>
        </w:rPr>
        <w:t>Mr. Wynn’s involvement with our casino resorts provides a distinct advantage over other gaming enterprises. We integrate luxurious surroundings, distinctive entertainment and superior amenities, including fine dining and premium retail offerings, to create resorts that appeal to a variety of customers.</w:t>
      </w:r>
    </w:p>
    <w:p>
      <w:pPr>
        <w:spacing w:after="0" w:line="93" w:lineRule="exact"/>
        <w:rPr>
          <w:sz w:val="20"/>
          <w:szCs w:val="20"/>
          <w:color w:val="auto"/>
        </w:rPr>
      </w:pPr>
    </w:p>
    <w:p>
      <w:pPr>
        <w:ind w:left="200" w:right="40" w:firstLine="443"/>
        <w:spacing w:after="0" w:line="294" w:lineRule="auto"/>
        <w:rPr>
          <w:sz w:val="20"/>
          <w:szCs w:val="20"/>
          <w:color w:val="auto"/>
        </w:rPr>
      </w:pPr>
      <w:r>
        <w:rPr>
          <w:rFonts w:ascii="Arial" w:cs="Arial" w:eastAsia="Arial" w:hAnsi="Arial"/>
          <w:sz w:val="16"/>
          <w:szCs w:val="16"/>
          <w:color w:val="auto"/>
        </w:rPr>
        <w:t>Our properties were designed and built to provide a premium experience. Wynn Las Vegas and Encore are positioned as full-service luxury resorts and casinos in the leisure, convention and tour and travel industries. We market these resorts directly to gaming customers using database marketing techniques, as well as traditional incentives, including reduced room rates and complimentary meals and suites. Our rewards system offers discounted and complimentary meals, lodging and entertainment for our guests. We also create general market awareness for our properties through various media channels, including television, radio, newspapers, magazines, the internet, direct mail and billboards.</w:t>
      </w:r>
    </w:p>
    <w:p>
      <w:pPr>
        <w:spacing w:after="0" w:line="116" w:lineRule="exact"/>
        <w:rPr>
          <w:sz w:val="20"/>
          <w:szCs w:val="20"/>
          <w:color w:val="auto"/>
        </w:rPr>
      </w:pPr>
    </w:p>
    <w:p>
      <w:pPr>
        <w:ind w:left="200" w:right="60" w:firstLine="443"/>
        <w:spacing w:after="0" w:line="306" w:lineRule="auto"/>
        <w:rPr>
          <w:sz w:val="20"/>
          <w:szCs w:val="20"/>
          <w:color w:val="auto"/>
        </w:rPr>
      </w:pPr>
      <w:r>
        <w:rPr>
          <w:rFonts w:ascii="Arial" w:cs="Arial" w:eastAsia="Arial" w:hAnsi="Arial"/>
          <w:sz w:val="16"/>
          <w:szCs w:val="16"/>
          <w:color w:val="auto"/>
        </w:rPr>
        <w:t>Mr. Wynn and his team bring significant experience in designing, developing and operating casino resorts. The senior executive team has an average of approximately 25 years of experience in the hotel and gaming industries. We also have an approximately 70-person design, development and construction affiliate, the senior management of which has significant experience in all major construction disciplines.</w:t>
      </w:r>
    </w:p>
    <w:p>
      <w:pPr>
        <w:spacing w:after="0" w:line="26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Recent Developments</w:t>
      </w:r>
    </w:p>
    <w:p>
      <w:pPr>
        <w:spacing w:after="0" w:line="177"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On March 26, 2010, the Issuers commenced an offer to exchange their outstanding 2014 notes for the old 2020 notes, upon the terms and subject to the conditions set forth in a confidential offering memorandum, and a related letter of transmittal (the “2014/2020 exchange offer”). The 2014/2020 exchange offer was conditioned upon, among other things, the tender of at least $250 million aggregate principal amount of 2014 notes. The old 2020 notes were only offered to qualified institutional buyers and outside the United States in accordance with Rule 144A and Regulation S, respectively, under the Securities Act of 1933, as amended.</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For each $1,000 aggregate principal amout of 2014 notes tendered in the 2014/2020 exchange offer, the tendering holders of 2014 notes received</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$1,000 aggregate principal amount of old 2020 notes. Noteholders who validly tendered 2014 notes prior to 7:00 a.m., New York City time, on April 9, 2010</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received an early delivery payment of $10 in cash in exchange for each $1,000 principal amount of 2014 notes tendered. The Issuers paid a total early</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delivery payment of $3,797,530 in cash.</w:t>
      </w:r>
    </w:p>
    <w:p>
      <w:pPr>
        <w:spacing w:after="0" w:line="165" w:lineRule="exact"/>
        <w:rPr>
          <w:sz w:val="20"/>
          <w:szCs w:val="20"/>
          <w:color w:val="auto"/>
        </w:rPr>
      </w:pPr>
    </w:p>
    <w:p>
      <w:pPr>
        <w:ind w:left="200" w:right="120" w:firstLine="443"/>
        <w:spacing w:after="0" w:line="370" w:lineRule="auto"/>
        <w:rPr>
          <w:sz w:val="20"/>
          <w:szCs w:val="20"/>
          <w:color w:val="auto"/>
        </w:rPr>
      </w:pPr>
      <w:r>
        <w:rPr>
          <w:rFonts w:ascii="Arial" w:cs="Arial" w:eastAsia="Arial" w:hAnsi="Arial"/>
          <w:sz w:val="15"/>
          <w:szCs w:val="15"/>
          <w:color w:val="auto"/>
        </w:rPr>
        <w:t>At the expiration of the 2014/2020 exchange offer on April 23, 2010, $382,010,000 aggregate prinicipal amount of 2014 notes had been tendered in exchange for old 2020 notes. On April 28, 2010, the Issuers accepted all such tendered notes for exchange and consummated the 2014/2020 exchange offer.</w:t>
      </w:r>
    </w:p>
    <w:p>
      <w:pPr>
        <w:spacing w:after="0" w:line="2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6"/>
        </w:trPr>
        <w:tc>
          <w:tcPr>
            <w:tcW w:w="3400" w:type="dxa"/>
            <w:vAlign w:val="bottom"/>
            <w:tcBorders>
              <w:top w:val="single" w:sz="8" w:color="auto"/>
              <w:left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5480" w:type="dxa"/>
            <w:vAlign w:val="bottom"/>
            <w:tcBorders>
              <w:top w:val="single" w:sz="8" w:color="auto"/>
            </w:tcBorders>
          </w:tcPr>
          <w:p>
            <w:pPr>
              <w:jc w:val="center"/>
              <w:ind w:right="3192"/>
              <w:spacing w:after="0"/>
              <w:rPr>
                <w:sz w:val="20"/>
                <w:szCs w:val="20"/>
                <w:color w:val="auto"/>
              </w:rPr>
            </w:pPr>
            <w:r>
              <w:rPr>
                <w:rFonts w:ascii="Arial" w:cs="Arial" w:eastAsia="Arial" w:hAnsi="Arial"/>
                <w:sz w:val="18"/>
                <w:szCs w:val="18"/>
                <w:b w:val="1"/>
                <w:bCs w:val="1"/>
                <w:color w:val="auto"/>
                <w:w w:val="89"/>
              </w:rPr>
              <w:t>The Exchange Offer</w:t>
            </w:r>
          </w:p>
        </w:tc>
        <w:tc>
          <w:tcPr>
            <w:tcW w:w="1340" w:type="dxa"/>
            <w:vAlign w:val="bottom"/>
            <w:tcBorders>
              <w:top w:val="single" w:sz="8" w:color="auto"/>
              <w:right w:val="single" w:sz="8" w:color="auto"/>
            </w:tcBorders>
          </w:tcPr>
          <w:p>
            <w:pPr>
              <w:spacing w:after="0"/>
              <w:rPr>
                <w:sz w:val="24"/>
                <w:szCs w:val="24"/>
                <w:color w:val="auto"/>
              </w:rPr>
            </w:pPr>
          </w:p>
        </w:tc>
      </w:tr>
      <w:tr>
        <w:trPr>
          <w:trHeight w:val="412"/>
        </w:trPr>
        <w:tc>
          <w:tcPr>
            <w:tcW w:w="34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Old 2017 Notes</w:t>
            </w:r>
          </w:p>
        </w:tc>
        <w:tc>
          <w:tcPr>
            <w:tcW w:w="8060" w:type="dxa"/>
            <w:vAlign w:val="bottom"/>
            <w:tcBorders>
              <w:right w:val="single" w:sz="8" w:color="auto"/>
            </w:tcBorders>
            <w:gridSpan w:val="3"/>
          </w:tcPr>
          <w:p>
            <w:pPr>
              <w:ind w:left="1000"/>
              <w:spacing w:after="0"/>
              <w:rPr>
                <w:sz w:val="20"/>
                <w:szCs w:val="20"/>
                <w:color w:val="auto"/>
              </w:rPr>
            </w:pPr>
            <w:r>
              <w:rPr>
                <w:rFonts w:ascii="Arial" w:cs="Arial" w:eastAsia="Arial" w:hAnsi="Arial"/>
                <w:sz w:val="18"/>
                <w:szCs w:val="18"/>
                <w:color w:val="auto"/>
                <w:w w:val="96"/>
              </w:rPr>
              <w:t xml:space="preserve">7 </w:t>
            </w:r>
            <w:r>
              <w:rPr>
                <w:rFonts w:ascii="Arial" w:cs="Arial" w:eastAsia="Arial" w:hAnsi="Arial"/>
                <w:sz w:val="11"/>
                <w:szCs w:val="11"/>
                <w:color w:val="auto"/>
                <w:w w:val="96"/>
              </w:rPr>
              <w:t>7</w:t>
            </w:r>
            <w:r>
              <w:rPr>
                <w:rFonts w:ascii="Arial" w:cs="Arial" w:eastAsia="Arial" w:hAnsi="Arial"/>
                <w:sz w:val="18"/>
                <w:szCs w:val="18"/>
                <w:color w:val="auto"/>
                <w:w w:val="96"/>
              </w:rPr>
              <w:t>/</w:t>
            </w:r>
            <w:r>
              <w:rPr>
                <w:rFonts w:ascii="Arial" w:cs="Arial" w:eastAsia="Arial" w:hAnsi="Arial"/>
                <w:sz w:val="13"/>
                <w:szCs w:val="13"/>
                <w:color w:val="auto"/>
                <w:w w:val="96"/>
              </w:rPr>
              <w:t>8</w:t>
            </w:r>
            <w:r>
              <w:rPr>
                <w:rFonts w:ascii="Arial" w:cs="Arial" w:eastAsia="Arial" w:hAnsi="Arial"/>
                <w:sz w:val="18"/>
                <w:szCs w:val="18"/>
                <w:color w:val="auto"/>
                <w:w w:val="96"/>
              </w:rPr>
              <w:t>% First Mortgage Notes due 2017, which we issued on October 19, 2009. The old 2017</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3"/>
          </w:tcPr>
          <w:p>
            <w:pPr>
              <w:ind w:left="1000"/>
              <w:spacing w:after="0"/>
              <w:rPr>
                <w:sz w:val="20"/>
                <w:szCs w:val="20"/>
                <w:color w:val="auto"/>
              </w:rPr>
            </w:pPr>
            <w:r>
              <w:rPr>
                <w:rFonts w:ascii="Arial" w:cs="Arial" w:eastAsia="Arial" w:hAnsi="Arial"/>
                <w:sz w:val="18"/>
                <w:szCs w:val="18"/>
                <w:color w:val="auto"/>
                <w:w w:val="88"/>
              </w:rPr>
              <w:t>notes were issued under the indenture, dated as of October 19, 2009. The old 2017 notes are, and,</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3"/>
          </w:tcPr>
          <w:p>
            <w:pPr>
              <w:ind w:left="1000"/>
              <w:spacing w:after="0"/>
              <w:rPr>
                <w:sz w:val="20"/>
                <w:szCs w:val="20"/>
                <w:color w:val="auto"/>
              </w:rPr>
            </w:pPr>
            <w:r>
              <w:rPr>
                <w:rFonts w:ascii="Arial" w:cs="Arial" w:eastAsia="Arial" w:hAnsi="Arial"/>
                <w:sz w:val="18"/>
                <w:szCs w:val="18"/>
                <w:color w:val="auto"/>
                <w:w w:val="91"/>
              </w:rPr>
              <w:t>upon consummation of the exchange offer, the new 2017 notes will be, pari passu with the 2014</w:t>
            </w:r>
          </w:p>
        </w:tc>
      </w:tr>
      <w:tr>
        <w:trPr>
          <w:trHeight w:val="222"/>
        </w:trPr>
        <w:tc>
          <w:tcPr>
            <w:tcW w:w="3400" w:type="dxa"/>
            <w:vAlign w:val="bottom"/>
            <w:tcBorders>
              <w:left w:val="single" w:sz="8" w:color="auto"/>
            </w:tcBorders>
          </w:tcPr>
          <w:p>
            <w:pPr>
              <w:spacing w:after="0"/>
              <w:rPr>
                <w:sz w:val="19"/>
                <w:szCs w:val="19"/>
                <w:color w:val="auto"/>
              </w:rPr>
            </w:pPr>
          </w:p>
        </w:tc>
        <w:tc>
          <w:tcPr>
            <w:tcW w:w="6720" w:type="dxa"/>
            <w:vAlign w:val="bottom"/>
            <w:gridSpan w:val="2"/>
          </w:tcPr>
          <w:p>
            <w:pPr>
              <w:ind w:left="1000"/>
              <w:spacing w:after="0"/>
              <w:rPr>
                <w:sz w:val="20"/>
                <w:szCs w:val="20"/>
                <w:color w:val="auto"/>
              </w:rPr>
            </w:pPr>
            <w:r>
              <w:rPr>
                <w:rFonts w:ascii="Arial" w:cs="Arial" w:eastAsia="Arial" w:hAnsi="Arial"/>
                <w:sz w:val="18"/>
                <w:szCs w:val="18"/>
                <w:color w:val="auto"/>
              </w:rPr>
              <w:t>notes, the 2020 notes and our obligations under our credit facilities.</w:t>
            </w:r>
          </w:p>
        </w:tc>
        <w:tc>
          <w:tcPr>
            <w:tcW w:w="1340" w:type="dxa"/>
            <w:vAlign w:val="bottom"/>
            <w:tcBorders>
              <w:right w:val="single" w:sz="8" w:color="auto"/>
            </w:tcBorders>
          </w:tcPr>
          <w:p>
            <w:pPr>
              <w:spacing w:after="0"/>
              <w:rPr>
                <w:sz w:val="19"/>
                <w:szCs w:val="19"/>
                <w:color w:val="auto"/>
              </w:rPr>
            </w:pPr>
          </w:p>
        </w:tc>
      </w:tr>
      <w:tr>
        <w:trPr>
          <w:trHeight w:val="412"/>
        </w:trPr>
        <w:tc>
          <w:tcPr>
            <w:tcW w:w="34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Old 2020 Notes</w:t>
            </w:r>
          </w:p>
        </w:tc>
        <w:tc>
          <w:tcPr>
            <w:tcW w:w="8060" w:type="dxa"/>
            <w:vAlign w:val="bottom"/>
            <w:tcBorders>
              <w:right w:val="single" w:sz="8" w:color="auto"/>
            </w:tcBorders>
            <w:gridSpan w:val="3"/>
          </w:tcPr>
          <w:p>
            <w:pPr>
              <w:ind w:left="1000"/>
              <w:spacing w:after="0"/>
              <w:rPr>
                <w:sz w:val="20"/>
                <w:szCs w:val="20"/>
                <w:color w:val="auto"/>
              </w:rPr>
            </w:pPr>
            <w:r>
              <w:rPr>
                <w:rFonts w:ascii="Arial" w:cs="Arial" w:eastAsia="Arial" w:hAnsi="Arial"/>
                <w:sz w:val="18"/>
                <w:szCs w:val="18"/>
                <w:color w:val="auto"/>
                <w:w w:val="93"/>
              </w:rPr>
              <w:t xml:space="preserve">7 </w:t>
            </w:r>
            <w:r>
              <w:rPr>
                <w:rFonts w:ascii="Arial" w:cs="Arial" w:eastAsia="Arial" w:hAnsi="Arial"/>
                <w:sz w:val="11"/>
                <w:szCs w:val="11"/>
                <w:color w:val="auto"/>
                <w:w w:val="93"/>
              </w:rPr>
              <w:t>7</w:t>
            </w:r>
            <w:r>
              <w:rPr>
                <w:rFonts w:ascii="Arial" w:cs="Arial" w:eastAsia="Arial" w:hAnsi="Arial"/>
                <w:sz w:val="18"/>
                <w:szCs w:val="18"/>
                <w:color w:val="auto"/>
                <w:w w:val="93"/>
              </w:rPr>
              <w:t>/</w:t>
            </w:r>
            <w:r>
              <w:rPr>
                <w:rFonts w:ascii="Arial" w:cs="Arial" w:eastAsia="Arial" w:hAnsi="Arial"/>
                <w:sz w:val="13"/>
                <w:szCs w:val="13"/>
                <w:color w:val="auto"/>
                <w:w w:val="93"/>
              </w:rPr>
              <w:t>8</w:t>
            </w:r>
            <w:r>
              <w:rPr>
                <w:rFonts w:ascii="Arial" w:cs="Arial" w:eastAsia="Arial" w:hAnsi="Arial"/>
                <w:sz w:val="18"/>
                <w:szCs w:val="18"/>
                <w:color w:val="auto"/>
                <w:w w:val="93"/>
              </w:rPr>
              <w:t>% First Mortgage Notes due 2020, which we issued on April 28, 2010. The old 2020 notes</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3"/>
          </w:tcPr>
          <w:p>
            <w:pPr>
              <w:ind w:left="1000"/>
              <w:spacing w:after="0"/>
              <w:rPr>
                <w:sz w:val="20"/>
                <w:szCs w:val="20"/>
                <w:color w:val="auto"/>
              </w:rPr>
            </w:pPr>
            <w:r>
              <w:rPr>
                <w:rFonts w:ascii="Arial" w:cs="Arial" w:eastAsia="Arial" w:hAnsi="Arial"/>
                <w:sz w:val="18"/>
                <w:szCs w:val="18"/>
                <w:color w:val="auto"/>
                <w:w w:val="92"/>
              </w:rPr>
              <w:t>were issued under the indenture, dated as of April 28, 2010. The old 2020 notes are, and, upon</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3"/>
          </w:tcPr>
          <w:p>
            <w:pPr>
              <w:ind w:left="1000"/>
              <w:spacing w:after="0"/>
              <w:rPr>
                <w:sz w:val="20"/>
                <w:szCs w:val="20"/>
                <w:color w:val="auto"/>
              </w:rPr>
            </w:pPr>
            <w:r>
              <w:rPr>
                <w:rFonts w:ascii="Arial" w:cs="Arial" w:eastAsia="Arial" w:hAnsi="Arial"/>
                <w:sz w:val="18"/>
                <w:szCs w:val="18"/>
                <w:color w:val="auto"/>
                <w:w w:val="90"/>
              </w:rPr>
              <w:t>consummation of the exchange offer, the new 2020 notes will be, pari passu with the 2014 notes,</w:t>
            </w:r>
          </w:p>
        </w:tc>
      </w:tr>
      <w:tr>
        <w:trPr>
          <w:trHeight w:val="222"/>
        </w:trPr>
        <w:tc>
          <w:tcPr>
            <w:tcW w:w="3400" w:type="dxa"/>
            <w:vAlign w:val="bottom"/>
            <w:tcBorders>
              <w:left w:val="single" w:sz="8" w:color="auto"/>
            </w:tcBorders>
          </w:tcPr>
          <w:p>
            <w:pPr>
              <w:spacing w:after="0"/>
              <w:rPr>
                <w:sz w:val="19"/>
                <w:szCs w:val="19"/>
                <w:color w:val="auto"/>
              </w:rPr>
            </w:pPr>
          </w:p>
        </w:tc>
        <w:tc>
          <w:tcPr>
            <w:tcW w:w="6720" w:type="dxa"/>
            <w:vAlign w:val="bottom"/>
            <w:gridSpan w:val="2"/>
          </w:tcPr>
          <w:p>
            <w:pPr>
              <w:ind w:left="1000"/>
              <w:spacing w:after="0"/>
              <w:rPr>
                <w:sz w:val="20"/>
                <w:szCs w:val="20"/>
                <w:color w:val="auto"/>
              </w:rPr>
            </w:pPr>
            <w:r>
              <w:rPr>
                <w:rFonts w:ascii="Arial" w:cs="Arial" w:eastAsia="Arial" w:hAnsi="Arial"/>
                <w:sz w:val="18"/>
                <w:szCs w:val="18"/>
                <w:color w:val="auto"/>
              </w:rPr>
              <w:t>the 2017 notes and our obligations under our credit facilities.</w:t>
            </w:r>
          </w:p>
        </w:tc>
        <w:tc>
          <w:tcPr>
            <w:tcW w:w="1340" w:type="dxa"/>
            <w:vAlign w:val="bottom"/>
            <w:tcBorders>
              <w:right w:val="single" w:sz="8" w:color="auto"/>
            </w:tcBorders>
          </w:tcPr>
          <w:p>
            <w:pPr>
              <w:spacing w:after="0"/>
              <w:rPr>
                <w:sz w:val="19"/>
                <w:szCs w:val="19"/>
                <w:color w:val="auto"/>
              </w:rPr>
            </w:pPr>
          </w:p>
        </w:tc>
      </w:tr>
      <w:tr>
        <w:trPr>
          <w:trHeight w:val="412"/>
        </w:trPr>
        <w:tc>
          <w:tcPr>
            <w:tcW w:w="34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New 2017 Notes</w:t>
            </w:r>
          </w:p>
        </w:tc>
        <w:tc>
          <w:tcPr>
            <w:tcW w:w="8060" w:type="dxa"/>
            <w:vAlign w:val="bottom"/>
            <w:tcBorders>
              <w:right w:val="single" w:sz="8" w:color="auto"/>
            </w:tcBorders>
            <w:gridSpan w:val="3"/>
          </w:tcPr>
          <w:p>
            <w:pPr>
              <w:ind w:left="1000"/>
              <w:spacing w:after="0"/>
              <w:rPr>
                <w:sz w:val="20"/>
                <w:szCs w:val="20"/>
                <w:color w:val="auto"/>
              </w:rPr>
            </w:pPr>
            <w:r>
              <w:rPr>
                <w:rFonts w:ascii="Arial" w:cs="Arial" w:eastAsia="Arial" w:hAnsi="Arial"/>
                <w:sz w:val="18"/>
                <w:szCs w:val="18"/>
                <w:color w:val="auto"/>
                <w:w w:val="96"/>
              </w:rPr>
              <w:t xml:space="preserve">7 </w:t>
            </w:r>
            <w:r>
              <w:rPr>
                <w:rFonts w:ascii="Arial" w:cs="Arial" w:eastAsia="Arial" w:hAnsi="Arial"/>
                <w:sz w:val="11"/>
                <w:szCs w:val="11"/>
                <w:color w:val="auto"/>
                <w:w w:val="96"/>
              </w:rPr>
              <w:t>7</w:t>
            </w:r>
            <w:r>
              <w:rPr>
                <w:rFonts w:ascii="Arial" w:cs="Arial" w:eastAsia="Arial" w:hAnsi="Arial"/>
                <w:sz w:val="18"/>
                <w:szCs w:val="18"/>
                <w:color w:val="auto"/>
                <w:w w:val="96"/>
              </w:rPr>
              <w:t>/</w:t>
            </w:r>
            <w:r>
              <w:rPr>
                <w:rFonts w:ascii="Arial" w:cs="Arial" w:eastAsia="Arial" w:hAnsi="Arial"/>
                <w:sz w:val="13"/>
                <w:szCs w:val="13"/>
                <w:color w:val="auto"/>
                <w:w w:val="96"/>
              </w:rPr>
              <w:t>8</w:t>
            </w:r>
            <w:r>
              <w:rPr>
                <w:rFonts w:ascii="Arial" w:cs="Arial" w:eastAsia="Arial" w:hAnsi="Arial"/>
                <w:sz w:val="18"/>
                <w:szCs w:val="18"/>
                <w:color w:val="auto"/>
                <w:w w:val="96"/>
              </w:rPr>
              <w:t>% First Mortgage Notes due 2017, the issuance of which has been registered under the</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3"/>
          </w:tcPr>
          <w:p>
            <w:pPr>
              <w:ind w:left="1000"/>
              <w:spacing w:after="0"/>
              <w:rPr>
                <w:sz w:val="20"/>
                <w:szCs w:val="20"/>
                <w:color w:val="auto"/>
              </w:rPr>
            </w:pPr>
            <w:r>
              <w:rPr>
                <w:rFonts w:ascii="Arial" w:cs="Arial" w:eastAsia="Arial" w:hAnsi="Arial"/>
                <w:sz w:val="18"/>
                <w:szCs w:val="18"/>
                <w:color w:val="auto"/>
                <w:w w:val="91"/>
              </w:rPr>
              <w:t>Securities Act. The form and the terms of the new 2017 notes are substantially identical to those</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3"/>
          </w:tcPr>
          <w:p>
            <w:pPr>
              <w:ind w:left="1000"/>
              <w:spacing w:after="0"/>
              <w:rPr>
                <w:sz w:val="20"/>
                <w:szCs w:val="20"/>
                <w:color w:val="auto"/>
              </w:rPr>
            </w:pPr>
            <w:r>
              <w:rPr>
                <w:rFonts w:ascii="Arial" w:cs="Arial" w:eastAsia="Arial" w:hAnsi="Arial"/>
                <w:sz w:val="18"/>
                <w:szCs w:val="18"/>
                <w:color w:val="auto"/>
                <w:w w:val="97"/>
              </w:rPr>
              <w:t>of the old 2017 notes, except that the transfer restrictions, registration rights and liquidated</w:t>
            </w:r>
          </w:p>
        </w:tc>
      </w:tr>
      <w:tr>
        <w:trPr>
          <w:trHeight w:val="222"/>
        </w:trPr>
        <w:tc>
          <w:tcPr>
            <w:tcW w:w="3400" w:type="dxa"/>
            <w:vAlign w:val="bottom"/>
            <w:tcBorders>
              <w:left w:val="single" w:sz="8" w:color="auto"/>
            </w:tcBorders>
          </w:tcPr>
          <w:p>
            <w:pPr>
              <w:spacing w:after="0"/>
              <w:rPr>
                <w:sz w:val="19"/>
                <w:szCs w:val="19"/>
                <w:color w:val="auto"/>
              </w:rPr>
            </w:pPr>
          </w:p>
        </w:tc>
        <w:tc>
          <w:tcPr>
            <w:tcW w:w="8060" w:type="dxa"/>
            <w:vAlign w:val="bottom"/>
            <w:tcBorders>
              <w:right w:val="single" w:sz="8" w:color="auto"/>
            </w:tcBorders>
            <w:gridSpan w:val="3"/>
          </w:tcPr>
          <w:p>
            <w:pPr>
              <w:ind w:left="1000"/>
              <w:spacing w:after="0"/>
              <w:rPr>
                <w:sz w:val="20"/>
                <w:szCs w:val="20"/>
                <w:color w:val="auto"/>
              </w:rPr>
            </w:pPr>
            <w:r>
              <w:rPr>
                <w:rFonts w:ascii="Arial" w:cs="Arial" w:eastAsia="Arial" w:hAnsi="Arial"/>
                <w:sz w:val="18"/>
                <w:szCs w:val="18"/>
                <w:color w:val="auto"/>
              </w:rPr>
              <w:t>damages provisions relating to the old 2017 notes do not apply to the new 2017 notes.</w:t>
            </w:r>
          </w:p>
        </w:tc>
      </w:tr>
      <w:tr>
        <w:trPr>
          <w:trHeight w:val="412"/>
        </w:trPr>
        <w:tc>
          <w:tcPr>
            <w:tcW w:w="34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New 2020 Notes</w:t>
            </w:r>
          </w:p>
        </w:tc>
        <w:tc>
          <w:tcPr>
            <w:tcW w:w="8060" w:type="dxa"/>
            <w:vAlign w:val="bottom"/>
            <w:tcBorders>
              <w:right w:val="single" w:sz="8" w:color="auto"/>
            </w:tcBorders>
            <w:gridSpan w:val="3"/>
          </w:tcPr>
          <w:p>
            <w:pPr>
              <w:ind w:left="1000"/>
              <w:spacing w:after="0"/>
              <w:rPr>
                <w:sz w:val="20"/>
                <w:szCs w:val="20"/>
                <w:color w:val="auto"/>
              </w:rPr>
            </w:pPr>
            <w:r>
              <w:rPr>
                <w:rFonts w:ascii="Arial" w:cs="Arial" w:eastAsia="Arial" w:hAnsi="Arial"/>
                <w:sz w:val="18"/>
                <w:szCs w:val="18"/>
                <w:color w:val="auto"/>
                <w:w w:val="96"/>
              </w:rPr>
              <w:t xml:space="preserve">7 </w:t>
            </w:r>
            <w:r>
              <w:rPr>
                <w:rFonts w:ascii="Arial" w:cs="Arial" w:eastAsia="Arial" w:hAnsi="Arial"/>
                <w:sz w:val="11"/>
                <w:szCs w:val="11"/>
                <w:color w:val="auto"/>
                <w:w w:val="96"/>
              </w:rPr>
              <w:t>7</w:t>
            </w:r>
            <w:r>
              <w:rPr>
                <w:rFonts w:ascii="Arial" w:cs="Arial" w:eastAsia="Arial" w:hAnsi="Arial"/>
                <w:sz w:val="18"/>
                <w:szCs w:val="18"/>
                <w:color w:val="auto"/>
                <w:w w:val="96"/>
              </w:rPr>
              <w:t>/</w:t>
            </w:r>
            <w:r>
              <w:rPr>
                <w:rFonts w:ascii="Arial" w:cs="Arial" w:eastAsia="Arial" w:hAnsi="Arial"/>
                <w:sz w:val="13"/>
                <w:szCs w:val="13"/>
                <w:color w:val="auto"/>
                <w:w w:val="96"/>
              </w:rPr>
              <w:t>8</w:t>
            </w:r>
            <w:r>
              <w:rPr>
                <w:rFonts w:ascii="Arial" w:cs="Arial" w:eastAsia="Arial" w:hAnsi="Arial"/>
                <w:sz w:val="18"/>
                <w:szCs w:val="18"/>
                <w:color w:val="auto"/>
                <w:w w:val="96"/>
              </w:rPr>
              <w:t>% First Mortgage Notes due 2020, the issuance of which has been registered under the</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3"/>
          </w:tcPr>
          <w:p>
            <w:pPr>
              <w:ind w:left="1000"/>
              <w:spacing w:after="0"/>
              <w:rPr>
                <w:sz w:val="20"/>
                <w:szCs w:val="20"/>
                <w:color w:val="auto"/>
              </w:rPr>
            </w:pPr>
            <w:r>
              <w:rPr>
                <w:rFonts w:ascii="Arial" w:cs="Arial" w:eastAsia="Arial" w:hAnsi="Arial"/>
                <w:sz w:val="18"/>
                <w:szCs w:val="18"/>
                <w:color w:val="auto"/>
                <w:w w:val="91"/>
              </w:rPr>
              <w:t>Securities Act. The form and the terms of the new notes are substantially identical to those of the</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3"/>
          </w:tcPr>
          <w:p>
            <w:pPr>
              <w:ind w:left="1000"/>
              <w:spacing w:after="0"/>
              <w:rPr>
                <w:sz w:val="20"/>
                <w:szCs w:val="20"/>
                <w:color w:val="auto"/>
              </w:rPr>
            </w:pPr>
            <w:r>
              <w:rPr>
                <w:rFonts w:ascii="Arial" w:cs="Arial" w:eastAsia="Arial" w:hAnsi="Arial"/>
                <w:sz w:val="18"/>
                <w:szCs w:val="18"/>
                <w:color w:val="auto"/>
                <w:w w:val="93"/>
              </w:rPr>
              <w:t>old 2020 notes, except that the transfer restrictions, registration rights and liquidated damages</w:t>
            </w:r>
          </w:p>
        </w:tc>
      </w:tr>
      <w:tr>
        <w:trPr>
          <w:trHeight w:val="222"/>
        </w:trPr>
        <w:tc>
          <w:tcPr>
            <w:tcW w:w="3400" w:type="dxa"/>
            <w:vAlign w:val="bottom"/>
            <w:tcBorders>
              <w:left w:val="single" w:sz="8" w:color="auto"/>
            </w:tcBorders>
          </w:tcPr>
          <w:p>
            <w:pPr>
              <w:spacing w:after="0"/>
              <w:rPr>
                <w:sz w:val="19"/>
                <w:szCs w:val="19"/>
                <w:color w:val="auto"/>
              </w:rPr>
            </w:pPr>
          </w:p>
        </w:tc>
        <w:tc>
          <w:tcPr>
            <w:tcW w:w="6720" w:type="dxa"/>
            <w:vAlign w:val="bottom"/>
            <w:gridSpan w:val="2"/>
          </w:tcPr>
          <w:p>
            <w:pPr>
              <w:ind w:left="1000"/>
              <w:spacing w:after="0"/>
              <w:rPr>
                <w:sz w:val="20"/>
                <w:szCs w:val="20"/>
                <w:color w:val="auto"/>
              </w:rPr>
            </w:pPr>
            <w:r>
              <w:rPr>
                <w:rFonts w:ascii="Arial" w:cs="Arial" w:eastAsia="Arial" w:hAnsi="Arial"/>
                <w:sz w:val="18"/>
                <w:szCs w:val="18"/>
                <w:color w:val="auto"/>
                <w:w w:val="93"/>
              </w:rPr>
              <w:t>provisions relating to the old 2020 notes do not apply to the new 2020 notes.</w:t>
            </w:r>
          </w:p>
        </w:tc>
        <w:tc>
          <w:tcPr>
            <w:tcW w:w="1340" w:type="dxa"/>
            <w:vAlign w:val="bottom"/>
            <w:tcBorders>
              <w:right w:val="single" w:sz="8" w:color="auto"/>
            </w:tcBorders>
          </w:tcPr>
          <w:p>
            <w:pPr>
              <w:spacing w:after="0"/>
              <w:rPr>
                <w:sz w:val="19"/>
                <w:szCs w:val="19"/>
                <w:color w:val="auto"/>
              </w:rPr>
            </w:pPr>
          </w:p>
        </w:tc>
      </w:tr>
      <w:tr>
        <w:trPr>
          <w:trHeight w:val="412"/>
        </w:trPr>
        <w:tc>
          <w:tcPr>
            <w:tcW w:w="34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Exchange Offer for 2017 Notes</w:t>
            </w:r>
          </w:p>
        </w:tc>
        <w:tc>
          <w:tcPr>
            <w:tcW w:w="8060" w:type="dxa"/>
            <w:vAlign w:val="bottom"/>
            <w:tcBorders>
              <w:right w:val="single" w:sz="8" w:color="auto"/>
            </w:tcBorders>
            <w:gridSpan w:val="3"/>
          </w:tcPr>
          <w:p>
            <w:pPr>
              <w:ind w:left="1000"/>
              <w:spacing w:after="0"/>
              <w:rPr>
                <w:sz w:val="20"/>
                <w:szCs w:val="20"/>
                <w:color w:val="auto"/>
              </w:rPr>
            </w:pPr>
            <w:r>
              <w:rPr>
                <w:rFonts w:ascii="Arial" w:cs="Arial" w:eastAsia="Arial" w:hAnsi="Arial"/>
                <w:sz w:val="18"/>
                <w:szCs w:val="18"/>
                <w:color w:val="auto"/>
                <w:w w:val="94"/>
              </w:rPr>
              <w:t>We are offering to issue up to $500,000,000 aggregate principal amount of new 2017 notes in</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3"/>
          </w:tcPr>
          <w:p>
            <w:pPr>
              <w:ind w:left="1000"/>
              <w:spacing w:after="0"/>
              <w:rPr>
                <w:sz w:val="20"/>
                <w:szCs w:val="20"/>
                <w:color w:val="auto"/>
              </w:rPr>
            </w:pPr>
            <w:r>
              <w:rPr>
                <w:rFonts w:ascii="Arial" w:cs="Arial" w:eastAsia="Arial" w:hAnsi="Arial"/>
                <w:sz w:val="18"/>
                <w:szCs w:val="18"/>
                <w:color w:val="auto"/>
                <w:w w:val="98"/>
              </w:rPr>
              <w:t>exchange for a like principal amount of old 2017 notes to satisfy our obligations under the</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3"/>
          </w:tcPr>
          <w:p>
            <w:pPr>
              <w:ind w:left="1000"/>
              <w:spacing w:after="0"/>
              <w:rPr>
                <w:sz w:val="20"/>
                <w:szCs w:val="20"/>
                <w:color w:val="auto"/>
              </w:rPr>
            </w:pPr>
            <w:r>
              <w:rPr>
                <w:rFonts w:ascii="Arial" w:cs="Arial" w:eastAsia="Arial" w:hAnsi="Arial"/>
                <w:sz w:val="18"/>
                <w:szCs w:val="18"/>
                <w:color w:val="auto"/>
                <w:w w:val="98"/>
              </w:rPr>
              <w:t>registration rights agreement that we entered into when the old 2017 notes were issued in</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3"/>
          </w:tcPr>
          <w:p>
            <w:pPr>
              <w:ind w:left="1000"/>
              <w:spacing w:after="0"/>
              <w:rPr>
                <w:sz w:val="20"/>
                <w:szCs w:val="20"/>
                <w:color w:val="auto"/>
              </w:rPr>
            </w:pPr>
            <w:r>
              <w:rPr>
                <w:rFonts w:ascii="Arial" w:cs="Arial" w:eastAsia="Arial" w:hAnsi="Arial"/>
                <w:sz w:val="18"/>
                <w:szCs w:val="18"/>
                <w:color w:val="auto"/>
                <w:w w:val="93"/>
              </w:rPr>
              <w:t>transactions consummated in reliance upon the exemptions from registration provided by Rule</w:t>
            </w:r>
          </w:p>
        </w:tc>
      </w:tr>
      <w:tr>
        <w:trPr>
          <w:trHeight w:val="222"/>
        </w:trPr>
        <w:tc>
          <w:tcPr>
            <w:tcW w:w="3400" w:type="dxa"/>
            <w:vAlign w:val="bottom"/>
            <w:tcBorders>
              <w:left w:val="single" w:sz="8" w:color="auto"/>
            </w:tcBorders>
          </w:tcPr>
          <w:p>
            <w:pPr>
              <w:spacing w:after="0"/>
              <w:rPr>
                <w:sz w:val="19"/>
                <w:szCs w:val="19"/>
                <w:color w:val="auto"/>
              </w:rPr>
            </w:pPr>
          </w:p>
        </w:tc>
        <w:tc>
          <w:tcPr>
            <w:tcW w:w="6720" w:type="dxa"/>
            <w:vAlign w:val="bottom"/>
            <w:gridSpan w:val="2"/>
          </w:tcPr>
          <w:p>
            <w:pPr>
              <w:ind w:left="1000"/>
              <w:spacing w:after="0"/>
              <w:rPr>
                <w:sz w:val="20"/>
                <w:szCs w:val="20"/>
                <w:color w:val="auto"/>
              </w:rPr>
            </w:pPr>
            <w:r>
              <w:rPr>
                <w:rFonts w:ascii="Arial" w:cs="Arial" w:eastAsia="Arial" w:hAnsi="Arial"/>
                <w:sz w:val="18"/>
                <w:szCs w:val="18"/>
                <w:color w:val="auto"/>
              </w:rPr>
              <w:t>144A and Regulation S under the Securities Act.</w:t>
            </w:r>
          </w:p>
        </w:tc>
        <w:tc>
          <w:tcPr>
            <w:tcW w:w="1340" w:type="dxa"/>
            <w:vAlign w:val="bottom"/>
            <w:tcBorders>
              <w:right w:val="single" w:sz="8" w:color="auto"/>
            </w:tcBorders>
          </w:tcPr>
          <w:p>
            <w:pPr>
              <w:spacing w:after="0"/>
              <w:rPr>
                <w:sz w:val="19"/>
                <w:szCs w:val="19"/>
                <w:color w:val="auto"/>
              </w:rPr>
            </w:pPr>
          </w:p>
        </w:tc>
      </w:tr>
      <w:tr>
        <w:trPr>
          <w:trHeight w:val="412"/>
        </w:trPr>
        <w:tc>
          <w:tcPr>
            <w:tcW w:w="34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Exchange Offer for 2020 Notes</w:t>
            </w:r>
          </w:p>
        </w:tc>
        <w:tc>
          <w:tcPr>
            <w:tcW w:w="8060" w:type="dxa"/>
            <w:vAlign w:val="bottom"/>
            <w:tcBorders>
              <w:right w:val="single" w:sz="8" w:color="auto"/>
            </w:tcBorders>
            <w:gridSpan w:val="3"/>
          </w:tcPr>
          <w:p>
            <w:pPr>
              <w:ind w:left="1000"/>
              <w:spacing w:after="0"/>
              <w:rPr>
                <w:sz w:val="20"/>
                <w:szCs w:val="20"/>
                <w:color w:val="auto"/>
              </w:rPr>
            </w:pPr>
            <w:r>
              <w:rPr>
                <w:rFonts w:ascii="Arial" w:cs="Arial" w:eastAsia="Arial" w:hAnsi="Arial"/>
                <w:sz w:val="18"/>
                <w:szCs w:val="18"/>
                <w:color w:val="auto"/>
                <w:w w:val="94"/>
              </w:rPr>
              <w:t>We are offering to issue up to $382,010,000 aggregate principal amount of new 2020 notes in</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3"/>
          </w:tcPr>
          <w:p>
            <w:pPr>
              <w:ind w:left="1000"/>
              <w:spacing w:after="0"/>
              <w:rPr>
                <w:sz w:val="20"/>
                <w:szCs w:val="20"/>
                <w:color w:val="auto"/>
              </w:rPr>
            </w:pPr>
            <w:r>
              <w:rPr>
                <w:rFonts w:ascii="Arial" w:cs="Arial" w:eastAsia="Arial" w:hAnsi="Arial"/>
                <w:sz w:val="18"/>
                <w:szCs w:val="18"/>
                <w:color w:val="auto"/>
                <w:w w:val="98"/>
              </w:rPr>
              <w:t>exchange for a like principal amount of old 2020 notes to satisfy our obligations under the</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3"/>
          </w:tcPr>
          <w:p>
            <w:pPr>
              <w:ind w:left="1000"/>
              <w:spacing w:after="0"/>
              <w:rPr>
                <w:sz w:val="20"/>
                <w:szCs w:val="20"/>
                <w:color w:val="auto"/>
              </w:rPr>
            </w:pPr>
            <w:r>
              <w:rPr>
                <w:rFonts w:ascii="Arial" w:cs="Arial" w:eastAsia="Arial" w:hAnsi="Arial"/>
                <w:sz w:val="18"/>
                <w:szCs w:val="18"/>
                <w:color w:val="auto"/>
                <w:w w:val="98"/>
              </w:rPr>
              <w:t>registration rights agreement that we entered into when the old 2020 notes were issued in</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3"/>
          </w:tcPr>
          <w:p>
            <w:pPr>
              <w:ind w:left="1000"/>
              <w:spacing w:after="0"/>
              <w:rPr>
                <w:sz w:val="20"/>
                <w:szCs w:val="20"/>
                <w:color w:val="auto"/>
              </w:rPr>
            </w:pPr>
            <w:r>
              <w:rPr>
                <w:rFonts w:ascii="Arial" w:cs="Arial" w:eastAsia="Arial" w:hAnsi="Arial"/>
                <w:sz w:val="18"/>
                <w:szCs w:val="18"/>
                <w:color w:val="auto"/>
                <w:w w:val="93"/>
              </w:rPr>
              <w:t>transactions consummated in reliance upon the exemptions from registration provided by Rule</w:t>
            </w:r>
          </w:p>
        </w:tc>
      </w:tr>
      <w:tr>
        <w:trPr>
          <w:trHeight w:val="222"/>
        </w:trPr>
        <w:tc>
          <w:tcPr>
            <w:tcW w:w="3400" w:type="dxa"/>
            <w:vAlign w:val="bottom"/>
            <w:tcBorders>
              <w:left w:val="single" w:sz="8" w:color="auto"/>
            </w:tcBorders>
          </w:tcPr>
          <w:p>
            <w:pPr>
              <w:spacing w:after="0"/>
              <w:rPr>
                <w:sz w:val="19"/>
                <w:szCs w:val="19"/>
                <w:color w:val="auto"/>
              </w:rPr>
            </w:pPr>
          </w:p>
        </w:tc>
        <w:tc>
          <w:tcPr>
            <w:tcW w:w="6720" w:type="dxa"/>
            <w:vAlign w:val="bottom"/>
            <w:gridSpan w:val="2"/>
          </w:tcPr>
          <w:p>
            <w:pPr>
              <w:ind w:left="1000"/>
              <w:spacing w:after="0"/>
              <w:rPr>
                <w:sz w:val="20"/>
                <w:szCs w:val="20"/>
                <w:color w:val="auto"/>
              </w:rPr>
            </w:pPr>
            <w:r>
              <w:rPr>
                <w:rFonts w:ascii="Arial" w:cs="Arial" w:eastAsia="Arial" w:hAnsi="Arial"/>
                <w:sz w:val="18"/>
                <w:szCs w:val="18"/>
                <w:color w:val="auto"/>
              </w:rPr>
              <w:t>144A and Regulation S under the Securities Act.</w:t>
            </w:r>
          </w:p>
        </w:tc>
        <w:tc>
          <w:tcPr>
            <w:tcW w:w="1340" w:type="dxa"/>
            <w:vAlign w:val="bottom"/>
            <w:tcBorders>
              <w:right w:val="single" w:sz="8" w:color="auto"/>
            </w:tcBorders>
          </w:tcPr>
          <w:p>
            <w:pPr>
              <w:spacing w:after="0"/>
              <w:rPr>
                <w:sz w:val="19"/>
                <w:szCs w:val="19"/>
                <w:color w:val="auto"/>
              </w:rPr>
            </w:pPr>
          </w:p>
        </w:tc>
      </w:tr>
      <w:tr>
        <w:trPr>
          <w:trHeight w:val="412"/>
        </w:trPr>
        <w:tc>
          <w:tcPr>
            <w:tcW w:w="34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Expiration Date; Tenders</w:t>
            </w:r>
          </w:p>
        </w:tc>
        <w:tc>
          <w:tcPr>
            <w:tcW w:w="6720" w:type="dxa"/>
            <w:vAlign w:val="bottom"/>
            <w:gridSpan w:val="2"/>
          </w:tcPr>
          <w:p>
            <w:pPr>
              <w:ind w:left="1000"/>
              <w:spacing w:after="0"/>
              <w:rPr>
                <w:sz w:val="20"/>
                <w:szCs w:val="20"/>
                <w:color w:val="auto"/>
              </w:rPr>
            </w:pPr>
            <w:r>
              <w:rPr>
                <w:rFonts w:ascii="Arial" w:cs="Arial" w:eastAsia="Arial" w:hAnsi="Arial"/>
                <w:sz w:val="18"/>
                <w:szCs w:val="18"/>
                <w:color w:val="auto"/>
              </w:rPr>
              <w:t>The exchange offer will expire at 5:00 p.m., New York City time, on</w:t>
            </w:r>
          </w:p>
        </w:tc>
        <w:tc>
          <w:tcPr>
            <w:tcW w:w="13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 2010, unless</w:t>
            </w:r>
          </w:p>
        </w:tc>
      </w:tr>
      <w:tr>
        <w:trPr>
          <w:trHeight w:val="222"/>
        </w:trPr>
        <w:tc>
          <w:tcPr>
            <w:tcW w:w="3400" w:type="dxa"/>
            <w:vAlign w:val="bottom"/>
            <w:tcBorders>
              <w:left w:val="single" w:sz="8" w:color="auto"/>
            </w:tcBorders>
          </w:tcPr>
          <w:p>
            <w:pPr>
              <w:spacing w:after="0"/>
              <w:rPr>
                <w:sz w:val="19"/>
                <w:szCs w:val="19"/>
                <w:color w:val="auto"/>
              </w:rPr>
            </w:pPr>
          </w:p>
        </w:tc>
        <w:tc>
          <w:tcPr>
            <w:tcW w:w="8060" w:type="dxa"/>
            <w:vAlign w:val="bottom"/>
            <w:tcBorders>
              <w:right w:val="single" w:sz="8" w:color="auto"/>
            </w:tcBorders>
            <w:gridSpan w:val="3"/>
          </w:tcPr>
          <w:p>
            <w:pPr>
              <w:ind w:left="1000"/>
              <w:spacing w:after="0"/>
              <w:rPr>
                <w:sz w:val="20"/>
                <w:szCs w:val="20"/>
                <w:color w:val="auto"/>
              </w:rPr>
            </w:pPr>
            <w:r>
              <w:rPr>
                <w:rFonts w:ascii="Arial" w:cs="Arial" w:eastAsia="Arial" w:hAnsi="Arial"/>
                <w:sz w:val="18"/>
                <w:szCs w:val="18"/>
                <w:color w:val="auto"/>
              </w:rPr>
              <w:t>we extend the exchange offer. By tendering your old notes, you represent to us that:</w:t>
            </w:r>
          </w:p>
        </w:tc>
      </w:tr>
      <w:tr>
        <w:trPr>
          <w:trHeight w:val="297"/>
        </w:trPr>
        <w:tc>
          <w:tcPr>
            <w:tcW w:w="3400" w:type="dxa"/>
            <w:vAlign w:val="bottom"/>
            <w:tcBorders>
              <w:left w:val="single" w:sz="8" w:color="auto"/>
            </w:tcBorders>
          </w:tcPr>
          <w:p>
            <w:pPr>
              <w:spacing w:after="0"/>
              <w:rPr>
                <w:sz w:val="24"/>
                <w:szCs w:val="24"/>
                <w:color w:val="auto"/>
              </w:rPr>
            </w:pPr>
          </w:p>
        </w:tc>
        <w:tc>
          <w:tcPr>
            <w:tcW w:w="1240" w:type="dxa"/>
            <w:vAlign w:val="bottom"/>
          </w:tcPr>
          <w:p>
            <w:pPr>
              <w:ind w:left="1000"/>
              <w:spacing w:after="0"/>
              <w:rPr>
                <w:sz w:val="20"/>
                <w:szCs w:val="20"/>
                <w:color w:val="auto"/>
              </w:rPr>
            </w:pPr>
            <w:r>
              <w:rPr>
                <w:rFonts w:ascii="Arial" w:cs="Arial" w:eastAsia="Arial" w:hAnsi="Arial"/>
                <w:sz w:val="18"/>
                <w:szCs w:val="18"/>
                <w:color w:val="auto"/>
              </w:rPr>
              <w:t>•</w:t>
            </w:r>
          </w:p>
        </w:tc>
        <w:tc>
          <w:tcPr>
            <w:tcW w:w="5480" w:type="dxa"/>
            <w:vAlign w:val="bottom"/>
          </w:tcPr>
          <w:p>
            <w:pPr>
              <w:ind w:left="180"/>
              <w:spacing w:after="0"/>
              <w:rPr>
                <w:sz w:val="20"/>
                <w:szCs w:val="20"/>
                <w:color w:val="auto"/>
              </w:rPr>
            </w:pPr>
            <w:r>
              <w:rPr>
                <w:rFonts w:ascii="Arial" w:cs="Arial" w:eastAsia="Arial" w:hAnsi="Arial"/>
                <w:sz w:val="18"/>
                <w:szCs w:val="18"/>
                <w:color w:val="auto"/>
                <w:w w:val="90"/>
              </w:rPr>
              <w:t>you are not our “affiliate,” as defined in Rule 405 under the Securities Act;</w:t>
            </w:r>
          </w:p>
        </w:tc>
        <w:tc>
          <w:tcPr>
            <w:tcW w:w="1340" w:type="dxa"/>
            <w:vAlign w:val="bottom"/>
            <w:tcBorders>
              <w:right w:val="single" w:sz="8" w:color="auto"/>
            </w:tcBorders>
          </w:tcPr>
          <w:p>
            <w:pPr>
              <w:spacing w:after="0"/>
              <w:rPr>
                <w:sz w:val="24"/>
                <w:szCs w:val="24"/>
                <w:color w:val="auto"/>
              </w:rPr>
            </w:pPr>
          </w:p>
        </w:tc>
      </w:tr>
      <w:tr>
        <w:trPr>
          <w:trHeight w:val="161"/>
        </w:trPr>
        <w:tc>
          <w:tcPr>
            <w:tcW w:w="3400" w:type="dxa"/>
            <w:vAlign w:val="bottom"/>
            <w:tcBorders>
              <w:left w:val="single" w:sz="8" w:color="auto"/>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5480" w:type="dxa"/>
            <w:vAlign w:val="bottom"/>
            <w:tcBorders>
              <w:bottom w:val="single" w:sz="8" w:color="auto"/>
            </w:tcBorders>
          </w:tcPr>
          <w:p>
            <w:pPr>
              <w:spacing w:after="0"/>
              <w:rPr>
                <w:sz w:val="13"/>
                <w:szCs w:val="13"/>
                <w:color w:val="auto"/>
              </w:rPr>
            </w:pPr>
          </w:p>
        </w:tc>
        <w:tc>
          <w:tcPr>
            <w:tcW w:w="1340" w:type="dxa"/>
            <w:vAlign w:val="bottom"/>
            <w:tcBorders>
              <w:bottom w:val="single" w:sz="8" w:color="auto"/>
              <w:right w:val="single" w:sz="8" w:color="auto"/>
            </w:tcBorders>
          </w:tcPr>
          <w:p>
            <w:pPr>
              <w:spacing w:after="0"/>
              <w:rPr>
                <w:sz w:val="13"/>
                <w:szCs w:val="13"/>
                <w:color w:val="auto"/>
              </w:rPr>
            </w:pPr>
          </w:p>
        </w:tc>
      </w:tr>
      <w:tr>
        <w:trPr>
          <w:trHeight w:val="359"/>
        </w:trPr>
        <w:tc>
          <w:tcPr>
            <w:tcW w:w="3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480" w:type="dxa"/>
            <w:vAlign w:val="bottom"/>
          </w:tcPr>
          <w:p>
            <w:pPr>
              <w:jc w:val="right"/>
              <w:ind w:right="4272"/>
              <w:spacing w:after="0"/>
              <w:rPr>
                <w:sz w:val="20"/>
                <w:szCs w:val="20"/>
                <w:color w:val="auto"/>
              </w:rPr>
            </w:pPr>
            <w:r>
              <w:rPr>
                <w:rFonts w:ascii="Arial" w:cs="Arial" w:eastAsia="Arial" w:hAnsi="Arial"/>
                <w:sz w:val="18"/>
                <w:szCs w:val="18"/>
                <w:color w:val="auto"/>
              </w:rPr>
              <w:t>3</w:t>
            </w:r>
          </w:p>
        </w:tc>
        <w:tc>
          <w:tcPr>
            <w:tcW w:w="1340" w:type="dxa"/>
            <w:vAlign w:val="bottom"/>
          </w:tcPr>
          <w:p>
            <w:pPr>
              <w:spacing w:after="0"/>
              <w:rPr>
                <w:sz w:val="24"/>
                <w:szCs w:val="24"/>
                <w:color w:val="auto"/>
              </w:rPr>
            </w:pPr>
          </w:p>
        </w:tc>
      </w:tr>
    </w:tbl>
    <w:p>
      <w:pPr>
        <w:sectPr>
          <w:pgSz w:w="11900" w:h="16838" w:orient="portrait"/>
          <w:cols w:equalWidth="0" w:num="1">
            <w:col w:w="11460"/>
          </w:cols>
          <w:pgMar w:left="240" w:top="459" w:right="1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302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6465" cy="593026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820" w:right="300" w:hanging="423"/>
        <w:spacing w:after="0" w:line="268" w:lineRule="auto"/>
        <w:tabs>
          <w:tab w:leader="none" w:pos="4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new notes you receive in the exchange offer are being acquired by you in the ordinary course of your business;</w:t>
      </w:r>
    </w:p>
    <w:p>
      <w:pPr>
        <w:spacing w:after="0" w:line="50" w:lineRule="exact"/>
        <w:rPr>
          <w:rFonts w:ascii="Arial" w:cs="Arial" w:eastAsia="Arial" w:hAnsi="Arial"/>
          <w:sz w:val="18"/>
          <w:szCs w:val="18"/>
          <w:color w:val="auto"/>
        </w:rPr>
      </w:pPr>
    </w:p>
    <w:p>
      <w:pPr>
        <w:ind w:left="4820" w:right="360" w:hanging="423"/>
        <w:spacing w:after="0" w:line="256" w:lineRule="auto"/>
        <w:tabs>
          <w:tab w:leader="none" w:pos="4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 the time of the commencement of the exchange offer, neither you nor, to your knowledge, anyone receiving new notes from you, has any arrangement or understanding with any person to participate in the distribution, as defined in the Securities Act, of the new notes in violation of the Securities Act;</w:t>
      </w:r>
    </w:p>
    <w:p>
      <w:pPr>
        <w:spacing w:after="0" w:line="62" w:lineRule="exact"/>
        <w:rPr>
          <w:rFonts w:ascii="Arial" w:cs="Arial" w:eastAsia="Arial" w:hAnsi="Arial"/>
          <w:sz w:val="18"/>
          <w:szCs w:val="18"/>
          <w:color w:val="auto"/>
        </w:rPr>
      </w:pPr>
    </w:p>
    <w:p>
      <w:pPr>
        <w:ind w:left="4820" w:right="260" w:hanging="423"/>
        <w:spacing w:after="0" w:line="254" w:lineRule="auto"/>
        <w:tabs>
          <w:tab w:leader="none" w:pos="4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you are a broker-dealer, you will receive the new notes for your own account in exchange for old notes that were acquired by you as a result of your market-making or other trading activities and that you will deliver a prospectus in connection with any resale of the new notes you receive; for further information regarding resales of the new notes by participating broker-dealers, see the discussion under the caption “Plan of Distribution”; and</w:t>
      </w:r>
    </w:p>
    <w:p>
      <w:pPr>
        <w:spacing w:after="0" w:line="63" w:lineRule="exact"/>
        <w:rPr>
          <w:rFonts w:ascii="Arial" w:cs="Arial" w:eastAsia="Arial" w:hAnsi="Arial"/>
          <w:sz w:val="18"/>
          <w:szCs w:val="18"/>
          <w:color w:val="auto"/>
        </w:rPr>
      </w:pPr>
    </w:p>
    <w:p>
      <w:pPr>
        <w:ind w:left="4820" w:right="380" w:hanging="423"/>
        <w:spacing w:after="0" w:line="268" w:lineRule="auto"/>
        <w:tabs>
          <w:tab w:leader="none" w:pos="4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you are not a broker-dealer, you are not engaged in, and do not intend to engage in, the distribution of the new notes, as defined in the Securities Act.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ind w:left="200"/>
              <w:spacing w:after="0"/>
              <w:rPr>
                <w:sz w:val="20"/>
                <w:szCs w:val="20"/>
                <w:color w:val="auto"/>
              </w:rPr>
            </w:pPr>
            <w:r>
              <w:rPr>
                <w:rFonts w:ascii="Arial" w:cs="Arial" w:eastAsia="Arial" w:hAnsi="Arial"/>
                <w:sz w:val="18"/>
                <w:szCs w:val="18"/>
                <w:color w:val="auto"/>
              </w:rPr>
              <w:t>Withdrawal; Non-Acceptance</w:t>
            </w:r>
          </w:p>
        </w:tc>
        <w:tc>
          <w:tcPr>
            <w:tcW w:w="7980" w:type="dxa"/>
            <w:vAlign w:val="bottom"/>
            <w:gridSpan w:val="3"/>
          </w:tcPr>
          <w:p>
            <w:pPr>
              <w:ind w:left="920"/>
              <w:spacing w:after="0"/>
              <w:rPr>
                <w:sz w:val="20"/>
                <w:szCs w:val="20"/>
                <w:color w:val="auto"/>
              </w:rPr>
            </w:pPr>
            <w:r>
              <w:rPr>
                <w:rFonts w:ascii="Arial" w:cs="Arial" w:eastAsia="Arial" w:hAnsi="Arial"/>
                <w:sz w:val="18"/>
                <w:szCs w:val="18"/>
                <w:color w:val="auto"/>
                <w:w w:val="94"/>
              </w:rPr>
              <w:t>You may withdraw any old notes tendered in the exchange offer at any time prior to 5:00 p.m.,</w:t>
            </w:r>
          </w:p>
        </w:tc>
      </w:tr>
      <w:tr>
        <w:trPr>
          <w:trHeight w:val="216"/>
        </w:trPr>
        <w:tc>
          <w:tcPr>
            <w:tcW w:w="3480" w:type="dxa"/>
            <w:vAlign w:val="bottom"/>
          </w:tcPr>
          <w:p>
            <w:pPr>
              <w:spacing w:after="0"/>
              <w:rPr>
                <w:sz w:val="18"/>
                <w:szCs w:val="18"/>
                <w:color w:val="auto"/>
              </w:rPr>
            </w:pPr>
          </w:p>
        </w:tc>
        <w:tc>
          <w:tcPr>
            <w:tcW w:w="3340" w:type="dxa"/>
            <w:vAlign w:val="bottom"/>
            <w:gridSpan w:val="2"/>
          </w:tcPr>
          <w:p>
            <w:pPr>
              <w:ind w:left="920"/>
              <w:spacing w:after="0"/>
              <w:rPr>
                <w:sz w:val="20"/>
                <w:szCs w:val="20"/>
                <w:color w:val="auto"/>
              </w:rPr>
            </w:pPr>
            <w:r>
              <w:rPr>
                <w:rFonts w:ascii="Arial" w:cs="Arial" w:eastAsia="Arial" w:hAnsi="Arial"/>
                <w:sz w:val="18"/>
                <w:szCs w:val="18"/>
                <w:color w:val="auto"/>
              </w:rPr>
              <w:t>New York City time, on</w:t>
            </w:r>
          </w:p>
        </w:tc>
        <w:tc>
          <w:tcPr>
            <w:tcW w:w="4640" w:type="dxa"/>
            <w:vAlign w:val="bottom"/>
          </w:tcPr>
          <w:p>
            <w:pPr>
              <w:ind w:left="180"/>
              <w:spacing w:after="0"/>
              <w:rPr>
                <w:sz w:val="20"/>
                <w:szCs w:val="20"/>
                <w:color w:val="auto"/>
              </w:rPr>
            </w:pPr>
            <w:r>
              <w:rPr>
                <w:rFonts w:ascii="Arial" w:cs="Arial" w:eastAsia="Arial" w:hAnsi="Arial"/>
                <w:sz w:val="18"/>
                <w:szCs w:val="18"/>
                <w:color w:val="auto"/>
              </w:rPr>
              <w:t>, 2010, which date we may extend if we extend the</w:t>
            </w:r>
          </w:p>
        </w:tc>
      </w:tr>
      <w:tr>
        <w:trPr>
          <w:trHeight w:val="216"/>
        </w:trPr>
        <w:tc>
          <w:tcPr>
            <w:tcW w:w="3480" w:type="dxa"/>
            <w:vAlign w:val="bottom"/>
          </w:tcPr>
          <w:p>
            <w:pPr>
              <w:spacing w:after="0"/>
              <w:rPr>
                <w:sz w:val="18"/>
                <w:szCs w:val="18"/>
                <w:color w:val="auto"/>
              </w:rPr>
            </w:pPr>
          </w:p>
        </w:tc>
        <w:tc>
          <w:tcPr>
            <w:tcW w:w="7980" w:type="dxa"/>
            <w:vAlign w:val="bottom"/>
            <w:gridSpan w:val="3"/>
          </w:tcPr>
          <w:p>
            <w:pPr>
              <w:ind w:left="920"/>
              <w:spacing w:after="0"/>
              <w:rPr>
                <w:sz w:val="20"/>
                <w:szCs w:val="20"/>
                <w:color w:val="auto"/>
              </w:rPr>
            </w:pPr>
            <w:r>
              <w:rPr>
                <w:rFonts w:ascii="Arial" w:cs="Arial" w:eastAsia="Arial" w:hAnsi="Arial"/>
                <w:sz w:val="18"/>
                <w:szCs w:val="18"/>
                <w:color w:val="auto"/>
                <w:w w:val="93"/>
              </w:rPr>
              <w:t>exchange offer. If we decide for any reason not to accept any old notes tendered for exchange,</w:t>
            </w:r>
          </w:p>
        </w:tc>
      </w:tr>
      <w:tr>
        <w:trPr>
          <w:trHeight w:val="216"/>
        </w:trPr>
        <w:tc>
          <w:tcPr>
            <w:tcW w:w="3480" w:type="dxa"/>
            <w:vAlign w:val="bottom"/>
          </w:tcPr>
          <w:p>
            <w:pPr>
              <w:spacing w:after="0"/>
              <w:rPr>
                <w:sz w:val="18"/>
                <w:szCs w:val="18"/>
                <w:color w:val="auto"/>
              </w:rPr>
            </w:pPr>
          </w:p>
        </w:tc>
        <w:tc>
          <w:tcPr>
            <w:tcW w:w="7980" w:type="dxa"/>
            <w:vAlign w:val="bottom"/>
            <w:gridSpan w:val="3"/>
          </w:tcPr>
          <w:p>
            <w:pPr>
              <w:ind w:left="920"/>
              <w:spacing w:after="0"/>
              <w:rPr>
                <w:sz w:val="20"/>
                <w:szCs w:val="20"/>
                <w:color w:val="auto"/>
              </w:rPr>
            </w:pPr>
            <w:r>
              <w:rPr>
                <w:rFonts w:ascii="Arial" w:cs="Arial" w:eastAsia="Arial" w:hAnsi="Arial"/>
                <w:sz w:val="18"/>
                <w:szCs w:val="18"/>
                <w:color w:val="auto"/>
                <w:w w:val="91"/>
              </w:rPr>
              <w:t>the old notes will be returned to the registered holder at our expense promptly after the expiration</w:t>
            </w:r>
          </w:p>
        </w:tc>
      </w:tr>
      <w:tr>
        <w:trPr>
          <w:trHeight w:val="216"/>
        </w:trPr>
        <w:tc>
          <w:tcPr>
            <w:tcW w:w="3480" w:type="dxa"/>
            <w:vAlign w:val="bottom"/>
          </w:tcPr>
          <w:p>
            <w:pPr>
              <w:spacing w:after="0"/>
              <w:rPr>
                <w:sz w:val="18"/>
                <w:szCs w:val="18"/>
                <w:color w:val="auto"/>
              </w:rPr>
            </w:pPr>
          </w:p>
        </w:tc>
        <w:tc>
          <w:tcPr>
            <w:tcW w:w="7980" w:type="dxa"/>
            <w:vAlign w:val="bottom"/>
            <w:gridSpan w:val="3"/>
          </w:tcPr>
          <w:p>
            <w:pPr>
              <w:ind w:left="920"/>
              <w:spacing w:after="0"/>
              <w:rPr>
                <w:sz w:val="20"/>
                <w:szCs w:val="20"/>
                <w:color w:val="auto"/>
              </w:rPr>
            </w:pPr>
            <w:r>
              <w:rPr>
                <w:rFonts w:ascii="Arial" w:cs="Arial" w:eastAsia="Arial" w:hAnsi="Arial"/>
                <w:sz w:val="18"/>
                <w:szCs w:val="18"/>
                <w:color w:val="auto"/>
                <w:w w:val="91"/>
              </w:rPr>
              <w:t>or termination of the exchange offer. In the case of old notes tendered by book-entry transfer into</w:t>
            </w:r>
          </w:p>
        </w:tc>
      </w:tr>
      <w:tr>
        <w:trPr>
          <w:trHeight w:val="216"/>
        </w:trPr>
        <w:tc>
          <w:tcPr>
            <w:tcW w:w="3480" w:type="dxa"/>
            <w:vAlign w:val="bottom"/>
          </w:tcPr>
          <w:p>
            <w:pPr>
              <w:spacing w:after="0"/>
              <w:rPr>
                <w:sz w:val="18"/>
                <w:szCs w:val="18"/>
                <w:color w:val="auto"/>
              </w:rPr>
            </w:pPr>
          </w:p>
        </w:tc>
        <w:tc>
          <w:tcPr>
            <w:tcW w:w="7980" w:type="dxa"/>
            <w:vAlign w:val="bottom"/>
            <w:gridSpan w:val="3"/>
          </w:tcPr>
          <w:p>
            <w:pPr>
              <w:ind w:left="920"/>
              <w:spacing w:after="0"/>
              <w:rPr>
                <w:sz w:val="20"/>
                <w:szCs w:val="20"/>
                <w:color w:val="auto"/>
              </w:rPr>
            </w:pPr>
            <w:r>
              <w:rPr>
                <w:rFonts w:ascii="Arial" w:cs="Arial" w:eastAsia="Arial" w:hAnsi="Arial"/>
                <w:sz w:val="18"/>
                <w:szCs w:val="18"/>
                <w:color w:val="auto"/>
                <w:w w:val="96"/>
              </w:rPr>
              <w:t>the exchange agent’s account at The Depository Trust Company (“DTC”), any withdrawn or</w:t>
            </w:r>
          </w:p>
        </w:tc>
      </w:tr>
      <w:tr>
        <w:trPr>
          <w:trHeight w:val="216"/>
        </w:trPr>
        <w:tc>
          <w:tcPr>
            <w:tcW w:w="3480" w:type="dxa"/>
            <w:vAlign w:val="bottom"/>
          </w:tcPr>
          <w:p>
            <w:pPr>
              <w:spacing w:after="0"/>
              <w:rPr>
                <w:sz w:val="18"/>
                <w:szCs w:val="18"/>
                <w:color w:val="auto"/>
              </w:rPr>
            </w:pPr>
          </w:p>
        </w:tc>
        <w:tc>
          <w:tcPr>
            <w:tcW w:w="7980" w:type="dxa"/>
            <w:vAlign w:val="bottom"/>
            <w:gridSpan w:val="3"/>
          </w:tcPr>
          <w:p>
            <w:pPr>
              <w:ind w:left="920"/>
              <w:spacing w:after="0"/>
              <w:rPr>
                <w:sz w:val="20"/>
                <w:szCs w:val="20"/>
                <w:color w:val="auto"/>
              </w:rPr>
            </w:pPr>
            <w:r>
              <w:rPr>
                <w:rFonts w:ascii="Arial" w:cs="Arial" w:eastAsia="Arial" w:hAnsi="Arial"/>
                <w:sz w:val="18"/>
                <w:szCs w:val="18"/>
                <w:color w:val="auto"/>
                <w:w w:val="98"/>
              </w:rPr>
              <w:t>unaccepted old notes will be credited to the tendering holder’s account at DTC. For further</w:t>
            </w:r>
          </w:p>
        </w:tc>
      </w:tr>
      <w:tr>
        <w:trPr>
          <w:trHeight w:val="216"/>
        </w:trPr>
        <w:tc>
          <w:tcPr>
            <w:tcW w:w="3480" w:type="dxa"/>
            <w:vAlign w:val="bottom"/>
          </w:tcPr>
          <w:p>
            <w:pPr>
              <w:spacing w:after="0"/>
              <w:rPr>
                <w:sz w:val="18"/>
                <w:szCs w:val="18"/>
                <w:color w:val="auto"/>
              </w:rPr>
            </w:pPr>
          </w:p>
        </w:tc>
        <w:tc>
          <w:tcPr>
            <w:tcW w:w="7980" w:type="dxa"/>
            <w:vAlign w:val="bottom"/>
            <w:gridSpan w:val="3"/>
          </w:tcPr>
          <w:p>
            <w:pPr>
              <w:ind w:left="920"/>
              <w:spacing w:after="0"/>
              <w:rPr>
                <w:sz w:val="20"/>
                <w:szCs w:val="20"/>
                <w:color w:val="auto"/>
              </w:rPr>
            </w:pPr>
            <w:r>
              <w:rPr>
                <w:rFonts w:ascii="Arial" w:cs="Arial" w:eastAsia="Arial" w:hAnsi="Arial"/>
                <w:sz w:val="18"/>
                <w:szCs w:val="18"/>
                <w:color w:val="auto"/>
                <w:w w:val="92"/>
              </w:rPr>
              <w:t>information regarding the withdrawal of tendered old notes, see “The Exchange Offer—Terms of</w:t>
            </w:r>
          </w:p>
        </w:tc>
      </w:tr>
      <w:tr>
        <w:trPr>
          <w:trHeight w:val="216"/>
        </w:trPr>
        <w:tc>
          <w:tcPr>
            <w:tcW w:w="3480" w:type="dxa"/>
            <w:vAlign w:val="bottom"/>
          </w:tcPr>
          <w:p>
            <w:pPr>
              <w:spacing w:after="0"/>
              <w:rPr>
                <w:sz w:val="18"/>
                <w:szCs w:val="18"/>
                <w:color w:val="auto"/>
              </w:rPr>
            </w:pPr>
          </w:p>
        </w:tc>
        <w:tc>
          <w:tcPr>
            <w:tcW w:w="7980" w:type="dxa"/>
            <w:vAlign w:val="bottom"/>
            <w:gridSpan w:val="3"/>
          </w:tcPr>
          <w:p>
            <w:pPr>
              <w:ind w:left="920"/>
              <w:spacing w:after="0"/>
              <w:rPr>
                <w:sz w:val="20"/>
                <w:szCs w:val="20"/>
                <w:color w:val="auto"/>
              </w:rPr>
            </w:pPr>
            <w:r>
              <w:rPr>
                <w:rFonts w:ascii="Arial" w:cs="Arial" w:eastAsia="Arial" w:hAnsi="Arial"/>
                <w:sz w:val="18"/>
                <w:szCs w:val="18"/>
                <w:color w:val="auto"/>
                <w:w w:val="95"/>
              </w:rPr>
              <w:t>the Exchange Offer; Period for Tendering Old Notes” and “The Exchange Offer—Withdrawal</w:t>
            </w:r>
          </w:p>
        </w:tc>
      </w:tr>
      <w:tr>
        <w:trPr>
          <w:trHeight w:val="222"/>
        </w:trPr>
        <w:tc>
          <w:tcPr>
            <w:tcW w:w="3480" w:type="dxa"/>
            <w:vAlign w:val="bottom"/>
          </w:tcPr>
          <w:p>
            <w:pPr>
              <w:spacing w:after="0"/>
              <w:rPr>
                <w:sz w:val="19"/>
                <w:szCs w:val="19"/>
                <w:color w:val="auto"/>
              </w:rPr>
            </w:pPr>
          </w:p>
        </w:tc>
        <w:tc>
          <w:tcPr>
            <w:tcW w:w="3340" w:type="dxa"/>
            <w:vAlign w:val="bottom"/>
            <w:gridSpan w:val="2"/>
          </w:tcPr>
          <w:p>
            <w:pPr>
              <w:ind w:left="920"/>
              <w:spacing w:after="0"/>
              <w:rPr>
                <w:sz w:val="20"/>
                <w:szCs w:val="20"/>
                <w:color w:val="auto"/>
              </w:rPr>
            </w:pPr>
            <w:r>
              <w:rPr>
                <w:rFonts w:ascii="Arial" w:cs="Arial" w:eastAsia="Arial" w:hAnsi="Arial"/>
                <w:sz w:val="18"/>
                <w:szCs w:val="18"/>
                <w:color w:val="auto"/>
              </w:rPr>
              <w:t>Rights.”</w:t>
            </w:r>
          </w:p>
        </w:tc>
        <w:tc>
          <w:tcPr>
            <w:tcW w:w="4640" w:type="dxa"/>
            <w:vAlign w:val="bottom"/>
          </w:tcPr>
          <w:p>
            <w:pPr>
              <w:spacing w:after="0"/>
              <w:rPr>
                <w:sz w:val="19"/>
                <w:szCs w:val="19"/>
                <w:color w:val="auto"/>
              </w:rPr>
            </w:pPr>
          </w:p>
        </w:tc>
      </w:tr>
      <w:tr>
        <w:trPr>
          <w:trHeight w:val="412"/>
        </w:trPr>
        <w:tc>
          <w:tcPr>
            <w:tcW w:w="3480" w:type="dxa"/>
            <w:vAlign w:val="bottom"/>
          </w:tcPr>
          <w:p>
            <w:pPr>
              <w:ind w:left="200"/>
              <w:spacing w:after="0"/>
              <w:rPr>
                <w:sz w:val="20"/>
                <w:szCs w:val="20"/>
                <w:color w:val="auto"/>
              </w:rPr>
            </w:pPr>
            <w:r>
              <w:rPr>
                <w:rFonts w:ascii="Arial" w:cs="Arial" w:eastAsia="Arial" w:hAnsi="Arial"/>
                <w:sz w:val="18"/>
                <w:szCs w:val="18"/>
                <w:color w:val="auto"/>
              </w:rPr>
              <w:t>Conditions to the Exchange Offer</w:t>
            </w:r>
          </w:p>
        </w:tc>
        <w:tc>
          <w:tcPr>
            <w:tcW w:w="7980" w:type="dxa"/>
            <w:vAlign w:val="bottom"/>
            <w:gridSpan w:val="3"/>
          </w:tcPr>
          <w:p>
            <w:pPr>
              <w:ind w:left="920"/>
              <w:spacing w:after="0"/>
              <w:rPr>
                <w:sz w:val="20"/>
                <w:szCs w:val="20"/>
                <w:color w:val="auto"/>
              </w:rPr>
            </w:pPr>
            <w:r>
              <w:rPr>
                <w:rFonts w:ascii="Arial" w:cs="Arial" w:eastAsia="Arial" w:hAnsi="Arial"/>
                <w:sz w:val="18"/>
                <w:szCs w:val="18"/>
                <w:color w:val="auto"/>
                <w:w w:val="91"/>
              </w:rPr>
              <w:t>We are not required to accept for exchange or to issue new notes in exchange for any old notes,</w:t>
            </w:r>
          </w:p>
        </w:tc>
      </w:tr>
      <w:tr>
        <w:trPr>
          <w:trHeight w:val="216"/>
        </w:trPr>
        <w:tc>
          <w:tcPr>
            <w:tcW w:w="3480" w:type="dxa"/>
            <w:vAlign w:val="bottom"/>
          </w:tcPr>
          <w:p>
            <w:pPr>
              <w:spacing w:after="0"/>
              <w:rPr>
                <w:sz w:val="18"/>
                <w:szCs w:val="18"/>
                <w:color w:val="auto"/>
              </w:rPr>
            </w:pPr>
          </w:p>
        </w:tc>
        <w:tc>
          <w:tcPr>
            <w:tcW w:w="7980" w:type="dxa"/>
            <w:vAlign w:val="bottom"/>
            <w:gridSpan w:val="3"/>
          </w:tcPr>
          <w:p>
            <w:pPr>
              <w:ind w:left="920"/>
              <w:spacing w:after="0"/>
              <w:rPr>
                <w:sz w:val="20"/>
                <w:szCs w:val="20"/>
                <w:color w:val="auto"/>
              </w:rPr>
            </w:pPr>
            <w:r>
              <w:rPr>
                <w:rFonts w:ascii="Arial" w:cs="Arial" w:eastAsia="Arial" w:hAnsi="Arial"/>
                <w:sz w:val="18"/>
                <w:szCs w:val="18"/>
                <w:color w:val="auto"/>
                <w:w w:val="92"/>
              </w:rPr>
              <w:t>and we may terminate or amend the exchange offer, if any of the following events occur prior to</w:t>
            </w:r>
          </w:p>
        </w:tc>
      </w:tr>
      <w:tr>
        <w:trPr>
          <w:trHeight w:val="222"/>
        </w:trPr>
        <w:tc>
          <w:tcPr>
            <w:tcW w:w="3480" w:type="dxa"/>
            <w:vAlign w:val="bottom"/>
          </w:tcPr>
          <w:p>
            <w:pPr>
              <w:spacing w:after="0"/>
              <w:rPr>
                <w:sz w:val="19"/>
                <w:szCs w:val="19"/>
                <w:color w:val="auto"/>
              </w:rPr>
            </w:pPr>
          </w:p>
        </w:tc>
        <w:tc>
          <w:tcPr>
            <w:tcW w:w="3340" w:type="dxa"/>
            <w:vAlign w:val="bottom"/>
            <w:gridSpan w:val="2"/>
          </w:tcPr>
          <w:p>
            <w:pPr>
              <w:ind w:left="920"/>
              <w:spacing w:after="0"/>
              <w:rPr>
                <w:sz w:val="20"/>
                <w:szCs w:val="20"/>
                <w:color w:val="auto"/>
              </w:rPr>
            </w:pPr>
            <w:r>
              <w:rPr>
                <w:rFonts w:ascii="Arial" w:cs="Arial" w:eastAsia="Arial" w:hAnsi="Arial"/>
                <w:sz w:val="18"/>
                <w:szCs w:val="18"/>
                <w:color w:val="auto"/>
                <w:w w:val="93"/>
              </w:rPr>
              <w:t>our acceptance of the old notes:</w:t>
            </w:r>
          </w:p>
        </w:tc>
        <w:tc>
          <w:tcPr>
            <w:tcW w:w="4640" w:type="dxa"/>
            <w:vAlign w:val="bottom"/>
          </w:tcPr>
          <w:p>
            <w:pPr>
              <w:spacing w:after="0"/>
              <w:rPr>
                <w:sz w:val="19"/>
                <w:szCs w:val="19"/>
                <w:color w:val="auto"/>
              </w:rPr>
            </w:pPr>
          </w:p>
        </w:tc>
      </w:tr>
      <w:tr>
        <w:trPr>
          <w:trHeight w:val="291"/>
        </w:trPr>
        <w:tc>
          <w:tcPr>
            <w:tcW w:w="3480" w:type="dxa"/>
            <w:vAlign w:val="bottom"/>
          </w:tcPr>
          <w:p>
            <w:pPr>
              <w:spacing w:after="0"/>
              <w:rPr>
                <w:sz w:val="24"/>
                <w:szCs w:val="24"/>
                <w:color w:val="auto"/>
              </w:rPr>
            </w:pPr>
          </w:p>
        </w:tc>
        <w:tc>
          <w:tcPr>
            <w:tcW w:w="1160" w:type="dxa"/>
            <w:vAlign w:val="bottom"/>
          </w:tcPr>
          <w:p>
            <w:pPr>
              <w:ind w:left="920"/>
              <w:spacing w:after="0"/>
              <w:rPr>
                <w:sz w:val="20"/>
                <w:szCs w:val="20"/>
                <w:color w:val="auto"/>
              </w:rPr>
            </w:pPr>
            <w:r>
              <w:rPr>
                <w:rFonts w:ascii="Arial" w:cs="Arial" w:eastAsia="Arial" w:hAnsi="Arial"/>
                <w:sz w:val="18"/>
                <w:szCs w:val="18"/>
                <w:color w:val="auto"/>
              </w:rPr>
              <w:t>•</w:t>
            </w:r>
          </w:p>
        </w:tc>
        <w:tc>
          <w:tcPr>
            <w:tcW w:w="6820" w:type="dxa"/>
            <w:vAlign w:val="bottom"/>
            <w:gridSpan w:val="2"/>
          </w:tcPr>
          <w:p>
            <w:pPr>
              <w:ind w:left="180"/>
              <w:spacing w:after="0"/>
              <w:rPr>
                <w:sz w:val="20"/>
                <w:szCs w:val="20"/>
                <w:color w:val="auto"/>
              </w:rPr>
            </w:pPr>
            <w:r>
              <w:rPr>
                <w:rFonts w:ascii="Arial" w:cs="Arial" w:eastAsia="Arial" w:hAnsi="Arial"/>
                <w:sz w:val="18"/>
                <w:szCs w:val="18"/>
                <w:color w:val="auto"/>
                <w:w w:val="95"/>
              </w:rPr>
              <w:t>the exchange offer violates any applicable law or applicable interpretation of the staff of</w:t>
            </w:r>
          </w:p>
        </w:tc>
      </w:tr>
      <w:tr>
        <w:trPr>
          <w:trHeight w:val="222"/>
        </w:trPr>
        <w:tc>
          <w:tcPr>
            <w:tcW w:w="3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180" w:type="dxa"/>
            <w:vAlign w:val="bottom"/>
          </w:tcPr>
          <w:p>
            <w:pPr>
              <w:ind w:left="180"/>
              <w:spacing w:after="0"/>
              <w:rPr>
                <w:sz w:val="20"/>
                <w:szCs w:val="20"/>
                <w:color w:val="auto"/>
              </w:rPr>
            </w:pPr>
            <w:r>
              <w:rPr>
                <w:rFonts w:ascii="Arial" w:cs="Arial" w:eastAsia="Arial" w:hAnsi="Arial"/>
                <w:sz w:val="18"/>
                <w:szCs w:val="18"/>
                <w:color w:val="auto"/>
              </w:rPr>
              <w:t>the SEC;</w:t>
            </w:r>
          </w:p>
        </w:tc>
        <w:tc>
          <w:tcPr>
            <w:tcW w:w="4640" w:type="dxa"/>
            <w:vAlign w:val="bottom"/>
          </w:tcPr>
          <w:p>
            <w:pPr>
              <w:spacing w:after="0"/>
              <w:rPr>
                <w:sz w:val="19"/>
                <w:szCs w:val="19"/>
                <w:color w:val="auto"/>
              </w:rPr>
            </w:pPr>
          </w:p>
        </w:tc>
      </w:tr>
      <w:tr>
        <w:trPr>
          <w:trHeight w:val="291"/>
        </w:trPr>
        <w:tc>
          <w:tcPr>
            <w:tcW w:w="3480" w:type="dxa"/>
            <w:vAlign w:val="bottom"/>
          </w:tcPr>
          <w:p>
            <w:pPr>
              <w:spacing w:after="0"/>
              <w:rPr>
                <w:sz w:val="24"/>
                <w:szCs w:val="24"/>
                <w:color w:val="auto"/>
              </w:rPr>
            </w:pPr>
          </w:p>
        </w:tc>
        <w:tc>
          <w:tcPr>
            <w:tcW w:w="1160" w:type="dxa"/>
            <w:vAlign w:val="bottom"/>
          </w:tcPr>
          <w:p>
            <w:pPr>
              <w:ind w:left="920"/>
              <w:spacing w:after="0"/>
              <w:rPr>
                <w:sz w:val="20"/>
                <w:szCs w:val="20"/>
                <w:color w:val="auto"/>
              </w:rPr>
            </w:pPr>
            <w:r>
              <w:rPr>
                <w:rFonts w:ascii="Arial" w:cs="Arial" w:eastAsia="Arial" w:hAnsi="Arial"/>
                <w:sz w:val="18"/>
                <w:szCs w:val="18"/>
                <w:color w:val="auto"/>
              </w:rPr>
              <w:t>•</w:t>
            </w:r>
          </w:p>
        </w:tc>
        <w:tc>
          <w:tcPr>
            <w:tcW w:w="6820" w:type="dxa"/>
            <w:vAlign w:val="bottom"/>
            <w:gridSpan w:val="2"/>
          </w:tcPr>
          <w:p>
            <w:pPr>
              <w:ind w:left="180"/>
              <w:spacing w:after="0"/>
              <w:rPr>
                <w:sz w:val="20"/>
                <w:szCs w:val="20"/>
                <w:color w:val="auto"/>
              </w:rPr>
            </w:pPr>
            <w:r>
              <w:rPr>
                <w:rFonts w:ascii="Arial" w:cs="Arial" w:eastAsia="Arial" w:hAnsi="Arial"/>
                <w:sz w:val="18"/>
                <w:szCs w:val="18"/>
                <w:color w:val="auto"/>
                <w:w w:val="96"/>
              </w:rPr>
              <w:t>an action or proceeding shall have been instituted or threatened in any court or by any</w:t>
            </w:r>
          </w:p>
        </w:tc>
      </w:tr>
      <w:tr>
        <w:trPr>
          <w:trHeight w:val="216"/>
        </w:trPr>
        <w:tc>
          <w:tcPr>
            <w:tcW w:w="3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20" w:type="dxa"/>
            <w:vAlign w:val="bottom"/>
            <w:gridSpan w:val="2"/>
          </w:tcPr>
          <w:p>
            <w:pPr>
              <w:ind w:left="180"/>
              <w:spacing w:after="0"/>
              <w:rPr>
                <w:sz w:val="20"/>
                <w:szCs w:val="20"/>
                <w:color w:val="auto"/>
              </w:rPr>
            </w:pPr>
            <w:r>
              <w:rPr>
                <w:rFonts w:ascii="Arial" w:cs="Arial" w:eastAsia="Arial" w:hAnsi="Arial"/>
                <w:sz w:val="18"/>
                <w:szCs w:val="18"/>
                <w:color w:val="auto"/>
                <w:w w:val="93"/>
              </w:rPr>
              <w:t>governmental agency that might materially impair our or the guarantors’ ability to proceed</w:t>
            </w:r>
          </w:p>
        </w:tc>
      </w:tr>
      <w:tr>
        <w:trPr>
          <w:trHeight w:val="222"/>
        </w:trPr>
        <w:tc>
          <w:tcPr>
            <w:tcW w:w="3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180" w:type="dxa"/>
            <w:vAlign w:val="bottom"/>
          </w:tcPr>
          <w:p>
            <w:pPr>
              <w:ind w:left="180"/>
              <w:spacing w:after="0"/>
              <w:rPr>
                <w:sz w:val="20"/>
                <w:szCs w:val="20"/>
                <w:color w:val="auto"/>
              </w:rPr>
            </w:pPr>
            <w:r>
              <w:rPr>
                <w:rFonts w:ascii="Arial" w:cs="Arial" w:eastAsia="Arial" w:hAnsi="Arial"/>
                <w:sz w:val="18"/>
                <w:szCs w:val="18"/>
                <w:color w:val="auto"/>
              </w:rPr>
              <w:t>with the exchange offer;</w:t>
            </w:r>
          </w:p>
        </w:tc>
        <w:tc>
          <w:tcPr>
            <w:tcW w:w="4640" w:type="dxa"/>
            <w:vAlign w:val="bottom"/>
          </w:tcPr>
          <w:p>
            <w:pPr>
              <w:spacing w:after="0"/>
              <w:rPr>
                <w:sz w:val="19"/>
                <w:szCs w:val="19"/>
                <w:color w:val="auto"/>
              </w:rPr>
            </w:pPr>
          </w:p>
        </w:tc>
      </w:tr>
      <w:tr>
        <w:trPr>
          <w:trHeight w:val="291"/>
        </w:trPr>
        <w:tc>
          <w:tcPr>
            <w:tcW w:w="3480" w:type="dxa"/>
            <w:vAlign w:val="bottom"/>
          </w:tcPr>
          <w:p>
            <w:pPr>
              <w:spacing w:after="0"/>
              <w:rPr>
                <w:sz w:val="24"/>
                <w:szCs w:val="24"/>
                <w:color w:val="auto"/>
              </w:rPr>
            </w:pPr>
          </w:p>
        </w:tc>
        <w:tc>
          <w:tcPr>
            <w:tcW w:w="1160" w:type="dxa"/>
            <w:vAlign w:val="bottom"/>
          </w:tcPr>
          <w:p>
            <w:pPr>
              <w:ind w:left="920"/>
              <w:spacing w:after="0"/>
              <w:rPr>
                <w:sz w:val="20"/>
                <w:szCs w:val="20"/>
                <w:color w:val="auto"/>
              </w:rPr>
            </w:pPr>
            <w:r>
              <w:rPr>
                <w:rFonts w:ascii="Arial" w:cs="Arial" w:eastAsia="Arial" w:hAnsi="Arial"/>
                <w:sz w:val="18"/>
                <w:szCs w:val="18"/>
                <w:color w:val="auto"/>
              </w:rPr>
              <w:t>•</w:t>
            </w:r>
          </w:p>
        </w:tc>
        <w:tc>
          <w:tcPr>
            <w:tcW w:w="6820" w:type="dxa"/>
            <w:vAlign w:val="bottom"/>
            <w:gridSpan w:val="2"/>
          </w:tcPr>
          <w:p>
            <w:pPr>
              <w:ind w:left="180"/>
              <w:spacing w:after="0"/>
              <w:rPr>
                <w:sz w:val="20"/>
                <w:szCs w:val="20"/>
                <w:color w:val="auto"/>
              </w:rPr>
            </w:pPr>
            <w:r>
              <w:rPr>
                <w:rFonts w:ascii="Arial" w:cs="Arial" w:eastAsia="Arial" w:hAnsi="Arial"/>
                <w:sz w:val="18"/>
                <w:szCs w:val="18"/>
                <w:color w:val="auto"/>
              </w:rPr>
              <w:t>we do not receive all the governmental approvals that we believe are necessary to</w:t>
            </w:r>
          </w:p>
        </w:tc>
      </w:tr>
      <w:tr>
        <w:trPr>
          <w:trHeight w:val="222"/>
        </w:trPr>
        <w:tc>
          <w:tcPr>
            <w:tcW w:w="3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820" w:type="dxa"/>
            <w:vAlign w:val="bottom"/>
            <w:gridSpan w:val="2"/>
          </w:tcPr>
          <w:p>
            <w:pPr>
              <w:ind w:left="180"/>
              <w:spacing w:after="0"/>
              <w:rPr>
                <w:sz w:val="20"/>
                <w:szCs w:val="20"/>
                <w:color w:val="auto"/>
              </w:rPr>
            </w:pPr>
            <w:r>
              <w:rPr>
                <w:rFonts w:ascii="Arial" w:cs="Arial" w:eastAsia="Arial" w:hAnsi="Arial"/>
                <w:sz w:val="18"/>
                <w:szCs w:val="18"/>
                <w:color w:val="auto"/>
              </w:rPr>
              <w:t>consummate the exchange offer; or</w:t>
            </w:r>
          </w:p>
        </w:tc>
      </w:tr>
      <w:tr>
        <w:trPr>
          <w:trHeight w:val="291"/>
        </w:trPr>
        <w:tc>
          <w:tcPr>
            <w:tcW w:w="3480" w:type="dxa"/>
            <w:vAlign w:val="bottom"/>
          </w:tcPr>
          <w:p>
            <w:pPr>
              <w:spacing w:after="0"/>
              <w:rPr>
                <w:sz w:val="24"/>
                <w:szCs w:val="24"/>
                <w:color w:val="auto"/>
              </w:rPr>
            </w:pPr>
          </w:p>
        </w:tc>
        <w:tc>
          <w:tcPr>
            <w:tcW w:w="1160" w:type="dxa"/>
            <w:vAlign w:val="bottom"/>
          </w:tcPr>
          <w:p>
            <w:pPr>
              <w:ind w:left="920"/>
              <w:spacing w:after="0"/>
              <w:rPr>
                <w:sz w:val="20"/>
                <w:szCs w:val="20"/>
                <w:color w:val="auto"/>
              </w:rPr>
            </w:pPr>
            <w:r>
              <w:rPr>
                <w:rFonts w:ascii="Arial" w:cs="Arial" w:eastAsia="Arial" w:hAnsi="Arial"/>
                <w:sz w:val="18"/>
                <w:szCs w:val="18"/>
                <w:color w:val="auto"/>
              </w:rPr>
              <w:t>•</w:t>
            </w:r>
          </w:p>
        </w:tc>
        <w:tc>
          <w:tcPr>
            <w:tcW w:w="6820" w:type="dxa"/>
            <w:vAlign w:val="bottom"/>
            <w:gridSpan w:val="2"/>
          </w:tcPr>
          <w:p>
            <w:pPr>
              <w:ind w:left="180"/>
              <w:spacing w:after="0"/>
              <w:rPr>
                <w:sz w:val="20"/>
                <w:szCs w:val="20"/>
                <w:color w:val="auto"/>
              </w:rPr>
            </w:pPr>
            <w:r>
              <w:rPr>
                <w:rFonts w:ascii="Arial" w:cs="Arial" w:eastAsia="Arial" w:hAnsi="Arial"/>
                <w:sz w:val="18"/>
                <w:szCs w:val="18"/>
                <w:color w:val="auto"/>
                <w:w w:val="90"/>
              </w:rPr>
              <w:t>there has been proposed, adopted, or enacted any law, statute, rule or regulation that, in our</w:t>
            </w:r>
          </w:p>
        </w:tc>
      </w:tr>
      <w:tr>
        <w:trPr>
          <w:trHeight w:val="216"/>
        </w:trPr>
        <w:tc>
          <w:tcPr>
            <w:tcW w:w="3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20" w:type="dxa"/>
            <w:vAlign w:val="bottom"/>
            <w:gridSpan w:val="2"/>
          </w:tcPr>
          <w:p>
            <w:pPr>
              <w:ind w:left="180"/>
              <w:spacing w:after="0"/>
              <w:rPr>
                <w:sz w:val="20"/>
                <w:szCs w:val="20"/>
                <w:color w:val="auto"/>
              </w:rPr>
            </w:pPr>
            <w:r>
              <w:rPr>
                <w:rFonts w:ascii="Arial" w:cs="Arial" w:eastAsia="Arial" w:hAnsi="Arial"/>
                <w:sz w:val="18"/>
                <w:szCs w:val="18"/>
                <w:color w:val="auto"/>
                <w:w w:val="96"/>
              </w:rPr>
              <w:t>reasonable judgment, would materially impair our ability to consummate the exchange</w:t>
            </w:r>
          </w:p>
        </w:tc>
      </w:tr>
      <w:tr>
        <w:trPr>
          <w:trHeight w:val="222"/>
        </w:trPr>
        <w:tc>
          <w:tcPr>
            <w:tcW w:w="3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180" w:type="dxa"/>
            <w:vAlign w:val="bottom"/>
          </w:tcPr>
          <w:p>
            <w:pPr>
              <w:ind w:left="180"/>
              <w:spacing w:after="0"/>
              <w:rPr>
                <w:sz w:val="20"/>
                <w:szCs w:val="20"/>
                <w:color w:val="auto"/>
              </w:rPr>
            </w:pPr>
            <w:r>
              <w:rPr>
                <w:rFonts w:ascii="Arial" w:cs="Arial" w:eastAsia="Arial" w:hAnsi="Arial"/>
                <w:sz w:val="18"/>
                <w:szCs w:val="18"/>
                <w:color w:val="auto"/>
              </w:rPr>
              <w:t>offer.</w:t>
            </w:r>
          </w:p>
        </w:tc>
        <w:tc>
          <w:tcPr>
            <w:tcW w:w="4640" w:type="dxa"/>
            <w:vAlign w:val="bottom"/>
          </w:tcPr>
          <w:p>
            <w:pPr>
              <w:spacing w:after="0"/>
              <w:rPr>
                <w:sz w:val="19"/>
                <w:szCs w:val="19"/>
                <w:color w:val="auto"/>
              </w:rPr>
            </w:pPr>
          </w:p>
        </w:tc>
      </w:tr>
      <w:tr>
        <w:trPr>
          <w:trHeight w:val="161"/>
        </w:trPr>
        <w:tc>
          <w:tcPr>
            <w:tcW w:w="34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tcPr>
          <w:p>
            <w:pPr>
              <w:spacing w:after="0"/>
              <w:rPr>
                <w:sz w:val="13"/>
                <w:szCs w:val="13"/>
                <w:color w:val="auto"/>
              </w:rPr>
            </w:pPr>
          </w:p>
        </w:tc>
        <w:tc>
          <w:tcPr>
            <w:tcW w:w="4640" w:type="dxa"/>
            <w:vAlign w:val="bottom"/>
            <w:tcBorders>
              <w:bottom w:val="single" w:sz="8" w:color="auto"/>
            </w:tcBorders>
          </w:tcPr>
          <w:p>
            <w:pPr>
              <w:spacing w:after="0"/>
              <w:rPr>
                <w:sz w:val="13"/>
                <w:szCs w:val="13"/>
                <w:color w:val="auto"/>
              </w:rPr>
            </w:pPr>
          </w:p>
        </w:tc>
      </w:tr>
      <w:tr>
        <w:trPr>
          <w:trHeight w:val="359"/>
        </w:trPr>
        <w:tc>
          <w:tcPr>
            <w:tcW w:w="3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180" w:type="dxa"/>
            <w:vAlign w:val="bottom"/>
          </w:tcPr>
          <w:p>
            <w:pPr>
              <w:ind w:left="1040"/>
              <w:spacing w:after="0"/>
              <w:rPr>
                <w:sz w:val="20"/>
                <w:szCs w:val="20"/>
                <w:color w:val="auto"/>
              </w:rPr>
            </w:pPr>
            <w:r>
              <w:rPr>
                <w:rFonts w:ascii="Arial" w:cs="Arial" w:eastAsia="Arial" w:hAnsi="Arial"/>
                <w:sz w:val="18"/>
                <w:szCs w:val="18"/>
                <w:color w:val="auto"/>
              </w:rPr>
              <w:t>4</w:t>
            </w:r>
          </w:p>
        </w:tc>
        <w:tc>
          <w:tcPr>
            <w:tcW w:w="4640" w:type="dxa"/>
            <w:vAlign w:val="bottom"/>
          </w:tcPr>
          <w:p>
            <w:pPr>
              <w:spacing w:after="0"/>
              <w:rPr>
                <w:sz w:val="24"/>
                <w:szCs w:val="24"/>
                <w:color w:val="auto"/>
              </w:rPr>
            </w:pPr>
          </w:p>
        </w:tc>
      </w:tr>
    </w:tbl>
    <w:p>
      <w:pPr>
        <w:sectPr>
          <w:pgSz w:w="11900" w:h="16838" w:orient="portrait"/>
          <w:cols w:equalWidth="0" w:num="1">
            <w:col w:w="11460"/>
          </w:cols>
          <w:pgMar w:left="240" w:top="459" w:right="199" w:bottom="1440" w:gutter="0" w:footer="0" w:header="0"/>
        </w:sectPr>
      </w:pPr>
    </w:p>
    <w:bookmarkStart w:id="8" w:name="page9"/>
    <w:bookmarkEnd w:id="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5466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6465" cy="5466715"/>
                    </a:xfrm>
                    <a:prstGeom prst="rect">
                      <a:avLst/>
                    </a:prstGeom>
                    <a:noFill/>
                  </pic:spPr>
                </pic:pic>
              </a:graphicData>
            </a:graphic>
          </wp:anchor>
        </w:drawing>
      </w:r>
    </w:p>
    <w:p>
      <w:pPr>
        <w:sectPr>
          <w:pgSz w:w="11900" w:h="16838" w:orient="portrait"/>
          <w:cols w:equalWidth="0" w:num="1">
            <w:col w:w="11260"/>
          </w:cols>
          <w:pgMar w:left="240" w:top="45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0"/>
        <w:spacing w:after="0"/>
        <w:rPr>
          <w:sz w:val="20"/>
          <w:szCs w:val="20"/>
          <w:color w:val="auto"/>
        </w:rPr>
      </w:pPr>
      <w:r>
        <w:rPr>
          <w:rFonts w:ascii="Arial" w:cs="Arial" w:eastAsia="Arial" w:hAnsi="Arial"/>
          <w:sz w:val="15"/>
          <w:szCs w:val="15"/>
          <w:color w:val="auto"/>
        </w:rPr>
        <w:t>Procedures for Tendering Old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Guaranteed Delivery Procedures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ind w:left="3"/>
        <w:spacing w:after="0" w:line="259" w:lineRule="auto"/>
        <w:rPr>
          <w:sz w:val="20"/>
          <w:szCs w:val="20"/>
          <w:color w:val="auto"/>
        </w:rPr>
      </w:pPr>
      <w:r>
        <w:rPr>
          <w:rFonts w:ascii="Arial" w:cs="Arial" w:eastAsia="Arial" w:hAnsi="Arial"/>
          <w:sz w:val="18"/>
          <w:szCs w:val="18"/>
          <w:color w:val="auto"/>
        </w:rPr>
        <w:t>We may waive any of the above conditions in our reasonable discretion. See the discussion below under the caption “The Exchange Offer—Conditions to the Exchange Offer” for more information regarding the conditions to the exchange offer.</w:t>
      </w:r>
    </w:p>
    <w:p>
      <w:pPr>
        <w:spacing w:after="0" w:line="181" w:lineRule="exact"/>
        <w:rPr>
          <w:sz w:val="20"/>
          <w:szCs w:val="20"/>
          <w:color w:val="auto"/>
        </w:rPr>
      </w:pPr>
    </w:p>
    <w:p>
      <w:pPr>
        <w:ind w:left="3" w:right="140"/>
        <w:spacing w:after="0" w:line="306" w:lineRule="auto"/>
        <w:rPr>
          <w:sz w:val="20"/>
          <w:szCs w:val="20"/>
          <w:color w:val="auto"/>
        </w:rPr>
      </w:pPr>
      <w:r>
        <w:rPr>
          <w:rFonts w:ascii="Arial" w:cs="Arial" w:eastAsia="Arial" w:hAnsi="Arial"/>
          <w:sz w:val="16"/>
          <w:szCs w:val="16"/>
          <w:color w:val="auto"/>
        </w:rPr>
        <w:t>Unless you comply with the procedure described below under the caption “The Exchange Offer —Guaranteed Delivery Procedures,” you must do one of the following on or prior to the expiration or termination of the exchange offer to participate in the exchange offer:</w:t>
      </w:r>
    </w:p>
    <w:p>
      <w:pPr>
        <w:spacing w:after="0" w:line="26" w:lineRule="exact"/>
        <w:rPr>
          <w:sz w:val="20"/>
          <w:szCs w:val="20"/>
          <w:color w:val="auto"/>
        </w:rPr>
      </w:pPr>
    </w:p>
    <w:p>
      <w:pPr>
        <w:ind w:left="423" w:right="60" w:hanging="423"/>
        <w:spacing w:after="0" w:line="255" w:lineRule="auto"/>
        <w:tabs>
          <w:tab w:leader="none" w:pos="423" w:val="left"/>
        </w:tabs>
        <w:numPr>
          <w:ilvl w:val="0"/>
          <w:numId w:val="9"/>
        </w:numPr>
        <w:rPr>
          <w:rFonts w:ascii="Arial" w:cs="Arial" w:eastAsia="Arial" w:hAnsi="Arial"/>
          <w:sz w:val="18"/>
          <w:szCs w:val="18"/>
          <w:color w:val="auto"/>
        </w:rPr>
      </w:pPr>
      <w:r>
        <w:rPr>
          <w:rFonts w:ascii="Arial" w:cs="Arial" w:eastAsia="Arial" w:hAnsi="Arial"/>
          <w:sz w:val="18"/>
          <w:szCs w:val="18"/>
          <w:color w:val="auto"/>
        </w:rPr>
        <w:t>tender your old notes by sending (i) the certificates for your old notes (in proper form for transfer), (ii) a properly completed and duly executed letter of transmittal and (iii) all other documents required by the letter of transmittal to U.S. Bank National Association, as exchange agent, at one of the addresses listed below under the caption “The Exchange Offer—Exchange Agent”; or</w:t>
      </w:r>
    </w:p>
    <w:p>
      <w:pPr>
        <w:spacing w:after="0" w:line="61" w:lineRule="exact"/>
        <w:rPr>
          <w:rFonts w:ascii="Arial" w:cs="Arial" w:eastAsia="Arial" w:hAnsi="Arial"/>
          <w:sz w:val="18"/>
          <w:szCs w:val="18"/>
          <w:color w:val="auto"/>
        </w:rPr>
      </w:pPr>
    </w:p>
    <w:p>
      <w:pPr>
        <w:ind w:left="423" w:right="40" w:hanging="423"/>
        <w:spacing w:after="0" w:line="306" w:lineRule="auto"/>
        <w:tabs>
          <w:tab w:leader="none" w:pos="423" w:val="left"/>
        </w:tabs>
        <w:numPr>
          <w:ilvl w:val="0"/>
          <w:numId w:val="9"/>
        </w:numPr>
        <w:rPr>
          <w:rFonts w:ascii="Arial" w:cs="Arial" w:eastAsia="Arial" w:hAnsi="Arial"/>
          <w:sz w:val="15"/>
          <w:szCs w:val="15"/>
          <w:color w:val="auto"/>
        </w:rPr>
      </w:pPr>
      <w:r>
        <w:rPr>
          <w:rFonts w:ascii="Arial" w:cs="Arial" w:eastAsia="Arial" w:hAnsi="Arial"/>
          <w:sz w:val="15"/>
          <w:szCs w:val="15"/>
          <w:color w:val="auto"/>
        </w:rPr>
        <w:t>tender your old notes by using the book-entry transfer procedures described below and transmitting a properly completed and duly executed letter of transmittal, or an agent’s message instead of the letter of transmittal, to the exchange agent. For a book-entry transfer to constitute a valid tender of your old notes in the exchange offer, U.S. Bank National Association, as exchange agent, must receive a confirmation of book-entry transfer of your old notes into the exchange agent’s account at DTC prior to the expiration or termination of the exchange offer. For more information regarding the use of book-entry transfer procedures, including a description of the required agent’s message, see the discussion below under the caption “The Exchange Offer—Book-Entry Transfers.” As used in this prospectus, the term “agent’s message” means a message, transmitted by DTC to and received by the exchange agent and forming a part of a book-entry confirmation, which states that DTC has received an express acknowledgment from the tendering participant stating that such participant has received and agrees to be bound by the letter of transmittal and that we may enforce such letter of transmittal against such participant.</w:t>
      </w:r>
    </w:p>
    <w:p>
      <w:pPr>
        <w:spacing w:after="0" w:line="149" w:lineRule="exact"/>
        <w:rPr>
          <w:sz w:val="20"/>
          <w:szCs w:val="20"/>
          <w:color w:val="auto"/>
        </w:rPr>
      </w:pPr>
    </w:p>
    <w:p>
      <w:pPr>
        <w:ind w:left="3"/>
        <w:spacing w:after="0" w:line="268" w:lineRule="auto"/>
        <w:rPr>
          <w:sz w:val="20"/>
          <w:szCs w:val="20"/>
          <w:color w:val="auto"/>
        </w:rPr>
      </w:pPr>
      <w:r>
        <w:rPr>
          <w:rFonts w:ascii="Arial" w:cs="Arial" w:eastAsia="Arial" w:hAnsi="Arial"/>
          <w:sz w:val="18"/>
          <w:szCs w:val="18"/>
          <w:color w:val="auto"/>
        </w:rPr>
        <w:t>If you are a registered holder of old notes and wish to tender your old notes in the exchange offer, but:</w:t>
      </w:r>
    </w:p>
    <w:p>
      <w:pPr>
        <w:spacing w:after="0" w:line="51" w:lineRule="exact"/>
        <w:rPr>
          <w:sz w:val="20"/>
          <w:szCs w:val="20"/>
          <w:color w:val="auto"/>
        </w:rPr>
      </w:pPr>
    </w:p>
    <w:p>
      <w:pPr>
        <w:ind w:left="423" w:hanging="423"/>
        <w:spacing w:after="0"/>
        <w:tabs>
          <w:tab w:leader="none" w:pos="423"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old notes are not immediately available;</w:t>
      </w:r>
    </w:p>
    <w:p>
      <w:pPr>
        <w:spacing w:after="0" w:line="90" w:lineRule="exact"/>
        <w:rPr>
          <w:rFonts w:ascii="Arial" w:cs="Arial" w:eastAsia="Arial" w:hAnsi="Arial"/>
          <w:sz w:val="18"/>
          <w:szCs w:val="18"/>
          <w:color w:val="auto"/>
        </w:rPr>
      </w:pPr>
    </w:p>
    <w:p>
      <w:pPr>
        <w:ind w:left="423" w:right="380" w:hanging="423"/>
        <w:spacing w:after="0" w:line="332" w:lineRule="auto"/>
        <w:tabs>
          <w:tab w:leader="none" w:pos="423" w:val="left"/>
        </w:tabs>
        <w:numPr>
          <w:ilvl w:val="0"/>
          <w:numId w:val="10"/>
        </w:numPr>
        <w:rPr>
          <w:rFonts w:ascii="Arial" w:cs="Arial" w:eastAsia="Arial" w:hAnsi="Arial"/>
          <w:sz w:val="16"/>
          <w:szCs w:val="16"/>
          <w:color w:val="auto"/>
        </w:rPr>
      </w:pPr>
      <w:r>
        <w:rPr>
          <w:rFonts w:ascii="Arial" w:cs="Arial" w:eastAsia="Arial" w:hAnsi="Arial"/>
          <w:sz w:val="16"/>
          <w:szCs w:val="16"/>
          <w:color w:val="auto"/>
        </w:rPr>
        <w:t>time will not permit your old notes or other required documents to reach the exchange agent before the expiration or termination of the exchange offer; or</w:t>
      </w:r>
    </w:p>
    <w:p>
      <w:pPr>
        <w:spacing w:after="0" w:line="4" w:lineRule="exact"/>
        <w:rPr>
          <w:rFonts w:ascii="Arial" w:cs="Arial" w:eastAsia="Arial" w:hAnsi="Arial"/>
          <w:sz w:val="16"/>
          <w:szCs w:val="16"/>
          <w:color w:val="auto"/>
        </w:rPr>
      </w:pPr>
    </w:p>
    <w:p>
      <w:pPr>
        <w:ind w:left="423" w:right="560" w:hanging="423"/>
        <w:spacing w:after="0" w:line="268" w:lineRule="auto"/>
        <w:tabs>
          <w:tab w:leader="none" w:pos="423"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procedure for book-entry transfer cannot be completed prior to the expiration or termination of the exchange offer;</w:t>
      </w:r>
    </w:p>
    <w:p>
      <w:pPr>
        <w:spacing w:after="0" w:line="51" w:lineRule="exact"/>
        <w:rPr>
          <w:sz w:val="20"/>
          <w:szCs w:val="20"/>
          <w:color w:val="auto"/>
        </w:rPr>
      </w:pPr>
    </w:p>
    <w:p>
      <w:pPr>
        <w:ind w:left="3" w:right="260"/>
        <w:spacing w:after="0" w:line="268" w:lineRule="auto"/>
        <w:rPr>
          <w:sz w:val="20"/>
          <w:szCs w:val="20"/>
          <w:color w:val="auto"/>
        </w:rPr>
      </w:pPr>
      <w:r>
        <w:rPr>
          <w:rFonts w:ascii="Arial" w:cs="Arial" w:eastAsia="Arial" w:hAnsi="Arial"/>
          <w:sz w:val="18"/>
          <w:szCs w:val="18"/>
          <w:color w:val="auto"/>
        </w:rPr>
        <w:t>then you may tender old notes by following the procedures described below under the caption “The Exchange Offer—Guaranteed Delivery Procedures.”</w:t>
      </w:r>
    </w:p>
    <w:p>
      <w:pPr>
        <w:spacing w:after="0" w:line="200" w:lineRule="exact"/>
        <w:rPr>
          <w:sz w:val="20"/>
          <w:szCs w:val="20"/>
          <w:color w:val="auto"/>
        </w:rPr>
      </w:pPr>
    </w:p>
    <w:p>
      <w:pPr>
        <w:sectPr>
          <w:pgSz w:w="11900" w:h="16838" w:orient="portrait"/>
          <w:cols w:equalWidth="0" w:num="2">
            <w:col w:w="3677" w:space="720"/>
            <w:col w:w="6863"/>
          </w:cols>
          <w:pgMar w:left="240" w:top="459" w:right="399" w:bottom="1440" w:gutter="0" w:footer="0" w:header="0"/>
          <w:type w:val="continuous"/>
        </w:sectPr>
      </w:pPr>
    </w:p>
    <w:p>
      <w:pPr>
        <w:spacing w:after="0" w:line="94"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60"/>
          </w:cols>
          <w:pgMar w:left="240" w:top="459" w:right="39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0641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6465" cy="506412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spacing w:after="0"/>
        <w:tabs>
          <w:tab w:leader="none" w:pos="4380" w:val="left"/>
        </w:tabs>
        <w:rPr>
          <w:sz w:val="20"/>
          <w:szCs w:val="20"/>
          <w:color w:val="auto"/>
        </w:rPr>
      </w:pPr>
      <w:r>
        <w:rPr>
          <w:rFonts w:ascii="Arial" w:cs="Arial" w:eastAsia="Arial" w:hAnsi="Arial"/>
          <w:sz w:val="18"/>
          <w:szCs w:val="18"/>
          <w:color w:val="auto"/>
        </w:rPr>
        <w:t>Special Procedures for Beneficial Owners</w:t>
      </w:r>
      <w:r>
        <w:rPr>
          <w:sz w:val="20"/>
          <w:szCs w:val="20"/>
          <w:color w:val="auto"/>
        </w:rPr>
        <w:tab/>
      </w:r>
      <w:r>
        <w:rPr>
          <w:rFonts w:ascii="Arial" w:cs="Arial" w:eastAsia="Arial" w:hAnsi="Arial"/>
          <w:sz w:val="15"/>
          <w:szCs w:val="15"/>
          <w:color w:val="auto"/>
        </w:rPr>
        <w:t>If you are a beneficial owner whose old notes are registered in the name of a broker, dealer,</w:t>
      </w:r>
    </w:p>
    <w:p>
      <w:pPr>
        <w:spacing w:after="0" w:line="15" w:lineRule="exact"/>
        <w:rPr>
          <w:sz w:val="20"/>
          <w:szCs w:val="20"/>
          <w:color w:val="auto"/>
        </w:rPr>
      </w:pPr>
    </w:p>
    <w:p>
      <w:pPr>
        <w:ind w:left="4400" w:right="100"/>
        <w:spacing w:after="0" w:line="288" w:lineRule="auto"/>
        <w:rPr>
          <w:sz w:val="20"/>
          <w:szCs w:val="20"/>
          <w:color w:val="auto"/>
        </w:rPr>
      </w:pPr>
      <w:r>
        <w:rPr>
          <w:rFonts w:ascii="Arial" w:cs="Arial" w:eastAsia="Arial" w:hAnsi="Arial"/>
          <w:sz w:val="16"/>
          <w:szCs w:val="16"/>
          <w:color w:val="auto"/>
        </w:rPr>
        <w:t>commercial bank, trust company or other nominee and you wish to tender your old notes in the exchange offer, you should promptly contact the person in whose name the old notes are registered and instruct that person to tender them on your behalf. If you wish to tender in the exchange offer on your own behalf, prior to completing and executing the letter of transmittal and delivering your old notes, you must either make appropriate arrangements to register ownership of the old notes in your name, or obtain a properly completed bond power from the person in whose name the old notes are registered.</w:t>
      </w:r>
    </w:p>
    <w:p>
      <w:pPr>
        <w:sectPr>
          <w:pgSz w:w="11900" w:h="16838" w:orient="portrait"/>
          <w:cols w:equalWidth="0" w:num="1">
            <w:col w:w="11180"/>
          </w:cols>
          <w:pgMar w:left="240" w:top="459" w:right="479" w:bottom="1440" w:gutter="0" w:footer="0" w:header="0"/>
        </w:sectPr>
      </w:pPr>
    </w:p>
    <w:p>
      <w:pPr>
        <w:spacing w:after="0" w:line="32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Material United States Federal Income Tax Considerations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Use of Proceeds</w:t>
      </w:r>
    </w:p>
    <w:p>
      <w:pPr>
        <w:spacing w:after="0" w:line="38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Exchange Agent</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exchange of old notes for new notes in the exchange offer will not be a taxable transaction for United States federal income tax purposes. See the discussion below under the caption “Material United States Federal Income Tax Considerations” for more information regarding the United States federal income tax consequences to you of the exchange offer.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We will not receive any cash proceeds from the exchange offer.</w:t>
      </w:r>
    </w:p>
    <w:p>
      <w:pPr>
        <w:spacing w:after="0" w:line="387"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U.S. Bank National Association is the exchange agent for the exchange offer. You can find the address and telephone number of the exchange agent below under the caption, “The Exchange Offer—Exchange Agent.”</w:t>
      </w:r>
    </w:p>
    <w:p>
      <w:pPr>
        <w:spacing w:after="0" w:line="173" w:lineRule="exact"/>
        <w:rPr>
          <w:sz w:val="20"/>
          <w:szCs w:val="20"/>
          <w:color w:val="auto"/>
        </w:rPr>
      </w:pPr>
    </w:p>
    <w:p>
      <w:pPr>
        <w:sectPr>
          <w:pgSz w:w="11900" w:h="16838" w:orient="portrait"/>
          <w:cols w:equalWidth="0" w:num="2">
            <w:col w:w="4320" w:space="80"/>
            <w:col w:w="6780"/>
          </w:cols>
          <w:pgMar w:left="240" w:top="459" w:right="479" w:bottom="1440" w:gutter="0" w:footer="0" w:header="0"/>
          <w:type w:val="continuous"/>
        </w:sectPr>
      </w:pPr>
    </w:p>
    <w:p>
      <w:pPr>
        <w:ind w:left="4400"/>
        <w:spacing w:after="0"/>
        <w:rPr>
          <w:sz w:val="20"/>
          <w:szCs w:val="20"/>
          <w:color w:val="auto"/>
        </w:rPr>
      </w:pPr>
      <w:r>
        <w:rPr>
          <w:rFonts w:ascii="Arial" w:cs="Arial" w:eastAsia="Arial" w:hAnsi="Arial"/>
          <w:sz w:val="16"/>
          <w:szCs w:val="16"/>
          <w:color w:val="auto"/>
        </w:rPr>
        <w:t>Based on interpretations by the staff of the SEC, as set forth in no-action letters issued to third</w:t>
      </w:r>
    </w:p>
    <w:p>
      <w:pPr>
        <w:ind w:left="4400" w:right="120" w:hanging="4199"/>
        <w:spacing w:after="0" w:line="192" w:lineRule="auto"/>
        <w:tabs>
          <w:tab w:leader="none" w:pos="4380" w:val="left"/>
        </w:tabs>
        <w:rPr>
          <w:sz w:val="20"/>
          <w:szCs w:val="20"/>
          <w:color w:val="auto"/>
        </w:rPr>
      </w:pPr>
      <w:r>
        <w:rPr>
          <w:rFonts w:ascii="Arial" w:cs="Arial" w:eastAsia="Arial" w:hAnsi="Arial"/>
          <w:sz w:val="35"/>
          <w:szCs w:val="35"/>
          <w:color w:val="auto"/>
          <w:vertAlign w:val="superscript"/>
        </w:rPr>
        <w:t>Resales</w:t>
      </w:r>
      <w:r>
        <w:rPr>
          <w:sz w:val="20"/>
          <w:szCs w:val="20"/>
          <w:color w:val="auto"/>
        </w:rPr>
        <w:tab/>
      </w:r>
      <w:r>
        <w:rPr>
          <w:rFonts w:ascii="Arial" w:cs="Arial" w:eastAsia="Arial" w:hAnsi="Arial"/>
          <w:sz w:val="18"/>
          <w:szCs w:val="18"/>
          <w:color w:val="auto"/>
        </w:rPr>
        <w:t>parties, we believe that the new notes issued in the exchange offer may be offered for resale, resold or otherwise transferred by you without compliance with the registration and prospectus delivery requirements of the Securities Act as long as:</w:t>
      </w:r>
    </w:p>
    <w:p>
      <w:pPr>
        <w:spacing w:after="0" w:line="116" w:lineRule="exact"/>
        <w:rPr>
          <w:sz w:val="20"/>
          <w:szCs w:val="20"/>
          <w:color w:val="auto"/>
        </w:rPr>
      </w:pPr>
    </w:p>
    <w:p>
      <w:pPr>
        <w:ind w:left="4820" w:hanging="423"/>
        <w:spacing w:after="0"/>
        <w:tabs>
          <w:tab w:leader="none" w:pos="4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you are acquiring the new notes in the ordinary course of your business;</w:t>
      </w:r>
    </w:p>
    <w:p>
      <w:pPr>
        <w:spacing w:after="0" w:line="90" w:lineRule="exact"/>
        <w:rPr>
          <w:rFonts w:ascii="Arial" w:cs="Arial" w:eastAsia="Arial" w:hAnsi="Arial"/>
          <w:sz w:val="18"/>
          <w:szCs w:val="18"/>
          <w:color w:val="auto"/>
        </w:rPr>
      </w:pPr>
    </w:p>
    <w:p>
      <w:pPr>
        <w:ind w:left="4820" w:right="480" w:hanging="423"/>
        <w:spacing w:after="0" w:line="332" w:lineRule="auto"/>
        <w:tabs>
          <w:tab w:leader="none" w:pos="48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you are not participating, do not intend to participate and have no arrangement or understanding with any person to participate, in a distribution of the new notes; and</w:t>
      </w:r>
    </w:p>
    <w:p>
      <w:pPr>
        <w:spacing w:after="0" w:line="4" w:lineRule="exact"/>
        <w:rPr>
          <w:rFonts w:ascii="Arial" w:cs="Arial" w:eastAsia="Arial" w:hAnsi="Arial"/>
          <w:sz w:val="16"/>
          <w:szCs w:val="16"/>
          <w:color w:val="auto"/>
        </w:rPr>
      </w:pPr>
    </w:p>
    <w:p>
      <w:pPr>
        <w:ind w:left="4820" w:hanging="423"/>
        <w:spacing w:after="0"/>
        <w:tabs>
          <w:tab w:leader="none" w:pos="4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you are not an affiliate of ours.</w:t>
      </w:r>
    </w:p>
    <w:p>
      <w:pPr>
        <w:spacing w:after="0" w:line="171" w:lineRule="exact"/>
        <w:rPr>
          <w:sz w:val="20"/>
          <w:szCs w:val="20"/>
          <w:color w:val="auto"/>
        </w:rPr>
      </w:pPr>
    </w:p>
    <w:p>
      <w:pPr>
        <w:ind w:left="4400" w:right="100"/>
        <w:spacing w:after="0" w:line="332" w:lineRule="auto"/>
        <w:rPr>
          <w:sz w:val="20"/>
          <w:szCs w:val="20"/>
          <w:color w:val="auto"/>
        </w:rPr>
      </w:pPr>
      <w:r>
        <w:rPr>
          <w:rFonts w:ascii="Arial" w:cs="Arial" w:eastAsia="Arial" w:hAnsi="Arial"/>
          <w:sz w:val="16"/>
          <w:szCs w:val="16"/>
          <w:color w:val="auto"/>
        </w:rPr>
        <w:t>If you are an affiliate of ours, are engaged in or intend to engage in or have any arrangement or understanding with any person to participate in, the distribution of new notes:</w:t>
      </w:r>
    </w:p>
    <w:p>
      <w:pPr>
        <w:spacing w:after="0" w:line="4" w:lineRule="exact"/>
        <w:rPr>
          <w:sz w:val="20"/>
          <w:szCs w:val="20"/>
          <w:color w:val="auto"/>
        </w:rPr>
      </w:pPr>
    </w:p>
    <w:p>
      <w:pPr>
        <w:ind w:left="4820" w:hanging="423"/>
        <w:spacing w:after="0"/>
        <w:tabs>
          <w:tab w:leader="none" w:pos="4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you cannot rely on the applicable interpretations of the staff of the SEC;</w:t>
      </w:r>
    </w:p>
    <w:p>
      <w:pPr>
        <w:spacing w:after="0" w:line="90" w:lineRule="exact"/>
        <w:rPr>
          <w:rFonts w:ascii="Arial" w:cs="Arial" w:eastAsia="Arial" w:hAnsi="Arial"/>
          <w:sz w:val="18"/>
          <w:szCs w:val="18"/>
          <w:color w:val="auto"/>
        </w:rPr>
      </w:pPr>
    </w:p>
    <w:p>
      <w:pPr>
        <w:ind w:left="4820" w:hanging="423"/>
        <w:spacing w:after="0"/>
        <w:tabs>
          <w:tab w:leader="none" w:pos="4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you will not be entitled to tender your old notes in the exchange offer; and</w:t>
      </w:r>
    </w:p>
    <w:p>
      <w:pPr>
        <w:spacing w:after="0" w:line="33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80"/>
          </w:cols>
          <w:pgMar w:left="240" w:top="459" w:right="47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5148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6465" cy="451485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 you must comply with the registration requirements of the Securities Act in connection with</w:t>
      </w:r>
    </w:p>
    <w:p>
      <w:pPr>
        <w:spacing w:after="0" w:line="38"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any resale transaction.</w:t>
      </w:r>
    </w:p>
    <w:p>
      <w:pPr>
        <w:spacing w:after="0" w:line="165" w:lineRule="exact"/>
        <w:rPr>
          <w:sz w:val="20"/>
          <w:szCs w:val="20"/>
          <w:color w:val="auto"/>
        </w:rPr>
      </w:pPr>
    </w:p>
    <w:p>
      <w:pPr>
        <w:ind w:left="4400" w:right="120"/>
        <w:spacing w:after="0" w:line="291" w:lineRule="auto"/>
        <w:rPr>
          <w:sz w:val="20"/>
          <w:szCs w:val="20"/>
          <w:color w:val="auto"/>
        </w:rPr>
      </w:pPr>
      <w:r>
        <w:rPr>
          <w:rFonts w:ascii="Arial" w:cs="Arial" w:eastAsia="Arial" w:hAnsi="Arial"/>
          <w:sz w:val="16"/>
          <w:szCs w:val="16"/>
          <w:color w:val="auto"/>
        </w:rPr>
        <w:t>Each broker or dealer that receives new notes for its own account in exchange for old notes that were acquired as a result of market-making or other trading activities must acknowledge that it will comply with the registration and prospectus delivery requirements of the Securities Act in connection with any offer, resale or other transfer of the new notes issued in the exchange offer, including information with respect to any selling holder required by the Securities Act in connection with any resale of the new notes.</w:t>
      </w:r>
    </w:p>
    <w:p>
      <w:pPr>
        <w:spacing w:after="0" w:line="120"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Furthermore, any broker-dealer that acquired any of its old notes directly from us:</w:t>
      </w:r>
    </w:p>
    <w:p>
      <w:pPr>
        <w:sectPr>
          <w:pgSz w:w="11900" w:h="16838" w:orient="portrait"/>
          <w:cols w:equalWidth="0" w:num="1">
            <w:col w:w="11240"/>
          </w:cols>
          <w:pgMar w:left="240" w:top="459" w:right="419" w:bottom="1440" w:gutter="0" w:footer="0" w:header="0"/>
        </w:sectPr>
      </w:pPr>
    </w:p>
    <w:p>
      <w:pPr>
        <w:spacing w:after="0" w:line="90"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may not rely on the applicable interpretation of the staff of the SEC’s position contained in Exxon Capital Holdings Corp., SEC no-action letter (publicly available May 13, 1988), Morgan Stanley &amp; Co. Incorporated, SEC no-action letter (publicly available June 5, 1991) and Shearman &amp; Sterling, SEC no-action letter (publicly available July 2, 1993); and</w:t>
      </w:r>
    </w:p>
    <w:p>
      <w:pPr>
        <w:spacing w:after="0" w:line="32" w:lineRule="exact"/>
        <w:rPr>
          <w:sz w:val="20"/>
          <w:szCs w:val="20"/>
          <w:color w:val="auto"/>
        </w:rPr>
      </w:pPr>
    </w:p>
    <w:p>
      <w:pPr>
        <w:sectPr>
          <w:pgSz w:w="11900" w:h="16838" w:orient="portrait"/>
          <w:cols w:equalWidth="0" w:num="2">
            <w:col w:w="4460" w:space="360"/>
            <w:col w:w="6420"/>
          </w:cols>
          <w:pgMar w:left="240" w:top="459" w:right="419" w:bottom="1440" w:gutter="0" w:footer="0" w:header="0"/>
          <w:type w:val="continuous"/>
        </w:sectPr>
      </w:pPr>
    </w:p>
    <w:p>
      <w:pPr>
        <w:ind w:left="44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220"/>
        <w:spacing w:after="0" w:line="370" w:lineRule="auto"/>
        <w:rPr>
          <w:sz w:val="20"/>
          <w:szCs w:val="20"/>
          <w:color w:val="auto"/>
        </w:rPr>
      </w:pPr>
      <w:r>
        <w:rPr>
          <w:rFonts w:ascii="Arial" w:cs="Arial" w:eastAsia="Arial" w:hAnsi="Arial"/>
          <w:sz w:val="15"/>
          <w:szCs w:val="15"/>
          <w:color w:val="auto"/>
        </w:rPr>
        <w:t>must also be named as a selling noteholder in connection with the registration and prospectus delivery requirements of the Securities Act relating to any resale transaction.</w:t>
      </w:r>
    </w:p>
    <w:p>
      <w:pPr>
        <w:spacing w:after="0" w:line="103" w:lineRule="exact"/>
        <w:rPr>
          <w:sz w:val="20"/>
          <w:szCs w:val="20"/>
          <w:color w:val="auto"/>
        </w:rPr>
      </w:pPr>
    </w:p>
    <w:p>
      <w:pPr>
        <w:sectPr>
          <w:pgSz w:w="11900" w:h="16838" w:orient="portrait"/>
          <w:cols w:equalWidth="0" w:num="2">
            <w:col w:w="4460" w:space="360"/>
            <w:col w:w="642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Broker-Dealers</w:t>
      </w:r>
    </w:p>
    <w:p>
      <w:pPr>
        <w:spacing w:after="0" w:line="20" w:lineRule="exact"/>
        <w:rPr>
          <w:sz w:val="20"/>
          <w:szCs w:val="20"/>
          <w:color w:val="auto"/>
        </w:rPr>
      </w:pPr>
      <w:r>
        <w:rPr>
          <w:sz w:val="20"/>
          <w:szCs w:val="20"/>
          <w:color w:val="auto"/>
        </w:rPr>
        <w:br w:type="column"/>
      </w:r>
    </w:p>
    <w:p>
      <w:pPr>
        <w:ind w:right="200"/>
        <w:spacing w:after="0" w:line="302" w:lineRule="auto"/>
        <w:rPr>
          <w:sz w:val="20"/>
          <w:szCs w:val="20"/>
          <w:color w:val="auto"/>
        </w:rPr>
      </w:pPr>
      <w:r>
        <w:rPr>
          <w:rFonts w:ascii="Arial" w:cs="Arial" w:eastAsia="Arial" w:hAnsi="Arial"/>
          <w:sz w:val="15"/>
          <w:szCs w:val="15"/>
          <w:color w:val="auto"/>
        </w:rPr>
        <w:t>Each broker-dealer that receives new notes for its own account pursuant to the exchange offer must acknowledge that it will deliver a prospectus in connection with any resale of such new notes. The letter of transmittal states that by so acknowledging and delivering a prospectus, a broker-dealer will not be deemed to admit that it is an “underwriter” within the meaning of the</w:t>
      </w:r>
    </w:p>
    <w:p>
      <w:pPr>
        <w:spacing w:after="0" w:line="3"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4400" w:right="100"/>
        <w:spacing w:after="0" w:line="287" w:lineRule="auto"/>
        <w:rPr>
          <w:sz w:val="20"/>
          <w:szCs w:val="20"/>
          <w:color w:val="auto"/>
        </w:rPr>
      </w:pPr>
      <w:r>
        <w:rPr>
          <w:rFonts w:ascii="Arial" w:cs="Arial" w:eastAsia="Arial" w:hAnsi="Arial"/>
          <w:sz w:val="16"/>
          <w:szCs w:val="16"/>
          <w:color w:val="auto"/>
        </w:rPr>
        <w:t>Securities Act. This prospectus, as it may be amended or supplemented from time to time, may be used by a broker-dealer in connection with resales of new notes received in exchange for old notes which were received by the broker-dealer as a result of market-making or other trading activities. Under the registration rights agreements, we have agreed that for a period of up to the later of (i) 180 days following the 30</w:t>
      </w:r>
      <w:r>
        <w:rPr>
          <w:rFonts w:ascii="Arial" w:cs="Arial" w:eastAsia="Arial" w:hAnsi="Arial"/>
          <w:sz w:val="10"/>
          <w:szCs w:val="10"/>
          <w:color w:val="auto"/>
        </w:rPr>
        <w:t>th</w:t>
      </w:r>
      <w:r>
        <w:rPr>
          <w:rFonts w:ascii="Arial" w:cs="Arial" w:eastAsia="Arial" w:hAnsi="Arial"/>
          <w:sz w:val="16"/>
          <w:szCs w:val="16"/>
          <w:color w:val="auto"/>
        </w:rPr>
        <w:t xml:space="preserve"> business day after the registration statement containing this prospectus is declared effective, and (ii) 180 days following the 10</w:t>
      </w:r>
      <w:r>
        <w:rPr>
          <w:rFonts w:ascii="Arial" w:cs="Arial" w:eastAsia="Arial" w:hAnsi="Arial"/>
          <w:sz w:val="10"/>
          <w:szCs w:val="10"/>
          <w:color w:val="auto"/>
        </w:rPr>
        <w:t>th</w:t>
      </w:r>
      <w:r>
        <w:rPr>
          <w:rFonts w:ascii="Arial" w:cs="Arial" w:eastAsia="Arial" w:hAnsi="Arial"/>
          <w:sz w:val="16"/>
          <w:szCs w:val="16"/>
          <w:color w:val="auto"/>
        </w:rPr>
        <w:t xml:space="preserve"> business day after the exchange offer expires, we will make this prospectus available to any broker-dealer for use in connection with any such resale. See “Plan of Distribution” beginning on page 257 for more information.</w:t>
      </w:r>
    </w:p>
    <w:p>
      <w:pPr>
        <w:spacing w:after="0" w:line="28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459" w:right="419" w:bottom="1440" w:gutter="0" w:footer="0" w:header="0"/>
          <w:type w:val="continuous"/>
        </w:sectPr>
      </w:pPr>
    </w:p>
    <w:bookmarkStart w:id="11" w:name="page12"/>
    <w:bookmarkEnd w:id="1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48920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6465" cy="4892040"/>
                    </a:xfrm>
                    <a:prstGeom prst="rect">
                      <a:avLst/>
                    </a:prstGeom>
                    <a:noFill/>
                  </pic:spPr>
                </pic:pic>
              </a:graphicData>
            </a:graphic>
          </wp:anchor>
        </w:drawing>
      </w:r>
    </w:p>
    <w:p>
      <w:pPr>
        <w:sectPr>
          <w:pgSz w:w="11900" w:h="16838" w:orient="portrait"/>
          <w:cols w:equalWidth="0" w:num="1">
            <w:col w:w="11260"/>
          </w:cols>
          <w:pgMar w:left="240" w:top="459" w:right="39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ind w:left="200"/>
        <w:spacing w:after="0"/>
        <w:rPr>
          <w:sz w:val="20"/>
          <w:szCs w:val="20"/>
          <w:color w:val="auto"/>
        </w:rPr>
      </w:pPr>
      <w:r>
        <w:rPr>
          <w:rFonts w:ascii="Arial" w:cs="Arial" w:eastAsia="Arial" w:hAnsi="Arial"/>
          <w:sz w:val="15"/>
          <w:szCs w:val="15"/>
          <w:color w:val="auto"/>
        </w:rPr>
        <w:t>Registration Rights Agreement for the old 2017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0"/>
        <w:spacing w:after="0"/>
        <w:rPr>
          <w:sz w:val="20"/>
          <w:szCs w:val="20"/>
          <w:color w:val="auto"/>
        </w:rPr>
      </w:pPr>
      <w:r>
        <w:rPr>
          <w:rFonts w:ascii="Arial" w:cs="Arial" w:eastAsia="Arial" w:hAnsi="Arial"/>
          <w:sz w:val="15"/>
          <w:szCs w:val="15"/>
          <w:color w:val="auto"/>
        </w:rPr>
        <w:t>Registration Rights Agreement for the old 2020 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ind w:left="3" w:right="180"/>
        <w:spacing w:after="0" w:line="259" w:lineRule="auto"/>
        <w:rPr>
          <w:sz w:val="20"/>
          <w:szCs w:val="20"/>
          <w:color w:val="auto"/>
        </w:rPr>
      </w:pPr>
      <w:r>
        <w:rPr>
          <w:rFonts w:ascii="Arial" w:cs="Arial" w:eastAsia="Arial" w:hAnsi="Arial"/>
          <w:sz w:val="18"/>
          <w:szCs w:val="18"/>
          <w:color w:val="auto"/>
        </w:rPr>
        <w:t>When we issued the old 2017 notes on October 19, 2009, we entered into a registration rights agreement with the initial purchasers of the old notes. Under the terms of the registration rights agreement, we agreed to:</w:t>
      </w:r>
    </w:p>
    <w:p>
      <w:pPr>
        <w:spacing w:after="0" w:line="59" w:lineRule="exact"/>
        <w:rPr>
          <w:sz w:val="20"/>
          <w:szCs w:val="20"/>
          <w:color w:val="auto"/>
        </w:rPr>
      </w:pPr>
    </w:p>
    <w:p>
      <w:pPr>
        <w:ind w:left="423" w:hanging="423"/>
        <w:spacing w:after="0"/>
        <w:tabs>
          <w:tab w:leader="none" w:pos="423" w:val="left"/>
        </w:tabs>
        <w:numPr>
          <w:ilvl w:val="0"/>
          <w:numId w:val="13"/>
        </w:numPr>
        <w:rPr>
          <w:rFonts w:ascii="Arial" w:cs="Arial" w:eastAsia="Arial" w:hAnsi="Arial"/>
          <w:sz w:val="16"/>
          <w:szCs w:val="16"/>
          <w:color w:val="auto"/>
        </w:rPr>
      </w:pPr>
      <w:r>
        <w:rPr>
          <w:rFonts w:ascii="Arial" w:cs="Arial" w:eastAsia="Arial" w:hAnsi="Arial"/>
          <w:sz w:val="16"/>
          <w:szCs w:val="16"/>
          <w:color w:val="auto"/>
        </w:rPr>
        <w:t>file the exchange offer registration statement with the SEC on or prior to May 17, 2010;</w:t>
      </w:r>
    </w:p>
    <w:p>
      <w:pPr>
        <w:spacing w:after="0" w:line="113" w:lineRule="exact"/>
        <w:rPr>
          <w:rFonts w:ascii="Arial" w:cs="Arial" w:eastAsia="Arial" w:hAnsi="Arial"/>
          <w:sz w:val="16"/>
          <w:szCs w:val="16"/>
          <w:color w:val="auto"/>
        </w:rPr>
      </w:pPr>
    </w:p>
    <w:p>
      <w:pPr>
        <w:ind w:left="423" w:right="160" w:hanging="423"/>
        <w:spacing w:after="0" w:line="268" w:lineRule="auto"/>
        <w:tabs>
          <w:tab w:leader="none" w:pos="423"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use all commercially reasonable efforts to cause the exchange offer registration statement to be declared effective no later than August 15, 2010;</w:t>
      </w:r>
    </w:p>
    <w:p>
      <w:pPr>
        <w:spacing w:after="0" w:line="50" w:lineRule="exact"/>
        <w:rPr>
          <w:rFonts w:ascii="Arial" w:cs="Arial" w:eastAsia="Arial" w:hAnsi="Arial"/>
          <w:sz w:val="18"/>
          <w:szCs w:val="18"/>
          <w:color w:val="auto"/>
        </w:rPr>
      </w:pPr>
    </w:p>
    <w:p>
      <w:pPr>
        <w:ind w:left="423" w:right="120" w:hanging="423"/>
        <w:spacing w:after="0" w:line="306" w:lineRule="auto"/>
        <w:tabs>
          <w:tab w:leader="none" w:pos="423" w:val="left"/>
        </w:tabs>
        <w:numPr>
          <w:ilvl w:val="0"/>
          <w:numId w:val="13"/>
        </w:numPr>
        <w:rPr>
          <w:rFonts w:ascii="Arial" w:cs="Arial" w:eastAsia="Arial" w:hAnsi="Arial"/>
          <w:sz w:val="16"/>
          <w:szCs w:val="16"/>
          <w:color w:val="auto"/>
        </w:rPr>
      </w:pPr>
      <w:r>
        <w:rPr>
          <w:rFonts w:ascii="Arial" w:cs="Arial" w:eastAsia="Arial" w:hAnsi="Arial"/>
          <w:sz w:val="16"/>
          <w:szCs w:val="16"/>
          <w:color w:val="auto"/>
        </w:rPr>
        <w:t>use all commercially reasonable efforts to consummate the exchange offer within 30 business days after the date on which the exchange offer registration statement is declared effective, or, if later, within 10 business days after the exchange offer expires;</w:t>
      </w:r>
    </w:p>
    <w:p>
      <w:pPr>
        <w:spacing w:after="0" w:line="25" w:lineRule="exact"/>
        <w:rPr>
          <w:rFonts w:ascii="Arial" w:cs="Arial" w:eastAsia="Arial" w:hAnsi="Arial"/>
          <w:sz w:val="16"/>
          <w:szCs w:val="16"/>
          <w:color w:val="auto"/>
        </w:rPr>
      </w:pPr>
    </w:p>
    <w:p>
      <w:pPr>
        <w:jc w:val="both"/>
        <w:ind w:left="423" w:right="180" w:hanging="423"/>
        <w:spacing w:after="0" w:line="259" w:lineRule="auto"/>
        <w:tabs>
          <w:tab w:leader="none" w:pos="423"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use all commercially reasonable efforts to file a shelf registration statement for the resale of the old 2017 notes if we cannot effect an exchange offer within the time periods listed above and in certain other circumstances; and</w:t>
      </w:r>
    </w:p>
    <w:p>
      <w:pPr>
        <w:spacing w:after="0" w:line="59" w:lineRule="exact"/>
        <w:rPr>
          <w:rFonts w:ascii="Arial" w:cs="Arial" w:eastAsia="Arial" w:hAnsi="Arial"/>
          <w:sz w:val="18"/>
          <w:szCs w:val="18"/>
          <w:color w:val="auto"/>
        </w:rPr>
      </w:pPr>
    </w:p>
    <w:p>
      <w:pPr>
        <w:ind w:left="423" w:hanging="423"/>
        <w:spacing w:after="0" w:line="253" w:lineRule="auto"/>
        <w:tabs>
          <w:tab w:leader="none" w:pos="423"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fail to meet our registration obligations, we will pay liquidated damages in an amount equal to $0.05 per week per $1,000 of the principal amount of old 2017 notes held by a holder for each day that we default on our registration obligations, increasing by an additional $0.05 per week per $1,000 of the principal amount of old 2017 notes for each subsequent 90-day period our registration obligations are not met, up to a maximum of liquidated damages equal to $0.50 per week per $1,000 of the principal amount of old 2017 notes.</w:t>
      </w:r>
    </w:p>
    <w:p>
      <w:pPr>
        <w:spacing w:after="0" w:line="188" w:lineRule="exact"/>
        <w:rPr>
          <w:sz w:val="20"/>
          <w:szCs w:val="20"/>
          <w:color w:val="auto"/>
        </w:rPr>
      </w:pPr>
    </w:p>
    <w:p>
      <w:pPr>
        <w:ind w:left="3" w:right="160"/>
        <w:spacing w:after="0" w:line="256" w:lineRule="auto"/>
        <w:rPr>
          <w:sz w:val="20"/>
          <w:szCs w:val="20"/>
          <w:color w:val="auto"/>
        </w:rPr>
      </w:pPr>
      <w:r>
        <w:rPr>
          <w:rFonts w:ascii="Arial" w:cs="Arial" w:eastAsia="Arial" w:hAnsi="Arial"/>
          <w:sz w:val="18"/>
          <w:szCs w:val="18"/>
          <w:color w:val="auto"/>
        </w:rPr>
        <w:t>When we issued the old 2020 notes on April 28, 2010, we entered into a registration rights agreement with the dealer managers in the private placement exchange offer pursuant to which the old 2020 notes were issued. Under the terms of the registration rights agreement, we agreed to:</w:t>
      </w:r>
    </w:p>
    <w:p>
      <w:pPr>
        <w:spacing w:after="0" w:line="62" w:lineRule="exact"/>
        <w:rPr>
          <w:sz w:val="20"/>
          <w:szCs w:val="20"/>
          <w:color w:val="auto"/>
        </w:rPr>
      </w:pPr>
    </w:p>
    <w:p>
      <w:pPr>
        <w:ind w:left="423" w:right="280" w:hanging="423"/>
        <w:spacing w:after="0" w:line="268" w:lineRule="auto"/>
        <w:tabs>
          <w:tab w:leader="none" w:pos="423"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 the exchange offer registration statement with the SEC on or prior to November 24, 2010;</w:t>
      </w:r>
    </w:p>
    <w:p>
      <w:pPr>
        <w:spacing w:after="0" w:line="50" w:lineRule="exact"/>
        <w:rPr>
          <w:rFonts w:ascii="Arial" w:cs="Arial" w:eastAsia="Arial" w:hAnsi="Arial"/>
          <w:sz w:val="18"/>
          <w:szCs w:val="18"/>
          <w:color w:val="auto"/>
        </w:rPr>
      </w:pPr>
    </w:p>
    <w:p>
      <w:pPr>
        <w:ind w:left="423" w:right="160" w:hanging="423"/>
        <w:spacing w:after="0" w:line="268" w:lineRule="auto"/>
        <w:tabs>
          <w:tab w:leader="none" w:pos="423" w:val="left"/>
        </w:tabs>
        <w:numPr>
          <w:ilvl w:val="0"/>
          <w:numId w:val="14"/>
        </w:numPr>
        <w:rPr>
          <w:rFonts w:ascii="Arial" w:cs="Arial" w:eastAsia="Arial" w:hAnsi="Arial"/>
          <w:sz w:val="18"/>
          <w:szCs w:val="18"/>
          <w:color w:val="auto"/>
        </w:rPr>
      </w:pPr>
      <w:r>
        <w:rPr>
          <w:rFonts w:ascii="Arial" w:cs="Arial" w:eastAsia="Arial" w:hAnsi="Arial"/>
          <w:sz w:val="18"/>
          <w:szCs w:val="18"/>
          <w:color w:val="auto"/>
        </w:rPr>
        <w:t>use all commercially reasonable efforts to cause the exchange offer registration statement to be declared effective no later than February 22, 2011;</w:t>
      </w:r>
    </w:p>
    <w:p>
      <w:pPr>
        <w:spacing w:after="0" w:line="50" w:lineRule="exact"/>
        <w:rPr>
          <w:rFonts w:ascii="Arial" w:cs="Arial" w:eastAsia="Arial" w:hAnsi="Arial"/>
          <w:sz w:val="18"/>
          <w:szCs w:val="18"/>
          <w:color w:val="auto"/>
        </w:rPr>
      </w:pPr>
    </w:p>
    <w:p>
      <w:pPr>
        <w:ind w:left="423" w:right="120" w:hanging="423"/>
        <w:spacing w:after="0" w:line="306" w:lineRule="auto"/>
        <w:tabs>
          <w:tab w:leader="none" w:pos="423" w:val="left"/>
        </w:tabs>
        <w:numPr>
          <w:ilvl w:val="0"/>
          <w:numId w:val="14"/>
        </w:numPr>
        <w:rPr>
          <w:rFonts w:ascii="Arial" w:cs="Arial" w:eastAsia="Arial" w:hAnsi="Arial"/>
          <w:sz w:val="16"/>
          <w:szCs w:val="16"/>
          <w:color w:val="auto"/>
        </w:rPr>
      </w:pPr>
      <w:r>
        <w:rPr>
          <w:rFonts w:ascii="Arial" w:cs="Arial" w:eastAsia="Arial" w:hAnsi="Arial"/>
          <w:sz w:val="16"/>
          <w:szCs w:val="16"/>
          <w:color w:val="auto"/>
        </w:rPr>
        <w:t>use all commercially reasonable efforts to consummate the exchange offer within 30 business days after the date on which the exchange offer registration statement is declared effective, or, if later, within 10 business days after the exchange offer expires;</w:t>
      </w:r>
    </w:p>
    <w:p>
      <w:pPr>
        <w:spacing w:after="0" w:line="200" w:lineRule="exact"/>
        <w:rPr>
          <w:sz w:val="20"/>
          <w:szCs w:val="20"/>
          <w:color w:val="auto"/>
        </w:rPr>
      </w:pPr>
    </w:p>
    <w:p>
      <w:pPr>
        <w:sectPr>
          <w:pgSz w:w="11900" w:h="16838" w:orient="portrait"/>
          <w:cols w:equalWidth="0" w:num="2">
            <w:col w:w="3960" w:space="437"/>
            <w:col w:w="6863"/>
          </w:cols>
          <w:pgMar w:left="240" w:top="459" w:right="399" w:bottom="1440" w:gutter="0" w:footer="0" w:header="0"/>
          <w:type w:val="continuous"/>
        </w:sectPr>
      </w:pPr>
    </w:p>
    <w:p>
      <w:pPr>
        <w:spacing w:after="0" w:line="69"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60"/>
          </w:cols>
          <w:pgMar w:left="240" w:top="459" w:right="39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734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6465" cy="373443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both"/>
        <w:ind w:left="4820" w:right="180" w:hanging="423"/>
        <w:spacing w:after="0" w:line="259" w:lineRule="auto"/>
        <w:tabs>
          <w:tab w:leader="none" w:pos="4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use all commercially reasonable efforts to file a shelf registration statement for the resale of the old 2020 notes if we cannot effect an exchange offer within the time periods listed above and in certain other circumstances; and</w:t>
      </w:r>
    </w:p>
    <w:p>
      <w:pPr>
        <w:spacing w:after="0" w:line="59" w:lineRule="exact"/>
        <w:rPr>
          <w:rFonts w:ascii="Arial" w:cs="Arial" w:eastAsia="Arial" w:hAnsi="Arial"/>
          <w:sz w:val="18"/>
          <w:szCs w:val="18"/>
          <w:color w:val="auto"/>
        </w:rPr>
      </w:pPr>
    </w:p>
    <w:p>
      <w:pPr>
        <w:ind w:left="4820" w:hanging="423"/>
        <w:spacing w:after="0" w:line="253" w:lineRule="auto"/>
        <w:tabs>
          <w:tab w:leader="none" w:pos="4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we fail to meet our registration obligations, we will pay liquidated damages in an amount equal to $0.05 per week per $1,000 of the principal amount of old 2020 notes held by a holder for each day that we default on our registration obligations, increasing by an additional $0.05 per week per $1,000 of the principal amount of old 2020 notes for each subsequent 90-day period our registration obligations are not met, up to a maximum of liquidated damages equal to $0.50 per week per $1,000 of the principal amount of old 2020 notes.</w:t>
      </w:r>
    </w:p>
    <w:p>
      <w:pPr>
        <w:spacing w:after="0" w:line="30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Consequences of Not Exchanging Old Notes</w:t>
      </w:r>
    </w:p>
    <w:p>
      <w:pPr>
        <w:spacing w:after="0" w:line="177" w:lineRule="exact"/>
        <w:rPr>
          <w:sz w:val="20"/>
          <w:szCs w:val="20"/>
          <w:color w:val="auto"/>
        </w:rPr>
      </w:pPr>
    </w:p>
    <w:p>
      <w:pPr>
        <w:ind w:left="200" w:right="240" w:firstLine="443"/>
        <w:spacing w:after="0" w:line="268" w:lineRule="auto"/>
        <w:rPr>
          <w:sz w:val="20"/>
          <w:szCs w:val="20"/>
          <w:color w:val="auto"/>
        </w:rPr>
      </w:pPr>
      <w:r>
        <w:rPr>
          <w:rFonts w:ascii="Arial" w:cs="Arial" w:eastAsia="Arial" w:hAnsi="Arial"/>
          <w:sz w:val="18"/>
          <w:szCs w:val="18"/>
          <w:color w:val="auto"/>
        </w:rPr>
        <w:t>If you do not exchange your old notes in the exchange offer, you will continue to be subject to the restrictions on transfer described in the legend on the certificate for your old notes. In general, you may offer or sell your old notes only:</w:t>
      </w:r>
    </w:p>
    <w:p>
      <w:pPr>
        <w:spacing w:after="0" w:line="51" w:lineRule="exact"/>
        <w:rPr>
          <w:sz w:val="20"/>
          <w:szCs w:val="20"/>
          <w:color w:val="auto"/>
        </w:rPr>
      </w:pPr>
    </w:p>
    <w:p>
      <w:pPr>
        <w:ind w:left="1060" w:hanging="431"/>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they are registered under the Securities Act and applicable state securities laws;</w:t>
      </w:r>
    </w:p>
    <w:p>
      <w:pPr>
        <w:spacing w:after="0" w:line="90" w:lineRule="exact"/>
        <w:rPr>
          <w:rFonts w:ascii="Arial" w:cs="Arial" w:eastAsia="Arial" w:hAnsi="Arial"/>
          <w:sz w:val="18"/>
          <w:szCs w:val="18"/>
          <w:color w:val="auto"/>
        </w:rPr>
      </w:pPr>
    </w:p>
    <w:p>
      <w:pPr>
        <w:ind w:left="1060" w:hanging="431"/>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they are offered or sold under an exemption from registration under the Securities Act and applicable state securities laws; or</w:t>
      </w:r>
    </w:p>
    <w:p>
      <w:pPr>
        <w:spacing w:after="0" w:line="90" w:lineRule="exact"/>
        <w:rPr>
          <w:rFonts w:ascii="Arial" w:cs="Arial" w:eastAsia="Arial" w:hAnsi="Arial"/>
          <w:sz w:val="18"/>
          <w:szCs w:val="18"/>
          <w:color w:val="auto"/>
        </w:rPr>
      </w:pPr>
    </w:p>
    <w:p>
      <w:pPr>
        <w:ind w:left="1060" w:hanging="431"/>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they are offered or sold in a transaction not subject to the Securities Act and applicable state securities laws.</w:t>
      </w:r>
    </w:p>
    <w:p>
      <w:pPr>
        <w:spacing w:after="0" w:line="171" w:lineRule="exact"/>
        <w:rPr>
          <w:sz w:val="20"/>
          <w:szCs w:val="20"/>
          <w:color w:val="auto"/>
        </w:rPr>
      </w:pPr>
    </w:p>
    <w:p>
      <w:pPr>
        <w:ind w:left="200" w:right="20" w:firstLine="443"/>
        <w:spacing w:after="0" w:line="255" w:lineRule="auto"/>
        <w:rPr>
          <w:sz w:val="20"/>
          <w:szCs w:val="20"/>
          <w:color w:val="auto"/>
        </w:rPr>
      </w:pPr>
      <w:r>
        <w:rPr>
          <w:rFonts w:ascii="Arial" w:cs="Arial" w:eastAsia="Arial" w:hAnsi="Arial"/>
          <w:sz w:val="18"/>
          <w:szCs w:val="18"/>
          <w:color w:val="auto"/>
        </w:rPr>
        <w:t>We do not currently intend to register the old notes under the Securities Act. Under some circumstances, however, holders of the old notes, including holders who are not permitted to participate in the exchange offer or who may not freely sell new notes received in the exchange offer, may require us to file, and to cause to become effective, a shelf registration statement covering resales of the old notes by such holders. For more information regarding the consequences of not tendering your old notes and our obligations to file a shelf registration statement, see “The Exchange Offer—Consequences of Exchanging or Failing to Exchange Old Notes.”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60"/>
          </w:cols>
          <w:pgMar w:left="240" w:top="459" w:right="3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07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6465" cy="60071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Description of the New 2017 Notes</w:t>
      </w:r>
    </w:p>
    <w:p>
      <w:pPr>
        <w:spacing w:after="0" w:line="177" w:lineRule="exact"/>
        <w:rPr>
          <w:sz w:val="20"/>
          <w:szCs w:val="20"/>
          <w:color w:val="auto"/>
        </w:rPr>
      </w:pPr>
    </w:p>
    <w:p>
      <w:pPr>
        <w:ind w:left="200" w:right="360" w:firstLine="443"/>
        <w:spacing w:after="0" w:line="259" w:lineRule="auto"/>
        <w:rPr>
          <w:sz w:val="20"/>
          <w:szCs w:val="20"/>
          <w:color w:val="auto"/>
        </w:rPr>
      </w:pPr>
      <w:r>
        <w:rPr>
          <w:rFonts w:ascii="Arial" w:cs="Arial" w:eastAsia="Arial" w:hAnsi="Arial"/>
          <w:sz w:val="18"/>
          <w:szCs w:val="18"/>
          <w:color w:val="auto"/>
        </w:rPr>
        <w:t>The terms of the new 2017 notes and those of the outstanding old 2017 notes are substantially identical, except that the transfer restrictions, registration rights and liquidated damages provisions relating to the old 2017 notes do not apply to the new 2017 notes. For a more complete understanding of the new 2017 notes, see “Description of the New 2017 Notes” in this prospectus.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120" w:type="dxa"/>
            <w:vAlign w:val="bottom"/>
          </w:tcPr>
          <w:p>
            <w:pPr>
              <w:ind w:left="200"/>
              <w:spacing w:after="0"/>
              <w:rPr>
                <w:sz w:val="20"/>
                <w:szCs w:val="20"/>
                <w:color w:val="auto"/>
              </w:rPr>
            </w:pPr>
            <w:r>
              <w:rPr>
                <w:rFonts w:ascii="Arial" w:cs="Arial" w:eastAsia="Arial" w:hAnsi="Arial"/>
                <w:sz w:val="18"/>
                <w:szCs w:val="18"/>
                <w:color w:val="auto"/>
              </w:rPr>
              <w:t>Issuers</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Wynn Las Vegas, LLC and Wynn Las Vegas Capital Corp.</w:t>
            </w:r>
          </w:p>
        </w:tc>
      </w:tr>
      <w:tr>
        <w:trPr>
          <w:trHeight w:val="432"/>
        </w:trPr>
        <w:tc>
          <w:tcPr>
            <w:tcW w:w="3120" w:type="dxa"/>
            <w:vAlign w:val="bottom"/>
          </w:tcPr>
          <w:p>
            <w:pPr>
              <w:ind w:left="200"/>
              <w:spacing w:after="0"/>
              <w:rPr>
                <w:sz w:val="20"/>
                <w:szCs w:val="20"/>
                <w:color w:val="auto"/>
              </w:rPr>
            </w:pPr>
            <w:r>
              <w:rPr>
                <w:rFonts w:ascii="Arial" w:cs="Arial" w:eastAsia="Arial" w:hAnsi="Arial"/>
                <w:sz w:val="18"/>
                <w:szCs w:val="18"/>
                <w:color w:val="auto"/>
              </w:rPr>
              <w:t>Securities Offered</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 xml:space="preserve">$500,000,000 aggregate principal amount of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2017.</w:t>
            </w:r>
          </w:p>
        </w:tc>
      </w:tr>
      <w:tr>
        <w:trPr>
          <w:trHeight w:val="432"/>
        </w:trPr>
        <w:tc>
          <w:tcPr>
            <w:tcW w:w="3120" w:type="dxa"/>
            <w:vAlign w:val="bottom"/>
          </w:tcPr>
          <w:p>
            <w:pPr>
              <w:ind w:left="200"/>
              <w:spacing w:after="0"/>
              <w:rPr>
                <w:sz w:val="20"/>
                <w:szCs w:val="20"/>
                <w:color w:val="auto"/>
              </w:rPr>
            </w:pPr>
            <w:r>
              <w:rPr>
                <w:rFonts w:ascii="Arial" w:cs="Arial" w:eastAsia="Arial" w:hAnsi="Arial"/>
                <w:sz w:val="18"/>
                <w:szCs w:val="18"/>
                <w:color w:val="auto"/>
              </w:rPr>
              <w:t>Maturity</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November 1, 2017.</w:t>
            </w:r>
          </w:p>
        </w:tc>
      </w:tr>
      <w:tr>
        <w:trPr>
          <w:trHeight w:val="426"/>
        </w:trPr>
        <w:tc>
          <w:tcPr>
            <w:tcW w:w="3120" w:type="dxa"/>
            <w:vAlign w:val="bottom"/>
          </w:tcPr>
          <w:p>
            <w:pPr>
              <w:ind w:left="200"/>
              <w:spacing w:after="0"/>
              <w:rPr>
                <w:sz w:val="20"/>
                <w:szCs w:val="20"/>
                <w:color w:val="auto"/>
              </w:rPr>
            </w:pPr>
            <w:r>
              <w:rPr>
                <w:rFonts w:ascii="Arial" w:cs="Arial" w:eastAsia="Arial" w:hAnsi="Arial"/>
                <w:sz w:val="18"/>
                <w:szCs w:val="18"/>
                <w:color w:val="auto"/>
              </w:rPr>
              <w:t>Subsidiary Guarantees</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3"/>
              </w:rPr>
              <w:t>The new 2017 notes will be unconditionally guaranteed by all of our subsidiaries (except Wynn</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3"/>
              </w:rPr>
              <w:t>Capital, which is a co-issuer of the new 2017 notes, and Wynn Completion Guarantor, LLC) on</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0"/>
              </w:rPr>
              <w:t>an equal and ratable basis with the guarantees by such guarantors of our credit facilities, the 2014</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88"/>
              </w:rPr>
              <w:t>notes, the old 2017 notes and the 2020 notes. The guarantees may be released if the lenders under</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1"/>
              </w:rPr>
              <w:t>our credit facilities release the corresponding guarantees provided by such guarantors in respect</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4"/>
              </w:rPr>
              <w:t>of our credit facilities and certain other conditions set forth in the indenture governing the 2017</w:t>
            </w:r>
          </w:p>
        </w:tc>
      </w:tr>
      <w:tr>
        <w:trPr>
          <w:trHeight w:val="222"/>
        </w:trPr>
        <w:tc>
          <w:tcPr>
            <w:tcW w:w="3120" w:type="dxa"/>
            <w:vAlign w:val="bottom"/>
          </w:tcPr>
          <w:p>
            <w:pPr>
              <w:spacing w:after="0"/>
              <w:rPr>
                <w:sz w:val="19"/>
                <w:szCs w:val="19"/>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notes are satisfied.</w:t>
            </w:r>
          </w:p>
        </w:tc>
      </w:tr>
      <w:tr>
        <w:trPr>
          <w:trHeight w:val="419"/>
        </w:trPr>
        <w:tc>
          <w:tcPr>
            <w:tcW w:w="3120" w:type="dxa"/>
            <w:vAlign w:val="bottom"/>
          </w:tcPr>
          <w:p>
            <w:pPr>
              <w:ind w:left="200"/>
              <w:spacing w:after="0"/>
              <w:rPr>
                <w:sz w:val="20"/>
                <w:szCs w:val="20"/>
                <w:color w:val="auto"/>
              </w:rPr>
            </w:pPr>
            <w:r>
              <w:rPr>
                <w:rFonts w:ascii="Arial" w:cs="Arial" w:eastAsia="Arial" w:hAnsi="Arial"/>
                <w:sz w:val="18"/>
                <w:szCs w:val="18"/>
                <w:color w:val="auto"/>
              </w:rPr>
              <w:t>Interest rate</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per year.</w:t>
            </w:r>
          </w:p>
        </w:tc>
      </w:tr>
      <w:tr>
        <w:trPr>
          <w:trHeight w:val="432"/>
        </w:trPr>
        <w:tc>
          <w:tcPr>
            <w:tcW w:w="3120" w:type="dxa"/>
            <w:vAlign w:val="bottom"/>
          </w:tcPr>
          <w:p>
            <w:pPr>
              <w:ind w:left="200"/>
              <w:spacing w:after="0"/>
              <w:rPr>
                <w:sz w:val="20"/>
                <w:szCs w:val="20"/>
                <w:color w:val="auto"/>
              </w:rPr>
            </w:pPr>
            <w:r>
              <w:rPr>
                <w:rFonts w:ascii="Arial" w:cs="Arial" w:eastAsia="Arial" w:hAnsi="Arial"/>
                <w:sz w:val="18"/>
                <w:szCs w:val="18"/>
                <w:color w:val="auto"/>
              </w:rPr>
              <w:t>Interest Payment Dates</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May 1 and November 1 of each year.</w:t>
            </w:r>
          </w:p>
        </w:tc>
      </w:tr>
      <w:tr>
        <w:trPr>
          <w:trHeight w:val="426"/>
        </w:trPr>
        <w:tc>
          <w:tcPr>
            <w:tcW w:w="3120" w:type="dxa"/>
            <w:vAlign w:val="bottom"/>
          </w:tcPr>
          <w:p>
            <w:pPr>
              <w:ind w:left="200"/>
              <w:spacing w:after="0"/>
              <w:rPr>
                <w:sz w:val="20"/>
                <w:szCs w:val="20"/>
                <w:color w:val="auto"/>
              </w:rPr>
            </w:pPr>
            <w:r>
              <w:rPr>
                <w:rFonts w:ascii="Arial" w:cs="Arial" w:eastAsia="Arial" w:hAnsi="Arial"/>
                <w:sz w:val="18"/>
                <w:szCs w:val="18"/>
                <w:color w:val="auto"/>
              </w:rPr>
              <w:t>Ranking</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4"/>
              </w:rPr>
              <w:t>The new 2017 notes will be senior obligations of the issuers and will rank pari passu in right of</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5"/>
              </w:rPr>
              <w:t>payment with all other senior indebtedness of the Issuers, including our obligations under our</w:t>
            </w:r>
          </w:p>
        </w:tc>
      </w:tr>
      <w:tr>
        <w:trPr>
          <w:trHeight w:val="222"/>
        </w:trPr>
        <w:tc>
          <w:tcPr>
            <w:tcW w:w="3120" w:type="dxa"/>
            <w:vAlign w:val="bottom"/>
          </w:tcPr>
          <w:p>
            <w:pPr>
              <w:spacing w:after="0"/>
              <w:rPr>
                <w:sz w:val="19"/>
                <w:szCs w:val="19"/>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credit facilities, the 2014 notes, the old 2017 notes and the 2020 notes.</w:t>
            </w:r>
          </w:p>
        </w:tc>
      </w:tr>
      <w:tr>
        <w:trPr>
          <w:trHeight w:val="372"/>
        </w:trPr>
        <w:tc>
          <w:tcPr>
            <w:tcW w:w="3120" w:type="dxa"/>
            <w:vAlign w:val="bottom"/>
          </w:tcPr>
          <w:p>
            <w:pPr>
              <w:spacing w:after="0"/>
              <w:rPr>
                <w:sz w:val="24"/>
                <w:szCs w:val="24"/>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3"/>
              </w:rPr>
              <w:t>The guarantees of the new 2017 notes will be senior obligations of the guarantors and will rank</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5"/>
              </w:rPr>
              <w:t>pari passu in right of payment with all other senior obligations of the guarantors, including the</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5"/>
              </w:rPr>
              <w:t>guarantors’ obligations under our credit facilities, the 2014 notes, the old 2017 notes and the</w:t>
            </w:r>
          </w:p>
        </w:tc>
      </w:tr>
      <w:tr>
        <w:trPr>
          <w:trHeight w:val="222"/>
        </w:trPr>
        <w:tc>
          <w:tcPr>
            <w:tcW w:w="3120" w:type="dxa"/>
            <w:vAlign w:val="bottom"/>
          </w:tcPr>
          <w:p>
            <w:pPr>
              <w:spacing w:after="0"/>
              <w:rPr>
                <w:sz w:val="19"/>
                <w:szCs w:val="19"/>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2020 notes.</w:t>
            </w:r>
          </w:p>
        </w:tc>
      </w:tr>
      <w:tr>
        <w:trPr>
          <w:trHeight w:val="412"/>
        </w:trPr>
        <w:tc>
          <w:tcPr>
            <w:tcW w:w="3120" w:type="dxa"/>
            <w:vAlign w:val="bottom"/>
          </w:tcPr>
          <w:p>
            <w:pPr>
              <w:ind w:left="200"/>
              <w:spacing w:after="0"/>
              <w:rPr>
                <w:sz w:val="20"/>
                <w:szCs w:val="20"/>
                <w:color w:val="auto"/>
              </w:rPr>
            </w:pPr>
            <w:r>
              <w:rPr>
                <w:rFonts w:ascii="Arial" w:cs="Arial" w:eastAsia="Arial" w:hAnsi="Arial"/>
                <w:sz w:val="18"/>
                <w:szCs w:val="18"/>
                <w:color w:val="auto"/>
              </w:rPr>
              <w:t>Security</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5"/>
              </w:rPr>
              <w:t>To the extent permitted by gaming and other applicable laws and subject to certain permitted</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1"/>
              </w:rPr>
              <w:t>liens, the new 2017 notes will be secured on an equal and ratable basis (with certain exceptions)</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3"/>
              </w:rPr>
              <w:t>with our obligations under our credit facilities, the 2014 notes, the old 2017 notes and the 2020</w:t>
            </w:r>
          </w:p>
        </w:tc>
      </w:tr>
      <w:tr>
        <w:trPr>
          <w:trHeight w:val="222"/>
        </w:trPr>
        <w:tc>
          <w:tcPr>
            <w:tcW w:w="3120" w:type="dxa"/>
            <w:vAlign w:val="bottom"/>
          </w:tcPr>
          <w:p>
            <w:pPr>
              <w:spacing w:after="0"/>
              <w:rPr>
                <w:sz w:val="19"/>
                <w:szCs w:val="19"/>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notes, by:</w:t>
            </w:r>
          </w:p>
        </w:tc>
      </w:tr>
      <w:tr>
        <w:trPr>
          <w:trHeight w:val="291"/>
        </w:trPr>
        <w:tc>
          <w:tcPr>
            <w:tcW w:w="3120" w:type="dxa"/>
            <w:vAlign w:val="bottom"/>
          </w:tcPr>
          <w:p>
            <w:pPr>
              <w:spacing w:after="0"/>
              <w:rPr>
                <w:sz w:val="24"/>
                <w:szCs w:val="24"/>
                <w:color w:val="auto"/>
              </w:rPr>
            </w:pPr>
          </w:p>
        </w:tc>
        <w:tc>
          <w:tcPr>
            <w:tcW w:w="1520" w:type="dxa"/>
            <w:vAlign w:val="bottom"/>
          </w:tcPr>
          <w:p>
            <w:pPr>
              <w:ind w:left="128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w w:val="93"/>
              </w:rPr>
              <w:t>a perfected first priority lien on substantially all of our existing and future assets, including</w:t>
            </w:r>
          </w:p>
        </w:tc>
      </w:tr>
      <w:tr>
        <w:trPr>
          <w:trHeight w:val="222"/>
        </w:trPr>
        <w:tc>
          <w:tcPr>
            <w:tcW w:w="3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Wynn Las Vegas and Encore; and</w:t>
            </w:r>
          </w:p>
        </w:tc>
      </w:tr>
      <w:tr>
        <w:trPr>
          <w:trHeight w:val="291"/>
        </w:trPr>
        <w:tc>
          <w:tcPr>
            <w:tcW w:w="3120" w:type="dxa"/>
            <w:vAlign w:val="bottom"/>
          </w:tcPr>
          <w:p>
            <w:pPr>
              <w:spacing w:after="0"/>
              <w:rPr>
                <w:sz w:val="24"/>
                <w:szCs w:val="24"/>
                <w:color w:val="auto"/>
              </w:rPr>
            </w:pPr>
          </w:p>
        </w:tc>
        <w:tc>
          <w:tcPr>
            <w:tcW w:w="1520" w:type="dxa"/>
            <w:vAlign w:val="bottom"/>
          </w:tcPr>
          <w:p>
            <w:pPr>
              <w:ind w:left="128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w w:val="97"/>
              </w:rPr>
              <w:t>a perfected first priority pledge of the equity interests in Wynn Las Vegas, LLC, Wynn</w:t>
            </w:r>
          </w:p>
        </w:tc>
      </w:tr>
      <w:tr>
        <w:trPr>
          <w:trHeight w:val="216"/>
        </w:trPr>
        <w:tc>
          <w:tcPr>
            <w:tcW w:w="3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w w:val="97"/>
              </w:rPr>
              <w:t>Capital, and the guarantors (which pledge, in the case of equity interests in Wynn Las</w:t>
            </w:r>
          </w:p>
        </w:tc>
      </w:tr>
      <w:tr>
        <w:trPr>
          <w:trHeight w:val="222"/>
        </w:trPr>
        <w:tc>
          <w:tcPr>
            <w:tcW w:w="3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Vegas, LLC, is subject to the prior approval of the Nevada Gaming Authorities).</w:t>
            </w:r>
          </w:p>
        </w:tc>
      </w:tr>
      <w:tr>
        <w:trPr>
          <w:trHeight w:val="161"/>
        </w:trPr>
        <w:tc>
          <w:tcPr>
            <w:tcW w:w="31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6820" w:type="dxa"/>
            <w:vAlign w:val="bottom"/>
            <w:tcBorders>
              <w:bottom w:val="single" w:sz="8" w:color="auto"/>
            </w:tcBorders>
          </w:tcPr>
          <w:p>
            <w:pPr>
              <w:spacing w:after="0"/>
              <w:rPr>
                <w:sz w:val="13"/>
                <w:szCs w:val="13"/>
                <w:color w:val="auto"/>
              </w:rPr>
            </w:pPr>
          </w:p>
        </w:tc>
      </w:tr>
      <w:tr>
        <w:trPr>
          <w:trHeight w:val="359"/>
        </w:trPr>
        <w:tc>
          <w:tcPr>
            <w:tcW w:w="3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820" w:type="dxa"/>
            <w:vAlign w:val="bottom"/>
          </w:tcPr>
          <w:p>
            <w:pPr>
              <w:ind w:left="980"/>
              <w:spacing w:after="0"/>
              <w:rPr>
                <w:sz w:val="20"/>
                <w:szCs w:val="20"/>
                <w:color w:val="auto"/>
              </w:rPr>
            </w:pPr>
            <w:r>
              <w:rPr>
                <w:rFonts w:ascii="Arial" w:cs="Arial" w:eastAsia="Arial" w:hAnsi="Arial"/>
                <w:sz w:val="18"/>
                <w:szCs w:val="18"/>
                <w:color w:val="auto"/>
              </w:rPr>
              <w:t>10</w:t>
            </w:r>
          </w:p>
        </w:tc>
      </w:tr>
    </w:tbl>
    <w:p>
      <w:pPr>
        <w:sectPr>
          <w:pgSz w:w="11900" w:h="16838" w:orient="portrait"/>
          <w:cols w:equalWidth="0" w:num="1">
            <w:col w:w="11460"/>
          </w:cols>
          <w:pgMar w:left="240" w:top="459" w:right="1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384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6465" cy="53384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400" w:right="20"/>
        <w:spacing w:after="0" w:line="291" w:lineRule="auto"/>
        <w:rPr>
          <w:sz w:val="20"/>
          <w:szCs w:val="20"/>
          <w:color w:val="auto"/>
        </w:rPr>
      </w:pPr>
      <w:r>
        <w:rPr>
          <w:rFonts w:ascii="Arial" w:cs="Arial" w:eastAsia="Arial" w:hAnsi="Arial"/>
          <w:sz w:val="16"/>
          <w:szCs w:val="16"/>
          <w:color w:val="auto"/>
        </w:rPr>
        <w:t>To the extent permitted by gaming and other applicable laws and subject to certain permitted liens, the subsidiary guarantors’ obligations under the guarantees of the new 2017 notes will be secured, on an equal and ratable basis (with certain exceptions) with such guarantors’ obligations under the guarantees of our credit facilities, the 2014 notes, the old 2017 notes and the 2020 notes, by a perfected first priority lien on substantially all of the existing and future assets of the subsidiary guarantors.</w:t>
      </w:r>
    </w:p>
    <w:p>
      <w:pPr>
        <w:spacing w:after="0" w:line="120"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The new 2017 notes will not be secured by World Travel, LLC’s aircraft.</w:t>
      </w:r>
    </w:p>
    <w:p>
      <w:pPr>
        <w:sectPr>
          <w:pgSz w:w="11900" w:h="16838" w:orient="portrait"/>
          <w:cols w:equalWidth="0" w:num="1">
            <w:col w:w="11240"/>
          </w:cols>
          <w:pgMar w:left="240" w:top="459" w:right="419" w:bottom="1440" w:gutter="0" w:footer="0" w:header="0"/>
        </w:sectPr>
      </w:pPr>
    </w:p>
    <w:p>
      <w:pPr>
        <w:spacing w:after="0" w:line="212" w:lineRule="exact"/>
        <w:rPr>
          <w:sz w:val="20"/>
          <w:szCs w:val="20"/>
          <w:color w:val="auto"/>
        </w:rPr>
      </w:pPr>
    </w:p>
    <w:p>
      <w:pPr>
        <w:ind w:left="200"/>
        <w:spacing w:after="0"/>
        <w:rPr>
          <w:sz w:val="20"/>
          <w:szCs w:val="20"/>
          <w:color w:val="auto"/>
        </w:rPr>
      </w:pPr>
      <w:r>
        <w:rPr>
          <w:rFonts w:ascii="Arial" w:cs="Arial" w:eastAsia="Arial" w:hAnsi="Arial"/>
          <w:sz w:val="15"/>
          <w:szCs w:val="15"/>
          <w:color w:val="auto"/>
        </w:rPr>
        <w:t>Release of Collateral</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The security interests in all of the collateral securing our obligations under the new 2017 notes and the obligations of the subsidiary guarantors under the subsidiary guarantees, including the golf course land, may be released if:</w:t>
      </w:r>
    </w:p>
    <w:p>
      <w:pPr>
        <w:spacing w:after="0" w:line="59"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44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620"/>
        <w:spacing w:after="0" w:line="268" w:lineRule="auto"/>
        <w:rPr>
          <w:sz w:val="20"/>
          <w:szCs w:val="20"/>
          <w:color w:val="auto"/>
        </w:rPr>
      </w:pPr>
      <w:r>
        <w:rPr>
          <w:rFonts w:ascii="Arial" w:cs="Arial" w:eastAsia="Arial" w:hAnsi="Arial"/>
          <w:sz w:val="18"/>
          <w:szCs w:val="18"/>
          <w:color w:val="auto"/>
        </w:rPr>
        <w:t>the lenders under our existing credit facilities release their security interest in such collateral (other than in connection with a refinancing);</w:t>
      </w:r>
    </w:p>
    <w:p>
      <w:pPr>
        <w:spacing w:after="0" w:line="51" w:lineRule="exact"/>
        <w:rPr>
          <w:sz w:val="20"/>
          <w:szCs w:val="20"/>
          <w:color w:val="auto"/>
        </w:rPr>
      </w:pPr>
    </w:p>
    <w:p>
      <w:pPr>
        <w:sectPr>
          <w:pgSz w:w="11900" w:h="16838" w:orient="portrait"/>
          <w:cols w:equalWidth="0" w:num="2">
            <w:col w:w="4460" w:space="360"/>
            <w:col w:w="6420"/>
          </w:cols>
          <w:pgMar w:left="240" w:top="459" w:right="419" w:bottom="1440" w:gutter="0" w:footer="0" w:header="0"/>
          <w:type w:val="continuous"/>
        </w:sectPr>
      </w:pPr>
    </w:p>
    <w:p>
      <w:pPr>
        <w:ind w:left="44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no default or event of default has occurred and is continuing; and</w:t>
      </w:r>
    </w:p>
    <w:p>
      <w:pPr>
        <w:spacing w:after="0" w:line="124" w:lineRule="exact"/>
        <w:rPr>
          <w:sz w:val="20"/>
          <w:szCs w:val="20"/>
          <w:color w:val="auto"/>
        </w:rPr>
      </w:pPr>
    </w:p>
    <w:p>
      <w:pPr>
        <w:sectPr>
          <w:pgSz w:w="11900" w:h="16838" w:orient="portrait"/>
          <w:cols w:equalWidth="0" w:num="2">
            <w:col w:w="4460" w:space="360"/>
            <w:col w:w="6420"/>
          </w:cols>
          <w:pgMar w:left="240" w:top="459" w:right="419" w:bottom="1440" w:gutter="0" w:footer="0" w:header="0"/>
          <w:type w:val="continuous"/>
        </w:sectPr>
      </w:pPr>
    </w:p>
    <w:p>
      <w:pPr>
        <w:ind w:left="44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jc w:val="both"/>
        <w:ind w:right="160"/>
        <w:spacing w:after="0" w:line="370" w:lineRule="auto"/>
        <w:rPr>
          <w:sz w:val="20"/>
          <w:szCs w:val="20"/>
          <w:color w:val="auto"/>
        </w:rPr>
      </w:pPr>
      <w:r>
        <w:rPr>
          <w:rFonts w:ascii="Arial" w:cs="Arial" w:eastAsia="Arial" w:hAnsi="Arial"/>
          <w:sz w:val="15"/>
          <w:szCs w:val="15"/>
          <w:color w:val="auto"/>
        </w:rPr>
        <w:t>the lenders under any other outstanding secured debt (other than capital lease obligations and purchase money indebtedness) have released their security interest in such collateral.</w:t>
      </w:r>
    </w:p>
    <w:p>
      <w:pPr>
        <w:spacing w:after="0" w:line="62" w:lineRule="exact"/>
        <w:rPr>
          <w:sz w:val="20"/>
          <w:szCs w:val="20"/>
          <w:color w:val="auto"/>
        </w:rPr>
      </w:pPr>
    </w:p>
    <w:p>
      <w:pPr>
        <w:sectPr>
          <w:pgSz w:w="11900" w:h="16838" w:orient="portrait"/>
          <w:cols w:equalWidth="0" w:num="2">
            <w:col w:w="4460" w:space="360"/>
            <w:col w:w="6420"/>
          </w:cols>
          <w:pgMar w:left="240" w:top="459" w:right="419" w:bottom="1440" w:gutter="0" w:footer="0" w:header="0"/>
          <w:type w:val="continuous"/>
        </w:sectPr>
      </w:pPr>
    </w:p>
    <w:p>
      <w:pPr>
        <w:ind w:left="4400"/>
        <w:spacing w:after="0"/>
        <w:rPr>
          <w:sz w:val="20"/>
          <w:szCs w:val="20"/>
          <w:color w:val="auto"/>
        </w:rPr>
      </w:pPr>
      <w:r>
        <w:rPr>
          <w:rFonts w:ascii="Arial" w:cs="Arial" w:eastAsia="Arial" w:hAnsi="Arial"/>
          <w:sz w:val="15"/>
          <w:szCs w:val="15"/>
          <w:color w:val="auto"/>
        </w:rPr>
        <w:t>The security interests in the golf course land may also be released under certain circumstances if:</w:t>
      </w:r>
    </w:p>
    <w:p>
      <w:pPr>
        <w:spacing w:after="0" w:line="125" w:lineRule="exact"/>
        <w:rPr>
          <w:sz w:val="20"/>
          <w:szCs w:val="20"/>
          <w:color w:val="auto"/>
        </w:rPr>
      </w:pPr>
    </w:p>
    <w:p>
      <w:pPr>
        <w:ind w:left="4820" w:hanging="423"/>
        <w:spacing w:after="0"/>
        <w:tabs>
          <w:tab w:leader="none" w:pos="4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w:t>
      </w:r>
    </w:p>
    <w:p>
      <w:pPr>
        <w:spacing w:after="0" w:line="90" w:lineRule="exact"/>
        <w:rPr>
          <w:rFonts w:ascii="Arial" w:cs="Arial" w:eastAsia="Arial" w:hAnsi="Arial"/>
          <w:sz w:val="18"/>
          <w:szCs w:val="18"/>
          <w:color w:val="auto"/>
        </w:rPr>
      </w:pPr>
    </w:p>
    <w:p>
      <w:pPr>
        <w:ind w:left="4820" w:hanging="423"/>
        <w:spacing w:after="0" w:line="332" w:lineRule="auto"/>
        <w:tabs>
          <w:tab w:leader="none" w:pos="48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lenders under our existing credit facilities concurrently release their security interests in the golf course land (other than in connection with a refinancing); and</w:t>
      </w:r>
    </w:p>
    <w:p>
      <w:pPr>
        <w:spacing w:after="0" w:line="4" w:lineRule="exact"/>
        <w:rPr>
          <w:rFonts w:ascii="Arial" w:cs="Arial" w:eastAsia="Arial" w:hAnsi="Arial"/>
          <w:sz w:val="16"/>
          <w:szCs w:val="16"/>
          <w:color w:val="auto"/>
        </w:rPr>
      </w:pPr>
    </w:p>
    <w:p>
      <w:pPr>
        <w:ind w:left="4820" w:right="420" w:hanging="423"/>
        <w:spacing w:after="0" w:line="332" w:lineRule="auto"/>
        <w:tabs>
          <w:tab w:leader="none" w:pos="48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total debt does not exceed 6.5 times our Consolidated EBITDA (as defined in the indenture governing the 2017 notes) for the most recent four full fiscal quarters.</w:t>
      </w:r>
    </w:p>
    <w:p>
      <w:pPr>
        <w:spacing w:after="0" w:line="85" w:lineRule="exact"/>
        <w:rPr>
          <w:sz w:val="20"/>
          <w:szCs w:val="20"/>
          <w:color w:val="auto"/>
        </w:rPr>
      </w:pPr>
    </w:p>
    <w:p>
      <w:pPr>
        <w:ind w:left="4400" w:right="240"/>
        <w:spacing w:after="0" w:line="314" w:lineRule="auto"/>
        <w:rPr>
          <w:sz w:val="20"/>
          <w:szCs w:val="20"/>
          <w:color w:val="auto"/>
        </w:rPr>
      </w:pPr>
      <w:r>
        <w:rPr>
          <w:rFonts w:ascii="Arial" w:cs="Arial" w:eastAsia="Arial" w:hAnsi="Arial"/>
          <w:sz w:val="15"/>
          <w:szCs w:val="15"/>
          <w:color w:val="auto"/>
        </w:rPr>
        <w:t>However, if we incur or guarantee debt to finance costs related to the development of the golf course parcel into a mixed use hotel, casino and residence resort complex pursuant to the debt incurrence baskets described below under the caption “Description of the New 2017 Notes— Certain Covenants—Incurrence of Indebtedness and Issuance of Disqualified Stock,” then the security interest in the golf course land may not be released without obtaining the consent of holders of at least 90% of the outstanding principal amount of the 2017 notes.</w:t>
      </w:r>
    </w:p>
    <w:p>
      <w:pPr>
        <w:spacing w:after="0" w:line="105" w:lineRule="exact"/>
        <w:rPr>
          <w:sz w:val="20"/>
          <w:szCs w:val="20"/>
          <w:color w:val="auto"/>
        </w:rPr>
      </w:pPr>
    </w:p>
    <w:p>
      <w:pPr>
        <w:ind w:left="4400" w:right="160"/>
        <w:spacing w:after="0" w:line="256" w:lineRule="auto"/>
        <w:rPr>
          <w:sz w:val="20"/>
          <w:szCs w:val="20"/>
          <w:color w:val="auto"/>
        </w:rPr>
      </w:pPr>
      <w:r>
        <w:rPr>
          <w:rFonts w:ascii="Arial" w:cs="Arial" w:eastAsia="Arial" w:hAnsi="Arial"/>
          <w:sz w:val="18"/>
          <w:szCs w:val="18"/>
          <w:color w:val="auto"/>
        </w:rPr>
        <w:t>The security interest in approximately 20 acres of the golf course land granted by one of our subsidiaries may be released if the lenders under our credit facilities concurrently release their lien on such land (other than pursuant to a refinancing) and no default or event of default exists or is continuing.</w:t>
      </w:r>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240" w:top="459" w:right="41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352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6465" cy="553529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400" w:right="280"/>
        <w:spacing w:after="0" w:line="256" w:lineRule="auto"/>
        <w:rPr>
          <w:sz w:val="20"/>
          <w:szCs w:val="20"/>
          <w:color w:val="auto"/>
        </w:rPr>
      </w:pPr>
      <w:r>
        <w:rPr>
          <w:rFonts w:ascii="Arial" w:cs="Arial" w:eastAsia="Arial" w:hAnsi="Arial"/>
          <w:sz w:val="18"/>
          <w:szCs w:val="18"/>
          <w:color w:val="auto"/>
        </w:rPr>
        <w:t>In addition, the indenture governing the 2017 notes provides for releases of the security interests in certain collateral under specified circumstances and also provides that security interests in the collateral can be released in connection with asset sales, permitted investments and other permitted dispositions.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ind w:left="200"/>
              <w:spacing w:after="0"/>
              <w:rPr>
                <w:sz w:val="20"/>
                <w:szCs w:val="20"/>
                <w:color w:val="auto"/>
              </w:rPr>
            </w:pPr>
            <w:r>
              <w:rPr>
                <w:rFonts w:ascii="Arial" w:cs="Arial" w:eastAsia="Arial" w:hAnsi="Arial"/>
                <w:sz w:val="18"/>
                <w:szCs w:val="18"/>
                <w:color w:val="auto"/>
                <w:w w:val="96"/>
              </w:rPr>
              <w:t>Optional redemption after qualified equity offerings</w:t>
            </w:r>
          </w:p>
        </w:tc>
        <w:tc>
          <w:tcPr>
            <w:tcW w:w="7340" w:type="dxa"/>
            <w:vAlign w:val="bottom"/>
            <w:gridSpan w:val="2"/>
          </w:tcPr>
          <w:p>
            <w:pPr>
              <w:ind w:left="280"/>
              <w:spacing w:after="0"/>
              <w:rPr>
                <w:sz w:val="20"/>
                <w:szCs w:val="20"/>
                <w:color w:val="auto"/>
              </w:rPr>
            </w:pPr>
            <w:r>
              <w:rPr>
                <w:rFonts w:ascii="Arial" w:cs="Arial" w:eastAsia="Arial" w:hAnsi="Arial"/>
                <w:sz w:val="18"/>
                <w:szCs w:val="18"/>
                <w:color w:val="auto"/>
                <w:w w:val="91"/>
              </w:rPr>
              <w:t>At any time prior to November 1, 2012, we may, on one or more occasions, redeem up to 35% of</w:t>
            </w:r>
          </w:p>
        </w:tc>
      </w:tr>
      <w:tr>
        <w:trPr>
          <w:trHeight w:val="216"/>
        </w:trPr>
        <w:tc>
          <w:tcPr>
            <w:tcW w:w="4120" w:type="dxa"/>
            <w:vAlign w:val="bottom"/>
          </w:tcPr>
          <w:p>
            <w:pPr>
              <w:spacing w:after="0"/>
              <w:rPr>
                <w:sz w:val="18"/>
                <w:szCs w:val="18"/>
                <w:color w:val="auto"/>
              </w:rPr>
            </w:pPr>
          </w:p>
        </w:tc>
        <w:tc>
          <w:tcPr>
            <w:tcW w:w="7340" w:type="dxa"/>
            <w:vAlign w:val="bottom"/>
            <w:gridSpan w:val="2"/>
          </w:tcPr>
          <w:p>
            <w:pPr>
              <w:ind w:left="280"/>
              <w:spacing w:after="0"/>
              <w:rPr>
                <w:sz w:val="20"/>
                <w:szCs w:val="20"/>
                <w:color w:val="auto"/>
              </w:rPr>
            </w:pPr>
            <w:r>
              <w:rPr>
                <w:rFonts w:ascii="Arial" w:cs="Arial" w:eastAsia="Arial" w:hAnsi="Arial"/>
                <w:sz w:val="18"/>
                <w:szCs w:val="18"/>
                <w:color w:val="auto"/>
                <w:w w:val="91"/>
              </w:rPr>
              <w:t>the outstanding new 2017 notes at a redemption price of 107.875% of the principal amount, plus</w:t>
            </w:r>
          </w:p>
        </w:tc>
      </w:tr>
      <w:tr>
        <w:trPr>
          <w:trHeight w:val="216"/>
        </w:trPr>
        <w:tc>
          <w:tcPr>
            <w:tcW w:w="4120" w:type="dxa"/>
            <w:vAlign w:val="bottom"/>
          </w:tcPr>
          <w:p>
            <w:pPr>
              <w:spacing w:after="0"/>
              <w:rPr>
                <w:sz w:val="18"/>
                <w:szCs w:val="18"/>
                <w:color w:val="auto"/>
              </w:rPr>
            </w:pPr>
          </w:p>
        </w:tc>
        <w:tc>
          <w:tcPr>
            <w:tcW w:w="7340" w:type="dxa"/>
            <w:vAlign w:val="bottom"/>
            <w:gridSpan w:val="2"/>
          </w:tcPr>
          <w:p>
            <w:pPr>
              <w:ind w:left="280"/>
              <w:spacing w:after="0"/>
              <w:rPr>
                <w:sz w:val="20"/>
                <w:szCs w:val="20"/>
                <w:color w:val="auto"/>
              </w:rPr>
            </w:pPr>
            <w:r>
              <w:rPr>
                <w:rFonts w:ascii="Arial" w:cs="Arial" w:eastAsia="Arial" w:hAnsi="Arial"/>
                <w:sz w:val="18"/>
                <w:szCs w:val="18"/>
                <w:color w:val="auto"/>
                <w:w w:val="91"/>
              </w:rPr>
              <w:t>accrued and unpaid interest, with the net cash proceeds of one or more qualified equity offerings</w:t>
            </w:r>
          </w:p>
        </w:tc>
      </w:tr>
      <w:tr>
        <w:trPr>
          <w:trHeight w:val="222"/>
        </w:trPr>
        <w:tc>
          <w:tcPr>
            <w:tcW w:w="4120" w:type="dxa"/>
            <w:vAlign w:val="bottom"/>
          </w:tcPr>
          <w:p>
            <w:pPr>
              <w:spacing w:after="0"/>
              <w:rPr>
                <w:sz w:val="19"/>
                <w:szCs w:val="19"/>
                <w:color w:val="auto"/>
              </w:rPr>
            </w:pPr>
          </w:p>
        </w:tc>
        <w:tc>
          <w:tcPr>
            <w:tcW w:w="7340" w:type="dxa"/>
            <w:vAlign w:val="bottom"/>
            <w:gridSpan w:val="2"/>
          </w:tcPr>
          <w:p>
            <w:pPr>
              <w:ind w:left="280"/>
              <w:spacing w:after="0"/>
              <w:rPr>
                <w:sz w:val="20"/>
                <w:szCs w:val="20"/>
                <w:color w:val="auto"/>
              </w:rPr>
            </w:pPr>
            <w:r>
              <w:rPr>
                <w:rFonts w:ascii="Arial" w:cs="Arial" w:eastAsia="Arial" w:hAnsi="Arial"/>
                <w:sz w:val="18"/>
                <w:szCs w:val="18"/>
                <w:color w:val="auto"/>
              </w:rPr>
              <w:t xml:space="preserve">by Wynn Resorts which are contributed to us;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tc>
      </w:tr>
      <w:tr>
        <w:trPr>
          <w:trHeight w:val="291"/>
        </w:trPr>
        <w:tc>
          <w:tcPr>
            <w:tcW w:w="4120" w:type="dxa"/>
            <w:vAlign w:val="bottom"/>
          </w:tcPr>
          <w:p>
            <w:pPr>
              <w:spacing w:after="0"/>
              <w:rPr>
                <w:sz w:val="24"/>
                <w:szCs w:val="24"/>
                <w:color w:val="auto"/>
              </w:rPr>
            </w:pP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w w:val="93"/>
              </w:rPr>
              <w:t>at least 65% of the aggregate principal amount of 2017 notes issued under the indenture</w:t>
            </w:r>
          </w:p>
        </w:tc>
      </w:tr>
      <w:tr>
        <w:trPr>
          <w:trHeight w:val="216"/>
        </w:trPr>
        <w:tc>
          <w:tcPr>
            <w:tcW w:w="4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w w:val="94"/>
              </w:rPr>
              <w:t>governing the 2017 notes remains outstanding immediately after the occurrence of such</w:t>
            </w:r>
          </w:p>
        </w:tc>
      </w:tr>
      <w:tr>
        <w:trPr>
          <w:trHeight w:val="222"/>
        </w:trPr>
        <w:tc>
          <w:tcPr>
            <w:tcW w:w="4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redemption; and</w:t>
            </w:r>
          </w:p>
        </w:tc>
      </w:tr>
      <w:tr>
        <w:trPr>
          <w:trHeight w:val="297"/>
        </w:trPr>
        <w:tc>
          <w:tcPr>
            <w:tcW w:w="4120" w:type="dxa"/>
            <w:vAlign w:val="bottom"/>
          </w:tcPr>
          <w:p>
            <w:pPr>
              <w:spacing w:after="0"/>
              <w:rPr>
                <w:sz w:val="24"/>
                <w:szCs w:val="24"/>
                <w:color w:val="auto"/>
              </w:rPr>
            </w:pP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rPr>
              <w:t>the redemption occurs within 60 days of the closing of the qualified equity offering.</w:t>
            </w:r>
          </w:p>
        </w:tc>
      </w:tr>
      <w:tr>
        <w:trPr>
          <w:trHeight w:val="412"/>
        </w:trPr>
        <w:tc>
          <w:tcPr>
            <w:tcW w:w="4120" w:type="dxa"/>
            <w:vAlign w:val="bottom"/>
          </w:tcPr>
          <w:p>
            <w:pPr>
              <w:ind w:left="200"/>
              <w:spacing w:after="0"/>
              <w:rPr>
                <w:sz w:val="20"/>
                <w:szCs w:val="20"/>
                <w:color w:val="auto"/>
              </w:rPr>
            </w:pPr>
            <w:r>
              <w:rPr>
                <w:rFonts w:ascii="Arial" w:cs="Arial" w:eastAsia="Arial" w:hAnsi="Arial"/>
                <w:sz w:val="18"/>
                <w:szCs w:val="18"/>
                <w:color w:val="auto"/>
              </w:rPr>
              <w:t>Optional Redemption</w:t>
            </w:r>
          </w:p>
        </w:tc>
        <w:tc>
          <w:tcPr>
            <w:tcW w:w="7340" w:type="dxa"/>
            <w:vAlign w:val="bottom"/>
            <w:gridSpan w:val="2"/>
          </w:tcPr>
          <w:p>
            <w:pPr>
              <w:ind w:left="280"/>
              <w:spacing w:after="0"/>
              <w:rPr>
                <w:sz w:val="20"/>
                <w:szCs w:val="20"/>
                <w:color w:val="auto"/>
              </w:rPr>
            </w:pPr>
            <w:r>
              <w:rPr>
                <w:rFonts w:ascii="Arial" w:cs="Arial" w:eastAsia="Arial" w:hAnsi="Arial"/>
                <w:sz w:val="18"/>
                <w:szCs w:val="18"/>
                <w:color w:val="auto"/>
                <w:w w:val="95"/>
              </w:rPr>
              <w:t>Except pursuant to a qualified equity offering, we cannot redeem the new 2017 notes prior to</w:t>
            </w:r>
          </w:p>
        </w:tc>
      </w:tr>
      <w:tr>
        <w:trPr>
          <w:trHeight w:val="216"/>
        </w:trPr>
        <w:tc>
          <w:tcPr>
            <w:tcW w:w="4120" w:type="dxa"/>
            <w:vAlign w:val="bottom"/>
          </w:tcPr>
          <w:p>
            <w:pPr>
              <w:spacing w:after="0"/>
              <w:rPr>
                <w:sz w:val="18"/>
                <w:szCs w:val="18"/>
                <w:color w:val="auto"/>
              </w:rPr>
            </w:pPr>
          </w:p>
        </w:tc>
        <w:tc>
          <w:tcPr>
            <w:tcW w:w="7340" w:type="dxa"/>
            <w:vAlign w:val="bottom"/>
            <w:gridSpan w:val="2"/>
          </w:tcPr>
          <w:p>
            <w:pPr>
              <w:ind w:left="280"/>
              <w:spacing w:after="0"/>
              <w:rPr>
                <w:sz w:val="20"/>
                <w:szCs w:val="20"/>
                <w:color w:val="auto"/>
              </w:rPr>
            </w:pPr>
            <w:r>
              <w:rPr>
                <w:rFonts w:ascii="Arial" w:cs="Arial" w:eastAsia="Arial" w:hAnsi="Arial"/>
                <w:sz w:val="18"/>
                <w:szCs w:val="18"/>
                <w:color w:val="auto"/>
                <w:w w:val="92"/>
              </w:rPr>
              <w:t>November 1, 2013. On or after November 1, 2013, we may redeem some or all of the new 2017</w:t>
            </w:r>
          </w:p>
        </w:tc>
      </w:tr>
      <w:tr>
        <w:trPr>
          <w:trHeight w:val="222"/>
        </w:trPr>
        <w:tc>
          <w:tcPr>
            <w:tcW w:w="4120" w:type="dxa"/>
            <w:vAlign w:val="bottom"/>
          </w:tcPr>
          <w:p>
            <w:pPr>
              <w:spacing w:after="0"/>
              <w:rPr>
                <w:sz w:val="19"/>
                <w:szCs w:val="19"/>
                <w:color w:val="auto"/>
              </w:rPr>
            </w:pPr>
          </w:p>
        </w:tc>
        <w:tc>
          <w:tcPr>
            <w:tcW w:w="7340" w:type="dxa"/>
            <w:vAlign w:val="bottom"/>
            <w:gridSpan w:val="2"/>
          </w:tcPr>
          <w:p>
            <w:pPr>
              <w:ind w:left="280"/>
              <w:spacing w:after="0"/>
              <w:rPr>
                <w:sz w:val="20"/>
                <w:szCs w:val="20"/>
                <w:color w:val="auto"/>
              </w:rPr>
            </w:pPr>
            <w:r>
              <w:rPr>
                <w:rFonts w:ascii="Arial" w:cs="Arial" w:eastAsia="Arial" w:hAnsi="Arial"/>
                <w:sz w:val="18"/>
                <w:szCs w:val="18"/>
                <w:color w:val="auto"/>
              </w:rPr>
              <w:t>notes at a premium declining ratably to zero, plus accrued and unpaid interest.</w:t>
            </w:r>
          </w:p>
        </w:tc>
      </w:tr>
      <w:tr>
        <w:trPr>
          <w:trHeight w:val="412"/>
        </w:trPr>
        <w:tc>
          <w:tcPr>
            <w:tcW w:w="4120" w:type="dxa"/>
            <w:vAlign w:val="bottom"/>
          </w:tcPr>
          <w:p>
            <w:pPr>
              <w:ind w:left="200"/>
              <w:spacing w:after="0"/>
              <w:rPr>
                <w:sz w:val="20"/>
                <w:szCs w:val="20"/>
                <w:color w:val="auto"/>
              </w:rPr>
            </w:pPr>
            <w:r>
              <w:rPr>
                <w:rFonts w:ascii="Arial" w:cs="Arial" w:eastAsia="Arial" w:hAnsi="Arial"/>
                <w:sz w:val="18"/>
                <w:szCs w:val="18"/>
                <w:color w:val="auto"/>
              </w:rPr>
              <w:t>Gaming Redemption</w:t>
            </w:r>
          </w:p>
        </w:tc>
        <w:tc>
          <w:tcPr>
            <w:tcW w:w="7340" w:type="dxa"/>
            <w:vAlign w:val="bottom"/>
            <w:gridSpan w:val="2"/>
          </w:tcPr>
          <w:p>
            <w:pPr>
              <w:ind w:left="280"/>
              <w:spacing w:after="0"/>
              <w:rPr>
                <w:sz w:val="20"/>
                <w:szCs w:val="20"/>
                <w:color w:val="auto"/>
              </w:rPr>
            </w:pPr>
            <w:r>
              <w:rPr>
                <w:rFonts w:ascii="Arial" w:cs="Arial" w:eastAsia="Arial" w:hAnsi="Arial"/>
                <w:sz w:val="18"/>
                <w:szCs w:val="18"/>
                <w:color w:val="auto"/>
                <w:w w:val="94"/>
              </w:rPr>
              <w:t>The new 2017 notes will be subject to redemption requirements imposed by gaming laws and</w:t>
            </w:r>
          </w:p>
        </w:tc>
      </w:tr>
      <w:tr>
        <w:trPr>
          <w:trHeight w:val="222"/>
        </w:trPr>
        <w:tc>
          <w:tcPr>
            <w:tcW w:w="4120" w:type="dxa"/>
            <w:vAlign w:val="bottom"/>
          </w:tcPr>
          <w:p>
            <w:pPr>
              <w:spacing w:after="0"/>
              <w:rPr>
                <w:sz w:val="19"/>
                <w:szCs w:val="19"/>
                <w:color w:val="auto"/>
              </w:rPr>
            </w:pPr>
          </w:p>
        </w:tc>
        <w:tc>
          <w:tcPr>
            <w:tcW w:w="7340" w:type="dxa"/>
            <w:vAlign w:val="bottom"/>
            <w:gridSpan w:val="2"/>
          </w:tcPr>
          <w:p>
            <w:pPr>
              <w:ind w:left="280"/>
              <w:spacing w:after="0"/>
              <w:rPr>
                <w:sz w:val="20"/>
                <w:szCs w:val="20"/>
                <w:color w:val="auto"/>
              </w:rPr>
            </w:pPr>
            <w:r>
              <w:rPr>
                <w:rFonts w:ascii="Arial" w:cs="Arial" w:eastAsia="Arial" w:hAnsi="Arial"/>
                <w:sz w:val="18"/>
                <w:szCs w:val="18"/>
                <w:color w:val="auto"/>
              </w:rPr>
              <w:t>regulations of gaming authorities in Nevada or other jurisdictions.</w:t>
            </w:r>
          </w:p>
        </w:tc>
      </w:tr>
      <w:tr>
        <w:trPr>
          <w:trHeight w:val="412"/>
        </w:trPr>
        <w:tc>
          <w:tcPr>
            <w:tcW w:w="4120" w:type="dxa"/>
            <w:vAlign w:val="bottom"/>
          </w:tcPr>
          <w:p>
            <w:pPr>
              <w:ind w:left="200"/>
              <w:spacing w:after="0"/>
              <w:rPr>
                <w:sz w:val="20"/>
                <w:szCs w:val="20"/>
                <w:color w:val="auto"/>
              </w:rPr>
            </w:pPr>
            <w:r>
              <w:rPr>
                <w:rFonts w:ascii="Arial" w:cs="Arial" w:eastAsia="Arial" w:hAnsi="Arial"/>
                <w:sz w:val="18"/>
                <w:szCs w:val="18"/>
                <w:color w:val="auto"/>
              </w:rPr>
              <w:t>Change of Control Offer</w:t>
            </w:r>
          </w:p>
        </w:tc>
        <w:tc>
          <w:tcPr>
            <w:tcW w:w="7340" w:type="dxa"/>
            <w:vAlign w:val="bottom"/>
            <w:gridSpan w:val="2"/>
          </w:tcPr>
          <w:p>
            <w:pPr>
              <w:ind w:left="280"/>
              <w:spacing w:after="0"/>
              <w:rPr>
                <w:sz w:val="20"/>
                <w:szCs w:val="20"/>
                <w:color w:val="auto"/>
              </w:rPr>
            </w:pPr>
            <w:r>
              <w:rPr>
                <w:rFonts w:ascii="Arial" w:cs="Arial" w:eastAsia="Arial" w:hAnsi="Arial"/>
                <w:sz w:val="18"/>
                <w:szCs w:val="18"/>
                <w:color w:val="auto"/>
                <w:w w:val="93"/>
              </w:rPr>
              <w:t>If a change of control occurs, we must offer to repurchase the new 2017 notes at 101% of their</w:t>
            </w:r>
          </w:p>
        </w:tc>
      </w:tr>
      <w:tr>
        <w:trPr>
          <w:trHeight w:val="222"/>
        </w:trPr>
        <w:tc>
          <w:tcPr>
            <w:tcW w:w="4120" w:type="dxa"/>
            <w:vAlign w:val="bottom"/>
          </w:tcPr>
          <w:p>
            <w:pPr>
              <w:spacing w:after="0"/>
              <w:rPr>
                <w:sz w:val="19"/>
                <w:szCs w:val="19"/>
                <w:color w:val="auto"/>
              </w:rPr>
            </w:pPr>
          </w:p>
        </w:tc>
        <w:tc>
          <w:tcPr>
            <w:tcW w:w="7340" w:type="dxa"/>
            <w:vAlign w:val="bottom"/>
            <w:gridSpan w:val="2"/>
          </w:tcPr>
          <w:p>
            <w:pPr>
              <w:ind w:left="280"/>
              <w:spacing w:after="0"/>
              <w:rPr>
                <w:sz w:val="20"/>
                <w:szCs w:val="20"/>
                <w:color w:val="auto"/>
              </w:rPr>
            </w:pPr>
            <w:r>
              <w:rPr>
                <w:rFonts w:ascii="Arial" w:cs="Arial" w:eastAsia="Arial" w:hAnsi="Arial"/>
                <w:sz w:val="18"/>
                <w:szCs w:val="18"/>
                <w:color w:val="auto"/>
              </w:rPr>
              <w:t>principal amount, plus accrued and unpaid interest.</w:t>
            </w:r>
          </w:p>
        </w:tc>
      </w:tr>
      <w:tr>
        <w:trPr>
          <w:trHeight w:val="412"/>
        </w:trPr>
        <w:tc>
          <w:tcPr>
            <w:tcW w:w="4120" w:type="dxa"/>
            <w:vAlign w:val="bottom"/>
          </w:tcPr>
          <w:p>
            <w:pPr>
              <w:ind w:left="200"/>
              <w:spacing w:after="0"/>
              <w:rPr>
                <w:sz w:val="20"/>
                <w:szCs w:val="20"/>
                <w:color w:val="auto"/>
              </w:rPr>
            </w:pPr>
            <w:r>
              <w:rPr>
                <w:rFonts w:ascii="Arial" w:cs="Arial" w:eastAsia="Arial" w:hAnsi="Arial"/>
                <w:sz w:val="18"/>
                <w:szCs w:val="18"/>
                <w:color w:val="auto"/>
              </w:rPr>
              <w:t>Asset Sales and Events of Loss</w:t>
            </w:r>
          </w:p>
        </w:tc>
        <w:tc>
          <w:tcPr>
            <w:tcW w:w="7340" w:type="dxa"/>
            <w:vAlign w:val="bottom"/>
            <w:gridSpan w:val="2"/>
          </w:tcPr>
          <w:p>
            <w:pPr>
              <w:ind w:left="280"/>
              <w:spacing w:after="0"/>
              <w:rPr>
                <w:sz w:val="20"/>
                <w:szCs w:val="20"/>
                <w:color w:val="auto"/>
              </w:rPr>
            </w:pPr>
            <w:r>
              <w:rPr>
                <w:rFonts w:ascii="Arial" w:cs="Arial" w:eastAsia="Arial" w:hAnsi="Arial"/>
                <w:sz w:val="18"/>
                <w:szCs w:val="18"/>
                <w:color w:val="auto"/>
                <w:w w:val="92"/>
              </w:rPr>
              <w:t>If we or any of our restricted subsidiaries sell certain assets or experience certain events of loss,</w:t>
            </w:r>
          </w:p>
        </w:tc>
      </w:tr>
      <w:tr>
        <w:trPr>
          <w:trHeight w:val="216"/>
        </w:trPr>
        <w:tc>
          <w:tcPr>
            <w:tcW w:w="4120" w:type="dxa"/>
            <w:vAlign w:val="bottom"/>
          </w:tcPr>
          <w:p>
            <w:pPr>
              <w:spacing w:after="0"/>
              <w:rPr>
                <w:sz w:val="18"/>
                <w:szCs w:val="18"/>
                <w:color w:val="auto"/>
              </w:rPr>
            </w:pPr>
          </w:p>
        </w:tc>
        <w:tc>
          <w:tcPr>
            <w:tcW w:w="7340" w:type="dxa"/>
            <w:vAlign w:val="bottom"/>
            <w:gridSpan w:val="2"/>
          </w:tcPr>
          <w:p>
            <w:pPr>
              <w:ind w:left="280"/>
              <w:spacing w:after="0"/>
              <w:rPr>
                <w:sz w:val="20"/>
                <w:szCs w:val="20"/>
                <w:color w:val="auto"/>
              </w:rPr>
            </w:pPr>
            <w:r>
              <w:rPr>
                <w:rFonts w:ascii="Arial" w:cs="Arial" w:eastAsia="Arial" w:hAnsi="Arial"/>
                <w:sz w:val="18"/>
                <w:szCs w:val="18"/>
                <w:color w:val="auto"/>
                <w:w w:val="90"/>
              </w:rPr>
              <w:t>we may be required to offer to repurchase the 2020 notes, the 2017 notes and the 2014 notes and</w:t>
            </w:r>
          </w:p>
        </w:tc>
      </w:tr>
      <w:tr>
        <w:trPr>
          <w:trHeight w:val="222"/>
        </w:trPr>
        <w:tc>
          <w:tcPr>
            <w:tcW w:w="4120" w:type="dxa"/>
            <w:vAlign w:val="bottom"/>
          </w:tcPr>
          <w:p>
            <w:pPr>
              <w:spacing w:after="0"/>
              <w:rPr>
                <w:sz w:val="19"/>
                <w:szCs w:val="19"/>
                <w:color w:val="auto"/>
              </w:rPr>
            </w:pPr>
          </w:p>
        </w:tc>
        <w:tc>
          <w:tcPr>
            <w:tcW w:w="7340" w:type="dxa"/>
            <w:vAlign w:val="bottom"/>
            <w:gridSpan w:val="2"/>
          </w:tcPr>
          <w:p>
            <w:pPr>
              <w:ind w:left="280"/>
              <w:spacing w:after="0"/>
              <w:rPr>
                <w:sz w:val="20"/>
                <w:szCs w:val="20"/>
                <w:color w:val="auto"/>
              </w:rPr>
            </w:pPr>
            <w:r>
              <w:rPr>
                <w:rFonts w:ascii="Arial" w:cs="Arial" w:eastAsia="Arial" w:hAnsi="Arial"/>
                <w:sz w:val="18"/>
                <w:szCs w:val="18"/>
                <w:color w:val="auto"/>
              </w:rPr>
              <w:t>repay indebtedness under our credit facilities on a pro rata basis.</w:t>
            </w:r>
          </w:p>
        </w:tc>
      </w:tr>
      <w:tr>
        <w:trPr>
          <w:trHeight w:val="412"/>
        </w:trPr>
        <w:tc>
          <w:tcPr>
            <w:tcW w:w="4120" w:type="dxa"/>
            <w:vAlign w:val="bottom"/>
          </w:tcPr>
          <w:p>
            <w:pPr>
              <w:ind w:left="200"/>
              <w:spacing w:after="0"/>
              <w:rPr>
                <w:sz w:val="20"/>
                <w:szCs w:val="20"/>
                <w:color w:val="auto"/>
              </w:rPr>
            </w:pPr>
            <w:r>
              <w:rPr>
                <w:rFonts w:ascii="Arial" w:cs="Arial" w:eastAsia="Arial" w:hAnsi="Arial"/>
                <w:sz w:val="18"/>
                <w:szCs w:val="18"/>
                <w:color w:val="auto"/>
              </w:rPr>
              <w:t>Certain Indenture Provisions</w:t>
            </w:r>
          </w:p>
        </w:tc>
        <w:tc>
          <w:tcPr>
            <w:tcW w:w="7340" w:type="dxa"/>
            <w:vAlign w:val="bottom"/>
            <w:gridSpan w:val="2"/>
          </w:tcPr>
          <w:p>
            <w:pPr>
              <w:ind w:left="280"/>
              <w:spacing w:after="0"/>
              <w:rPr>
                <w:sz w:val="20"/>
                <w:szCs w:val="20"/>
                <w:color w:val="auto"/>
              </w:rPr>
            </w:pPr>
            <w:r>
              <w:rPr>
                <w:rFonts w:ascii="Arial" w:cs="Arial" w:eastAsia="Arial" w:hAnsi="Arial"/>
                <w:sz w:val="18"/>
                <w:szCs w:val="18"/>
                <w:color w:val="auto"/>
                <w:w w:val="95"/>
              </w:rPr>
              <w:t>The indenture governing the 2017 notes contains covenants restricting our and our restricted</w:t>
            </w:r>
          </w:p>
        </w:tc>
      </w:tr>
      <w:tr>
        <w:trPr>
          <w:trHeight w:val="222"/>
        </w:trPr>
        <w:tc>
          <w:tcPr>
            <w:tcW w:w="4120" w:type="dxa"/>
            <w:vAlign w:val="bottom"/>
          </w:tcPr>
          <w:p>
            <w:pPr>
              <w:spacing w:after="0"/>
              <w:rPr>
                <w:sz w:val="19"/>
                <w:szCs w:val="19"/>
                <w:color w:val="auto"/>
              </w:rPr>
            </w:pPr>
          </w:p>
        </w:tc>
        <w:tc>
          <w:tcPr>
            <w:tcW w:w="7340" w:type="dxa"/>
            <w:vAlign w:val="bottom"/>
            <w:gridSpan w:val="2"/>
          </w:tcPr>
          <w:p>
            <w:pPr>
              <w:ind w:left="280"/>
              <w:spacing w:after="0"/>
              <w:rPr>
                <w:sz w:val="20"/>
                <w:szCs w:val="20"/>
                <w:color w:val="auto"/>
              </w:rPr>
            </w:pPr>
            <w:r>
              <w:rPr>
                <w:rFonts w:ascii="Arial" w:cs="Arial" w:eastAsia="Arial" w:hAnsi="Arial"/>
                <w:sz w:val="18"/>
                <w:szCs w:val="18"/>
                <w:color w:val="auto"/>
              </w:rPr>
              <w:t>subsidiaries’ ability to:</w:t>
            </w:r>
          </w:p>
        </w:tc>
      </w:tr>
      <w:tr>
        <w:trPr>
          <w:trHeight w:val="297"/>
        </w:trPr>
        <w:tc>
          <w:tcPr>
            <w:tcW w:w="4120" w:type="dxa"/>
            <w:vAlign w:val="bottom"/>
          </w:tcPr>
          <w:p>
            <w:pPr>
              <w:spacing w:after="0"/>
              <w:rPr>
                <w:sz w:val="24"/>
                <w:szCs w:val="24"/>
                <w:color w:val="auto"/>
              </w:rPr>
            </w:pP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rPr>
              <w:t>pay dividends or distributions or repurchase equity;</w:t>
            </w:r>
          </w:p>
        </w:tc>
      </w:tr>
      <w:tr>
        <w:trPr>
          <w:trHeight w:val="297"/>
        </w:trPr>
        <w:tc>
          <w:tcPr>
            <w:tcW w:w="4120" w:type="dxa"/>
            <w:vAlign w:val="bottom"/>
          </w:tcPr>
          <w:p>
            <w:pPr>
              <w:spacing w:after="0"/>
              <w:rPr>
                <w:sz w:val="24"/>
                <w:szCs w:val="24"/>
                <w:color w:val="auto"/>
              </w:rPr>
            </w:pP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rPr>
              <w:t>incur additional debt;</w:t>
            </w:r>
          </w:p>
        </w:tc>
      </w:tr>
      <w:tr>
        <w:trPr>
          <w:trHeight w:val="297"/>
        </w:trPr>
        <w:tc>
          <w:tcPr>
            <w:tcW w:w="4120" w:type="dxa"/>
            <w:vAlign w:val="bottom"/>
          </w:tcPr>
          <w:p>
            <w:pPr>
              <w:spacing w:after="0"/>
              <w:rPr>
                <w:sz w:val="24"/>
                <w:szCs w:val="24"/>
                <w:color w:val="auto"/>
              </w:rPr>
            </w:pP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rPr>
              <w:t>make investments;</w:t>
            </w:r>
          </w:p>
        </w:tc>
      </w:tr>
      <w:tr>
        <w:trPr>
          <w:trHeight w:val="297"/>
        </w:trPr>
        <w:tc>
          <w:tcPr>
            <w:tcW w:w="4120" w:type="dxa"/>
            <w:vAlign w:val="bottom"/>
          </w:tcPr>
          <w:p>
            <w:pPr>
              <w:spacing w:after="0"/>
              <w:rPr>
                <w:sz w:val="24"/>
                <w:szCs w:val="24"/>
                <w:color w:val="auto"/>
              </w:rPr>
            </w:pP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rPr>
              <w:t>create liens on assets to secure debt;</w:t>
            </w:r>
          </w:p>
        </w:tc>
      </w:tr>
      <w:tr>
        <w:trPr>
          <w:trHeight w:val="297"/>
        </w:trPr>
        <w:tc>
          <w:tcPr>
            <w:tcW w:w="4120" w:type="dxa"/>
            <w:vAlign w:val="bottom"/>
          </w:tcPr>
          <w:p>
            <w:pPr>
              <w:spacing w:after="0"/>
              <w:rPr>
                <w:sz w:val="24"/>
                <w:szCs w:val="24"/>
                <w:color w:val="auto"/>
              </w:rPr>
            </w:pP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rPr>
              <w:t>enter into transactions with affiliates;</w:t>
            </w:r>
          </w:p>
        </w:tc>
      </w:tr>
      <w:tr>
        <w:trPr>
          <w:trHeight w:val="297"/>
        </w:trPr>
        <w:tc>
          <w:tcPr>
            <w:tcW w:w="4120" w:type="dxa"/>
            <w:vAlign w:val="bottom"/>
          </w:tcPr>
          <w:p>
            <w:pPr>
              <w:spacing w:after="0"/>
              <w:rPr>
                <w:sz w:val="24"/>
                <w:szCs w:val="24"/>
                <w:color w:val="auto"/>
              </w:rPr>
            </w:pP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rPr>
              <w:t>issue stock of, or member’s interests in, subsidiaries;</w:t>
            </w:r>
          </w:p>
        </w:tc>
      </w:tr>
      <w:tr>
        <w:trPr>
          <w:trHeight w:val="161"/>
        </w:trPr>
        <w:tc>
          <w:tcPr>
            <w:tcW w:w="4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6820" w:type="dxa"/>
            <w:vAlign w:val="bottom"/>
            <w:tcBorders>
              <w:bottom w:val="single" w:sz="8" w:color="auto"/>
            </w:tcBorders>
          </w:tcPr>
          <w:p>
            <w:pPr>
              <w:spacing w:after="0"/>
              <w:rPr>
                <w:sz w:val="13"/>
                <w:szCs w:val="13"/>
                <w:color w:val="auto"/>
              </w:rPr>
            </w:pPr>
          </w:p>
        </w:tc>
      </w:tr>
      <w:tr>
        <w:trPr>
          <w:trHeight w:val="359"/>
        </w:trPr>
        <w:tc>
          <w:tcPr>
            <w:tcW w:w="4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20" w:type="dxa"/>
            <w:vAlign w:val="bottom"/>
          </w:tcPr>
          <w:p>
            <w:pPr>
              <w:ind w:left="980"/>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460"/>
          </w:cols>
          <w:pgMar w:left="240" w:top="459" w:right="1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6"/>
        </w:trPr>
        <w:tc>
          <w:tcPr>
            <w:tcW w:w="3140" w:type="dxa"/>
            <w:vAlign w:val="bottom"/>
            <w:tcBorders>
              <w:top w:val="single" w:sz="8" w:color="auto"/>
              <w:left w:val="single" w:sz="8" w:color="auto"/>
            </w:tcBorders>
          </w:tcPr>
          <w:p>
            <w:pPr>
              <w:spacing w:after="0"/>
              <w:rPr>
                <w:sz w:val="24"/>
                <w:szCs w:val="24"/>
                <w:color w:val="auto"/>
              </w:rPr>
            </w:pPr>
          </w:p>
        </w:tc>
        <w:tc>
          <w:tcPr>
            <w:tcW w:w="1500" w:type="dxa"/>
            <w:vAlign w:val="bottom"/>
            <w:tcBorders>
              <w:top w:val="single" w:sz="8" w:color="auto"/>
            </w:tcBorders>
          </w:tcPr>
          <w:p>
            <w:pPr>
              <w:ind w:left="1260"/>
              <w:spacing w:after="0"/>
              <w:rPr>
                <w:sz w:val="20"/>
                <w:szCs w:val="20"/>
                <w:color w:val="auto"/>
              </w:rPr>
            </w:pPr>
            <w:r>
              <w:rPr>
                <w:rFonts w:ascii="Arial" w:cs="Arial" w:eastAsia="Arial" w:hAnsi="Arial"/>
                <w:sz w:val="18"/>
                <w:szCs w:val="18"/>
                <w:color w:val="auto"/>
              </w:rPr>
              <w:t>•</w:t>
            </w:r>
          </w:p>
        </w:tc>
        <w:tc>
          <w:tcPr>
            <w:tcW w:w="682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enter into sale-leaseback transactions;</w:t>
            </w:r>
          </w:p>
        </w:tc>
      </w:tr>
      <w:tr>
        <w:trPr>
          <w:trHeight w:val="297"/>
        </w:trPr>
        <w:tc>
          <w:tcPr>
            <w:tcW w:w="3140" w:type="dxa"/>
            <w:vAlign w:val="bottom"/>
            <w:tcBorders>
              <w:left w:val="single" w:sz="8" w:color="auto"/>
            </w:tcBorders>
          </w:tcPr>
          <w:p>
            <w:pPr>
              <w:spacing w:after="0"/>
              <w:rPr>
                <w:sz w:val="24"/>
                <w:szCs w:val="24"/>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engage in other businesses;</w:t>
            </w:r>
          </w:p>
        </w:tc>
      </w:tr>
      <w:tr>
        <w:trPr>
          <w:trHeight w:val="297"/>
        </w:trPr>
        <w:tc>
          <w:tcPr>
            <w:tcW w:w="3140" w:type="dxa"/>
            <w:vAlign w:val="bottom"/>
            <w:tcBorders>
              <w:left w:val="single" w:sz="8" w:color="auto"/>
            </w:tcBorders>
          </w:tcPr>
          <w:p>
            <w:pPr>
              <w:spacing w:after="0"/>
              <w:rPr>
                <w:sz w:val="24"/>
                <w:szCs w:val="24"/>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merge or consolidate with another company;</w:t>
            </w:r>
          </w:p>
        </w:tc>
      </w:tr>
      <w:tr>
        <w:trPr>
          <w:trHeight w:val="297"/>
        </w:trPr>
        <w:tc>
          <w:tcPr>
            <w:tcW w:w="3140" w:type="dxa"/>
            <w:vAlign w:val="bottom"/>
            <w:tcBorders>
              <w:left w:val="single" w:sz="8" w:color="auto"/>
            </w:tcBorders>
          </w:tcPr>
          <w:p>
            <w:pPr>
              <w:spacing w:after="0"/>
              <w:rPr>
                <w:sz w:val="24"/>
                <w:szCs w:val="24"/>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transfer and sell assets;</w:t>
            </w:r>
          </w:p>
        </w:tc>
      </w:tr>
      <w:tr>
        <w:trPr>
          <w:trHeight w:val="297"/>
        </w:trPr>
        <w:tc>
          <w:tcPr>
            <w:tcW w:w="3140" w:type="dxa"/>
            <w:vAlign w:val="bottom"/>
            <w:tcBorders>
              <w:left w:val="single" w:sz="8" w:color="auto"/>
            </w:tcBorders>
          </w:tcPr>
          <w:p>
            <w:pPr>
              <w:spacing w:after="0"/>
              <w:rPr>
                <w:sz w:val="24"/>
                <w:szCs w:val="24"/>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issue disqualified stock;</w:t>
            </w:r>
          </w:p>
        </w:tc>
      </w:tr>
      <w:tr>
        <w:trPr>
          <w:trHeight w:val="297"/>
        </w:trPr>
        <w:tc>
          <w:tcPr>
            <w:tcW w:w="3140" w:type="dxa"/>
            <w:vAlign w:val="bottom"/>
            <w:tcBorders>
              <w:left w:val="single" w:sz="8" w:color="auto"/>
            </w:tcBorders>
          </w:tcPr>
          <w:p>
            <w:pPr>
              <w:spacing w:after="0"/>
              <w:rPr>
                <w:sz w:val="24"/>
                <w:szCs w:val="24"/>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create dividend and other payment restrictions affecting subsidiaries; and</w:t>
            </w:r>
          </w:p>
        </w:tc>
      </w:tr>
      <w:tr>
        <w:trPr>
          <w:trHeight w:val="297"/>
        </w:trPr>
        <w:tc>
          <w:tcPr>
            <w:tcW w:w="3140" w:type="dxa"/>
            <w:vAlign w:val="bottom"/>
            <w:tcBorders>
              <w:left w:val="single" w:sz="8" w:color="auto"/>
            </w:tcBorders>
          </w:tcPr>
          <w:p>
            <w:pPr>
              <w:spacing w:after="0"/>
              <w:rPr>
                <w:sz w:val="24"/>
                <w:szCs w:val="24"/>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designate restricted and unrestricted subsidiaries.</w:t>
            </w:r>
          </w:p>
        </w:tc>
      </w:tr>
      <w:tr>
        <w:trPr>
          <w:trHeight w:val="412"/>
        </w:trPr>
        <w:tc>
          <w:tcPr>
            <w:tcW w:w="3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Intercreditor Agreement</w:t>
            </w: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7"/>
              </w:rPr>
              <w:t>The trustee under the indenture governing the 2020 notes, the trustee under the indenture</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89"/>
              </w:rPr>
              <w:t>governing the 2017 notes, the trustee under the indenture governing the 2014 notes, and the agent</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8"/>
              </w:rPr>
              <w:t>for the lenders under our credit facilities have entered into an intercreditor agreement that</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1"/>
              </w:rPr>
              <w:t>governs the relationship among the holders of the 2020 notes, the holders of the 2017 notes, the</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2"/>
              </w:rPr>
              <w:t>holders of the 2014 notes, the lenders under our credit facilities and holders of permitted senior</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0"/>
              </w:rPr>
              <w:t>and junior indebtedness. Under the intercreditor agreement, the trustee on behalf of the holders of</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0"/>
              </w:rPr>
              <w:t>the 2020 notes, the trustee on behalf of the holders of the 2017 notes, the trustee on behalf of the</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89"/>
              </w:rPr>
              <w:t>holders of the 2014 notes and the agent for the lenders under our credit facilities have appointed a</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0"/>
              </w:rPr>
              <w:t>collateral agent with respect to the collateral granted in favor of the holders of the 2020 notes, the</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8"/>
              </w:rPr>
              <w:t>holders of the 2017 notes, the holders of the 2014 notes, and the lenders under our credit</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2"/>
              </w:rPr>
              <w:t>facilities. The liens on the collateral that secure the 2017 notes rank pari passu with the liens on</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5"/>
              </w:rPr>
              <w:t>such collateral that secure our credit facilities, the 2020 notes, the 2014 notes and any other</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5"/>
              </w:rPr>
              <w:t>permitted senior debt, and rank prior to the liens on such collateral that secure any permitted</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9"/>
              </w:rPr>
              <w:t>junior debt. Pursuant to the intercreditor agreement, as long as our credit facilities remain</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89"/>
              </w:rPr>
              <w:t>outstanding or any amounts are outstanding under the 2014 notes, the trustee under the indenture</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3"/>
              </w:rPr>
              <w:t>governing the 2017 notes does not have the right to instruct the collateral agent with respect to</w:t>
            </w:r>
          </w:p>
        </w:tc>
      </w:tr>
      <w:tr>
        <w:trPr>
          <w:trHeight w:val="222"/>
        </w:trPr>
        <w:tc>
          <w:tcPr>
            <w:tcW w:w="3140" w:type="dxa"/>
            <w:vAlign w:val="bottom"/>
            <w:tcBorders>
              <w:left w:val="single" w:sz="8" w:color="auto"/>
            </w:tcBorders>
          </w:tcPr>
          <w:p>
            <w:pPr>
              <w:spacing w:after="0"/>
              <w:rPr>
                <w:sz w:val="19"/>
                <w:szCs w:val="19"/>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rPr>
              <w:t>the exercise of remedies under the collateral documents.</w:t>
            </w:r>
          </w:p>
        </w:tc>
      </w:tr>
      <w:tr>
        <w:trPr>
          <w:trHeight w:val="419"/>
        </w:trPr>
        <w:tc>
          <w:tcPr>
            <w:tcW w:w="3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Trading</w:t>
            </w: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5"/>
              </w:rPr>
              <w:t>New 2017 notes issued in book-entry form will be issued to Cede &amp; Co. as nominee of DTC.</w:t>
            </w:r>
          </w:p>
        </w:tc>
      </w:tr>
      <w:tr>
        <w:trPr>
          <w:trHeight w:val="432"/>
        </w:trPr>
        <w:tc>
          <w:tcPr>
            <w:tcW w:w="3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Governing Law</w:t>
            </w: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rPr>
              <w:t>The laws of the State of New York.</w:t>
            </w:r>
          </w:p>
        </w:tc>
      </w:tr>
      <w:tr>
        <w:trPr>
          <w:trHeight w:val="426"/>
        </w:trPr>
        <w:tc>
          <w:tcPr>
            <w:tcW w:w="3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Risk Factors</w:t>
            </w: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2"/>
              </w:rPr>
              <w:t>You should refer to the section entitled “Risk Factors,” beginning on page 18, for a discussion of</w:t>
            </w:r>
          </w:p>
        </w:tc>
      </w:tr>
      <w:tr>
        <w:trPr>
          <w:trHeight w:val="222"/>
        </w:trPr>
        <w:tc>
          <w:tcPr>
            <w:tcW w:w="3140" w:type="dxa"/>
            <w:vAlign w:val="bottom"/>
            <w:tcBorders>
              <w:left w:val="single" w:sz="8" w:color="auto"/>
            </w:tcBorders>
          </w:tcPr>
          <w:p>
            <w:pPr>
              <w:spacing w:after="0"/>
              <w:rPr>
                <w:sz w:val="19"/>
                <w:szCs w:val="19"/>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rPr>
              <w:t>certain risks involved in investing in the new 2017 notes.</w:t>
            </w:r>
          </w:p>
        </w:tc>
      </w:tr>
      <w:tr>
        <w:trPr>
          <w:trHeight w:val="161"/>
        </w:trPr>
        <w:tc>
          <w:tcPr>
            <w:tcW w:w="3140" w:type="dxa"/>
            <w:vAlign w:val="bottom"/>
            <w:tcBorders>
              <w:left w:val="single" w:sz="8" w:color="auto"/>
              <w:bottom w:val="single" w:sz="8" w:color="auto"/>
            </w:tcBorders>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6820" w:type="dxa"/>
            <w:vAlign w:val="bottom"/>
            <w:tcBorders>
              <w:bottom w:val="single" w:sz="8" w:color="auto"/>
              <w:right w:val="single" w:sz="8" w:color="auto"/>
            </w:tcBorders>
          </w:tcPr>
          <w:p>
            <w:pPr>
              <w:spacing w:after="0"/>
              <w:rPr>
                <w:sz w:val="13"/>
                <w:szCs w:val="13"/>
                <w:color w:val="auto"/>
              </w:rPr>
            </w:pPr>
          </w:p>
        </w:tc>
      </w:tr>
      <w:tr>
        <w:trPr>
          <w:trHeight w:val="359"/>
        </w:trPr>
        <w:tc>
          <w:tcPr>
            <w:tcW w:w="3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820" w:type="dxa"/>
            <w:vAlign w:val="bottom"/>
          </w:tcPr>
          <w:p>
            <w:pPr>
              <w:ind w:left="980"/>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460"/>
          </w:cols>
          <w:pgMar w:left="240" w:top="459" w:right="1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07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6465" cy="60071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Description of the New 2020 Notes</w:t>
      </w:r>
    </w:p>
    <w:p>
      <w:pPr>
        <w:spacing w:after="0" w:line="177" w:lineRule="exact"/>
        <w:rPr>
          <w:sz w:val="20"/>
          <w:szCs w:val="20"/>
          <w:color w:val="auto"/>
        </w:rPr>
      </w:pPr>
    </w:p>
    <w:p>
      <w:pPr>
        <w:ind w:left="200" w:right="360" w:firstLine="443"/>
        <w:spacing w:after="0" w:line="259" w:lineRule="auto"/>
        <w:rPr>
          <w:sz w:val="20"/>
          <w:szCs w:val="20"/>
          <w:color w:val="auto"/>
        </w:rPr>
      </w:pPr>
      <w:r>
        <w:rPr>
          <w:rFonts w:ascii="Arial" w:cs="Arial" w:eastAsia="Arial" w:hAnsi="Arial"/>
          <w:sz w:val="18"/>
          <w:szCs w:val="18"/>
          <w:color w:val="auto"/>
        </w:rPr>
        <w:t>The terms of the new 2020 notes and those of the outstanding old 2020 notes are substantially identical, except that the transfer restrictions, registration rights and liquidated damages provisions relating to the old 2020 notes do not apply to the new 2020 notes. For a more complete understanding of the new 2020 notes, see “Description of the New 2020 Notes” in this prospectus.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120" w:type="dxa"/>
            <w:vAlign w:val="bottom"/>
          </w:tcPr>
          <w:p>
            <w:pPr>
              <w:ind w:left="200"/>
              <w:spacing w:after="0"/>
              <w:rPr>
                <w:sz w:val="20"/>
                <w:szCs w:val="20"/>
                <w:color w:val="auto"/>
              </w:rPr>
            </w:pPr>
            <w:r>
              <w:rPr>
                <w:rFonts w:ascii="Arial" w:cs="Arial" w:eastAsia="Arial" w:hAnsi="Arial"/>
                <w:sz w:val="18"/>
                <w:szCs w:val="18"/>
                <w:color w:val="auto"/>
              </w:rPr>
              <w:t>Issuers</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Wynn Las Vegas, LLC and Wynn Las Vegas Capital Corp.</w:t>
            </w:r>
          </w:p>
        </w:tc>
      </w:tr>
      <w:tr>
        <w:trPr>
          <w:trHeight w:val="432"/>
        </w:trPr>
        <w:tc>
          <w:tcPr>
            <w:tcW w:w="3120" w:type="dxa"/>
            <w:vAlign w:val="bottom"/>
          </w:tcPr>
          <w:p>
            <w:pPr>
              <w:ind w:left="200"/>
              <w:spacing w:after="0"/>
              <w:rPr>
                <w:sz w:val="20"/>
                <w:szCs w:val="20"/>
                <w:color w:val="auto"/>
              </w:rPr>
            </w:pPr>
            <w:r>
              <w:rPr>
                <w:rFonts w:ascii="Arial" w:cs="Arial" w:eastAsia="Arial" w:hAnsi="Arial"/>
                <w:sz w:val="18"/>
                <w:szCs w:val="18"/>
                <w:color w:val="auto"/>
              </w:rPr>
              <w:t>Securities Offered</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 xml:space="preserve">$382,010,000 aggregate principal amount of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2020.</w:t>
            </w:r>
          </w:p>
        </w:tc>
      </w:tr>
      <w:tr>
        <w:trPr>
          <w:trHeight w:val="432"/>
        </w:trPr>
        <w:tc>
          <w:tcPr>
            <w:tcW w:w="3120" w:type="dxa"/>
            <w:vAlign w:val="bottom"/>
          </w:tcPr>
          <w:p>
            <w:pPr>
              <w:ind w:left="200"/>
              <w:spacing w:after="0"/>
              <w:rPr>
                <w:sz w:val="20"/>
                <w:szCs w:val="20"/>
                <w:color w:val="auto"/>
              </w:rPr>
            </w:pPr>
            <w:r>
              <w:rPr>
                <w:rFonts w:ascii="Arial" w:cs="Arial" w:eastAsia="Arial" w:hAnsi="Arial"/>
                <w:sz w:val="18"/>
                <w:szCs w:val="18"/>
                <w:color w:val="auto"/>
              </w:rPr>
              <w:t>Maturity</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May 1, 2020.</w:t>
            </w:r>
          </w:p>
        </w:tc>
      </w:tr>
      <w:tr>
        <w:trPr>
          <w:trHeight w:val="426"/>
        </w:trPr>
        <w:tc>
          <w:tcPr>
            <w:tcW w:w="3120" w:type="dxa"/>
            <w:vAlign w:val="bottom"/>
          </w:tcPr>
          <w:p>
            <w:pPr>
              <w:ind w:left="200"/>
              <w:spacing w:after="0"/>
              <w:rPr>
                <w:sz w:val="20"/>
                <w:szCs w:val="20"/>
                <w:color w:val="auto"/>
              </w:rPr>
            </w:pPr>
            <w:r>
              <w:rPr>
                <w:rFonts w:ascii="Arial" w:cs="Arial" w:eastAsia="Arial" w:hAnsi="Arial"/>
                <w:sz w:val="18"/>
                <w:szCs w:val="18"/>
                <w:color w:val="auto"/>
              </w:rPr>
              <w:t>Subsidiary Guarantees</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3"/>
              </w:rPr>
              <w:t>The new 2020 notes will be unconditionally guaranteed by all of our subsidiaries (except Wynn</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3"/>
              </w:rPr>
              <w:t>Capital, which is a co-issuer of the new 2020 notes, and Wynn Completion Guarantor, LLC) on</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0"/>
              </w:rPr>
              <w:t>an equal and ratable basis with the guarantees by such guarantors of our credit facilities, the 2014</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88"/>
              </w:rPr>
              <w:t>notes, the old 2020 notes and the 2017 notes. The guarantees may be released if the lenders under</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1"/>
              </w:rPr>
              <w:t>our credit facilities release the corresponding guarantees provided by such guarantors in respect</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4"/>
              </w:rPr>
              <w:t>of our credit facilities and certain other conditions set forth in the indenture governing the 2020</w:t>
            </w:r>
          </w:p>
        </w:tc>
      </w:tr>
      <w:tr>
        <w:trPr>
          <w:trHeight w:val="222"/>
        </w:trPr>
        <w:tc>
          <w:tcPr>
            <w:tcW w:w="3120" w:type="dxa"/>
            <w:vAlign w:val="bottom"/>
          </w:tcPr>
          <w:p>
            <w:pPr>
              <w:spacing w:after="0"/>
              <w:rPr>
                <w:sz w:val="19"/>
                <w:szCs w:val="19"/>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notes are satisfied.</w:t>
            </w:r>
          </w:p>
        </w:tc>
      </w:tr>
      <w:tr>
        <w:trPr>
          <w:trHeight w:val="419"/>
        </w:trPr>
        <w:tc>
          <w:tcPr>
            <w:tcW w:w="3120" w:type="dxa"/>
            <w:vAlign w:val="bottom"/>
          </w:tcPr>
          <w:p>
            <w:pPr>
              <w:ind w:left="200"/>
              <w:spacing w:after="0"/>
              <w:rPr>
                <w:sz w:val="20"/>
                <w:szCs w:val="20"/>
                <w:color w:val="auto"/>
              </w:rPr>
            </w:pPr>
            <w:r>
              <w:rPr>
                <w:rFonts w:ascii="Arial" w:cs="Arial" w:eastAsia="Arial" w:hAnsi="Arial"/>
                <w:sz w:val="18"/>
                <w:szCs w:val="18"/>
                <w:color w:val="auto"/>
              </w:rPr>
              <w:t>Interest rate</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per year.</w:t>
            </w:r>
          </w:p>
        </w:tc>
      </w:tr>
      <w:tr>
        <w:trPr>
          <w:trHeight w:val="432"/>
        </w:trPr>
        <w:tc>
          <w:tcPr>
            <w:tcW w:w="3120" w:type="dxa"/>
            <w:vAlign w:val="bottom"/>
          </w:tcPr>
          <w:p>
            <w:pPr>
              <w:ind w:left="200"/>
              <w:spacing w:after="0"/>
              <w:rPr>
                <w:sz w:val="20"/>
                <w:szCs w:val="20"/>
                <w:color w:val="auto"/>
              </w:rPr>
            </w:pPr>
            <w:r>
              <w:rPr>
                <w:rFonts w:ascii="Arial" w:cs="Arial" w:eastAsia="Arial" w:hAnsi="Arial"/>
                <w:sz w:val="18"/>
                <w:szCs w:val="18"/>
                <w:color w:val="auto"/>
              </w:rPr>
              <w:t>Interest Payment Dates</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May 1 and November 1 of each year.</w:t>
            </w:r>
          </w:p>
        </w:tc>
      </w:tr>
      <w:tr>
        <w:trPr>
          <w:trHeight w:val="426"/>
        </w:trPr>
        <w:tc>
          <w:tcPr>
            <w:tcW w:w="3120" w:type="dxa"/>
            <w:vAlign w:val="bottom"/>
          </w:tcPr>
          <w:p>
            <w:pPr>
              <w:ind w:left="200"/>
              <w:spacing w:after="0"/>
              <w:rPr>
                <w:sz w:val="20"/>
                <w:szCs w:val="20"/>
                <w:color w:val="auto"/>
              </w:rPr>
            </w:pPr>
            <w:r>
              <w:rPr>
                <w:rFonts w:ascii="Arial" w:cs="Arial" w:eastAsia="Arial" w:hAnsi="Arial"/>
                <w:sz w:val="18"/>
                <w:szCs w:val="18"/>
                <w:color w:val="auto"/>
              </w:rPr>
              <w:t>Ranking</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4"/>
              </w:rPr>
              <w:t>The new 2020 notes will be senior obligations of the issuers and will rank pari passu in right of</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5"/>
              </w:rPr>
              <w:t>payment with all other senior indebtedness of the Issuers, including our obligations under our</w:t>
            </w:r>
          </w:p>
        </w:tc>
      </w:tr>
      <w:tr>
        <w:trPr>
          <w:trHeight w:val="222"/>
        </w:trPr>
        <w:tc>
          <w:tcPr>
            <w:tcW w:w="3120" w:type="dxa"/>
            <w:vAlign w:val="bottom"/>
          </w:tcPr>
          <w:p>
            <w:pPr>
              <w:spacing w:after="0"/>
              <w:rPr>
                <w:sz w:val="19"/>
                <w:szCs w:val="19"/>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credit facilities, the 2014 notes, the old 2020 notes and the 2017 notes.</w:t>
            </w:r>
          </w:p>
        </w:tc>
      </w:tr>
      <w:tr>
        <w:trPr>
          <w:trHeight w:val="372"/>
        </w:trPr>
        <w:tc>
          <w:tcPr>
            <w:tcW w:w="3120" w:type="dxa"/>
            <w:vAlign w:val="bottom"/>
          </w:tcPr>
          <w:p>
            <w:pPr>
              <w:spacing w:after="0"/>
              <w:rPr>
                <w:sz w:val="24"/>
                <w:szCs w:val="24"/>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3"/>
              </w:rPr>
              <w:t>The guarantees of the new 2020 notes will be senior obligations of the guarantors and will rank</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5"/>
              </w:rPr>
              <w:t>pari passu in right of payment with all other senior obligations of the guarantors, including the</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5"/>
              </w:rPr>
              <w:t>guarantors’ obligations under our credit facilities, the 2014 notes, the old 2020 notes and the</w:t>
            </w:r>
          </w:p>
        </w:tc>
      </w:tr>
      <w:tr>
        <w:trPr>
          <w:trHeight w:val="222"/>
        </w:trPr>
        <w:tc>
          <w:tcPr>
            <w:tcW w:w="3120" w:type="dxa"/>
            <w:vAlign w:val="bottom"/>
          </w:tcPr>
          <w:p>
            <w:pPr>
              <w:spacing w:after="0"/>
              <w:rPr>
                <w:sz w:val="19"/>
                <w:szCs w:val="19"/>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2017 notes.</w:t>
            </w:r>
          </w:p>
        </w:tc>
      </w:tr>
      <w:tr>
        <w:trPr>
          <w:trHeight w:val="412"/>
        </w:trPr>
        <w:tc>
          <w:tcPr>
            <w:tcW w:w="3120" w:type="dxa"/>
            <w:vAlign w:val="bottom"/>
          </w:tcPr>
          <w:p>
            <w:pPr>
              <w:ind w:left="200"/>
              <w:spacing w:after="0"/>
              <w:rPr>
                <w:sz w:val="20"/>
                <w:szCs w:val="20"/>
                <w:color w:val="auto"/>
              </w:rPr>
            </w:pPr>
            <w:r>
              <w:rPr>
                <w:rFonts w:ascii="Arial" w:cs="Arial" w:eastAsia="Arial" w:hAnsi="Arial"/>
                <w:sz w:val="18"/>
                <w:szCs w:val="18"/>
                <w:color w:val="auto"/>
              </w:rPr>
              <w:t>Security</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5"/>
              </w:rPr>
              <w:t>To the extent permitted by gaming and other applicable laws and subject to certain permitted</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1"/>
              </w:rPr>
              <w:t>liens, the new 2020 notes will be secured on an equal and ratable basis (with certain exceptions)</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3"/>
              </w:rPr>
              <w:t>with our obligations under our credit facilities, the 2014 notes, the old 2020 notes and the 2017</w:t>
            </w:r>
          </w:p>
        </w:tc>
      </w:tr>
      <w:tr>
        <w:trPr>
          <w:trHeight w:val="222"/>
        </w:trPr>
        <w:tc>
          <w:tcPr>
            <w:tcW w:w="3120" w:type="dxa"/>
            <w:vAlign w:val="bottom"/>
          </w:tcPr>
          <w:p>
            <w:pPr>
              <w:spacing w:after="0"/>
              <w:rPr>
                <w:sz w:val="19"/>
                <w:szCs w:val="19"/>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notes, by:</w:t>
            </w:r>
          </w:p>
        </w:tc>
      </w:tr>
      <w:tr>
        <w:trPr>
          <w:trHeight w:val="291"/>
        </w:trPr>
        <w:tc>
          <w:tcPr>
            <w:tcW w:w="3120" w:type="dxa"/>
            <w:vAlign w:val="bottom"/>
          </w:tcPr>
          <w:p>
            <w:pPr>
              <w:spacing w:after="0"/>
              <w:rPr>
                <w:sz w:val="24"/>
                <w:szCs w:val="24"/>
                <w:color w:val="auto"/>
              </w:rPr>
            </w:pPr>
          </w:p>
        </w:tc>
        <w:tc>
          <w:tcPr>
            <w:tcW w:w="1520" w:type="dxa"/>
            <w:vAlign w:val="bottom"/>
          </w:tcPr>
          <w:p>
            <w:pPr>
              <w:ind w:left="128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w w:val="93"/>
              </w:rPr>
              <w:t>a perfected first priority lien on substantially all of our existing and future assets, including</w:t>
            </w:r>
          </w:p>
        </w:tc>
      </w:tr>
      <w:tr>
        <w:trPr>
          <w:trHeight w:val="222"/>
        </w:trPr>
        <w:tc>
          <w:tcPr>
            <w:tcW w:w="3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Wynn Las Vegas and Encore; and</w:t>
            </w:r>
          </w:p>
        </w:tc>
      </w:tr>
      <w:tr>
        <w:trPr>
          <w:trHeight w:val="291"/>
        </w:trPr>
        <w:tc>
          <w:tcPr>
            <w:tcW w:w="3120" w:type="dxa"/>
            <w:vAlign w:val="bottom"/>
          </w:tcPr>
          <w:p>
            <w:pPr>
              <w:spacing w:after="0"/>
              <w:rPr>
                <w:sz w:val="24"/>
                <w:szCs w:val="24"/>
                <w:color w:val="auto"/>
              </w:rPr>
            </w:pPr>
          </w:p>
        </w:tc>
        <w:tc>
          <w:tcPr>
            <w:tcW w:w="1520" w:type="dxa"/>
            <w:vAlign w:val="bottom"/>
          </w:tcPr>
          <w:p>
            <w:pPr>
              <w:ind w:left="128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w w:val="97"/>
              </w:rPr>
              <w:t>a perfected first priority pledge of the equity interests in Wynn Las Vegas, LLC, Wynn</w:t>
            </w:r>
          </w:p>
        </w:tc>
      </w:tr>
      <w:tr>
        <w:trPr>
          <w:trHeight w:val="216"/>
        </w:trPr>
        <w:tc>
          <w:tcPr>
            <w:tcW w:w="3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w w:val="97"/>
              </w:rPr>
              <w:t>Capital, and the guarantors (which pledge, in the case of equity interests in Wynn Las</w:t>
            </w:r>
          </w:p>
        </w:tc>
      </w:tr>
      <w:tr>
        <w:trPr>
          <w:trHeight w:val="222"/>
        </w:trPr>
        <w:tc>
          <w:tcPr>
            <w:tcW w:w="3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Vegas, LLC, is subject to the prior approval of the Nevada Gaming Authorities).</w:t>
            </w:r>
          </w:p>
        </w:tc>
      </w:tr>
      <w:tr>
        <w:trPr>
          <w:trHeight w:val="161"/>
        </w:trPr>
        <w:tc>
          <w:tcPr>
            <w:tcW w:w="31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6820" w:type="dxa"/>
            <w:vAlign w:val="bottom"/>
            <w:tcBorders>
              <w:bottom w:val="single" w:sz="8" w:color="auto"/>
            </w:tcBorders>
          </w:tcPr>
          <w:p>
            <w:pPr>
              <w:spacing w:after="0"/>
              <w:rPr>
                <w:sz w:val="13"/>
                <w:szCs w:val="13"/>
                <w:color w:val="auto"/>
              </w:rPr>
            </w:pPr>
          </w:p>
        </w:tc>
      </w:tr>
      <w:tr>
        <w:trPr>
          <w:trHeight w:val="359"/>
        </w:trPr>
        <w:tc>
          <w:tcPr>
            <w:tcW w:w="3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820" w:type="dxa"/>
            <w:vAlign w:val="bottom"/>
          </w:tcPr>
          <w:p>
            <w:pPr>
              <w:ind w:left="980"/>
              <w:spacing w:after="0"/>
              <w:rPr>
                <w:sz w:val="20"/>
                <w:szCs w:val="20"/>
                <w:color w:val="auto"/>
              </w:rPr>
            </w:pPr>
            <w:r>
              <w:rPr>
                <w:rFonts w:ascii="Arial" w:cs="Arial" w:eastAsia="Arial" w:hAnsi="Arial"/>
                <w:sz w:val="18"/>
                <w:szCs w:val="18"/>
                <w:color w:val="auto"/>
              </w:rPr>
              <w:t>14</w:t>
            </w:r>
          </w:p>
        </w:tc>
      </w:tr>
    </w:tbl>
    <w:p>
      <w:pPr>
        <w:sectPr>
          <w:pgSz w:w="11900" w:h="16838" w:orient="portrait"/>
          <w:cols w:equalWidth="0" w:num="1">
            <w:col w:w="11460"/>
          </w:cols>
          <w:pgMar w:left="240" w:top="459" w:right="1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384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6465" cy="53384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400" w:right="20"/>
        <w:spacing w:after="0" w:line="291" w:lineRule="auto"/>
        <w:rPr>
          <w:sz w:val="20"/>
          <w:szCs w:val="20"/>
          <w:color w:val="auto"/>
        </w:rPr>
      </w:pPr>
      <w:r>
        <w:rPr>
          <w:rFonts w:ascii="Arial" w:cs="Arial" w:eastAsia="Arial" w:hAnsi="Arial"/>
          <w:sz w:val="16"/>
          <w:szCs w:val="16"/>
          <w:color w:val="auto"/>
        </w:rPr>
        <w:t>To the extent permitted by gaming and other applicable laws and subject to certain permitted liens, the subsidiary guarantors’ obligations under the guarantees of the new 2020 notes will be secured, on an equal and ratable basis (with certain exceptions) with such guarantors’ obligations under the guarantees of our credit facilities, the 2014 notes, the old 2020 notes and the 2017 notes, by a perfected first priority lien on substantially all of the existing and future assets of the subsidiary guarantors.</w:t>
      </w:r>
    </w:p>
    <w:p>
      <w:pPr>
        <w:spacing w:after="0" w:line="120"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The new 2020 notes will not be secured by World Travel, LLC’s aircraft.</w:t>
      </w:r>
    </w:p>
    <w:p>
      <w:pPr>
        <w:sectPr>
          <w:pgSz w:w="11900" w:h="16838" w:orient="portrait"/>
          <w:cols w:equalWidth="0" w:num="1">
            <w:col w:w="11240"/>
          </w:cols>
          <w:pgMar w:left="240" w:top="459" w:right="419" w:bottom="1440" w:gutter="0" w:footer="0" w:header="0"/>
        </w:sectPr>
      </w:pPr>
    </w:p>
    <w:p>
      <w:pPr>
        <w:spacing w:after="0" w:line="212" w:lineRule="exact"/>
        <w:rPr>
          <w:sz w:val="20"/>
          <w:szCs w:val="20"/>
          <w:color w:val="auto"/>
        </w:rPr>
      </w:pPr>
    </w:p>
    <w:p>
      <w:pPr>
        <w:ind w:left="200"/>
        <w:spacing w:after="0"/>
        <w:rPr>
          <w:sz w:val="20"/>
          <w:szCs w:val="20"/>
          <w:color w:val="auto"/>
        </w:rPr>
      </w:pPr>
      <w:r>
        <w:rPr>
          <w:rFonts w:ascii="Arial" w:cs="Arial" w:eastAsia="Arial" w:hAnsi="Arial"/>
          <w:sz w:val="15"/>
          <w:szCs w:val="15"/>
          <w:color w:val="auto"/>
        </w:rPr>
        <w:t>Release of Collateral</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The security interests in all of the collateral securing our obligations under the new 2020 notes and the obligations of the subsidiary guarantors under the subsidiary guarantees, including the golf course land, may be released if:</w:t>
      </w:r>
    </w:p>
    <w:p>
      <w:pPr>
        <w:spacing w:after="0" w:line="59"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44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620"/>
        <w:spacing w:after="0" w:line="268" w:lineRule="auto"/>
        <w:rPr>
          <w:sz w:val="20"/>
          <w:szCs w:val="20"/>
          <w:color w:val="auto"/>
        </w:rPr>
      </w:pPr>
      <w:r>
        <w:rPr>
          <w:rFonts w:ascii="Arial" w:cs="Arial" w:eastAsia="Arial" w:hAnsi="Arial"/>
          <w:sz w:val="18"/>
          <w:szCs w:val="18"/>
          <w:color w:val="auto"/>
        </w:rPr>
        <w:t>the lenders under our existing credit facilities release their security interest in such collateral (other than in connection with a refinancing);</w:t>
      </w:r>
    </w:p>
    <w:p>
      <w:pPr>
        <w:spacing w:after="0" w:line="51" w:lineRule="exact"/>
        <w:rPr>
          <w:sz w:val="20"/>
          <w:szCs w:val="20"/>
          <w:color w:val="auto"/>
        </w:rPr>
      </w:pPr>
    </w:p>
    <w:p>
      <w:pPr>
        <w:sectPr>
          <w:pgSz w:w="11900" w:h="16838" w:orient="portrait"/>
          <w:cols w:equalWidth="0" w:num="2">
            <w:col w:w="4460" w:space="360"/>
            <w:col w:w="6420"/>
          </w:cols>
          <w:pgMar w:left="240" w:top="459" w:right="419" w:bottom="1440" w:gutter="0" w:footer="0" w:header="0"/>
          <w:type w:val="continuous"/>
        </w:sectPr>
      </w:pPr>
    </w:p>
    <w:p>
      <w:pPr>
        <w:ind w:left="44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no default or event of default has occurred and is continuing; and</w:t>
      </w:r>
    </w:p>
    <w:p>
      <w:pPr>
        <w:spacing w:after="0" w:line="124" w:lineRule="exact"/>
        <w:rPr>
          <w:sz w:val="20"/>
          <w:szCs w:val="20"/>
          <w:color w:val="auto"/>
        </w:rPr>
      </w:pPr>
    </w:p>
    <w:p>
      <w:pPr>
        <w:sectPr>
          <w:pgSz w:w="11900" w:h="16838" w:orient="portrait"/>
          <w:cols w:equalWidth="0" w:num="2">
            <w:col w:w="4460" w:space="360"/>
            <w:col w:w="6420"/>
          </w:cols>
          <w:pgMar w:left="240" w:top="459" w:right="419" w:bottom="1440" w:gutter="0" w:footer="0" w:header="0"/>
          <w:type w:val="continuous"/>
        </w:sectPr>
      </w:pPr>
    </w:p>
    <w:p>
      <w:pPr>
        <w:ind w:left="44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60"/>
        <w:spacing w:after="0" w:line="259" w:lineRule="auto"/>
        <w:rPr>
          <w:sz w:val="20"/>
          <w:szCs w:val="20"/>
          <w:color w:val="auto"/>
        </w:rPr>
      </w:pPr>
      <w:r>
        <w:rPr>
          <w:rFonts w:ascii="Arial" w:cs="Arial" w:eastAsia="Arial" w:hAnsi="Arial"/>
          <w:sz w:val="18"/>
          <w:szCs w:val="18"/>
          <w:color w:val="auto"/>
        </w:rPr>
        <w:t>the lenders under each other outstanding secured debt (other than capital lease obligations, mortgage financings and purchase money indebtedness) have released their security interest in such collateral.</w:t>
      </w:r>
    </w:p>
    <w:p>
      <w:pPr>
        <w:spacing w:after="0" w:line="140" w:lineRule="exact"/>
        <w:rPr>
          <w:sz w:val="20"/>
          <w:szCs w:val="20"/>
          <w:color w:val="auto"/>
        </w:rPr>
      </w:pPr>
    </w:p>
    <w:p>
      <w:pPr>
        <w:sectPr>
          <w:pgSz w:w="11900" w:h="16838" w:orient="portrait"/>
          <w:cols w:equalWidth="0" w:num="2">
            <w:col w:w="4460" w:space="360"/>
            <w:col w:w="6420"/>
          </w:cols>
          <w:pgMar w:left="240" w:top="459" w:right="419" w:bottom="1440" w:gutter="0" w:footer="0" w:header="0"/>
          <w:type w:val="continuous"/>
        </w:sectPr>
      </w:pPr>
    </w:p>
    <w:p>
      <w:pPr>
        <w:ind w:left="4400"/>
        <w:spacing w:after="0"/>
        <w:rPr>
          <w:sz w:val="20"/>
          <w:szCs w:val="20"/>
          <w:color w:val="auto"/>
        </w:rPr>
      </w:pPr>
      <w:r>
        <w:rPr>
          <w:rFonts w:ascii="Arial" w:cs="Arial" w:eastAsia="Arial" w:hAnsi="Arial"/>
          <w:sz w:val="15"/>
          <w:szCs w:val="15"/>
          <w:color w:val="auto"/>
        </w:rPr>
        <w:t>The security interests in the golf course land may also be released under certain circumstances if:</w:t>
      </w:r>
    </w:p>
    <w:p>
      <w:pPr>
        <w:spacing w:after="0" w:line="125" w:lineRule="exact"/>
        <w:rPr>
          <w:sz w:val="20"/>
          <w:szCs w:val="20"/>
          <w:color w:val="auto"/>
        </w:rPr>
      </w:pPr>
    </w:p>
    <w:p>
      <w:pPr>
        <w:ind w:left="4820" w:hanging="423"/>
        <w:spacing w:after="0"/>
        <w:tabs>
          <w:tab w:leader="none" w:pos="4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w:t>
      </w:r>
    </w:p>
    <w:p>
      <w:pPr>
        <w:spacing w:after="0" w:line="90" w:lineRule="exact"/>
        <w:rPr>
          <w:rFonts w:ascii="Arial" w:cs="Arial" w:eastAsia="Arial" w:hAnsi="Arial"/>
          <w:sz w:val="18"/>
          <w:szCs w:val="18"/>
          <w:color w:val="auto"/>
        </w:rPr>
      </w:pPr>
    </w:p>
    <w:p>
      <w:pPr>
        <w:ind w:left="4820" w:hanging="423"/>
        <w:spacing w:after="0" w:line="332" w:lineRule="auto"/>
        <w:tabs>
          <w:tab w:leader="none" w:pos="48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lenders under our existing credit facilities concurrently release their security interests in the golf course land (other than in connection with a refinancing); and</w:t>
      </w:r>
    </w:p>
    <w:p>
      <w:pPr>
        <w:spacing w:after="0" w:line="4" w:lineRule="exact"/>
        <w:rPr>
          <w:rFonts w:ascii="Arial" w:cs="Arial" w:eastAsia="Arial" w:hAnsi="Arial"/>
          <w:sz w:val="16"/>
          <w:szCs w:val="16"/>
          <w:color w:val="auto"/>
        </w:rPr>
      </w:pPr>
    </w:p>
    <w:p>
      <w:pPr>
        <w:ind w:left="4820" w:right="420" w:hanging="423"/>
        <w:spacing w:after="0" w:line="332" w:lineRule="auto"/>
        <w:tabs>
          <w:tab w:leader="none" w:pos="48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total debt does not exceed 6.5 times our Consolidated EBITDA (as defined in the indenture governing the 2020 notes) for the most recent four full fiscal quarters.</w:t>
      </w:r>
    </w:p>
    <w:p>
      <w:pPr>
        <w:spacing w:after="0" w:line="85" w:lineRule="exact"/>
        <w:rPr>
          <w:sz w:val="20"/>
          <w:szCs w:val="20"/>
          <w:color w:val="auto"/>
        </w:rPr>
      </w:pPr>
    </w:p>
    <w:p>
      <w:pPr>
        <w:ind w:left="4400" w:right="240"/>
        <w:spacing w:after="0" w:line="314" w:lineRule="auto"/>
        <w:rPr>
          <w:sz w:val="20"/>
          <w:szCs w:val="20"/>
          <w:color w:val="auto"/>
        </w:rPr>
      </w:pPr>
      <w:r>
        <w:rPr>
          <w:rFonts w:ascii="Arial" w:cs="Arial" w:eastAsia="Arial" w:hAnsi="Arial"/>
          <w:sz w:val="15"/>
          <w:szCs w:val="15"/>
          <w:color w:val="auto"/>
        </w:rPr>
        <w:t>However, if we incur or guarantee debt to finance costs related to the development of the golf course parcel into a mixed use hotel, casino and residence resort complex pursuant to the debt incurrence baskets described below under the caption “Description of the New 2020 Notes— Certain Covenants—Incurrence of Indebtedness and Issuance of Disqualified Stock,” then the security interest in the golf course land may not be released without obtaining the consent of holders of at least 90% of the outstanding principal amount of the 2020 notes.</w:t>
      </w:r>
    </w:p>
    <w:p>
      <w:pPr>
        <w:spacing w:after="0" w:line="105" w:lineRule="exact"/>
        <w:rPr>
          <w:sz w:val="20"/>
          <w:szCs w:val="20"/>
          <w:color w:val="auto"/>
        </w:rPr>
      </w:pPr>
    </w:p>
    <w:p>
      <w:pPr>
        <w:ind w:left="4400" w:right="240"/>
        <w:spacing w:after="0" w:line="259" w:lineRule="auto"/>
        <w:rPr>
          <w:sz w:val="20"/>
          <w:szCs w:val="20"/>
          <w:color w:val="auto"/>
        </w:rPr>
      </w:pPr>
      <w:r>
        <w:rPr>
          <w:rFonts w:ascii="Arial" w:cs="Arial" w:eastAsia="Arial" w:hAnsi="Arial"/>
          <w:sz w:val="18"/>
          <w:szCs w:val="18"/>
          <w:color w:val="auto"/>
        </w:rPr>
        <w:t>The security interest in approximately 20 acres of the golf course land granted by one of our subsidiaries may be released if the lenders under our credit facilities concurrently release their lien on such land</w:t>
      </w:r>
    </w:p>
    <w:p>
      <w:pPr>
        <w:spacing w:after="0" w:line="3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240" w:top="459" w:right="41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6"/>
        </w:trPr>
        <w:tc>
          <w:tcPr>
            <w:tcW w:w="4120" w:type="dxa"/>
            <w:vAlign w:val="bottom"/>
            <w:tcBorders>
              <w:top w:val="single" w:sz="8" w:color="auto"/>
              <w:left w:val="single" w:sz="8" w:color="auto"/>
            </w:tcBorders>
          </w:tcPr>
          <w:p>
            <w:pPr>
              <w:spacing w:after="0"/>
              <w:rPr>
                <w:sz w:val="24"/>
                <w:szCs w:val="24"/>
                <w:color w:val="auto"/>
              </w:rPr>
            </w:pPr>
          </w:p>
        </w:tc>
        <w:tc>
          <w:tcPr>
            <w:tcW w:w="7340" w:type="dxa"/>
            <w:vAlign w:val="bottom"/>
            <w:tcBorders>
              <w:top w:val="single" w:sz="8" w:color="auto"/>
              <w:right w:val="single" w:sz="8" w:color="auto"/>
            </w:tcBorders>
            <w:gridSpan w:val="2"/>
          </w:tcPr>
          <w:p>
            <w:pPr>
              <w:ind w:left="280"/>
              <w:spacing w:after="0"/>
              <w:rPr>
                <w:sz w:val="20"/>
                <w:szCs w:val="20"/>
                <w:color w:val="auto"/>
              </w:rPr>
            </w:pPr>
            <w:r>
              <w:rPr>
                <w:rFonts w:ascii="Arial" w:cs="Arial" w:eastAsia="Arial" w:hAnsi="Arial"/>
                <w:sz w:val="18"/>
                <w:szCs w:val="18"/>
                <w:color w:val="auto"/>
                <w:w w:val="94"/>
              </w:rPr>
              <w:t>(other than pursuant to a refinancing) and no default or event of default exists or is continuing.</w:t>
            </w:r>
          </w:p>
        </w:tc>
      </w:tr>
      <w:tr>
        <w:trPr>
          <w:trHeight w:val="385"/>
        </w:trPr>
        <w:tc>
          <w:tcPr>
            <w:tcW w:w="4120" w:type="dxa"/>
            <w:vAlign w:val="bottom"/>
            <w:tcBorders>
              <w:left w:val="single" w:sz="8" w:color="auto"/>
            </w:tcBorders>
          </w:tcPr>
          <w:p>
            <w:pPr>
              <w:spacing w:after="0"/>
              <w:rPr>
                <w:sz w:val="24"/>
                <w:szCs w:val="24"/>
                <w:color w:val="auto"/>
              </w:rPr>
            </w:pP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w w:val="91"/>
              </w:rPr>
              <w:t>In addition, the indenture governing the 2020 notes provides for releases of the security interests</w:t>
            </w:r>
          </w:p>
        </w:tc>
      </w:tr>
      <w:tr>
        <w:trPr>
          <w:trHeight w:val="216"/>
        </w:trPr>
        <w:tc>
          <w:tcPr>
            <w:tcW w:w="4120" w:type="dxa"/>
            <w:vAlign w:val="bottom"/>
            <w:tcBorders>
              <w:left w:val="single" w:sz="8" w:color="auto"/>
            </w:tcBorders>
          </w:tcPr>
          <w:p>
            <w:pPr>
              <w:spacing w:after="0"/>
              <w:rPr>
                <w:sz w:val="18"/>
                <w:szCs w:val="18"/>
                <w:color w:val="auto"/>
              </w:rPr>
            </w:pP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w w:val="91"/>
              </w:rPr>
              <w:t>in certain collateral under specified circumstances and also provides that security interests in the</w:t>
            </w:r>
          </w:p>
        </w:tc>
      </w:tr>
      <w:tr>
        <w:trPr>
          <w:trHeight w:val="216"/>
        </w:trPr>
        <w:tc>
          <w:tcPr>
            <w:tcW w:w="4120" w:type="dxa"/>
            <w:vAlign w:val="bottom"/>
            <w:tcBorders>
              <w:left w:val="single" w:sz="8" w:color="auto"/>
            </w:tcBorders>
          </w:tcPr>
          <w:p>
            <w:pPr>
              <w:spacing w:after="0"/>
              <w:rPr>
                <w:sz w:val="18"/>
                <w:szCs w:val="18"/>
                <w:color w:val="auto"/>
              </w:rPr>
            </w:pP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w w:val="98"/>
              </w:rPr>
              <w:t>collateral can be released in connection with asset sales, permitted investments and other</w:t>
            </w:r>
          </w:p>
        </w:tc>
      </w:tr>
      <w:tr>
        <w:trPr>
          <w:trHeight w:val="222"/>
        </w:trPr>
        <w:tc>
          <w:tcPr>
            <w:tcW w:w="4120" w:type="dxa"/>
            <w:vAlign w:val="bottom"/>
            <w:tcBorders>
              <w:left w:val="single" w:sz="8" w:color="auto"/>
            </w:tcBorders>
          </w:tcPr>
          <w:p>
            <w:pPr>
              <w:spacing w:after="0"/>
              <w:rPr>
                <w:sz w:val="19"/>
                <w:szCs w:val="19"/>
                <w:color w:val="auto"/>
              </w:rPr>
            </w:pP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rPr>
              <w:t>permitted dispositions.</w:t>
            </w:r>
          </w:p>
        </w:tc>
      </w:tr>
      <w:tr>
        <w:trPr>
          <w:trHeight w:val="412"/>
        </w:trPr>
        <w:tc>
          <w:tcPr>
            <w:tcW w:w="41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96"/>
              </w:rPr>
              <w:t>Optional redemption after qualified equity offerings</w:t>
            </w: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w w:val="93"/>
              </w:rPr>
              <w:t>At any time prior to May 1, 2013, we may, on one or more occasions, redeem up to 35% of the</w:t>
            </w:r>
          </w:p>
        </w:tc>
      </w:tr>
      <w:tr>
        <w:trPr>
          <w:trHeight w:val="216"/>
        </w:trPr>
        <w:tc>
          <w:tcPr>
            <w:tcW w:w="4120" w:type="dxa"/>
            <w:vAlign w:val="bottom"/>
            <w:tcBorders>
              <w:left w:val="single" w:sz="8" w:color="auto"/>
            </w:tcBorders>
          </w:tcPr>
          <w:p>
            <w:pPr>
              <w:spacing w:after="0"/>
              <w:rPr>
                <w:sz w:val="18"/>
                <w:szCs w:val="18"/>
                <w:color w:val="auto"/>
              </w:rPr>
            </w:pP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w w:val="95"/>
              </w:rPr>
              <w:t>outstanding new 2020 notes at a redemption price of 107.875% of the principal amount, plus</w:t>
            </w:r>
          </w:p>
        </w:tc>
      </w:tr>
      <w:tr>
        <w:trPr>
          <w:trHeight w:val="216"/>
        </w:trPr>
        <w:tc>
          <w:tcPr>
            <w:tcW w:w="4120" w:type="dxa"/>
            <w:vAlign w:val="bottom"/>
            <w:tcBorders>
              <w:left w:val="single" w:sz="8" w:color="auto"/>
            </w:tcBorders>
          </w:tcPr>
          <w:p>
            <w:pPr>
              <w:spacing w:after="0"/>
              <w:rPr>
                <w:sz w:val="18"/>
                <w:szCs w:val="18"/>
                <w:color w:val="auto"/>
              </w:rPr>
            </w:pP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w w:val="91"/>
              </w:rPr>
              <w:t>accrued and unpaid interest, with the net cash proceeds of one or more qualified equity offerings</w:t>
            </w:r>
          </w:p>
        </w:tc>
      </w:tr>
      <w:tr>
        <w:trPr>
          <w:trHeight w:val="222"/>
        </w:trPr>
        <w:tc>
          <w:tcPr>
            <w:tcW w:w="4120" w:type="dxa"/>
            <w:vAlign w:val="bottom"/>
            <w:tcBorders>
              <w:left w:val="single" w:sz="8" w:color="auto"/>
            </w:tcBorders>
          </w:tcPr>
          <w:p>
            <w:pPr>
              <w:spacing w:after="0"/>
              <w:rPr>
                <w:sz w:val="19"/>
                <w:szCs w:val="19"/>
                <w:color w:val="auto"/>
              </w:rPr>
            </w:pP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rPr>
              <w:t xml:space="preserve">by Wynn Resorts which are contributed to us;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tc>
      </w:tr>
      <w:tr>
        <w:trPr>
          <w:trHeight w:val="291"/>
        </w:trPr>
        <w:tc>
          <w:tcPr>
            <w:tcW w:w="4120" w:type="dxa"/>
            <w:vAlign w:val="bottom"/>
            <w:tcBorders>
              <w:left w:val="single" w:sz="8" w:color="auto"/>
            </w:tcBorders>
          </w:tcPr>
          <w:p>
            <w:pPr>
              <w:spacing w:after="0"/>
              <w:rPr>
                <w:sz w:val="24"/>
                <w:szCs w:val="24"/>
                <w:color w:val="auto"/>
              </w:rPr>
            </w:pP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3"/>
              </w:rPr>
              <w:t>at least 65% of the aggregate principal amount of 2020 notes issued under the indenture</w:t>
            </w:r>
          </w:p>
        </w:tc>
      </w:tr>
      <w:tr>
        <w:trPr>
          <w:trHeight w:val="216"/>
        </w:trPr>
        <w:tc>
          <w:tcPr>
            <w:tcW w:w="4120" w:type="dxa"/>
            <w:vAlign w:val="bottom"/>
            <w:tcBorders>
              <w:lef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4"/>
              </w:rPr>
              <w:t>governing the 2020 notes remains outstanding immediately after the occurrence of such</w:t>
            </w:r>
          </w:p>
        </w:tc>
      </w:tr>
      <w:tr>
        <w:trPr>
          <w:trHeight w:val="222"/>
        </w:trPr>
        <w:tc>
          <w:tcPr>
            <w:tcW w:w="4120" w:type="dxa"/>
            <w:vAlign w:val="bottom"/>
            <w:tcBorders>
              <w:left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redemption; and</w:t>
            </w:r>
          </w:p>
        </w:tc>
      </w:tr>
      <w:tr>
        <w:trPr>
          <w:trHeight w:val="297"/>
        </w:trPr>
        <w:tc>
          <w:tcPr>
            <w:tcW w:w="4120" w:type="dxa"/>
            <w:vAlign w:val="bottom"/>
            <w:tcBorders>
              <w:left w:val="single" w:sz="8" w:color="auto"/>
            </w:tcBorders>
          </w:tcPr>
          <w:p>
            <w:pPr>
              <w:spacing w:after="0"/>
              <w:rPr>
                <w:sz w:val="24"/>
                <w:szCs w:val="24"/>
                <w:color w:val="auto"/>
              </w:rPr>
            </w:pP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the redemption occurs within 60 days of the closing of the qualified equity offering.</w:t>
            </w:r>
          </w:p>
        </w:tc>
      </w:tr>
      <w:tr>
        <w:trPr>
          <w:trHeight w:val="412"/>
        </w:trPr>
        <w:tc>
          <w:tcPr>
            <w:tcW w:w="41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Optional Redemption</w:t>
            </w: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w w:val="98"/>
              </w:rPr>
              <w:t>Except pursuant to a qualified equity offering, we cannot redeem the new 2020 notes until</w:t>
            </w:r>
          </w:p>
        </w:tc>
      </w:tr>
      <w:tr>
        <w:trPr>
          <w:trHeight w:val="216"/>
        </w:trPr>
        <w:tc>
          <w:tcPr>
            <w:tcW w:w="4120" w:type="dxa"/>
            <w:vAlign w:val="bottom"/>
            <w:tcBorders>
              <w:left w:val="single" w:sz="8" w:color="auto"/>
            </w:tcBorders>
          </w:tcPr>
          <w:p>
            <w:pPr>
              <w:spacing w:after="0"/>
              <w:rPr>
                <w:sz w:val="18"/>
                <w:szCs w:val="18"/>
                <w:color w:val="auto"/>
              </w:rPr>
            </w:pP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w w:val="93"/>
              </w:rPr>
              <w:t>May 1, 2015. On or after May 1, 2015, we may redeem some or all of the new 2020 notes at a</w:t>
            </w:r>
          </w:p>
        </w:tc>
      </w:tr>
      <w:tr>
        <w:trPr>
          <w:trHeight w:val="222"/>
        </w:trPr>
        <w:tc>
          <w:tcPr>
            <w:tcW w:w="4120" w:type="dxa"/>
            <w:vAlign w:val="bottom"/>
            <w:tcBorders>
              <w:left w:val="single" w:sz="8" w:color="auto"/>
            </w:tcBorders>
          </w:tcPr>
          <w:p>
            <w:pPr>
              <w:spacing w:after="0"/>
              <w:rPr>
                <w:sz w:val="19"/>
                <w:szCs w:val="19"/>
                <w:color w:val="auto"/>
              </w:rPr>
            </w:pP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rPr>
              <w:t>premium declining ratably to zero, plus accrued and unpaid interest.</w:t>
            </w:r>
          </w:p>
        </w:tc>
      </w:tr>
      <w:tr>
        <w:trPr>
          <w:trHeight w:val="412"/>
        </w:trPr>
        <w:tc>
          <w:tcPr>
            <w:tcW w:w="41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Gaming Redemption</w:t>
            </w: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w w:val="94"/>
              </w:rPr>
              <w:t>The new 2020 notes will be subject to redemption requirements imposed by gaming laws and</w:t>
            </w:r>
          </w:p>
        </w:tc>
      </w:tr>
      <w:tr>
        <w:trPr>
          <w:trHeight w:val="222"/>
        </w:trPr>
        <w:tc>
          <w:tcPr>
            <w:tcW w:w="4120" w:type="dxa"/>
            <w:vAlign w:val="bottom"/>
            <w:tcBorders>
              <w:left w:val="single" w:sz="8" w:color="auto"/>
            </w:tcBorders>
          </w:tcPr>
          <w:p>
            <w:pPr>
              <w:spacing w:after="0"/>
              <w:rPr>
                <w:sz w:val="19"/>
                <w:szCs w:val="19"/>
                <w:color w:val="auto"/>
              </w:rPr>
            </w:pP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rPr>
              <w:t>regulations of gaming authorities in Nevada or other jurisdictions.</w:t>
            </w:r>
          </w:p>
        </w:tc>
      </w:tr>
      <w:tr>
        <w:trPr>
          <w:trHeight w:val="412"/>
        </w:trPr>
        <w:tc>
          <w:tcPr>
            <w:tcW w:w="41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Change of Control Offer</w:t>
            </w: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w w:val="93"/>
              </w:rPr>
              <w:t>If a change of control occurs, we must offer to repurchase the new 2020 notes at 101% of their</w:t>
            </w:r>
          </w:p>
        </w:tc>
      </w:tr>
      <w:tr>
        <w:trPr>
          <w:trHeight w:val="222"/>
        </w:trPr>
        <w:tc>
          <w:tcPr>
            <w:tcW w:w="4120" w:type="dxa"/>
            <w:vAlign w:val="bottom"/>
            <w:tcBorders>
              <w:left w:val="single" w:sz="8" w:color="auto"/>
            </w:tcBorders>
          </w:tcPr>
          <w:p>
            <w:pPr>
              <w:spacing w:after="0"/>
              <w:rPr>
                <w:sz w:val="19"/>
                <w:szCs w:val="19"/>
                <w:color w:val="auto"/>
              </w:rPr>
            </w:pP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rPr>
              <w:t>principal amount, plus accrued and unpaid interest.</w:t>
            </w:r>
          </w:p>
        </w:tc>
      </w:tr>
      <w:tr>
        <w:trPr>
          <w:trHeight w:val="412"/>
        </w:trPr>
        <w:tc>
          <w:tcPr>
            <w:tcW w:w="41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Asset Sales and Events of Loss</w:t>
            </w: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w w:val="91"/>
              </w:rPr>
              <w:t>If we or any of our restricted subsidiaries sell certain assets or experience certain events of loss,</w:t>
            </w:r>
          </w:p>
        </w:tc>
      </w:tr>
      <w:tr>
        <w:trPr>
          <w:trHeight w:val="216"/>
        </w:trPr>
        <w:tc>
          <w:tcPr>
            <w:tcW w:w="4120" w:type="dxa"/>
            <w:vAlign w:val="bottom"/>
            <w:tcBorders>
              <w:left w:val="single" w:sz="8" w:color="auto"/>
            </w:tcBorders>
          </w:tcPr>
          <w:p>
            <w:pPr>
              <w:spacing w:after="0"/>
              <w:rPr>
                <w:sz w:val="18"/>
                <w:szCs w:val="18"/>
                <w:color w:val="auto"/>
              </w:rPr>
            </w:pP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w w:val="89"/>
              </w:rPr>
              <w:t>we may be required to offer to repurchase the 2020 notes, the 2017 notes and the 2014 notes and</w:t>
            </w:r>
          </w:p>
        </w:tc>
      </w:tr>
      <w:tr>
        <w:trPr>
          <w:trHeight w:val="222"/>
        </w:trPr>
        <w:tc>
          <w:tcPr>
            <w:tcW w:w="4120" w:type="dxa"/>
            <w:vAlign w:val="bottom"/>
            <w:tcBorders>
              <w:left w:val="single" w:sz="8" w:color="auto"/>
            </w:tcBorders>
          </w:tcPr>
          <w:p>
            <w:pPr>
              <w:spacing w:after="0"/>
              <w:rPr>
                <w:sz w:val="19"/>
                <w:szCs w:val="19"/>
                <w:color w:val="auto"/>
              </w:rPr>
            </w:pP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rPr>
              <w:t>repay indebtedness under our credit facilities on a pro rata basis.</w:t>
            </w:r>
          </w:p>
        </w:tc>
      </w:tr>
      <w:tr>
        <w:trPr>
          <w:trHeight w:val="412"/>
        </w:trPr>
        <w:tc>
          <w:tcPr>
            <w:tcW w:w="41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Certain Indenture Provisions</w:t>
            </w: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w w:val="95"/>
              </w:rPr>
              <w:t>The indenture governing the 2020 notes contains covenants restricting our and our restricted</w:t>
            </w:r>
          </w:p>
        </w:tc>
      </w:tr>
      <w:tr>
        <w:trPr>
          <w:trHeight w:val="222"/>
        </w:trPr>
        <w:tc>
          <w:tcPr>
            <w:tcW w:w="4120" w:type="dxa"/>
            <w:vAlign w:val="bottom"/>
            <w:tcBorders>
              <w:left w:val="single" w:sz="8" w:color="auto"/>
            </w:tcBorders>
          </w:tcPr>
          <w:p>
            <w:pPr>
              <w:spacing w:after="0"/>
              <w:rPr>
                <w:sz w:val="19"/>
                <w:szCs w:val="19"/>
                <w:color w:val="auto"/>
              </w:rPr>
            </w:pPr>
          </w:p>
        </w:tc>
        <w:tc>
          <w:tcPr>
            <w:tcW w:w="73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rPr>
              <w:t>subsidiaries’ ability to:</w:t>
            </w:r>
          </w:p>
        </w:tc>
      </w:tr>
      <w:tr>
        <w:trPr>
          <w:trHeight w:val="297"/>
        </w:trPr>
        <w:tc>
          <w:tcPr>
            <w:tcW w:w="4120" w:type="dxa"/>
            <w:vAlign w:val="bottom"/>
            <w:tcBorders>
              <w:left w:val="single" w:sz="8" w:color="auto"/>
            </w:tcBorders>
          </w:tcPr>
          <w:p>
            <w:pPr>
              <w:spacing w:after="0"/>
              <w:rPr>
                <w:sz w:val="24"/>
                <w:szCs w:val="24"/>
                <w:color w:val="auto"/>
              </w:rPr>
            </w:pP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pay dividends or distributions or repurchase equity;</w:t>
            </w:r>
          </w:p>
        </w:tc>
      </w:tr>
      <w:tr>
        <w:trPr>
          <w:trHeight w:val="297"/>
        </w:trPr>
        <w:tc>
          <w:tcPr>
            <w:tcW w:w="4120" w:type="dxa"/>
            <w:vAlign w:val="bottom"/>
            <w:tcBorders>
              <w:left w:val="single" w:sz="8" w:color="auto"/>
            </w:tcBorders>
          </w:tcPr>
          <w:p>
            <w:pPr>
              <w:spacing w:after="0"/>
              <w:rPr>
                <w:sz w:val="24"/>
                <w:szCs w:val="24"/>
                <w:color w:val="auto"/>
              </w:rPr>
            </w:pP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incur additional debt;</w:t>
            </w:r>
          </w:p>
        </w:tc>
      </w:tr>
      <w:tr>
        <w:trPr>
          <w:trHeight w:val="297"/>
        </w:trPr>
        <w:tc>
          <w:tcPr>
            <w:tcW w:w="4120" w:type="dxa"/>
            <w:vAlign w:val="bottom"/>
            <w:tcBorders>
              <w:left w:val="single" w:sz="8" w:color="auto"/>
            </w:tcBorders>
          </w:tcPr>
          <w:p>
            <w:pPr>
              <w:spacing w:after="0"/>
              <w:rPr>
                <w:sz w:val="24"/>
                <w:szCs w:val="24"/>
                <w:color w:val="auto"/>
              </w:rPr>
            </w:pP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make investments;</w:t>
            </w:r>
          </w:p>
        </w:tc>
      </w:tr>
      <w:tr>
        <w:trPr>
          <w:trHeight w:val="297"/>
        </w:trPr>
        <w:tc>
          <w:tcPr>
            <w:tcW w:w="4120" w:type="dxa"/>
            <w:vAlign w:val="bottom"/>
            <w:tcBorders>
              <w:left w:val="single" w:sz="8" w:color="auto"/>
            </w:tcBorders>
          </w:tcPr>
          <w:p>
            <w:pPr>
              <w:spacing w:after="0"/>
              <w:rPr>
                <w:sz w:val="24"/>
                <w:szCs w:val="24"/>
                <w:color w:val="auto"/>
              </w:rPr>
            </w:pP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create liens on assets to secure debt;</w:t>
            </w:r>
          </w:p>
        </w:tc>
      </w:tr>
      <w:tr>
        <w:trPr>
          <w:trHeight w:val="297"/>
        </w:trPr>
        <w:tc>
          <w:tcPr>
            <w:tcW w:w="4120" w:type="dxa"/>
            <w:vAlign w:val="bottom"/>
            <w:tcBorders>
              <w:left w:val="single" w:sz="8" w:color="auto"/>
            </w:tcBorders>
          </w:tcPr>
          <w:p>
            <w:pPr>
              <w:spacing w:after="0"/>
              <w:rPr>
                <w:sz w:val="24"/>
                <w:szCs w:val="24"/>
                <w:color w:val="auto"/>
              </w:rPr>
            </w:pP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enter into transactions with affiliates;</w:t>
            </w:r>
          </w:p>
        </w:tc>
      </w:tr>
      <w:tr>
        <w:trPr>
          <w:trHeight w:val="161"/>
        </w:trPr>
        <w:tc>
          <w:tcPr>
            <w:tcW w:w="4120" w:type="dxa"/>
            <w:vAlign w:val="bottom"/>
            <w:tcBorders>
              <w:left w:val="single" w:sz="8" w:color="auto"/>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6820" w:type="dxa"/>
            <w:vAlign w:val="bottom"/>
            <w:tcBorders>
              <w:bottom w:val="single" w:sz="8" w:color="auto"/>
              <w:right w:val="single" w:sz="8" w:color="auto"/>
            </w:tcBorders>
          </w:tcPr>
          <w:p>
            <w:pPr>
              <w:spacing w:after="0"/>
              <w:rPr>
                <w:sz w:val="13"/>
                <w:szCs w:val="13"/>
                <w:color w:val="auto"/>
              </w:rPr>
            </w:pPr>
          </w:p>
        </w:tc>
      </w:tr>
      <w:tr>
        <w:trPr>
          <w:trHeight w:val="359"/>
        </w:trPr>
        <w:tc>
          <w:tcPr>
            <w:tcW w:w="4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20" w:type="dxa"/>
            <w:vAlign w:val="bottom"/>
          </w:tcPr>
          <w:p>
            <w:pPr>
              <w:ind w:left="980"/>
              <w:spacing w:after="0"/>
              <w:rPr>
                <w:sz w:val="20"/>
                <w:szCs w:val="20"/>
                <w:color w:val="auto"/>
              </w:rPr>
            </w:pPr>
            <w:r>
              <w:rPr>
                <w:rFonts w:ascii="Arial" w:cs="Arial" w:eastAsia="Arial" w:hAnsi="Arial"/>
                <w:sz w:val="18"/>
                <w:szCs w:val="18"/>
                <w:color w:val="auto"/>
              </w:rPr>
              <w:t>16</w:t>
            </w:r>
          </w:p>
        </w:tc>
      </w:tr>
    </w:tbl>
    <w:p>
      <w:pPr>
        <w:sectPr>
          <w:pgSz w:w="11900" w:h="16838" w:orient="portrait"/>
          <w:cols w:equalWidth="0" w:num="1">
            <w:col w:w="11460"/>
          </w:cols>
          <w:pgMar w:left="240" w:top="459" w:right="1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6"/>
        </w:trPr>
        <w:tc>
          <w:tcPr>
            <w:tcW w:w="3140" w:type="dxa"/>
            <w:vAlign w:val="bottom"/>
            <w:tcBorders>
              <w:top w:val="single" w:sz="8" w:color="auto"/>
              <w:left w:val="single" w:sz="8" w:color="auto"/>
            </w:tcBorders>
          </w:tcPr>
          <w:p>
            <w:pPr>
              <w:spacing w:after="0"/>
              <w:rPr>
                <w:sz w:val="24"/>
                <w:szCs w:val="24"/>
                <w:color w:val="auto"/>
              </w:rPr>
            </w:pPr>
          </w:p>
        </w:tc>
        <w:tc>
          <w:tcPr>
            <w:tcW w:w="1500" w:type="dxa"/>
            <w:vAlign w:val="bottom"/>
            <w:tcBorders>
              <w:top w:val="single" w:sz="8" w:color="auto"/>
            </w:tcBorders>
          </w:tcPr>
          <w:p>
            <w:pPr>
              <w:ind w:left="1260"/>
              <w:spacing w:after="0"/>
              <w:rPr>
                <w:sz w:val="20"/>
                <w:szCs w:val="20"/>
                <w:color w:val="auto"/>
              </w:rPr>
            </w:pPr>
            <w:r>
              <w:rPr>
                <w:rFonts w:ascii="Arial" w:cs="Arial" w:eastAsia="Arial" w:hAnsi="Arial"/>
                <w:sz w:val="18"/>
                <w:szCs w:val="18"/>
                <w:color w:val="auto"/>
              </w:rPr>
              <w:t>•</w:t>
            </w:r>
          </w:p>
        </w:tc>
        <w:tc>
          <w:tcPr>
            <w:tcW w:w="682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issue stock of, or member’s interests in, subsidiaries;</w:t>
            </w:r>
          </w:p>
        </w:tc>
      </w:tr>
      <w:tr>
        <w:trPr>
          <w:trHeight w:val="297"/>
        </w:trPr>
        <w:tc>
          <w:tcPr>
            <w:tcW w:w="3140" w:type="dxa"/>
            <w:vAlign w:val="bottom"/>
            <w:tcBorders>
              <w:left w:val="single" w:sz="8" w:color="auto"/>
            </w:tcBorders>
          </w:tcPr>
          <w:p>
            <w:pPr>
              <w:spacing w:after="0"/>
              <w:rPr>
                <w:sz w:val="24"/>
                <w:szCs w:val="24"/>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enter into sale-leaseback transactions;</w:t>
            </w:r>
          </w:p>
        </w:tc>
      </w:tr>
      <w:tr>
        <w:trPr>
          <w:trHeight w:val="297"/>
        </w:trPr>
        <w:tc>
          <w:tcPr>
            <w:tcW w:w="3140" w:type="dxa"/>
            <w:vAlign w:val="bottom"/>
            <w:tcBorders>
              <w:left w:val="single" w:sz="8" w:color="auto"/>
            </w:tcBorders>
          </w:tcPr>
          <w:p>
            <w:pPr>
              <w:spacing w:after="0"/>
              <w:rPr>
                <w:sz w:val="24"/>
                <w:szCs w:val="24"/>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engage in other businesses;</w:t>
            </w:r>
          </w:p>
        </w:tc>
      </w:tr>
      <w:tr>
        <w:trPr>
          <w:trHeight w:val="297"/>
        </w:trPr>
        <w:tc>
          <w:tcPr>
            <w:tcW w:w="3140" w:type="dxa"/>
            <w:vAlign w:val="bottom"/>
            <w:tcBorders>
              <w:left w:val="single" w:sz="8" w:color="auto"/>
            </w:tcBorders>
          </w:tcPr>
          <w:p>
            <w:pPr>
              <w:spacing w:after="0"/>
              <w:rPr>
                <w:sz w:val="24"/>
                <w:szCs w:val="24"/>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merge or consolidate with another company;</w:t>
            </w:r>
          </w:p>
        </w:tc>
      </w:tr>
      <w:tr>
        <w:trPr>
          <w:trHeight w:val="297"/>
        </w:trPr>
        <w:tc>
          <w:tcPr>
            <w:tcW w:w="3140" w:type="dxa"/>
            <w:vAlign w:val="bottom"/>
            <w:tcBorders>
              <w:left w:val="single" w:sz="8" w:color="auto"/>
            </w:tcBorders>
          </w:tcPr>
          <w:p>
            <w:pPr>
              <w:spacing w:after="0"/>
              <w:rPr>
                <w:sz w:val="24"/>
                <w:szCs w:val="24"/>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transfer and sell assets;</w:t>
            </w:r>
          </w:p>
        </w:tc>
      </w:tr>
      <w:tr>
        <w:trPr>
          <w:trHeight w:val="297"/>
        </w:trPr>
        <w:tc>
          <w:tcPr>
            <w:tcW w:w="3140" w:type="dxa"/>
            <w:vAlign w:val="bottom"/>
            <w:tcBorders>
              <w:left w:val="single" w:sz="8" w:color="auto"/>
            </w:tcBorders>
          </w:tcPr>
          <w:p>
            <w:pPr>
              <w:spacing w:after="0"/>
              <w:rPr>
                <w:sz w:val="24"/>
                <w:szCs w:val="24"/>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issue disqualified stock;</w:t>
            </w:r>
          </w:p>
        </w:tc>
      </w:tr>
      <w:tr>
        <w:trPr>
          <w:trHeight w:val="297"/>
        </w:trPr>
        <w:tc>
          <w:tcPr>
            <w:tcW w:w="3140" w:type="dxa"/>
            <w:vAlign w:val="bottom"/>
            <w:tcBorders>
              <w:left w:val="single" w:sz="8" w:color="auto"/>
            </w:tcBorders>
          </w:tcPr>
          <w:p>
            <w:pPr>
              <w:spacing w:after="0"/>
              <w:rPr>
                <w:sz w:val="24"/>
                <w:szCs w:val="24"/>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create dividend and other payment restrictions affecting subsidiaries; and</w:t>
            </w:r>
          </w:p>
        </w:tc>
      </w:tr>
      <w:tr>
        <w:trPr>
          <w:trHeight w:val="297"/>
        </w:trPr>
        <w:tc>
          <w:tcPr>
            <w:tcW w:w="3140" w:type="dxa"/>
            <w:vAlign w:val="bottom"/>
            <w:tcBorders>
              <w:left w:val="single" w:sz="8" w:color="auto"/>
            </w:tcBorders>
          </w:tcPr>
          <w:p>
            <w:pPr>
              <w:spacing w:after="0"/>
              <w:rPr>
                <w:sz w:val="24"/>
                <w:szCs w:val="24"/>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designate restricted and unrestricted subsidiaries.</w:t>
            </w:r>
          </w:p>
        </w:tc>
      </w:tr>
      <w:tr>
        <w:trPr>
          <w:trHeight w:val="412"/>
        </w:trPr>
        <w:tc>
          <w:tcPr>
            <w:tcW w:w="3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Intercreditor Agreement</w:t>
            </w: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2"/>
              </w:rPr>
              <w:t>The trustee under the indenture for the 2020 notes, the trustee under the indenture for the 2017</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0"/>
              </w:rPr>
              <w:t>notes, the trustee under the indenture for the 2014 notes, and the agent for the lenders under our</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1"/>
              </w:rPr>
              <w:t>credit facilities have entered into an intercreditor agreement that governs the relationship among</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3"/>
              </w:rPr>
              <w:t>the holders of the 2020 notes, the holders of the 2017 notes, the holders of the 2014 notes, the</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1"/>
              </w:rPr>
              <w:t>lenders under our credit facilities and holders of permitted senior and junior indebtedness. Under</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1"/>
              </w:rPr>
              <w:t>the intercreditor agreement, the trustee on behalf of the holders of the 2020 notes, the trustee on</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0"/>
              </w:rPr>
              <w:t>behalf of the holders of the 2017 notes, the trustee on behalf of the holders of the 2014 notes and</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1"/>
              </w:rPr>
              <w:t>the agent for the lenders under our credit facilities have appointed a collateral agent with respect</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2"/>
              </w:rPr>
              <w:t>to the collateral granted in favor of the holders of the 2020 notes, the holders of the 2017 notes,</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9"/>
              </w:rPr>
              <w:t>the holders of the 2014 notes, and the lenders under our credit facilities. The liens on the</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1"/>
              </w:rPr>
              <w:t>collateral that secure the 2020 notes rank pari passu with the liens on such collateral that secure</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0"/>
              </w:rPr>
              <w:t>our credit facilities, the 2014 notes, the 2017 notes and any other permitted senior debt, and rank</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9"/>
              </w:rPr>
              <w:t>prior to the liens on such collateral that secure any permitted junior debt. Pursuant to the</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4"/>
              </w:rPr>
              <w:t>intercreditor agreement, as long as our credit facilities remain outstanding or any amounts are</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3"/>
              </w:rPr>
              <w:t>outstanding under the 2014 notes, the trustee under the indenture for the 2020 notes does not</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3"/>
              </w:rPr>
              <w:t>have the right to instruct the collateral agent with respect to the exercise of remedies under the</w:t>
            </w:r>
          </w:p>
        </w:tc>
      </w:tr>
      <w:tr>
        <w:trPr>
          <w:trHeight w:val="222"/>
        </w:trPr>
        <w:tc>
          <w:tcPr>
            <w:tcW w:w="3140" w:type="dxa"/>
            <w:vAlign w:val="bottom"/>
            <w:tcBorders>
              <w:left w:val="single" w:sz="8" w:color="auto"/>
            </w:tcBorders>
          </w:tcPr>
          <w:p>
            <w:pPr>
              <w:spacing w:after="0"/>
              <w:rPr>
                <w:sz w:val="19"/>
                <w:szCs w:val="19"/>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rPr>
              <w:t>collateral documents.</w:t>
            </w:r>
          </w:p>
        </w:tc>
      </w:tr>
      <w:tr>
        <w:trPr>
          <w:trHeight w:val="419"/>
        </w:trPr>
        <w:tc>
          <w:tcPr>
            <w:tcW w:w="3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Trading</w:t>
            </w: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5"/>
              </w:rPr>
              <w:t>New 2020 notes issued in book-entry form will be issued to Cede &amp; Co. as nominee of DTC.</w:t>
            </w:r>
          </w:p>
        </w:tc>
      </w:tr>
      <w:tr>
        <w:trPr>
          <w:trHeight w:val="432"/>
        </w:trPr>
        <w:tc>
          <w:tcPr>
            <w:tcW w:w="3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Governing Law</w:t>
            </w: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rPr>
              <w:t>The laws of the State of New York.</w:t>
            </w:r>
          </w:p>
        </w:tc>
      </w:tr>
      <w:tr>
        <w:trPr>
          <w:trHeight w:val="426"/>
        </w:trPr>
        <w:tc>
          <w:tcPr>
            <w:tcW w:w="3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Risk Factors</w:t>
            </w: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2"/>
              </w:rPr>
              <w:t>You should refer to the section entitled “Risk Factors,” beginning on page 18, for a discussion of</w:t>
            </w:r>
          </w:p>
        </w:tc>
      </w:tr>
      <w:tr>
        <w:trPr>
          <w:trHeight w:val="222"/>
        </w:trPr>
        <w:tc>
          <w:tcPr>
            <w:tcW w:w="3140" w:type="dxa"/>
            <w:vAlign w:val="bottom"/>
            <w:tcBorders>
              <w:left w:val="single" w:sz="8" w:color="auto"/>
            </w:tcBorders>
          </w:tcPr>
          <w:p>
            <w:pPr>
              <w:spacing w:after="0"/>
              <w:rPr>
                <w:sz w:val="19"/>
                <w:szCs w:val="19"/>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rPr>
              <w:t>certain risks involved in investing in the new 2020 notes.</w:t>
            </w:r>
          </w:p>
        </w:tc>
      </w:tr>
      <w:tr>
        <w:trPr>
          <w:trHeight w:val="161"/>
        </w:trPr>
        <w:tc>
          <w:tcPr>
            <w:tcW w:w="3140" w:type="dxa"/>
            <w:vAlign w:val="bottom"/>
            <w:tcBorders>
              <w:left w:val="single" w:sz="8" w:color="auto"/>
              <w:bottom w:val="single" w:sz="8" w:color="auto"/>
            </w:tcBorders>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6820" w:type="dxa"/>
            <w:vAlign w:val="bottom"/>
            <w:tcBorders>
              <w:bottom w:val="single" w:sz="8" w:color="auto"/>
              <w:right w:val="single" w:sz="8" w:color="auto"/>
            </w:tcBorders>
          </w:tcPr>
          <w:p>
            <w:pPr>
              <w:spacing w:after="0"/>
              <w:rPr>
                <w:sz w:val="13"/>
                <w:szCs w:val="13"/>
                <w:color w:val="auto"/>
              </w:rPr>
            </w:pPr>
          </w:p>
        </w:tc>
      </w:tr>
      <w:tr>
        <w:trPr>
          <w:trHeight w:val="359"/>
        </w:trPr>
        <w:tc>
          <w:tcPr>
            <w:tcW w:w="3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820" w:type="dxa"/>
            <w:vAlign w:val="bottom"/>
          </w:tcPr>
          <w:p>
            <w:pPr>
              <w:ind w:left="980"/>
              <w:spacing w:after="0"/>
              <w:rPr>
                <w:sz w:val="20"/>
                <w:szCs w:val="20"/>
                <w:color w:val="auto"/>
              </w:rPr>
            </w:pPr>
            <w:r>
              <w:rPr>
                <w:rFonts w:ascii="Arial" w:cs="Arial" w:eastAsia="Arial" w:hAnsi="Arial"/>
                <w:sz w:val="18"/>
                <w:szCs w:val="18"/>
                <w:color w:val="auto"/>
              </w:rPr>
              <w:t>17</w:t>
            </w:r>
          </w:p>
        </w:tc>
      </w:tr>
    </w:tbl>
    <w:p>
      <w:pPr>
        <w:sectPr>
          <w:pgSz w:w="11900" w:h="16838" w:orient="portrait"/>
          <w:cols w:equalWidth="0" w:num="1">
            <w:col w:w="11460"/>
          </w:cols>
          <w:pgMar w:left="240" w:top="459" w:right="1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i w:val="1"/>
          <w:iCs w:val="1"/>
          <w:color w:val="auto"/>
        </w:rPr>
        <w:t>You should carefully consider the risks described below before making an investment decision. The risks and uncertainties described below are not the only ones that we face. Additional risks and uncertainties not presently known to us or that we currently deem immaterial may also impair our business operations. If any of these risks actually occur, our business, financial condition and results of operations could be materially adversely affected. In that case, the value of the new notes could decline substantially, and you may lose part or all of your investment.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Substantial Indebtedness</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highly leveraged and future cash flow may not be sufficient for us to meet our obligations, and we might have difficulty obtaining more financing.</w:t>
      </w:r>
    </w:p>
    <w:p>
      <w:pPr>
        <w:spacing w:after="0" w:line="1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have a substantial amount of consolidated debt in relation to our equity. As of December 31, 2009, we had total outstanding debt of approximately $2.6 billion. In addition, our credit agreement and indentures permit us to incur additional indebtedness in the future. Our substantial indebtedness could have important consequences. For example:</w:t>
      </w:r>
    </w:p>
    <w:p>
      <w:pPr>
        <w:spacing w:after="0" w:line="59" w:lineRule="exact"/>
        <w:rPr>
          <w:sz w:val="20"/>
          <w:szCs w:val="20"/>
          <w:color w:val="auto"/>
        </w:rPr>
      </w:pPr>
    </w:p>
    <w:p>
      <w:pPr>
        <w:ind w:left="900" w:right="20" w:hanging="446"/>
        <w:spacing w:after="0" w:line="357" w:lineRule="auto"/>
        <w:tabs>
          <w:tab w:leader="none" w:pos="9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if we fail to meet our payment obligations or otherwise default under the agreements governing our indebtedness, the lenders under those agreements will have the right to accelerate the indebtedness and exercise other rights and remedies against us. These rights and remedies include rights to:</w:t>
      </w:r>
    </w:p>
    <w:p>
      <w:pPr>
        <w:ind w:left="1460" w:hanging="547"/>
        <w:spacing w:after="0"/>
        <w:tabs>
          <w:tab w:leader="none" w:pos="14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repossess and foreclose upon the assets that serve as collateral;</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initiate judicial foreclosure against us; and</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petition a court to appoint a receiver for us or for substantially all of our assets.</w:t>
      </w:r>
    </w:p>
    <w:p>
      <w:pPr>
        <w:spacing w:after="0" w:line="90" w:lineRule="exact"/>
        <w:rPr>
          <w:rFonts w:ascii="Arial" w:cs="Arial" w:eastAsia="Arial" w:hAnsi="Arial"/>
          <w:sz w:val="18"/>
          <w:szCs w:val="18"/>
          <w:color w:val="auto"/>
        </w:rPr>
      </w:pPr>
    </w:p>
    <w:p>
      <w:pPr>
        <w:ind w:left="900" w:right="60" w:hanging="446"/>
        <w:spacing w:after="0" w:line="306"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are required to use a substantial portion of our cash flow from the operations of Wynn Las Vegas and Encore to service and amortize our Wynn Las Vegas indebtedness, which will reduce the amount of available cash, if any, to fund working capital, other capital expenditures and other general corporate purposes, and may give us greater exposure to the current adverse economic and industry condition;</w:t>
      </w:r>
    </w:p>
    <w:p>
      <w:pPr>
        <w:spacing w:after="0" w:line="25" w:lineRule="exact"/>
        <w:rPr>
          <w:rFonts w:ascii="Arial" w:cs="Arial" w:eastAsia="Arial" w:hAnsi="Arial"/>
          <w:sz w:val="16"/>
          <w:szCs w:val="16"/>
          <w:color w:val="auto"/>
        </w:rPr>
      </w:pPr>
    </w:p>
    <w:p>
      <w:pPr>
        <w:ind w:left="900" w:right="120" w:hanging="446"/>
        <w:spacing w:after="0" w:line="255"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experience decreased revenues from our operations attributable to decreases in consumer spending levels due to the current adverse economic and industry conditions, and could fail to generate sufficient cash to fund our liquidity needs and/or fail to satisfy the financial and other restrictive covenants to which we are subject to under our existing indebtedness. We cannot provide assurance that our business will generate sufficient cash flow from operations or that future borrowings will be available to us in an amount sufficient to enable us to pay our indebtedness or to fund our other liquidity needs;</w:t>
      </w:r>
    </w:p>
    <w:p>
      <w:pPr>
        <w:spacing w:after="0" w:line="61"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have a limited ability to respond to changing business and economic conditions and to withstand competitive pressures, which may affect our financial condition;</w:t>
      </w:r>
    </w:p>
    <w:p>
      <w:pPr>
        <w:spacing w:after="0" w:line="50" w:lineRule="exact"/>
        <w:rPr>
          <w:rFonts w:ascii="Arial" w:cs="Arial" w:eastAsia="Arial" w:hAnsi="Arial"/>
          <w:sz w:val="18"/>
          <w:szCs w:val="18"/>
          <w:color w:val="auto"/>
        </w:rPr>
      </w:pPr>
    </w:p>
    <w:p>
      <w:pPr>
        <w:ind w:left="900" w:right="48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not be able to obtain additional financing if needed, to satisfy working capital requirements, or pay for other capital expenditures, debt service or other obligations;</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while we do hedge a certain amount of our debt under our credit facilities, rates with respect to a portion of interest we pay will fluctuate with market rates and, accordingly, our interest expense will increase if market interest rates increase; and</w:t>
      </w:r>
    </w:p>
    <w:p>
      <w:pPr>
        <w:spacing w:after="0" w:line="5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we fail to pay our debts generally as they become due, unsecured creditors that we fail to pay may initiate involuntary bankruptcy proceedings against us, subject to the requirements of the United States Bankruptcy Code, and such bankruptcy proceedings will delay or impair the repayment of our credit facilities, the 2014 notes, the 2017 notes and the 2020 notes.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Under the terms of the documents governing our debt facilities, we may, subject to certain limitations, be permitted to incur additional indebtedness, including secured senior and subordinated indebtedness. If we incur additional indebtedness, the risks described above will be exacerbated.</w:t>
      </w:r>
    </w:p>
    <w:p>
      <w:pPr>
        <w:spacing w:after="0" w:line="166" w:lineRule="exact"/>
        <w:rPr>
          <w:sz w:val="20"/>
          <w:szCs w:val="20"/>
          <w:color w:val="auto"/>
        </w:rPr>
      </w:pPr>
    </w:p>
    <w:p>
      <w:pPr>
        <w:ind w:right="900"/>
        <w:spacing w:after="0" w:line="332" w:lineRule="auto"/>
        <w:rPr>
          <w:sz w:val="20"/>
          <w:szCs w:val="20"/>
          <w:color w:val="auto"/>
        </w:rPr>
      </w:pPr>
      <w:r>
        <w:rPr>
          <w:rFonts w:ascii="Arial" w:cs="Arial" w:eastAsia="Arial" w:hAnsi="Arial"/>
          <w:sz w:val="16"/>
          <w:szCs w:val="16"/>
          <w:b w:val="1"/>
          <w:bCs w:val="1"/>
          <w:i w:val="1"/>
          <w:iCs w:val="1"/>
          <w:color w:val="auto"/>
        </w:rPr>
        <w:t>The agreements governing our debt facilities contain certain financial covenants and other covenants that restrict our ability to engage in certain transactions and may impair our ability to respond to changing business and economic conditions.</w:t>
      </w:r>
    </w:p>
    <w:p>
      <w:pPr>
        <w:spacing w:after="0" w:line="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debt facilities require us to satisfy various financial covenants, which include requirements for a minimum interest coverage ratio and a ratio pertaining to total debt to earnings before interest, tax, depreciation and amortization. If our operations fail to generate adequate cash flow, we may violate those covenants causing a default in our agreements. Future indebtedness or other contracts could contain covenants more restrictive than those contained in our existing debt facilities.</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ability to comply with the terms of our outstanding facilities may be affected by general economic conditions, industry conditions and other events some of which may be beyond our control. As a result, we may not be able to maintain compliance with these covenants. Our failure to comply with the terms of our debt facilities, including failure as a result of events beyond our control, could result in an event of default, which could materially and adversely affect our operating results and our financial condition or result in our lenders taking action to enforce their security interests in our various assets.</w:t>
      </w:r>
    </w:p>
    <w:p>
      <w:pPr>
        <w:spacing w:after="0" w:line="113"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agreements governing our debt facilities also contain restrictions on our ability to engage in certain transactions and may limit our ability to respond to changing business and economic conditions. The debt facilities impose operating and financial restrictions on us and our restricted subsidiaries, including, among other things, limitations on the ability to:</w:t>
      </w:r>
    </w:p>
    <w:p>
      <w:pPr>
        <w:spacing w:after="0" w:line="59"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 dividends or distributions or repurchase equity;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create liens on assets to secure debt;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issue stock of, or member’s interests in, subsidiaries;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engage in other businesses;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merge or consolidate with another company;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issue disqualified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create dividend and other payment restrictions affecting subsidiaries;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designate restricted and unrestricted subsidiaries.</w:t>
      </w:r>
    </w:p>
    <w:p>
      <w:pPr>
        <w:spacing w:after="0" w:line="171"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If there were an event of default under one of our debt instruments, the holders of the defaulted debt could cause all amounts outstanding with respect to that debt to be due and payable immediately. We cannot assure you that our assets or cash flow would be sufficient to fully repay borrowings under our outstanding debt instruments if accelerated upon an event of default, or that we would be able to repay, refinance or restructure the payments on those debt securities.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is secured by a substantial portion of our assets.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Subject to applicable laws, including gaming laws, and certain agreed upon exceptions, our debt is secured by liens on substantially all of our assets. In the event of a default under our financing documents, or if we experience insolvency, liquidation, dissolution or reorganization, the holders of our secured debt instruments would first be entitled to payment from their collateral security, and only then would holders of our unsecured debt be entitled to payment from our remaining assets.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Continued weakness and further weakening in global economic conditions may adversely affect consumer and corporate spending and tourism trends, resulting in additional deterioration in our business.</w:t>
      </w:r>
    </w:p>
    <w:p>
      <w:pPr>
        <w:spacing w:after="0" w:line="5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Discretionary consumer spending has been adversely affected by the current economic crisis. Worldwide, consumers are traveling less and spending less when they do travel. Likewise, corporate spending on conventions and business development is being significantly curtailed as businesses cut their budgets. Since our business model relies on significant expenditures on luxury and discretionary items, continuation or deepening of the crisis will further adversely affect our operations.</w:t>
      </w:r>
    </w:p>
    <w:p>
      <w:pPr>
        <w:spacing w:after="0" w:line="224"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b w:val="1"/>
          <w:bCs w:val="1"/>
          <w:i w:val="1"/>
          <w:iCs w:val="1"/>
          <w:color w:val="auto"/>
        </w:rPr>
        <w:t>The current conditions in the world’s financial and credit markets adversely affect prospects of debt refinancing, availability of credit to us and to our customers and the profitability of our business.</w:t>
      </w:r>
    </w:p>
    <w:p>
      <w:pPr>
        <w:spacing w:after="0" w:line="51"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There was continued instability in financial and credit markets worldwide in 2009. There can be no assurance that the decline is over and there can be no assurance that government response to these conditions will successfully address the fundamental weakness, restore consumer confidence or lead to improvement or increase liquidity in the markets. Customer demand for luxury amenities and leisure activities that we offer may be depressed or continue to decline.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may be excess room supply particularly in the luxury segment.</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There have been and will continue to be large additions to the room supply in Las Vegas. Even after the global economy begins to recover, there may be excess supply particularly in the luxury segment.</w:t>
      </w:r>
    </w:p>
    <w:p>
      <w:pPr>
        <w:spacing w:after="0" w:line="213"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We are entirely dependent on Wynn Las Vegas and Encore for all of our cash flow, which subjects us to greater risks than a gaming company with more operating properties.</w:t>
      </w:r>
    </w:p>
    <w:p>
      <w:pPr>
        <w:spacing w:after="0" w:line="5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do not expect to have material assets or operations other than Wynn Las Vegas and Encore. We are entirely dependent upon Wynn Las Vegas and Encore for all of our cash flow. As a result, we are subject to a greater degree of risk than a gaming company with more operating properties. The risks to which we have a greater degree of exposure include the following:</w:t>
      </w:r>
    </w:p>
    <w:p>
      <w:pPr>
        <w:spacing w:after="0" w:line="59"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local economic and competitive conditions;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local and state governmental laws and regulations, including gaming laws and regulations;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natural and other disasters;</w:t>
      </w:r>
    </w:p>
    <w:p>
      <w:pPr>
        <w:spacing w:after="0" w:line="90"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increase in the cost of utilities for our properties as a result of, among other things, power shortages in California or other western states with which Nevada shares a single regional power grid or a shortage of natural resources such as water;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decline in the number of visitors to Las Vegas;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decrease in gaming and non-gaming activities at Wynn Las Vegas and Encore;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outbreak of an infectious disease such as H1N1 or the avian flu.</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Any of the factors outlined above could negatively affect our ability to generate sufficient cash flow to make payments or maintain our covenants with respect to our debt.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casino, hotel, convention and other facilities face intense competition.</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casino/hotel industry is highly competitive and additional developments have recently opened or are currently underway. Resorts located on or near the Las Vegas Strip compete with other Las Vegas Strip hotels and with other hotel casinos in Las Vegas on the basis of overall atmosphere, range of amenities, level of service, price, location, entertainment, theme and size, among other factors. Wynn Las Vegas and Encore may also compete with one another.</w:t>
      </w:r>
    </w:p>
    <w:p>
      <w:pPr>
        <w:spacing w:after="0" w:line="107"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color w:val="auto"/>
        </w:rPr>
        <w:t>Wynn Las Vegas and Encore also compete, to some extent, with other hotel/casino facilities in Nevada and Atlantic City, riverboat gaming facilities in other states, casino facilities on Native American lands and elsewhere in the world, as well as state lotteries and other forms of gaming. In addition, the legalization of casino gaming in or near metropolitan areas from which we attract customers could have a negative effect on our business. New or renovated casinos in Asia, including our property in Macau, could draw Asian gaming customers away from Las Vegas.</w:t>
      </w:r>
    </w:p>
    <w:p>
      <w:pPr>
        <w:spacing w:after="0" w:line="194"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Our business relies on high-end, international customers to whom we often extend credit, and we may not be able to collect gaming receivables from our credit players or credit play may decrease.</w:t>
      </w:r>
    </w:p>
    <w:p>
      <w:pPr>
        <w:spacing w:after="0" w:line="5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 significant portion of our table game revenue at Wynn Las Vegas and Encore is attributable to the play of a limited number of international customers. The loss or a reduction in the play of the most significant of these customers could have a substantial negative effect on our future operating results. A continued downturn in economic conditions in the countries in which these customers reside could cause a further reduction in the frequency of visits by and revenue generated from these customers.</w:t>
      </w:r>
    </w:p>
    <w:p>
      <w:pPr>
        <w:spacing w:after="0" w:line="143"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We conduct our gaming activities on a credit as well as a cash basis. This credit is unsecured. Table games players typically are extended more credit than slot players, and high-stakes players typically are extended more credit than patrons who tend to wager lower amounts. The collectibility of receivables from international customers could be negatively affected by future business or economic trends or by significant events in the countries in which these customers reside. We will extend credit to those customers whose level of play and financial resources, in the opinion of management, warrant such an extension.</w:t>
      </w:r>
    </w:p>
    <w:p>
      <w:pPr>
        <w:spacing w:after="0" w:line="9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addition, high-end gaming is more volatile than other forms of gaming, and variances in win-loss results attributable to high-end gaming may have a positive or negative impact on cash flow and earnings in a particular quarter.</w:t>
      </w:r>
    </w:p>
    <w:p>
      <w:pPr>
        <w:spacing w:after="0" w:line="132"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While gaming debts evidenced by a credit instrument, including what is commonly referred to as a “marker,” are enforceable under the current laws of Nevada, and judgments on gaming debts are enforceable in all states under the Full Faith and Credit Clause of the United States Constitution, other jurisdictions may determine that direct or indirect enforcement of gaming debts is against public policy. Although courts of some foreign nations will enforce gaming debts directly and the assets in the United States of foreign debtors may be used to satisfy a judgment, judgments on gaming debts from U.S. courts are not binding on the courts of many foreign nations. We cannot assure you that we will be able to collect the full amount of gaming debts owed to us, even in jurisdictions that enforce them. Recent dramatic changes in the economic conditions may make it more difficult to assess creditworthiness and more difficult to collect the full amount of any gaming debt owed to us. Our inability to collect gaming debts could have a significant negative impact on our operating results.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particularly sensitive to reductions in discretionary consumer spending as a result of downturns in the economy.</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Consumer demand for hotel/casino resorts, trade shows and conventions and for the type of luxury amenities that we offer is particularly sensitive to downturns in the economy which adversely impact discretionary spending on leisure activities. Changes in discretionary consumer spending or consumer preferences brought about by the factors such as perceived or actual general economic conditions, the current housing crisis, the current credit crisis, bank failures and the potential for additional bank failures, perceived or actual changes in disposable consumer income and wealth, the current global economic recession and changes in consumer confidence in the economy, or fears of war and future acts of terrorism could reduce customer demand for the luxury amenities and leisure activities we offer, and may have a significant negative impact on our operating results.</w:t>
      </w:r>
    </w:p>
    <w:p>
      <w:pPr>
        <w:spacing w:after="0" w:line="120"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The current recession and economic crisis have resulted in a significant decline in the amount of tourism and spending in Las Vegas. In 2009, the occupancy rates across Las Vegas have declined by approximately 4.5%, average daily room rates have declined by approximately 22% and Las Vegas Strip gaming revenue has declined approximately 9.4%, compared to 2008. We also experienced increased levels of attrition and cancellation in the group business segment during 2009. If these trends continue, our financial condition, results of operations and cash flows will be adversely affected.</w:t>
      </w:r>
    </w:p>
    <w:p>
      <w:pPr>
        <w:spacing w:after="0" w:line="19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We are subject to extensive state and local regulation, and licensing and gaming authorities have significant control over our operations, which could have a negative effect on our business.</w:t>
      </w:r>
    </w:p>
    <w:p>
      <w:pPr>
        <w:spacing w:after="0" w:line="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operations of Wynn Las Vegas and Encore are contingent upon maintaining all necessary regulatory licenses, permits, approvals, registrations, findings of suitability, orders and authorizations. The laws, regulations and ordinances requiring these licenses, permits and other approvals generally relate to the responsibility, financial stability and character of the owners and managers of gaming operations, as well as persons financially interested or involved in gaming operations. The scope of the approvals required to open and operate a facility is extensive. We received all approvals for the opening of Wynn Las Vegas on April 28, 2005 and Encore on December 22, 2008; however, we are subject to ongoing regulation to maintain these operations.</w:t>
      </w:r>
    </w:p>
    <w:p>
      <w:pPr>
        <w:spacing w:after="0" w:line="116"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The Nevada Gaming Commission may, in its discretion, require the holder of any debt or securities that we or Wynn Resorts issue to file applications, be investigated and be found suitable to own our or Wynn Resorts’ securities if it has reason to believe that the security ownership would be inconsistent with the declared policies of the State of Nevada.</w:t>
      </w:r>
    </w:p>
    <w:p>
      <w:pPr>
        <w:spacing w:after="0" w:line="14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Nevada regulatory authorities have broad powers to request detailed financial and other information, to limit, condition, suspend or revoke a registration, gaming license or related approval and to approve changes in our operations. Substantial fines or forfeiture of assets for violations of gaming laws or regulations may be levied. The suspension or revocation of any license which may be granted to us or the levy of substantial fines or forfeiture of assets could significantly harm our business, financial condition and results of operations. Furthermore, compliance costs associated with gaming laws, regulations and licenses are significant. Any change in the laws, regulations or licenses applicable to our business or a violation of any current or future laws or regulations applicable to our business or gaming licenses could require us to make substantial expenditures or could otherwise negatively affect our gaming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taxation by various governments and agencies. The rate of taxation could change.</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are subject to taxation in the United States at the federal, state and local level. Specific rates of taxation can be changed by legislative action. Increases in taxation could adversely affect our results.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auto"/>
        </w:rPr>
        <w:t>Terrorism and the uncertainty of military conflicts, natural disasters and contagious diseases, as well as other factors affecting discretionary consumer spending, may harm our operating results.</w:t>
      </w:r>
    </w:p>
    <w:p>
      <w:pPr>
        <w:spacing w:after="0" w:line="5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strength and profitability of our business depends on consumer demand for hotel casino resorts in general and for the type of luxury amenities our properties offer. Changes in consumer preferences or discretionary consumer spending could harm our business. The terrorist attacks of September 11, 2001, other terrorist activities in the United States and elsewhere, military conflicts in Iraq, Afghanistan and in the Middle East, outbreaks of infectious disease and pandemics, and natural disasters such as hurricanes, tsunamis and earthquakes, among other things, have had negative impacts on travel and leisure expenditures. We cannot predict the extent to which similar events and conditions may continue to affect us in the future. An extended period of reduced discretionary spending and/or disruptions or declines in airline travel and business conventions could significantly harm our operations. In particular, because our business relies heavily upon high-end customers, particularly international customers, factors resulting in a decreased propensity to travel internationally could have a negative impact on our operations.</w:t>
      </w:r>
    </w:p>
    <w:p>
      <w:pPr>
        <w:spacing w:after="0" w:line="118"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In addition, other factors affecting travel and discretionary consumer spending, including general economic conditions, disposable consumer income, fears of recession and reduced consumer confidence in the economy, may negatively impact our business. Negative changes in any factors affecting discretionary spending could reduce customer demand for the products and services we offer, thus imposing practical limits on pricing and harming our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insurance coverage may not be adequate to cover all possible losses that we could suffer, and our insurance costs may increase.</w:t>
      </w:r>
    </w:p>
    <w:p>
      <w:pPr>
        <w:spacing w:after="0" w:line="113" w:lineRule="exact"/>
        <w:rPr>
          <w:sz w:val="20"/>
          <w:szCs w:val="20"/>
          <w:color w:val="auto"/>
        </w:rPr>
      </w:pPr>
    </w:p>
    <w:p>
      <w:pPr>
        <w:jc w:val="both"/>
        <w:ind w:right="180" w:firstLine="456"/>
        <w:spacing w:after="0" w:line="335" w:lineRule="auto"/>
        <w:rPr>
          <w:sz w:val="20"/>
          <w:szCs w:val="20"/>
          <w:color w:val="auto"/>
        </w:rPr>
      </w:pPr>
      <w:r>
        <w:rPr>
          <w:rFonts w:ascii="Arial" w:cs="Arial" w:eastAsia="Arial" w:hAnsi="Arial"/>
          <w:sz w:val="15"/>
          <w:szCs w:val="15"/>
          <w:color w:val="auto"/>
        </w:rPr>
        <w:t>The terrorist attacks of September 11, 2001 have substantially affected the availability of insurance coverage for certain types of damages or occurrences. We currently have insurance coverage for occurrences of terrorist acts with respect to our properties for up to $800 million of losses that could result from these acts. However, these types of acts could expose us to losses that exceed our coverage and could have a significant negative impact on our operations.</w:t>
      </w:r>
    </w:p>
    <w:p>
      <w:pPr>
        <w:spacing w:after="0" w:line="8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addition, insurance premiums have increased and we may not have sufficient insurance coverage in the event of a catastrophic property or casualty loss. We may also suffer disruption of our business in the event of a terrorist attack or other catastrophic property or casualty loss or be subject to claims by third parties injured or harmed. While we currently carry general liability insurance and business interruption insurance, such insurance may not be adequate to cover all losses in such event. In the event that insurance premiums continue to increase, we may not be able to maintain the insurance coverages we currently have or otherwise be able to maintain adequate insurance protection.</w:t>
      </w:r>
    </w:p>
    <w:p>
      <w:pPr>
        <w:spacing w:after="0" w:line="19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If a third party successfully challenges Wynn Holdings’ ownership of, or right to use, the Wynn-related service marks, our business or results of operations could be harmed.</w:t>
      </w:r>
    </w:p>
    <w:p>
      <w:pPr>
        <w:spacing w:after="0" w:line="5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have sublicensed certain Wynn-related trademarks and services from Wynn Holdings. Wynn Holdings has filed applications with the United States Patent and Trademark Office (“PTO”), to register a variety of WYNN-related trademarks and service marks in connection with a variety of goods and services. These marks include “WYNN LAS VEGAS” and “ENCORE.” Some of the applications are based upon ongoing use and others are based upon a bona fide intent to use the marks in the future.</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 common element of most of these marks is the use of the surname, “WYNN.” As a general rule, a surname (or a mark primarily constituting a surname) cannot be registered unless the surname has acquired “secondary meaning.” To date, Wynn Holdings has been successful in demonstrating to the PTO such secondary meaning for the Wynn name, in certain of the applications, based upon Mr. Wynn’s prominence as a resort developer, but we cannot assure you that we will be successful with the other pending applications.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Even if Wynn Holdings is able to obtain registration of the WYNN-related marks, such 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spacing w:after="0" w:line="140"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color w:val="auto"/>
        </w:rPr>
        <w:t>We have also filed applications with various foreign patent and trademark registries including registries in Macau, China, Hong Kong, Taiwan, Japan, certain European countries and various other jurisdictions throughout the world to register a variety of WYNN-related trademarks and service marks in connection with a variety of goods and services. These marks include many of the same marks filed with the PTO and include “WYNN LAS VEGAS” and “ENCORE.” Some of the applications are based upon ongoing use and others are based upon a bona fide intent to use the marks in the future.</w:t>
      </w:r>
    </w:p>
    <w:p>
      <w:pPr>
        <w:spacing w:after="0" w:line="11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recognize that our intellectual property assets, especially the logo version of “Wynn”, are among our most valuable assets. As a result, and in connection with expansion of our resort and gaming activities outside the United States, we have undertaken a program to register our trademarks and other intellectual property rights in all relevant jurisdictions, some of which may pose a risk of unauthorized use or counterfeiting. We have retained counsel and will take all steps necessary to not only acquire, but protect our intellectual property rights against such unauthorized use throughout the world.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a third party asserts other forms of intellectual property claims against us, our business or results of operations could be adversely affected.</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Historically, trademarks and service marks have been the principal form of intellectual property rights relevant to the gaming industry. However, due to the increased use of technology in computerized gaming machines and in business operations generally, other forms of intellectual property rights (such as patents and copyrights) are becoming of increased relevance. It is possible that, in the future, third parties might assert superior intellectual property rights or allege that their intellectual property rights cover some aspect of our operations. The defense of such allegations may result in substantial expenses, and, if such claims are successfully prosecuted, may have a material impact on our business.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Stephen A. Wynn could significantly harm our business.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ability to maintain our competitive position is dependent to a large degree on the efforts and skills of Stephen A. Wynn, the Chairman of the Board, Chief Executive Officer and one of the principal stockholders of Wynn Resorts. In 2008, Wynn Resorts extended the term of Mr. Wynn’s employment agreement until October 2020. However, we cannot assure you that Mr. Wynn will remain with Wynn Resorts. If Wynn Resorts loses the services of Mr. Wynn, or if he is unable to devote sufficient attention to our operations for any other reason, our business may be significantly impaired. In addition, if Mr. Wynn is no longer either employed by Wynn Resorts as Chief Executive Officer or serving as Chairman of the Board, other than as a result of death or disability or other limited circumstances, it would constitute a change of control that would require us to offer to repay the 2020 notes, the 2017 notes and the 2014 notes and would constitute an event of default under our credit facilities.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Wynn Resorts’ officers, directors and substantial stockholders are able to exert significant control over our operations and future direction.</w:t>
      </w:r>
    </w:p>
    <w:p>
      <w:pPr>
        <w:spacing w:after="0" w:line="11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Our ultimate parent company is Wynn Resorts. Mr. Wynn, Elaine P. Wynn, and Aruze USA, Inc., a company controlled by one of our directors, together own approximately 37.9% of Wynn Resorts’ outstanding common stock. As a result, Mr. Wynn, Elaine P. Wynn, and Aruze USA, Inc., to the extent they vote their shares in a similar manner, may be able to control all matters requiring our stockholders’ approval, including the approval of significant corporate transactions.</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459"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November 2006, Mr. Wynn, and Aruze USA, Inc., entered into a stockholders’ agreement. On January 6, 2010, the agreement was amended and restated to, among other things, recognize Mr. Wynn’s transfer of 11,076,709 shares to Elaine P. Wynn. Pursuant to the amended and restated stockholders’ agreement, Elaine P. Wynn became party to the agreement in connection with her ownership of 11,076,709 shares of the Wynn Resorts’ common stock. Under the amended and restated stockholders’ agreement, Mr. Wynn, Elaine P. Wynn, and Aruze USA, Inc., have agreed to vote their shares of Wynn Resorts’ common stock for a slate of directors supported by Mr. Wynn, a majority of which will be designated by Mr. Wynn, of which at least two will be independent directors, and the remaining members of which will be designated by Aruze USA, Inc. As a result of this voting arrangement, Mr. Wynn, as a practical matter, controls the slate of directors to be elected to our board of directors. In addition, with stated exceptions, the agreement requires the written consent of Mr. Wynn, Elaine P. Wynn, and Aruze USA, Inc. prior to any party selling any shares of Wynn Resorts that it owns.</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November 2006, the Board of Wynn Resorts approved an amendment of its bylaws that exempts future acquisitions of shares of Wynn Resorts’ common stock by either Mr. Wynn or Aruze USA, Inc. from Nevada’s acquisition of controlling interest statutes. The Nevada acquisition of controlling interest statutes require stockholder approval in order to exercise voting rights in connection with any acquisition of a controlling interest in certain Nevada corporations unless the articles of incorporation or bylaws of the corporation in effect on the 10th day following the acquisition of a controlling interest by certain acquiring persons provide that these statutes do not apply to the corporation or to the acquisition specifically by types of existing or future stockholders. These statutes define a “controlling interest” as (i) one-fifth or more but less than one-third, (ii) one-third or more but less than a majority, or (iii) a majority or more, of the voting power in the election of directors. As a result of the bylaw amendment, either Mr. Wynn or Aruze USA, Inc. or their respective affiliates may acquire ownership of outstanding voting shares of Wynn Resorts permitting them to exercise more than one-third but less than a majority, or a majority or more, of all of the voting power of the corporation in the election of directors, without requiring a resolution of the stockholders of the corporation granting voting rights in the control shares acquired.</w:t>
      </w:r>
    </w:p>
    <w:p>
      <w:pPr>
        <w:spacing w:after="0" w:line="20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Because we own real property, we are subject to extensive environmental regulation, which creates uncertainty regarding future environmental expenditures and liabilities.</w:t>
      </w:r>
    </w:p>
    <w:p>
      <w:pPr>
        <w:spacing w:after="0" w:line="5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have incurred costs to comply with environmental requirements, such as those relating to discharges into the air, water and land, the handling and disposal of solid and hazardous waste and the cleanup of properties affected by hazardous substances. Under these and other environmental requirements we may be required to investigate and clean up hazardous or toxic substances or chemical releases at our property. As an owner or operator, we could also be held responsible to a governmental entity or third parties for property damage, personal injury and investigation and cleanup costs incurred by them in connection with any contamination.</w:t>
      </w:r>
    </w:p>
    <w:p>
      <w:pPr>
        <w:spacing w:after="0" w:line="14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These laws typically impose cleanup responsibility and liability without regard to whether the owner or operator knew of or caused the presence of the contaminants. The liability under those laws has been interpreted to be joint and several unless the harm is divisible and there is a reasonable basis for allocation of the responsibility. The costs of investigation, remediation or removal of those substances may be substantial, and the presence of those substances, or the failure to remediate a property properly, may impair our ability to use our property.</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Any violation of the Foreign Corrupt Practices Act or applicable Anti-Money Laundering Regulation could have a negative impact on us.</w:t>
      </w:r>
    </w:p>
    <w:p>
      <w:pPr>
        <w:spacing w:after="0" w:line="113"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We are subject to regulations imposed by the Foreign Corrupt Practices Act (the “FCPA”), which generally prohibits U.S. companies and their intermediaries from making improper payments to foreign officials for the purpose of obtaining or retaining business. Any determination that we have violated the FCPA could have a material adverse effect on our financial condition. We also deal with significant amounts of cash in our operations and are subject to various reporting and anti-money laundering regulations. Any violation of anti-money laundering laws or regulations by any of our properties could have a negative effect on our results of operations.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2020 Notes and the 2017 Notes</w:t>
      </w:r>
    </w:p>
    <w:p>
      <w:pPr>
        <w:spacing w:after="0" w:line="9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If a default occurs with respect to the 2020 notes and the 2017 notes, the value of the collateral may not be sufficient to repay the holders of 2020 notes and 2017 notes.</w:t>
      </w:r>
    </w:p>
    <w:p>
      <w:pPr>
        <w:spacing w:after="0" w:line="51"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 xml:space="preserve">As of December 31, 2009, we had approximately $80.5 million outstanding under our senior secured term loan credit facility and approximately $252.7 million outstanding under our revolving credit facility. As of the same date, we had $1.7 billion of 2014 notes outstanding, which included $65.8 million of 2014 notes payable to an affiliate. Currently, as a result of the 2014/2020 exchange offer, we have approximately $1.32 billion of 2014 notes outstanding, which includes $35.8 million of 2014 notes payable to an affiliate. Under the indentures governing the 2020 notes and the 2017 notes, we may be permitted to incur additional indebtedness that could be secured by first priority liens on the collateral, which liens would, pursuant to the intercreditor agreement, be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liens securing the 2020 notes, the 2014 notes, the 2017 notes and our credit facilities. We are also permitted to incur additional indebtedness subject to compliance with certain covenants in the indentures governing the 2020 notes, the 2014 notes and the 2017 notes and in our existing credit facilities.</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value of the collateral in the event of liquidation will depend on market and economic conditions, the availability of buyers and other factors. We cannot assure you that the proceeds from the sale or sales of all of such collateral would be sufficient to satisfy any borrowings from creditors with liens that have a priority to the liens securing the 2014 notes, the 2017 notes, the 2020 notes and the amounts outstanding under our credit facilities. If these proceeds were not sufficient to repay amounts outstanding under the 2020 notes and the 2017 notes, after paying any higher priority creditors and sharing pari passu with obligations under the 2014 notes and our credit facilities, then holders of the 2020 notes and the 2017 notes, to the extent not repaid from the proceeds of the sale of the collateral, would only have unsecured claims against our remaining assets, which claims would rank equally with all of our general unsecured indebtedness and obligations, including trade payables.</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 appraisals of any of the collateral have been prepared by us or on behalf of us in connection with the exchange offer. The fair market value of this collateral is subject to fluctuations based on factors that include, among others, our ability to implement our business strategy, the ability to sell the collateral in an orderly sale, general economic conditions, the availability of buyers and similar factors.</w:t>
      </w:r>
    </w:p>
    <w:p>
      <w:pPr>
        <w:spacing w:after="0" w:line="22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The 2020 note holders’ and the 2017 note holders’ liens on all or part of the collateral will be released without their consent if the lenders under our credit facilities release their liens and certain other conditions are met.</w:t>
      </w:r>
    </w:p>
    <w:p>
      <w:pPr>
        <w:spacing w:after="0" w:line="51"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The liens on all of the collateral securing the 2014 notes, the 2017 notes and the 2020 notes, including the golf course land, will be released if the lenders under our credit facilities release their liens on such collateral (other than in connection with a refinancing) and (i) no default or event of default has occurred and</w:t>
      </w:r>
    </w:p>
    <w:p>
      <w:pPr>
        <w:ind w:right="200" w:firstLine="8"/>
        <w:spacing w:after="0" w:line="255" w:lineRule="auto"/>
        <w:tabs>
          <w:tab w:leader="none" w:pos="25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lenders under any other outstanding secured debt (other than capital lease obligations, mortgage financings and purchase money indebtedness) have released their security interest in such collateral. As of December 31, 2009, the total indebtedness outstanding under our credit facilities was $333.2 million and the total principal amount of 2014 notes and 2017 notes was $2.2 billion.</w:t>
      </w:r>
    </w:p>
    <w:p>
      <w:pPr>
        <w:spacing w:after="0" w:line="14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addition, the liens on the golf course land and related water rights may be released if (i) no default or event of default has occurred and is continuing immediately prior to or after giving effect to such release, (ii) the lenders under our credit facilities concurrently release their first priority liens on the golf course land (other than in connection with a refinancing) and (iii) both immediately prior to the release of the lien and after giving pro forma effect to such release our and our restricted subsidiaries’ total debt does not exceed 6.5 times Consolidated EBITDA (as defined in the indentures for the 2020 notes and the 2017 notes) for the last four full fiscal quarters.</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the event that the security interests on all of the collateral are released, the 2020 notes and the 2017 notes will become our unsecured obligations. As our senior unsecured obligations, the 2020 notes and the 2017 notes would be effectively subordinated to any secured indebtedness of the Issuers and the guarantors up to the value of the collateral securing such indebtedness, would rank senior in right of payment to any subordinated indebtedness of the Issuers and the guarantors, and would rank equal in right of payment to any existing and future unsecured senior indebtedness of the Issuers and the guarantors. In the event that only the security interests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70" w:lineRule="auto"/>
        <w:rPr>
          <w:sz w:val="20"/>
          <w:szCs w:val="20"/>
          <w:color w:val="auto"/>
        </w:rPr>
      </w:pPr>
      <w:r>
        <w:rPr>
          <w:rFonts w:ascii="Arial" w:cs="Arial" w:eastAsia="Arial" w:hAnsi="Arial"/>
          <w:sz w:val="15"/>
          <w:szCs w:val="15"/>
          <w:color w:val="auto"/>
        </w:rPr>
        <w:t>in the golf course land and the related water rights are released, the holders of 2020 notes and the holders of 2017 notes will have a first priority lien on the assets comprising the hotel and casino, and subject to gaming approval, the equity interest of Wynn Las Vegas and the equity interest in our restricted subsidiaries.</w:t>
      </w:r>
    </w:p>
    <w:p>
      <w:pPr>
        <w:spacing w:after="0" w:line="6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In addition, the indentures governing the 2020 notes and 2017 notes provide for releases of the security interests in certain collateral under specified circumstances and also provide that security interests in the collateral can be released in connection with asset sales, permitted investments and other permitted dispositions.</w:t>
      </w:r>
    </w:p>
    <w:p>
      <w:pPr>
        <w:spacing w:after="0" w:line="221" w:lineRule="exact"/>
        <w:rPr>
          <w:sz w:val="20"/>
          <w:szCs w:val="20"/>
          <w:color w:val="auto"/>
        </w:rPr>
      </w:pPr>
    </w:p>
    <w:p>
      <w:pPr>
        <w:ind w:right="440"/>
        <w:spacing w:after="0" w:line="357" w:lineRule="auto"/>
        <w:rPr>
          <w:sz w:val="20"/>
          <w:szCs w:val="20"/>
          <w:color w:val="auto"/>
        </w:rPr>
      </w:pPr>
      <w:r>
        <w:rPr>
          <w:rFonts w:ascii="Arial" w:cs="Arial" w:eastAsia="Arial" w:hAnsi="Arial"/>
          <w:sz w:val="15"/>
          <w:szCs w:val="15"/>
          <w:b w:val="1"/>
          <w:bCs w:val="1"/>
          <w:i w:val="1"/>
          <w:iCs w:val="1"/>
          <w:color w:val="auto"/>
        </w:rPr>
        <w:t>The intercreditor agreement permits the agent under our credit facilities to amend the terms of, and waive defaults under, the security documents and to amend certain provisions of the intercreditor agreement without the consent of the holders of the 2020 notes and the holders of the 2017 notes.</w:t>
      </w:r>
    </w:p>
    <w:p>
      <w:pPr>
        <w:ind w:right="140" w:firstLine="456"/>
        <w:spacing w:after="0" w:line="289" w:lineRule="auto"/>
        <w:rPr>
          <w:sz w:val="20"/>
          <w:szCs w:val="20"/>
          <w:color w:val="auto"/>
        </w:rPr>
      </w:pPr>
      <w:r>
        <w:rPr>
          <w:rFonts w:ascii="Arial" w:cs="Arial" w:eastAsia="Arial" w:hAnsi="Arial"/>
          <w:sz w:val="16"/>
          <w:szCs w:val="16"/>
          <w:color w:val="auto"/>
        </w:rPr>
        <w:t>The security documents create liens on the collateral in favor of a collateral agent to secure our obligations under the credit facilities, the indentures, the 2014 notes, the 2017 notes and the 2020 notes. However, the intercreditor agreement grants the agent under our credit facilities certain rights that may adversely affect the interest of the holders of the 2020 notes and the holders of the 2017 notes under the security documents. The intercreditor agreement permits the agent under our credit facilities, without the consent of the holders of the 2020 notes or the holders of the 2017 notes, to direct the collateral agent to amend various terms of, and waive defaults under, the security documents. The agent under our credit facilities is entitled to exercise this right even at a time when no amounts are outstanding under our credit facilities. If the agent under our credit facilities exercises such rights, the holders of the 2020 notes and the holders of the 2017 notes may not be able to enforce the terms of the security documents and exercise their rights thereunder. The intercreditor agreement will release the agent for the lenders from all liability to the extent permitted by law, except for fraud or willful misconduct.</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addition, the agent under our credit facilities is entitled, at any time when the amount outstanding under our credit facilities equals or exceeds $100 million and without the consent of the 2014 notes trustee or the holders of the 2014 notes, the 2017 notes trustee or holders of the 2017 notes, the 2020 notes trustee or holders of the 2020 notes, to amend the subordination provisions of the intercreditor agreement that apply to any permitted junior secured debt that we may incur provided that such amendment does not affect the provisions governing the relationship between the lenders under our credit facilities, the holders of the 2020 notes, the holders of the 2014 notes and the holders of the 2017 notes. Any such amendment could increase, perhaps significantly, the rights of any holders of junior debt under the intercreditor agreement to the detriment of the holders of the notes. Any such amendment could also adversely affect the ability of the 2020 notes trustee or the holders of the 2020 notes and the 2017 notes trustee or the holders of the 2017 notes to enforce remedies against the collateral and recover the proceeds thereof.</w:t>
      </w:r>
    </w:p>
    <w:p>
      <w:pPr>
        <w:spacing w:after="0" w:line="199"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b w:val="1"/>
          <w:bCs w:val="1"/>
          <w:i w:val="1"/>
          <w:iCs w:val="1"/>
          <w:color w:val="auto"/>
        </w:rPr>
        <w:t>Under the intercreditor agreement, the holders of the 2020 notes and the holders of the 2017 notes will not be able to control decisions regarding the collateral and to take enforcement actions.</w:t>
      </w:r>
    </w:p>
    <w:p>
      <w:pPr>
        <w:spacing w:after="0" w:line="51"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The intercreditor agreement provides that, except under very limited circumstances, none of the 2020 notes trustee, the holders of the 2020 notes, the 2017 notes trustee or the holders of the 2017 notes will have the right to direct the collateral agent to enforce remedies against the collateral. As long as any indebtedness is outstanding under our credit facilities and as long as any of our 2014 notes remain outstanding, the holders of a majority of the aggregate amount of loans under our credit facilities and the 2014 notes may instruct the collateral agent to commence the exercise of remedies against the collateral. However, following any event of default under the credit facilities, the agent for the lenders may direct the collateral agent to commence enforcement actions against the collateral without the consent or direction of the 2020 notes trustee or holders of the 2020 notes, the 2014 notes trustee or holders of the 2014 notes or the 2017 notes trustee or holders of the 2017 notes. Given that the amount of loans advanced by the lenders under our credit facilities and the outstanding amount of the 2014 notes, each may, from time to time, be substantially different than the outstanding amount of the 2020 notes and the 2017 notes, the lenders’ interests and the interests of the holders of the 2014 notes may not be aligned with those of 2020 noteholders and the 2017 noteholders and the lenders and holders of the 2014 notes may have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different motives or strategies to protect their investment. As such, the lenders under our credit facilities or the holders of the 2014 notes may choose to instruct the collateral agent to enforce the various security interests or may initiate the exercise of other remedies against the collateral at any given time even though allowing us additional time to resolve any issues or take any other actions could increase the likelihood of repayment of the 2020 notes and the 2017 notes. In addition, the intercreditor agreement includes certain provisions, such as waivers of certain rights or consents to certain proceedings in bankruptcy, that may not be enforceable in bankruptcy.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institute bankruptcy proceedings to prevent foreclosure of the collateral.</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connection with an exercise of remedies, the lenders under our credit facilities, and subject to the terms of the intercreditor agreement, the holders of 2014 notes, the holders of 2017 notes or the holders of 2020 notes may institute foreclosure proceedings against the collateral. To prevent foreclosure, we may be motivated to commence voluntary bankruptcy proceedings, or certain creditors may be motivated to institute involuntary bankruptcy proceedings against us under the United States Bankruptcy Code. The commencement of any such bankruptcy proceedings would expose the holders of the 2020 notes and the holders of the 2017 notes to additional risks, including, without limitation, additional restrictions on exercising rights against collateral and on otherwise pursuing or obtaining repayment of the 2020 notes and the 2017 notes. See “—Bankruptcy laws may significantly impair your rights to repossess and dispose of collateral securing the 2020 notes and the 2017 notes, and otherwise collect on any amounts due thereunder.”</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Gaming laws will impose additional restrictions on foreclosure.</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As a result of gaming restrictions, in any foreclosure sale of Wynn Las Vegas or Encore, the purchaser or the operator of the facility would need to be licensed to operate the resort’s casino under the Nevada gaming laws and regulations. If the 2014 notes trustee, the 2017 notes trustee or the 2020 notes trustee or the lenders under our credit facilities purchased Wynn Las Vegas or Encore at a foreclosure sale, the 2020 notes trustee, the 2017 notes trustee, the 2014 notes trustee or such lenders would not be permitted to continue gaming operations at either casino unless they retained an entity licensed under the Nevada gaming laws to conduct gaming operations at the facility. The holders of the 2020 notes and the holders of the 2017 notes may have to be licensed or found suitable in any event.</w:t>
      </w:r>
    </w:p>
    <w:p>
      <w:pPr>
        <w:spacing w:after="0" w:line="144"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In addition, the 2020 notes trustee and the 2017 notes trustee must obtain prior approval from, and may be required to be licensed by, the Nevada gaming authorities before the 2020 notes trustee and the 2017 notes trustee can foreclose on the pledged equity interests in our restricted subsidiaries.</w:t>
      </w:r>
    </w:p>
    <w:p>
      <w:pPr>
        <w:spacing w:after="0" w:line="85"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Because potential bidders who wish to operate the casino must satisfy these gaming regulatory requirements, the number of potential bidders in a foreclosure sale could be less than in foreclosures of other types of facilities, and this requirement may delay the sale of, and may reduce the sales price for, the collateral. The ability to take possession and dispose of the collateral securing the 2020 notes and/or the 2017 notes upon acceleration of the 2020 notes and/or the 2017 notes, and to otherwise pursue or obtain repayment of the 2020 notes and/or the 2017 notes, is likely to be significantly impaired or delayed by applicable bankruptcy law if a bankruptcy case is commenced by or against us prior to a taking of possession or disposition of the collateral securing the 2020 notes and/or the 2017 notes by the 2020 notes trustee for the benefit of the holders of the 2020 notes and/or the 2017 notes trustee for the benefit of the holders of the 2017 notes.</w:t>
      </w:r>
    </w:p>
    <w:p>
      <w:pPr>
        <w:spacing w:after="0" w:line="22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Parties who have provided services or supplies in connection with Wynn Las Vegas and Encore may have a lien on the property senior to the security interests securing the 2020 notes and the 2017 notes and the related guarantees.</w:t>
      </w:r>
    </w:p>
    <w:p>
      <w:pPr>
        <w:spacing w:after="0" w:line="5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Nevada law provides contractors, subcontractors and material suppliers with a lien on the property improved by their services or supplies in order to secure their right to be paid. If these parties are not paid in full, they may seek foreclosure of their liens. In Nevada, the priority of all mechanics’ liens related to a particular construction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project relate back to the date on which any contractor first commenced work. Accordingly, contractors, subcontractors and suppliers providing goods and services in connection with the expansion project who after recordation of the deed of trust securing the 2020 notes and the 2017 notes otherwise comply with the applicable requirements of Nevada law may have a lien on the property senior in priority to the lien securing the 2020 notes and the 2017 notes until they are paid in full. In the event of a liquidation, proceeds from the sale of collateral will be used to pay the holders of any mechanics’ liens then in existence before holders of the 2020 notes and holders of the 2017 notes.</w:t>
      </w:r>
    </w:p>
    <w:p>
      <w:pPr>
        <w:spacing w:after="0" w:line="224"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b w:val="1"/>
          <w:bCs w:val="1"/>
          <w:i w:val="1"/>
          <w:iCs w:val="1"/>
          <w:color w:val="auto"/>
        </w:rPr>
        <w:t>Bankruptcy laws may significantly impair your rights to repossess and dispose of collateral securing the 2020 notes and the 2017 notes and to otherwise collect on any amounts due thereunder.</w:t>
      </w:r>
    </w:p>
    <w:p>
      <w:pPr>
        <w:spacing w:after="0" w:line="51"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If a bankruptcy case were to be commenced by or against us prior to the repossession and disposition of 2020 note collateral and/or 2017 note collateral, the right of the 2020 notes trustee and/or the 2017 notes trustee to repossess and dispose of the 2020 note collateral and/or the 2017 note collateral upon the occurrence of an event of default under the applicable indenture is likely to be significantly impaired by applicable bankruptcy law. A bankruptcy case may be commenced by us or by certain unsecured creditors as provided in the United States Bankruptcy Code.</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“automatic stay” under applicable bankruptcy law prohibits secured creditors, such as the holders of the 2020 notes, the 2017 notes, the 2014 notes and the lenders under our credit facilities, from repossessing their security from a debtor in a bankruptcy case, or from disposing of collateral in their possession, without bankruptcy court approval. Moreover, applicable bankruptcy law and/or the bankruptcy court may permit the debtor to continue to retain and use the collateral even though the debtor is in default under the applicable debt instruments, provided that the secured creditor is given “adequate protection” of its interest in the collateral.</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meaning of the term “adequate protection” may vary according to circumstances, but it is generally intended to protect the value of the secured creditor’s interest in the collateral from diminution as a result of the stay of repossession or disposition or any use of the collateral by the debtor during the pendency of the bankruptcy case. “Adequate protection” may include cash payments or the granting of additional security, of such type, at such time and in such amount as the bankruptcy court may determine. The bankruptcy court has broad discretionary powers in all these matters, including the valuation of the collateral and the nature, accessibility or value of any other collateral that may be substituted for it. Also, since the enforcement of the trustee’s security interest in the collateral consisting of cash, deposit accounts and cash equivalents may be limited in a bankruptcy proceeding, 2020 note holders and/or 2017 note holders may not have any consent rights with respect to the use of those funds by us during the pendency of a bankruptcy proceeding. In view of the lack of a precise definition of the term “adequate protection,” the broad discretionary powers of a bankruptcy court and the possible complexity of valuation issues, it is impossible to predict how long payments under the 2020 notes and/or the 2017 notes could be delayed following commencement of a bankruptcy case, whether or when the 2020 notes trustee and/or the 2017 notes trustee could repossess or dispose of the collateral or whether or to what extent, through the requirement of “adequate protection,” the holders of the 2020 notes and/or the 2017 notes would be compensated for any delay in payment or loss of value of the collateral.</w:t>
      </w:r>
    </w:p>
    <w:p>
      <w:pPr>
        <w:spacing w:after="0" w:line="127" w:lineRule="exact"/>
        <w:rPr>
          <w:sz w:val="20"/>
          <w:szCs w:val="20"/>
          <w:color w:val="auto"/>
        </w:rPr>
      </w:pPr>
    </w:p>
    <w:p>
      <w:pPr>
        <w:ind w:right="120" w:firstLine="456"/>
        <w:spacing w:after="0" w:line="318" w:lineRule="auto"/>
        <w:rPr>
          <w:sz w:val="20"/>
          <w:szCs w:val="20"/>
          <w:color w:val="auto"/>
        </w:rPr>
      </w:pPr>
      <w:r>
        <w:rPr>
          <w:rFonts w:ascii="Arial" w:cs="Arial" w:eastAsia="Arial" w:hAnsi="Arial"/>
          <w:sz w:val="15"/>
          <w:szCs w:val="15"/>
          <w:color w:val="auto"/>
        </w:rPr>
        <w:t>Under the United States Bankruptcy Code, a claim is a secured claim up to the value of the collateral that secures it. In most cases, interest stops accruing on the date of commencement of the bankruptcy case, but if the collateral’s value exceeds the amount of the claim, interest may continue to accrue on the claim up to the collateral’s value. On the other hand, if the amount of the claim exceeds the collateral’s value, the excess constitutes an unsecured claim. Generally, the United States Bankruptcy Code contemplates that secured creditors will be paid in full. If a bankruptcy proceeding is commenced by or against us, we cannot assure you that the Bankruptcy Court would find that your collateral’s value exceeds the amount outstanding under the 2020 notes and/or the 2017 notes.</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Factors that might bear on the recovery by the holders of the 2020 notes and/or 2017 notes in these circumstances, among others, would include:</w:t>
      </w:r>
    </w:p>
    <w:p>
      <w:pPr>
        <w:spacing w:after="0" w:line="113" w:lineRule="exact"/>
        <w:rPr>
          <w:sz w:val="20"/>
          <w:szCs w:val="20"/>
          <w:color w:val="auto"/>
        </w:rPr>
      </w:pPr>
    </w:p>
    <w:p>
      <w:pPr>
        <w:ind w:left="900" w:right="40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debtor in a bankruptcy case does not have the ability to compel performance of a “financial accommodation,” including the funding of various undrawn loans contemplated to fund construction of Encore;</w:t>
      </w:r>
    </w:p>
    <w:p>
      <w:pPr>
        <w:spacing w:after="0" w:line="50"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lenders with higher priority liens or other secured creditors may seek, and perhaps receive, relief from the automatic stay to foreclose their respective liens;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and delay of developing a confirmed chapter 11 plan could reduce the present value of revenues.</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Moreover, in a bankruptcy proceeding, the bankruptcy court would have broad discretion to approve transactions that could disadvantage the holders of the 2020 notes and/or 2017 notes. For example, under certain circumstances, a bankruptcy court could approve our or third parties’ motions for sales of collateral on terms favorable to us, require you to accept subordinated or other securities in exchange for the 2020 notes and/or 2017 notes, or order substantive consolidation of us with Wynn Resorts in a bankruptcy in which Wynn Resorts was debtor.</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Accordingly, regardless of the ultimate disposition of any of these or other motions or claims, there can be no assurances, pending or following the completion of the bankruptcy proceeding, with respect to the following: whether and when any payments under the 2020 notes and/or 2017 notes would be made; whether or when the trustee could foreclose upon or sell the collateral; whether the terms and conditions of the 2020 notes and/or 2017 notes or any rights of the holders of 2020 notes and/or 2017 notes could be altered in a bankruptcy case without the trustee’s or your consent; whether the trustee or you would be able to enforce your rights against the subsidiary guarantors under their guarantees; and whether and to what extent holders of 2020 notes and/or 2017 notes would be compensated for any delay in payment or decline in the collateral’s value.</w:t>
      </w:r>
    </w:p>
    <w:p>
      <w:pPr>
        <w:spacing w:after="0" w:line="20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The 2020 notes and the 2017 notes will not have the benefit of a first priority pledge on any equity interests of Wynn Las Vegas until we receive approval from the Nevada Gaming Commission.</w:t>
      </w:r>
    </w:p>
    <w:p>
      <w:pPr>
        <w:spacing w:after="0" w:line="5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borrowings under our credit facilities, the 2014 notes, the 2017 notes and the 2020 notes are secured by a first priority pledge of the equity interests of Wynn Las Vegas by its parent, Wynn Holdings. Wynn Holdings has agreed to secure the 2020 notes and the 2017 notes by a first priority lien on the equity interests of Wynn Las Vegas. However, such lien with respect to the equity interests of Wynn Las Vegas cannot be effective to secure the 2020 notes and the 2017 notes without the prior approval from the Nevada Gaming Commission, upon a recommendation from the Nevada State Gaming Control Board. This lien will not be effective unless and until we receive such approvals. While we have agreed to seek such approval, we cannot give any assurance that such approvals will be granted within any particular time period or at all. The delay between the issuance of the 2020 notes and the 2017 notes and the granting of any regulatory approvals necessary to establish the lien on the equity interests may result in rendering the lien subject to avoidance by a bankruptcy trustee if (i) the obligations with respect to the 2020 notes and the 2017 notes constitute “antecedent debt” for purposes of the Bankruptcy Code, (ii) the pledge occurs at a time when Wynn Holdings and its subsidiaries, on a consolidated basis, are insolvent, (iii) the pledge is deemed to occur within 90 days of the commencement of a bankruptcy proceeding of Wynn Holdings and (iv) as a result of such pledge the holders of the 2020 notes and the 2017 notes (or any insider-creditor for whose benefit the transfer is made) would receive more, in light of the pledge, than they would have received in liquidation under chapter 7 of the Bankruptcy Code, if the pledge had not been granted.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the 2020 notes and 2017 notes have no liens on certain assets.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holders of the 2020 notes and 2017 notes do not have a lien on our gaming or liquor licenses, because under the Nevada gaming laws they may not be pledged as collateral. In addition, the 2020 notes, the 2017 notes, the 2014 notes and our credit facilities are not secured by any assets related to Wynn Macau, and the holders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the 2020 notes and the 2017 notes have no claim against those assets. The 2020 notes and the 2017 notes also are not secured by, among other things, World Travel, LLC’s aircraft. Accordingly, such assets are not available to the holders upon an exercise of remedies under the collateral documents.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Any additional liens on collateral provided after the 2020 notes and 2017 notes are issued could also be avoided as preferential transfers.</w:t>
      </w:r>
    </w:p>
    <w:p>
      <w:pPr>
        <w:spacing w:after="0" w:line="11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2020 notes indenture and the 2017 notes indenture provide that certain future restricted subsidiaries will guarantee the 2020 notes and the 2017 notes and secure their guarantees with liens on their assets. The indentures also require us to grant liens on certain assets that we and the existing guarantors acquire after the 2020 notes and the 2017 notes are issued. If the entity granting an additional lien were insolvent at the time of the grant and if such grant was made within 90 days before that entity commenced a bankruptcy case (or one year before commencement of a bankruptcy case if the creditor that benefited from the lien is an “insider” under the United States Bankruptcy Code), the additional lien could be avoided as a preferential transfer.</w:t>
      </w:r>
    </w:p>
    <w:p>
      <w:pPr>
        <w:spacing w:after="0" w:line="19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Federal and state statutes allow courts, under specific circumstances, to avoid the 2020 notes, 2017 notes, guarantees, and liens, and to require holders of 2020 notes and 2017 notes to return payments received from us or the guarantors.</w:t>
      </w:r>
    </w:p>
    <w:p>
      <w:pPr>
        <w:spacing w:after="0" w:line="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creditors or the creditors of the guarantors could challenge the issuance of the 2020 notes and/or the 2017 notes or the guarantors’ issuance of their guarantees, and the liens on the assets that secure the 2020 notes and/or the 2017 notes and guarantees, respectively, as fraudulent conveyances or on other grounds. Under the federal bankruptcy law and similar provisions of state fraudulent transfer laws, the issuance of 2020 notes and/or the 2017 notes, the delivery of the guarantees, and the granting of liens could be avoided (that is, cancelled) as fraudulent transfers, or claims in respect of a note or guarantee could be subordinated to all of our other debts or all of the other debts of the applicable guarantor, if a court determined that the issuer, at the time it issued the 2020 notes and/or the 2017 notes or granted the liens, or the guarantor, at the time it issued the guarantee or granted the liens (or, in some jurisdictions, when payment became due under the guarantee):</w:t>
      </w:r>
    </w:p>
    <w:p>
      <w:pPr>
        <w:spacing w:after="0" w:line="37" w:lineRule="exact"/>
        <w:rPr>
          <w:sz w:val="20"/>
          <w:szCs w:val="20"/>
          <w:color w:val="auto"/>
        </w:rPr>
      </w:pPr>
    </w:p>
    <w:p>
      <w:pPr>
        <w:ind w:left="900" w:right="36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issued the 2020 notes and/or the 2017 notes or guarantees, as the case may be, or granted the liens with the intent to hinder, delay or defraud its existing or future creditors; or</w:t>
      </w:r>
    </w:p>
    <w:p>
      <w:pPr>
        <w:spacing w:after="0" w:line="50" w:lineRule="exact"/>
        <w:rPr>
          <w:rFonts w:ascii="Arial" w:cs="Arial" w:eastAsia="Arial" w:hAnsi="Arial"/>
          <w:sz w:val="18"/>
          <w:szCs w:val="18"/>
          <w:color w:val="auto"/>
        </w:rPr>
      </w:pPr>
    </w:p>
    <w:p>
      <w:pPr>
        <w:ind w:left="900" w:right="48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received less than reasonably equivalent value or did not receive fair consideration for the delivery of the 2020 notes and/or the 2017 notes or guarantees, as the case may be, or granting of the liens, and if the issuer or guarantor:</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1"/>
          <w:numId w:val="24"/>
        </w:numPr>
        <w:rPr>
          <w:rFonts w:ascii="Arial" w:cs="Arial" w:eastAsia="Arial" w:hAnsi="Arial"/>
          <w:sz w:val="16"/>
          <w:szCs w:val="16"/>
          <w:color w:val="auto"/>
        </w:rPr>
      </w:pPr>
      <w:r>
        <w:rPr>
          <w:rFonts w:ascii="Arial" w:cs="Arial" w:eastAsia="Arial" w:hAnsi="Arial"/>
          <w:sz w:val="16"/>
          <w:szCs w:val="16"/>
          <w:color w:val="auto"/>
        </w:rPr>
        <w:t>was insolvent or rendered insolvent at the time it issued the 2020 notes and/or the 2017 notes, issued the guarantee, or granted the liens;</w:t>
      </w:r>
    </w:p>
    <w:p>
      <w:pPr>
        <w:spacing w:after="0" w:line="113" w:lineRule="exact"/>
        <w:rPr>
          <w:rFonts w:ascii="Arial" w:cs="Arial" w:eastAsia="Arial" w:hAnsi="Arial"/>
          <w:sz w:val="16"/>
          <w:szCs w:val="16"/>
          <w:color w:val="auto"/>
        </w:rPr>
      </w:pPr>
    </w:p>
    <w:p>
      <w:pPr>
        <w:ind w:left="1460" w:hanging="547"/>
        <w:spacing w:after="0"/>
        <w:tabs>
          <w:tab w:leader="none" w:pos="1460" w:val="left"/>
        </w:tabs>
        <w:numPr>
          <w:ilvl w:val="1"/>
          <w:numId w:val="24"/>
        </w:numPr>
        <w:rPr>
          <w:rFonts w:ascii="Arial" w:cs="Arial" w:eastAsia="Arial" w:hAnsi="Arial"/>
          <w:sz w:val="16"/>
          <w:szCs w:val="16"/>
          <w:color w:val="auto"/>
        </w:rPr>
      </w:pPr>
      <w:r>
        <w:rPr>
          <w:rFonts w:ascii="Arial" w:cs="Arial" w:eastAsia="Arial" w:hAnsi="Arial"/>
          <w:sz w:val="16"/>
          <w:szCs w:val="16"/>
          <w:color w:val="auto"/>
        </w:rPr>
        <w:t>was engaged in a business or transaction for which the issuer’s or guarantor’s remaining assets constituted unreasonably small capital; or</w:t>
      </w:r>
    </w:p>
    <w:p>
      <w:pPr>
        <w:spacing w:after="0" w:line="113" w:lineRule="exact"/>
        <w:rPr>
          <w:rFonts w:ascii="Arial" w:cs="Arial" w:eastAsia="Arial" w:hAnsi="Arial"/>
          <w:sz w:val="16"/>
          <w:szCs w:val="16"/>
          <w:color w:val="auto"/>
        </w:rPr>
      </w:pPr>
    </w:p>
    <w:p>
      <w:pPr>
        <w:ind w:left="1460" w:hanging="547"/>
        <w:spacing w:after="0"/>
        <w:tabs>
          <w:tab w:leader="none" w:pos="14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intended to incur, or believed that it would incur, debts beyond its ability to pay such debts generally as they mature.</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 court likely would find that a guarantor did not receive reasonably equivalent value or fair consideration for its guaranty or pledge of assets unless it benefited directly or indirectly from the 2020 notes and/or the 2017 notes issuance. If the guarantees were avoided or limited under fraudulent transfer or other laws, any claim you may make against the guarantors for amounts payable on the 2020 notes and/or the 2017 notes would be unenforceable to the extent of such avoidance or limitation.</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20"/>
          </w:cols>
          <w:pgMar w:left="240" w:top="459"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measures of insolvency for purposes of these fraudulent transfer laws will vary depending upon the law applied in any proceeding to determine whether a fraudulent transfer has occurred. Generally, however, a guarantor would be considered insolvent if:</w:t>
      </w:r>
    </w:p>
    <w:p>
      <w:pPr>
        <w:spacing w:after="0" w:line="51"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sum of its debts, including contingent liabilities, was greater than the sum of its property, at a fair valuation;</w:t>
      </w:r>
    </w:p>
    <w:p>
      <w:pPr>
        <w:spacing w:after="0" w:line="90" w:lineRule="exact"/>
        <w:rPr>
          <w:rFonts w:ascii="Arial" w:cs="Arial" w:eastAsia="Arial" w:hAnsi="Arial"/>
          <w:sz w:val="18"/>
          <w:szCs w:val="18"/>
          <w:color w:val="auto"/>
        </w:rPr>
      </w:pPr>
    </w:p>
    <w:p>
      <w:pPr>
        <w:ind w:left="900" w:right="58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the present fair saleable value of its assets was less than the amount that would be required to pay its probable liability on its existing debts, including contingent liabilities, as they become absolute and mature;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it could not pay its debts as they become due.</w:t>
      </w:r>
    </w:p>
    <w:p>
      <w:pPr>
        <w:spacing w:after="0" w:line="17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cannot be sure what standard a bankruptcy court would apply in making these determinations or, regardless of the standard, that a bankruptcy court would not avoid the guarantees.</w:t>
      </w:r>
    </w:p>
    <w:p>
      <w:pPr>
        <w:spacing w:after="0" w:line="21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The collateral securing the 2020 notes and the 2017 notes includes real property and, as a result, holders of the 2020 notes and/or 2017 notes may be subject to certain environmental risks.</w:t>
      </w:r>
    </w:p>
    <w:p>
      <w:pPr>
        <w:spacing w:after="0" w:line="5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Real property pledged as security may be subject to known and unknown environmental risks or liabilities that can adversely affect the property’s value or result in investigative or remedial costs or liabilities that could be material. In addition, under the federal Comprehensive Environmental Response, Compensation, and Liability Act, as amended (“CERCLA”), a secured lender may be held liable, in certain limited circumstances, for the costs of remediating a release of, or preventing a threatened release of, hazardous substances at a mortgaged property or at an owned property after foreclosure. There may be similar risks under state laws or common law theories.</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Under CERCLA, a person “who, without participating in the management of a . . . facility, holds indicia of ownership primarily to protect his security interest” is not a property owner, and thus not a responsible person under CERCLA. Lenders seldom have been held liable under CERCLA. The lenders who have been found liable generally have been found to have been sufficiently involved in the mortgagor’s operations so that they have “participated in the management of the borrower.” CERCLA does not specify the level of actual participation in management. CERCLA was amended in 1996 to provide certain “safe harbors” for foreclosing lenders. However, the courts have not yet issued any definitive interpretations of the extent of these safe harbors. There currently is no controlling authority on this matter.</w:t>
      </w:r>
    </w:p>
    <w:p>
      <w:pPr>
        <w:spacing w:after="0" w:line="225"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b w:val="1"/>
          <w:bCs w:val="1"/>
          <w:i w:val="1"/>
          <w:iCs w:val="1"/>
          <w:color w:val="auto"/>
        </w:rPr>
        <w:t>The holders of the 2020 notes and the 2017 notes may be adversely affected by the failure to perfect security interests in the collateral and other issues generally associated with the realization of security interests in collateral.</w:t>
      </w:r>
    </w:p>
    <w:p>
      <w:pPr>
        <w:spacing w:after="0" w:line="51"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Applicable law requires that a security interest in certain tangible and intangible assets can only be properly perfected and its priority retained through certain actions undertaken by the secured party. The liens in the collateral securing the 2020 notes and the 2017 notes may not be perfected with respect to the claims of 2020 notes and the 2017 notes if the collateral agent is not able to take the actions necessary to perfect any of these liens on or prior to the date of the indenture governing the 2020 notes and the indenture governing the 2017 notes. In addition, applicable law requires that certain property and rights acquired after the grant of a general security interest, such as real property, can only be perfected at the time such property and rights are acquired and identified and additional steps to perfect in such property and rights are taken. The Issuers and the guarantors will have limited obligations to perfect the security interest of the holders of 2020 notes and the 2017 notes in specified collateral. There can be no assurance that the trustees or the collateral agents for the 2020 notes and the 2017 notes will monitor, or that the Issuers will inform such trustees or collateral agents of, the future acquisition of property and rights that constitute collateral, and that the necessary action will be taken to properly perfect the security interest in such after-acquired collateral. The collateral agents for the 2020 notes and the 2017 notes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have no obligation to monitor the acquisition of additional property or rights that constitute collateral or the perfection of any security interest. Such failure may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result in the loss of the security interest in the collateral or the priority of the security interest in favor of 2020 notes and/or the 2017 notes against third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parties. Circumstances may exist that cause liens to lose perfection or priority, such as, among other things, the passage of time, movement of collateral, changes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in name or entity type.</w:t>
      </w:r>
    </w:p>
    <w:p>
      <w:pPr>
        <w:spacing w:after="0" w:line="16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addition, the security interest of the collateral agent will be subject to practical challenges generally associated with the realization of security interests in collateral. For example, the collateral agent may need to obtain the consent of third parties and make additional filings. If we are unable to obtain these consents or make these filings, the security interests may be invalid and the holders will not be entitled to the collateral or any recovery with respect thereto. We cannot assure you that the collateral agent will be able to obtain any such consent. We also cannot assure you that the consents of any third parties will be given when required to facilitate a foreclosure on such assets. Accordingly, the collateral agent may not have the ability to foreclose upon those assets and the value of the collateral may significantly decrease.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fulfill our repurchase obligations with respect to the 2020 notes and the 2017 notes upon a change of control.</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If we experience certain specific change of control events, we will be required to offer to repurchase all outstanding 2020 notes and 2017 notes at 101% of their principal amount, plus accrued and unpaid interest to the date of repurchase. We cannot assure you that we will have available funds sufficient to pay the change of control purchase price for any or all of the 2020 notes and 2017 notes that might be delivered by holders of the 2020 notes and 2017 notes seeking to accept the change of control offer. Moreover, under the indentures governing the 2020 notes and the 2017 notes, certain important corporate events, such as leveraged recapitalizations that would increase the level of our indebtedness, would not constitute a “change of control” and thus would not give rise to any repurchase rights. See “Description of the New 2017 Notes—Repurchase at the Option of Holders—Change of Control” and “Description of the New 2020 Notes —Repurchase at the Option of Holders—Change of Control.”</w:t>
      </w:r>
    </w:p>
    <w:p>
      <w:pPr>
        <w:spacing w:after="0" w:line="11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addition, our credit facilities contain, and any future credit agreement likely will contain, restrictions or prohibitions on our ability to repurchase the 2020 notes and the 2017 notes under certain circumstances. If these change of control events or similar events occur at a time when we are prohibited from repurchasing the 2020 notes and the 2017 notes, we may seek the consent of our lenders to purchase the 2020 notes and the 2017 notes or could attempt to refinance the obligations that contain these prohibitions or restrictions. If we do not obtain our lenders’ consent or refinance these obligations, we will not be able to repurchase the 2020 notes and the 2017 notes. Accordingly, the holders of the 2020 notes and the 2017 notes may not receive the change of control purchase price for their 2020 notes and 2017 notes in the event of a sale or other change of control, which will give the trustees for the 2020 notes and the 2017 notes and the holders of the 2020 notes and the 2017 notes the right to declare an event of default and accelerate the repayment of the 2020 notes and 2017 notes. See “Description of the New 2017 Notes—Events of Default and Remedies” and “Description of the New 2020 Notes—Events of Default and Remedies.”</w:t>
      </w:r>
    </w:p>
    <w:p>
      <w:pPr>
        <w:spacing w:after="0" w:line="19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In the event that a bankruptcy court orders the substantive consolidation of us with certain affiliated parties, payments on the 2020 notes and the 2017 notes could be delayed or reduced.</w:t>
      </w:r>
    </w:p>
    <w:p>
      <w:pPr>
        <w:spacing w:after="0" w:line="5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believe that we have observed and will observe certain formalities and operating procedures that are generally recognized requirements for maintaining our separate existence and that our assets and liabilities can be readily identified as distinct from those of Wynn Resorts and its other subsidiaries. However, we cannot assure you that a bankruptcy court would agree in the event that any of Wynn Resorts or any of its other subsidiaries becomes a debtor under the United States Bankruptcy Code. If a bankruptcy court concludes that substantive consolidation of us with any affiliated party referred to in this paragraph is warranted, holders of 2020 notes and 2017 notes should expect payments on the 2020 notes and 2017 notes to be delayed and/or reduced.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guarantors of the 2020 notes and the 2017 notes likely will not be able to contribute to any payments with respect to the 2020 notes and the 2017 notes.</w:t>
      </w:r>
    </w:p>
    <w:p>
      <w:pPr>
        <w:spacing w:after="0" w:line="12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Although the assets of the subsidiary guarantors are important to our operations, they are not expected to generate significant cash flows. As such, you should not expect any of the guarantors to contribute to any payments of principal, interest or other amounts required to be made on the 2020 notes and the 2017 notes.</w:t>
      </w:r>
    </w:p>
    <w:p>
      <w:pPr>
        <w:spacing w:after="0" w:line="140"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Wynn Resorts will not be required to contribute to payments of principal, interest or other amounts required to be made on the 2020 notes and the 2017 notes regardless of whether it has unrestricted funds from other sources. In addition, certain subsidiaries of Wynn Resorts, including the entities involved in the development of Wynn Macau, are parties to financing or other agreements that restrict their ability to make any payments or distributions to Wynn Resorts.</w:t>
      </w:r>
    </w:p>
    <w:p>
      <w:pPr>
        <w:spacing w:after="0" w:line="18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We are permitted to create unrestricted subsidiaries, which generally will not be subject to any of the covenants in the indenture, and we may not be able to rely on the cash flow or assets of those unrestricted subsidiaries to pay our indebtedness.</w:t>
      </w:r>
    </w:p>
    <w:p>
      <w:pPr>
        <w:spacing w:after="0" w:line="51"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Unrestricted subsidiaries will generally not be subject to the covenants under the 2020 notes indenture and the 2017 notes indenture. Unrestricted subsidiaries may enter into financing arrangements that limit their ability to make loans, dividends or other payments to us. Accordingly, we may not be able to rely on the cash flow or assets of unrestricted subsidiaries to pay any of our indebtedness, including the 2020 notes and the 2017 notes.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redeem your 2020 notes and 2017 notes due to regulatory considerations, either as required by gaming authorities or in our discretion.</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2020 notes indenture and the 2017 notes indenture grant us the power to redeem the 2020 notes and the 2017 notes that you own or control if any gaming authority requires you, or a beneficial owner of the 2020 notes and the 2017 notes, to be licensed, qualified or found suitable under any applicable gaming law and:</w:t>
      </w:r>
    </w:p>
    <w:p>
      <w:pPr>
        <w:spacing w:after="0" w:line="59" w:lineRule="exact"/>
        <w:rPr>
          <w:sz w:val="20"/>
          <w:szCs w:val="20"/>
          <w:color w:val="auto"/>
        </w:rPr>
      </w:pPr>
    </w:p>
    <w:p>
      <w:pPr>
        <w:ind w:left="900" w:right="140" w:hanging="446"/>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you or such beneficial owner fails to apply for a license, qualification or finding of suitability within 30 days after being requested to do so (or such lesser period as required by the relevant gaming authority);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you or such beneficial owner is determined by a gaming authority to be unsuitable to own or control the 2020 notes or the 2017 notes.</w:t>
      </w:r>
    </w:p>
    <w:p>
      <w:pPr>
        <w:spacing w:after="0" w:line="19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Under the foregoing circumstances, under the 2020 notes indenture and the 2017 notes indeture, we may redeem, and if required by the applicable gaming authority, we must redeem, your 2020 notes and 2017 notes to the extent required by the gaming authority or deemed necessary or advisable by us. The redemption price will be equal to:</w:t>
      </w:r>
    </w:p>
    <w:p>
      <w:pPr>
        <w:spacing w:after="0" w:line="59"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price required by applicable law or by order of any gaming authority; or</w:t>
      </w:r>
    </w:p>
    <w:p>
      <w:pPr>
        <w:spacing w:after="0" w:line="90"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lesser of (1) the principal amount of the 2020 notes or the 2017 notes, as applicable, and (2) the price that you or the beneficial owner paid for the 2020 notes or the 2017 notes, as applicable, in either case, together with accrued and unpaid interest on the 2020 notes or the 2017 notes, as applicable.</w:t>
      </w:r>
    </w:p>
    <w:p>
      <w:pPr>
        <w:spacing w:after="0" w:line="221"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auto"/>
        </w:rPr>
        <w:t>As a holder of the 2020 notes and/or 2017 notes, you may be required to comply with registration, licensing, qualification or other requirements under gaming laws or dispose of your securities.</w:t>
      </w:r>
    </w:p>
    <w:p>
      <w:pPr>
        <w:spacing w:after="0" w:line="5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gaming authority of any jurisdiction in which we currently or in the future conduct or propose to conduct gaming may require that a holder of the 2020 notes and/or 2017 notes be registered, licensed, qualified or found suitable, or comply with other requirements under applicable gaming laws. If you purchase, acquire or otherwise accept an interest in the 2020 notes and/or the 2017 notes, by the terms of the indentures governing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2020 notes and the 2017 notes, you will agree to comply with all of these requirements, including your agreement to register or apply for a license, qualification or a finding of suitability, or comply with any other requirement, within the required time period, as provided by the relevant gaming authority. If you fail to apply to be, or fail to become, registered, licensed or qualified, or are found unsuitable or fail to comply with any other requirement of a gaming authority, then we will have the right, at our option, to:</w:t>
      </w:r>
    </w:p>
    <w:p>
      <w:pPr>
        <w:spacing w:after="0" w:line="62" w:lineRule="exact"/>
        <w:rPr>
          <w:sz w:val="20"/>
          <w:szCs w:val="20"/>
          <w:color w:val="auto"/>
        </w:rPr>
      </w:pPr>
    </w:p>
    <w:p>
      <w:pPr>
        <w:ind w:left="900" w:right="14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require you to sell your 2020 notes and 2017 notes or beneficial interest in the 2020 notes and 2017 notes within 30 days after you receive notice of our election, or any earlier date that the relevant gaming authority may request or prescribe; or</w:t>
      </w:r>
    </w:p>
    <w:p>
      <w:pPr>
        <w:spacing w:after="0" w:line="5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redeem your 2020 notes and/or 2017 notes (possibly within less than 30 days following the notice of redemption if requested or prescribed by the gaming authority) at a price equal to:</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price required by applicable law or by order of any gaming authority; or</w:t>
      </w:r>
    </w:p>
    <w:p>
      <w:pPr>
        <w:spacing w:after="0" w:line="90" w:lineRule="exact"/>
        <w:rPr>
          <w:rFonts w:ascii="Arial" w:cs="Arial" w:eastAsia="Arial" w:hAnsi="Arial"/>
          <w:sz w:val="18"/>
          <w:szCs w:val="18"/>
          <w:color w:val="auto"/>
        </w:rPr>
      </w:pPr>
    </w:p>
    <w:p>
      <w:pPr>
        <w:ind w:left="1460" w:right="140" w:hanging="547"/>
        <w:spacing w:after="0" w:line="332" w:lineRule="auto"/>
        <w:tabs>
          <w:tab w:leader="none" w:pos="1460" w:val="left"/>
        </w:tabs>
        <w:numPr>
          <w:ilvl w:val="1"/>
          <w:numId w:val="28"/>
        </w:numPr>
        <w:rPr>
          <w:rFonts w:ascii="Arial" w:cs="Arial" w:eastAsia="Arial" w:hAnsi="Arial"/>
          <w:sz w:val="16"/>
          <w:szCs w:val="16"/>
          <w:color w:val="auto"/>
        </w:rPr>
      </w:pPr>
      <w:r>
        <w:rPr>
          <w:rFonts w:ascii="Arial" w:cs="Arial" w:eastAsia="Arial" w:hAnsi="Arial"/>
          <w:sz w:val="16"/>
          <w:szCs w:val="16"/>
          <w:color w:val="auto"/>
        </w:rPr>
        <w:t>the lesser of (1) the principal amount of the 2020 notes and/or the 2017 notes, and (2) the price that you or the beneficial owner paid for the 2020 notes and/or the 2017 notes, in either case, together with accrued and unpaid interest on the 2020 notes and/or the 2017 notes.</w:t>
      </w:r>
    </w:p>
    <w:p>
      <w:pPr>
        <w:spacing w:after="0" w:line="85" w:lineRule="exact"/>
        <w:rPr>
          <w:sz w:val="20"/>
          <w:szCs w:val="20"/>
          <w:color w:val="auto"/>
        </w:rPr>
      </w:pPr>
    </w:p>
    <w:p>
      <w:pPr>
        <w:ind w:right="220" w:firstLine="456"/>
        <w:spacing w:after="0" w:line="323" w:lineRule="auto"/>
        <w:rPr>
          <w:sz w:val="20"/>
          <w:szCs w:val="20"/>
          <w:color w:val="auto"/>
        </w:rPr>
      </w:pPr>
      <w:r>
        <w:rPr>
          <w:rFonts w:ascii="Arial" w:cs="Arial" w:eastAsia="Arial" w:hAnsi="Arial"/>
          <w:sz w:val="15"/>
          <w:szCs w:val="15"/>
          <w:color w:val="auto"/>
        </w:rPr>
        <w:t>We will notify the 2020 notes trustee and the 2017 notes trustee in writing of any redemption as soon as practicable. We will not be responsible for any costs or expenses you may incur in connection with your registration, application for a license, qualification or a finding of suitability, or your compliance with any other requirement of a gaming authority. The indentures governing the 2020 notes and the 2017 notes also provide that as soon as you are required to sell your 2020 notes and/or 2017 notes as a result of a gaming authority action, you will, to the extent required by applicable gaming laws, have no further right:</w:t>
      </w:r>
    </w:p>
    <w:p>
      <w:pPr>
        <w:spacing w:after="0" w:line="17"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exercise, directly or indirectly, any right conferred by the 2020 notes and/or 2017 notes; or</w:t>
      </w:r>
    </w:p>
    <w:p>
      <w:pPr>
        <w:spacing w:after="0" w:line="9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receive from us any interest or any other distributions or payments, or any remuneration in any form, relating to the 2020 notes and/or 2017 notes, except the redemption price we refer to above.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“Description of the New 2017 Notes—Gaming Redemption” and “Description of the New 2020 Notes—Gaming Redemption.”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amount of our existing title insurance may not be sufficient to cover all of our secured obligations.</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connection with the issuance of the 2020 notes, we obtained title insurance in an amount equal to the aggregate principal amount of 2020 notes. The 2020 notes indenture does not require us to obtain, modify or increase the coverage of any title insurance policy we may have from time to time, and the amount of our secured debt, including obligations under our existing or additional hedging agreements, may from time to time be greater than the amount of our title insurance. In addition, certain transactions that we may enter into may have an adverse effect on the coverage provided by any such title insurance policy. Accordingly, the coverage afforded by the title policy previously obtained or any additional title policies we may obtain at any time may not be adequate to cover losses or damages incurred by the holders of the 2020 notes as a result of the lack of lien or priority of the mortgages. We did not obtain a survey of the real property collateral in connection with the issuance of the 2020 notes. A current survey of the real property collateral may reveal issues that could materially affect the use or value of such real property. Furthermore, we may from time to time obtain or maintain title insurance policies that benefit the lenders under our credit facilities, the holders of the 2014 notes, 2017 notes or other indebtedness, but not the 2020 notes. In addition, under certain circumstances, the holders of the 2020 notes may be required to share certain proceeds of title insurance that benefit such holders with the lenders under our credit facilities, the holders of the 2014 notes, 2017 notes or other indebtedness. See “Intercreditor Agreement—Application of Proceeds.”</w:t>
      </w:r>
    </w:p>
    <w:p>
      <w:pPr>
        <w:spacing w:after="0" w:line="12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In connection with the issuance of the 2017 notes, we obtained title insurance in an amount equal to the outstanding principal amount of our loans and commitments under the credit facilities, the 2014 notes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2017 notes as of October 19, 2009. However, the 2017 notes indenture does not require us to modify or increase the coverage of the title insurance policy in the future, and the amount of our secured debt, including obligations under our existing or additional hedging agreements, may from time to time be greater than the amount of our title insurance obtained in connection with the 2017 notes. In addition, certain transactions that we may have entered into after the issuance of the 2017 notes or that we may enter into after the date hereof, may have an adverse effect on the coverage provided by such title insurance policy. Accordingly, the coverage afforded by the title policy obtained in connection with the 2017 notes issuance may not be adequate to cover losses or damages incurred by the note holders as a result of the lack of lien or priority of the mortgages.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may not develop for the new notes.</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new 2020 notes and the new 2017 notes are new issues of securities for which there is currently no public market. An active market may not develop for the new notes offered hereby, and there can be no assurance as to the liquidity of any market that may develop for the new notes. If an active market does not develop, the market price and liquidity of the new notes may be adversely affected. If any of the new notes are traded after their initial issuance, they may trade at a discount from their initial offering price. Future trading prices of the new notes will depend on many factors, including, among other things, prevailing interest rates, our operating results and the market for similar securities. Historically, the market for high-yield debt has been subject to disruptions that have caused substantial fluctuations in the prices of these securities. In addition, securities of gaming companies historically have been more volatile than securities of other companies. The market for the new notes may be subject to such disruptions, and there can be no assurance that the new notes will not be subject to such volatility, either of which could have an adverse effect on the price and liquidity of the new notes. We do not intend to apply for listing of the new notes on any securities exchange or for quotation of the new notes in any automated dealer quotation system.</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Exchange Offer</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Holders who fail to exchange their old notes will continue to be subject to restrictions on transfer and may have reduced liquidity after the exchange offer.</w:t>
      </w:r>
    </w:p>
    <w:p>
      <w:pPr>
        <w:spacing w:after="0" w:line="12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If you do not exchange your old notes in the exchange offer, you will continue to be subject to the restrictions on transfer applicable to your old notes. The restrictions on transfer of your old notes arise because we issued the old notes under exemptions from, or in transactions not subject to, the registration requirements of the Securities Act and applicable state securities laws. In general, you may only offer or sell the old notes if they are registered under the Securities Act and applicable state securities laws, or are offered and sold under an exemption from these requirements. We do not plan to register the old notes under the Securities Act.</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Furthermore, we have not conditioned the exchange offer on receipt of any minimum or maximum principal amount of old notes. As old notes are tendered and accepted in the exchange offer, the principal amount of remaining outstanding old notes will decrease. This decrease could reduce the liquidity of the trading market for the old notes. We cannot assure you of the liquidity, or even the continuation, of the trading market for the outstanding old notes following the exchange offer.</w:t>
      </w:r>
    </w:p>
    <w:p>
      <w:pPr>
        <w:spacing w:after="0" w:line="143" w:lineRule="exact"/>
        <w:rPr>
          <w:sz w:val="20"/>
          <w:szCs w:val="20"/>
          <w:color w:val="auto"/>
        </w:rPr>
      </w:pPr>
    </w:p>
    <w:p>
      <w:pPr>
        <w:ind w:right="360" w:firstLine="456"/>
        <w:spacing w:after="0" w:line="370" w:lineRule="auto"/>
        <w:rPr>
          <w:sz w:val="20"/>
          <w:szCs w:val="20"/>
          <w:color w:val="auto"/>
        </w:rPr>
      </w:pPr>
      <w:r>
        <w:rPr>
          <w:rFonts w:ascii="Arial" w:cs="Arial" w:eastAsia="Arial" w:hAnsi="Arial"/>
          <w:sz w:val="15"/>
          <w:szCs w:val="15"/>
          <w:color w:val="auto"/>
        </w:rPr>
        <w:t>For further information regarding the consequences of not tendering your old notes in the exchange offer, see the discussions below under the captions “The Exchange Offer—Consequences of Exchanging or Failing to Exchange Old Notes” and “Material United States Federal Income Tax Considerations.”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must comply with the exchange offer procedures to receive new notes.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Delivery of new notes in exchange for old notes tendered and accepted for exchange pursuant to the exchange offer will be made only after timely receipt by the exchange agent of the following:</w:t>
      </w:r>
    </w:p>
    <w:p>
      <w:pPr>
        <w:spacing w:after="0" w:line="51" w:lineRule="exact"/>
        <w:rPr>
          <w:sz w:val="20"/>
          <w:szCs w:val="20"/>
          <w:color w:val="auto"/>
        </w:rPr>
      </w:pPr>
    </w:p>
    <w:p>
      <w:pPr>
        <w:ind w:left="900" w:right="100" w:hanging="446"/>
        <w:spacing w:after="0" w:line="370" w:lineRule="auto"/>
        <w:tabs>
          <w:tab w:leader="none" w:pos="9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certificates for old notes or a book-entry confirmation of a book-entry transfer of old notes into the exchange agent’s account at DTC, New York, New York as a depository, including an agent’s message, as defined in this prospectus, if the tendering holder does not deliver a letter of transmittal;</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4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complete and signed letter of transmittal, or facsimile copy, with any required signature guarantees, or, in the case of a book-entry transfer, an agent’s message in place of the letter of transmittal;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other documents required by the letter of transmittal.</w:t>
      </w:r>
    </w:p>
    <w:p>
      <w:pPr>
        <w:spacing w:after="0" w:line="171"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Therefore, holders of old notes who would like to tender old notes in exchange for new notes should be sure to allow enough time for the necessary documents to be timely received by the exchange agent. We are not required to notify you of defects or irregularities in tenders of old notes for exchange. Old notes that are not tendered or that are tendered but we do not accept for exchange will, following consummation of the exchange offer, continue to be subject to the existing transfer restrictions under the Securities Act and will no longer have the registration and other rights under the registration rights agreements. See “The Exchange Offer—Procedures for Tendering Old Notes” and “The Exchange Offer—Consequences of Exchanging or Failing to Exchange Old Notes.”</w:t>
      </w:r>
    </w:p>
    <w:p>
      <w:pPr>
        <w:spacing w:after="0" w:line="197"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b w:val="1"/>
          <w:bCs w:val="1"/>
          <w:i w:val="1"/>
          <w:iCs w:val="1"/>
          <w:color w:val="auto"/>
        </w:rPr>
        <w:t>Some holders who exchange their old notes may be deemed to be underwriters, and these holders will be required to comply with the registration and prospectus delivery requirements in connection with any resale transaction.</w:t>
      </w:r>
    </w:p>
    <w:p>
      <w:pPr>
        <w:spacing w:after="0" w:line="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you exchange your old notes in the exchange offer for the purpose of participating in a distribution of the new notes, you may be deemed to have received restricted securities. If you are deemed to have received restricted securities, you will be required to comply with the registration and prospectus delivery requirements of the Securities Act in connection with any resale transaction.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will not receive any cash proceeds from the exchange offer. Any old notes that are properly tendered and exchanged pursuant to the exchange offer will be retired and cancelled.</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following table sets forth our ratio of earnings to fixed charges for the years ended December 31, 2009, 2008, 2007, 2006 and 2005, respectively:</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4"/>
          </w:tcPr>
          <w:p>
            <w:pPr>
              <w:ind w:left="280"/>
              <w:spacing w:after="0"/>
              <w:rPr>
                <w:sz w:val="20"/>
                <w:szCs w:val="20"/>
                <w:color w:val="auto"/>
              </w:rPr>
            </w:pPr>
            <w:r>
              <w:rPr>
                <w:rFonts w:ascii="Arial" w:cs="Arial" w:eastAsia="Arial" w:hAnsi="Arial"/>
                <w:sz w:val="14"/>
                <w:szCs w:val="14"/>
                <w:b w:val="1"/>
                <w:bCs w:val="1"/>
                <w:color w:val="auto"/>
                <w:w w:val="99"/>
              </w:rPr>
              <w:t>For the Year Ended</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53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3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740" w:type="dxa"/>
            <w:vAlign w:val="bottom"/>
            <w:tcBorders>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Borders>
              <w:bottom w:val="single" w:sz="8" w:color="auto"/>
            </w:tcBorders>
          </w:tcPr>
          <w:p>
            <w:pPr>
              <w:jc w:val="right"/>
              <w:ind w:right="147"/>
              <w:spacing w:after="0" w:line="142" w:lineRule="exact"/>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2007</w:t>
            </w:r>
          </w:p>
        </w:tc>
        <w:tc>
          <w:tcPr>
            <w:tcW w:w="220" w:type="dxa"/>
            <w:vAlign w:val="bottom"/>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charges(1)</w:t>
            </w:r>
          </w:p>
        </w:tc>
        <w:tc>
          <w:tcPr>
            <w:tcW w:w="2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1.87</w:t>
            </w: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1.12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2"/>
        </w:trPr>
        <w:tc>
          <w:tcPr>
            <w:tcW w:w="5360" w:type="dxa"/>
            <w:vAlign w:val="bottom"/>
          </w:tcPr>
          <w:p>
            <w:pPr>
              <w:spacing w:after="0"/>
              <w:rPr>
                <w:sz w:val="20"/>
                <w:szCs w:val="20"/>
                <w:color w:val="auto"/>
              </w:rPr>
            </w:pPr>
            <w:r>
              <w:rPr>
                <w:rFonts w:ascii="Arial" w:cs="Arial" w:eastAsia="Arial" w:hAnsi="Arial"/>
                <w:sz w:val="18"/>
                <w:szCs w:val="18"/>
                <w:color w:val="auto"/>
              </w:rPr>
              <w:t>Deficiency of earnings to cover fixed charges</w:t>
            </w:r>
          </w:p>
        </w:tc>
        <w:tc>
          <w:tcPr>
            <w:tcW w:w="3060" w:type="dxa"/>
            <w:vAlign w:val="bottom"/>
            <w:gridSpan w:val="3"/>
          </w:tcPr>
          <w:p>
            <w:pPr>
              <w:jc w:val="right"/>
              <w:ind w:right="120"/>
              <w:spacing w:after="0"/>
              <w:rPr>
                <w:sz w:val="20"/>
                <w:szCs w:val="20"/>
                <w:color w:val="auto"/>
              </w:rPr>
            </w:pPr>
            <w:r>
              <w:rPr>
                <w:rFonts w:ascii="Arial" w:cs="Arial" w:eastAsia="Arial" w:hAnsi="Arial"/>
                <w:sz w:val="18"/>
                <w:szCs w:val="18"/>
                <w:color w:val="auto"/>
              </w:rPr>
              <w:t>$(284,944)</w:t>
            </w: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$(195,762)</w:t>
            </w:r>
          </w:p>
        </w:tc>
        <w:tc>
          <w:tcPr>
            <w:tcW w:w="5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w w:val="97"/>
              </w:rPr>
              <w:t>$ (73,381)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380" w:hanging="452"/>
        <w:spacing w:after="0" w:line="259"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 purposes of determining the ratio of earnings to fixed charges, earnings are defined as earnings before income from equity investments plus fixed charges. Fixed charges consist of interest, whether capitalized or expensed, amortization of issuance costs and the estimated interest component of rent expense.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CAPITALIZATION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our capitalization, on a consolidated basis, as of December 31, 2009:</w:t>
      </w:r>
    </w:p>
    <w:p>
      <w:pPr>
        <w:spacing w:after="0" w:line="90"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 an as adjusted basis after giving effect to the issuance of the old 2020 notes.</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data in the table should be read in conjunction with “Management’s Discussion and Analysis of Financial Condition and Results of Operations” and our consolidated financial statements and notes thereto.</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8"/>
              </w:rPr>
              <w:t>As of December 31, 2009</w:t>
            </w:r>
          </w:p>
        </w:tc>
      </w:tr>
      <w:tr>
        <w:trPr>
          <w:trHeight w:val="142"/>
        </w:trPr>
        <w:tc>
          <w:tcPr>
            <w:tcW w:w="116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Actual</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5"/>
              </w:rPr>
              <w:t>As Adjusted</w:t>
            </w:r>
          </w:p>
        </w:tc>
        <w:tc>
          <w:tcPr>
            <w:tcW w:w="2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260" w:type="dxa"/>
            <w:vAlign w:val="bottom"/>
            <w:gridSpan w:val="3"/>
          </w:tcPr>
          <w:p>
            <w:pPr>
              <w:jc w:val="right"/>
              <w:ind w:right="594"/>
              <w:spacing w:after="0" w:line="142" w:lineRule="exact"/>
              <w:rPr>
                <w:sz w:val="20"/>
                <w:szCs w:val="20"/>
                <w:color w:val="auto"/>
              </w:rPr>
            </w:pPr>
            <w:r>
              <w:rPr>
                <w:rFonts w:ascii="Arial" w:cs="Arial" w:eastAsia="Arial" w:hAnsi="Arial"/>
                <w:sz w:val="14"/>
                <w:szCs w:val="14"/>
                <w:b w:val="1"/>
                <w:bCs w:val="1"/>
                <w:color w:val="auto"/>
                <w:w w:val="74"/>
              </w:rPr>
              <w:t>thousands)</w:t>
            </w:r>
          </w:p>
        </w:tc>
        <w:tc>
          <w:tcPr>
            <w:tcW w:w="20" w:type="dxa"/>
            <w:vAlign w:val="bottom"/>
          </w:tcPr>
          <w:p>
            <w:pPr>
              <w:spacing w:after="0"/>
              <w:rPr>
                <w:sz w:val="12"/>
                <w:szCs w:val="12"/>
                <w:color w:val="auto"/>
              </w:rPr>
            </w:pPr>
          </w:p>
        </w:tc>
      </w:tr>
      <w:tr>
        <w:trPr>
          <w:trHeight w:val="216"/>
        </w:trPr>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240" w:type="dxa"/>
            <w:vAlign w:val="bottom"/>
            <w:gridSpan w:val="2"/>
          </w:tcPr>
          <w:p>
            <w:pPr>
              <w:ind w:left="440"/>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 First Mortgage Notes due 2020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352,010</w:t>
            </w:r>
          </w:p>
        </w:tc>
        <w:tc>
          <w:tcPr>
            <w:tcW w:w="20" w:type="dxa"/>
            <w:vAlign w:val="bottom"/>
          </w:tcPr>
          <w:p>
            <w:pPr>
              <w:spacing w:after="0"/>
              <w:rPr>
                <w:sz w:val="18"/>
                <w:szCs w:val="18"/>
                <w:color w:val="auto"/>
              </w:rPr>
            </w:pPr>
          </w:p>
        </w:tc>
      </w:tr>
      <w:tr>
        <w:trPr>
          <w:trHeight w:val="216"/>
        </w:trPr>
        <w:tc>
          <w:tcPr>
            <w:tcW w:w="9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 First Mortgage Notes due 2017 net of original issue discount of $10,529</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489,471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489,471</w:t>
            </w:r>
          </w:p>
        </w:tc>
        <w:tc>
          <w:tcPr>
            <w:tcW w:w="20" w:type="dxa"/>
            <w:vAlign w:val="bottom"/>
          </w:tcPr>
          <w:p>
            <w:pPr>
              <w:spacing w:after="0"/>
              <w:rPr>
                <w:sz w:val="18"/>
                <w:szCs w:val="18"/>
                <w:color w:val="auto"/>
              </w:rPr>
            </w:pPr>
          </w:p>
        </w:tc>
      </w:tr>
      <w:tr>
        <w:trPr>
          <w:trHeight w:val="216"/>
        </w:trPr>
        <w:tc>
          <w:tcPr>
            <w:tcW w:w="9240" w:type="dxa"/>
            <w:vAlign w:val="bottom"/>
            <w:gridSpan w:val="2"/>
          </w:tcPr>
          <w:p>
            <w:pPr>
              <w:ind w:left="440"/>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 First Mortgage Notes due 2014 net of original issue discount of $8,214</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1,626,016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1,274,006</w:t>
            </w:r>
          </w:p>
        </w:tc>
        <w:tc>
          <w:tcPr>
            <w:tcW w:w="20" w:type="dxa"/>
            <w:vAlign w:val="bottom"/>
          </w:tcPr>
          <w:p>
            <w:pPr>
              <w:spacing w:after="0"/>
              <w:rPr>
                <w:sz w:val="18"/>
                <w:szCs w:val="18"/>
                <w:color w:val="auto"/>
              </w:rPr>
            </w:pPr>
          </w:p>
        </w:tc>
      </w:tr>
      <w:tr>
        <w:trPr>
          <w:trHeight w:val="216"/>
        </w:trPr>
        <w:tc>
          <w:tcPr>
            <w:tcW w:w="9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Credit facilities (1)</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333,163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333,163</w:t>
            </w:r>
          </w:p>
        </w:tc>
        <w:tc>
          <w:tcPr>
            <w:tcW w:w="20" w:type="dxa"/>
            <w:vAlign w:val="bottom"/>
          </w:tcPr>
          <w:p>
            <w:pPr>
              <w:spacing w:after="0"/>
              <w:rPr>
                <w:sz w:val="18"/>
                <w:szCs w:val="18"/>
                <w:color w:val="auto"/>
              </w:rPr>
            </w:pPr>
          </w:p>
        </w:tc>
      </w:tr>
      <w:tr>
        <w:trPr>
          <w:trHeight w:val="216"/>
        </w:trPr>
        <w:tc>
          <w:tcPr>
            <w:tcW w:w="9240" w:type="dxa"/>
            <w:vAlign w:val="bottom"/>
            <w:gridSpan w:val="2"/>
          </w:tcPr>
          <w:p>
            <w:pPr>
              <w:ind w:left="440"/>
              <w:spacing w:after="0"/>
              <w:rPr>
                <w:sz w:val="20"/>
                <w:szCs w:val="20"/>
                <w:color w:val="auto"/>
              </w:rPr>
            </w:pPr>
            <w:r>
              <w:rPr>
                <w:rFonts w:ascii="Arial" w:cs="Arial" w:eastAsia="Arial" w:hAnsi="Arial"/>
                <w:sz w:val="18"/>
                <w:szCs w:val="18"/>
                <w:color w:val="auto"/>
              </w:rPr>
              <w:t>Aircraft financing</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38,150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38,150</w:t>
            </w:r>
          </w:p>
        </w:tc>
        <w:tc>
          <w:tcPr>
            <w:tcW w:w="20" w:type="dxa"/>
            <w:vAlign w:val="bottom"/>
          </w:tcPr>
          <w:p>
            <w:pPr>
              <w:spacing w:after="0"/>
              <w:rPr>
                <w:sz w:val="18"/>
                <w:szCs w:val="18"/>
                <w:color w:val="auto"/>
              </w:rPr>
            </w:pPr>
          </w:p>
        </w:tc>
      </w:tr>
      <w:tr>
        <w:trPr>
          <w:trHeight w:val="216"/>
        </w:trPr>
        <w:tc>
          <w:tcPr>
            <w:tcW w:w="9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Payable to affiliate (2)</w:t>
            </w: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65,770</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65,770</w:t>
            </w:r>
          </w:p>
        </w:tc>
        <w:tc>
          <w:tcPr>
            <w:tcW w:w="20" w:type="dxa"/>
            <w:vAlign w:val="bottom"/>
          </w:tcPr>
          <w:p>
            <w:pPr>
              <w:spacing w:after="0"/>
              <w:rPr>
                <w:sz w:val="18"/>
                <w:szCs w:val="18"/>
                <w:color w:val="auto"/>
              </w:rPr>
            </w:pPr>
          </w:p>
        </w:tc>
      </w:tr>
      <w:tr>
        <w:trPr>
          <w:trHeight w:val="221"/>
        </w:trPr>
        <w:tc>
          <w:tcPr>
            <w:tcW w:w="9240" w:type="dxa"/>
            <w:vAlign w:val="bottom"/>
            <w:gridSpan w:val="2"/>
          </w:tcPr>
          <w:p>
            <w:pPr>
              <w:ind w:left="440"/>
              <w:spacing w:after="0"/>
              <w:rPr>
                <w:sz w:val="20"/>
                <w:szCs w:val="20"/>
                <w:color w:val="auto"/>
              </w:rPr>
            </w:pPr>
            <w:r>
              <w:rPr>
                <w:rFonts w:ascii="Arial" w:cs="Arial" w:eastAsia="Arial" w:hAnsi="Arial"/>
                <w:sz w:val="18"/>
                <w:szCs w:val="18"/>
                <w:color w:val="auto"/>
              </w:rPr>
              <w:t>Total long-term debt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2,552,570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2,552,570</w:t>
            </w:r>
          </w:p>
        </w:tc>
      </w:tr>
      <w:tr>
        <w:trPr>
          <w:trHeight w:val="218"/>
        </w:trPr>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members’ equity</w:t>
            </w: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1,385,553</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1,385,553</w:t>
            </w:r>
          </w:p>
        </w:tc>
        <w:tc>
          <w:tcPr>
            <w:tcW w:w="20" w:type="dxa"/>
            <w:vAlign w:val="bottom"/>
          </w:tcPr>
          <w:p>
            <w:pPr>
              <w:spacing w:after="0"/>
              <w:rPr>
                <w:sz w:val="18"/>
                <w:szCs w:val="18"/>
                <w:color w:val="auto"/>
              </w:rPr>
            </w:pPr>
          </w:p>
        </w:tc>
      </w:tr>
      <w:tr>
        <w:trPr>
          <w:trHeight w:val="222"/>
        </w:trPr>
        <w:tc>
          <w:tcPr>
            <w:tcW w:w="9240" w:type="dxa"/>
            <w:vAlign w:val="bottom"/>
            <w:gridSpan w:val="2"/>
          </w:tcPr>
          <w:p>
            <w:pPr>
              <w:spacing w:after="0"/>
              <w:rPr>
                <w:sz w:val="20"/>
                <w:szCs w:val="20"/>
                <w:color w:val="auto"/>
              </w:rPr>
            </w:pPr>
            <w:r>
              <w:rPr>
                <w:rFonts w:ascii="Arial" w:cs="Arial" w:eastAsia="Arial" w:hAnsi="Arial"/>
                <w:sz w:val="18"/>
                <w:szCs w:val="18"/>
                <w:color w:val="auto"/>
              </w:rPr>
              <w:t>Total capitalization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3,938,123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3,938,123</w:t>
            </w:r>
          </w:p>
        </w:tc>
      </w:tr>
      <w:tr>
        <w:trPr>
          <w:trHeight w:val="20"/>
        </w:trPr>
        <w:tc>
          <w:tcPr>
            <w:tcW w:w="116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8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 of December 31, 2009, the available undrawn commitments under the revolving credit facility are approximately $185 million.</w:t>
      </w:r>
    </w:p>
    <w:p>
      <w:pPr>
        <w:spacing w:after="0" w:line="90" w:lineRule="exact"/>
        <w:rPr>
          <w:rFonts w:ascii="Arial" w:cs="Arial" w:eastAsia="Arial" w:hAnsi="Arial"/>
          <w:sz w:val="18"/>
          <w:szCs w:val="18"/>
          <w:color w:val="auto"/>
        </w:rPr>
      </w:pPr>
    </w:p>
    <w:p>
      <w:pPr>
        <w:ind w:left="460" w:right="360" w:hanging="452"/>
        <w:spacing w:after="0" w:line="298" w:lineRule="auto"/>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During the year ended December 31, 2009, Wynn Resorts purchased $65.8 million face amount of the 2014 notes through open market purchases at a discount. The purchase of the notes by Wynn Resorts has not been contributed to Wynn Las Vegas and the notes have not been retired. Wynn Resorts tendered $30 million of these 2014 notes for 2020 notes. Accordingly, $35.8 million of the 2014 notes and $30 million of the 2020 notes held by Wynn Resorts remain on Wynn Las Vegas’ balance sheet as a payable to affiliate within Long-term Debt.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1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selected data presented below as of and for the years ended December 31, 2009, 2008, 2007, 2006 and 2005 is derived from our audited consolidated financial statements.</w:t>
      </w:r>
    </w:p>
    <w:p>
      <w:pPr>
        <w:spacing w:after="0" w:line="132"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This data should be read together with our consolidated financial statements and notes thereto, “Management’s Discussion and Analysis of Financial Condition and Results of Operations” and the other information contained in this prospectus.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5"/>
          </w:tcPr>
          <w:p>
            <w:pPr>
              <w:jc w:val="center"/>
              <w:ind w:left="637"/>
              <w:spacing w:after="0"/>
              <w:rPr>
                <w:sz w:val="20"/>
                <w:szCs w:val="20"/>
                <w:color w:val="auto"/>
              </w:rPr>
            </w:pPr>
            <w:r>
              <w:rPr>
                <w:rFonts w:ascii="Arial" w:cs="Arial" w:eastAsia="Arial" w:hAnsi="Arial"/>
                <w:sz w:val="14"/>
                <w:szCs w:val="14"/>
                <w:b w:val="1"/>
                <w:bCs w:val="1"/>
                <w:color w:val="auto"/>
                <w:w w:val="86"/>
              </w:rPr>
              <w:t>Years Ended December 31,</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5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2"/>
                <w:szCs w:val="12"/>
                <w:color w:val="auto"/>
              </w:rPr>
            </w:pPr>
          </w:p>
        </w:tc>
        <w:tc>
          <w:tcPr>
            <w:tcW w:w="80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2"/>
                <w:szCs w:val="12"/>
                <w:color w:val="auto"/>
              </w:rPr>
            </w:pPr>
          </w:p>
        </w:tc>
      </w:tr>
      <w:tr>
        <w:trPr>
          <w:trHeight w:val="142"/>
        </w:trPr>
        <w:tc>
          <w:tcPr>
            <w:tcW w:w="45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left="57"/>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Net revenues(1)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1,230,120</w:t>
            </w:r>
          </w:p>
        </w:tc>
        <w:tc>
          <w:tcPr>
            <w:tcW w:w="4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$1,099,891</w:t>
            </w:r>
          </w:p>
        </w:tc>
        <w:tc>
          <w:tcPr>
            <w:tcW w:w="1460" w:type="dxa"/>
            <w:vAlign w:val="bottom"/>
            <w:gridSpan w:val="3"/>
          </w:tcPr>
          <w:p>
            <w:pPr>
              <w:jc w:val="right"/>
              <w:ind w:right="340"/>
              <w:spacing w:after="0"/>
              <w:rPr>
                <w:sz w:val="20"/>
                <w:szCs w:val="20"/>
                <w:color w:val="auto"/>
              </w:rPr>
            </w:pPr>
            <w:r>
              <w:rPr>
                <w:rFonts w:ascii="Arial" w:cs="Arial" w:eastAsia="Arial" w:hAnsi="Arial"/>
                <w:sz w:val="18"/>
                <w:szCs w:val="18"/>
                <w:color w:val="auto"/>
              </w:rPr>
              <w:t>$ 1,295,851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1,139,348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722,292</w:t>
            </w:r>
          </w:p>
        </w:tc>
        <w:tc>
          <w:tcPr>
            <w:tcW w:w="12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72,373</w:t>
            </w:r>
          </w:p>
        </w:tc>
        <w:tc>
          <w:tcPr>
            <w:tcW w:w="14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6,457</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67,454</w:t>
            </w:r>
          </w:p>
        </w:tc>
        <w:tc>
          <w:tcPr>
            <w:tcW w:w="12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Operating income (loss)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(144,279)</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(58,616)</w:t>
            </w:r>
          </w:p>
        </w:tc>
        <w:tc>
          <w:tcPr>
            <w:tcW w:w="1460" w:type="dxa"/>
            <w:vAlign w:val="bottom"/>
            <w:gridSpan w:val="3"/>
          </w:tcPr>
          <w:p>
            <w:pPr>
              <w:jc w:val="right"/>
              <w:ind w:right="340"/>
              <w:spacing w:after="0"/>
              <w:rPr>
                <w:sz w:val="20"/>
                <w:szCs w:val="20"/>
                <w:color w:val="auto"/>
              </w:rPr>
            </w:pPr>
            <w:r>
              <w:rPr>
                <w:rFonts w:ascii="Arial" w:cs="Arial" w:eastAsia="Arial" w:hAnsi="Arial"/>
                <w:sz w:val="18"/>
                <w:szCs w:val="18"/>
                <w:color w:val="auto"/>
              </w:rPr>
              <w:t>199,825</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115,047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12,446</w:t>
            </w:r>
          </w:p>
        </w:tc>
        <w:tc>
          <w:tcPr>
            <w:tcW w:w="12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(309,870)</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(129,794)</w:t>
            </w:r>
          </w:p>
        </w:tc>
        <w:tc>
          <w:tcPr>
            <w:tcW w:w="14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124,219</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(45,274)</w:t>
            </w:r>
          </w:p>
        </w:tc>
      </w:tr>
      <w:tr>
        <w:trPr>
          <w:trHeight w:val="365"/>
        </w:trPr>
        <w:tc>
          <w:tcPr>
            <w:tcW w:w="4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86"/>
              </w:rPr>
              <w:t>As of December 31,</w:t>
            </w: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45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2"/>
                <w:szCs w:val="12"/>
                <w:color w:val="auto"/>
              </w:rPr>
            </w:pPr>
          </w:p>
        </w:tc>
        <w:tc>
          <w:tcPr>
            <w:tcW w:w="80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2"/>
                <w:szCs w:val="12"/>
                <w:color w:val="auto"/>
              </w:rPr>
            </w:pPr>
          </w:p>
        </w:tc>
      </w:tr>
      <w:tr>
        <w:trPr>
          <w:trHeight w:val="142"/>
        </w:trPr>
        <w:tc>
          <w:tcPr>
            <w:tcW w:w="45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left="57"/>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66,354</w:t>
            </w:r>
          </w:p>
        </w:tc>
        <w:tc>
          <w:tcPr>
            <w:tcW w:w="4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  123,315</w:t>
            </w:r>
          </w:p>
        </w:tc>
        <w:tc>
          <w:tcPr>
            <w:tcW w:w="1460" w:type="dxa"/>
            <w:vAlign w:val="bottom"/>
            <w:gridSpan w:val="3"/>
          </w:tcPr>
          <w:p>
            <w:pPr>
              <w:jc w:val="right"/>
              <w:ind w:right="340"/>
              <w:spacing w:after="0"/>
              <w:rPr>
                <w:sz w:val="20"/>
                <w:szCs w:val="20"/>
                <w:color w:val="auto"/>
              </w:rPr>
            </w:pPr>
            <w:r>
              <w:rPr>
                <w:rFonts w:ascii="Arial" w:cs="Arial" w:eastAsia="Arial" w:hAnsi="Arial"/>
                <w:sz w:val="18"/>
                <w:szCs w:val="18"/>
                <w:color w:val="auto"/>
              </w:rPr>
              <w:t>$  146,521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93,820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87,777</w:t>
            </w:r>
          </w:p>
        </w:tc>
        <w:tc>
          <w:tcPr>
            <w:tcW w:w="12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investments(2)</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31,052</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197,517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394,757</w:t>
            </w:r>
          </w:p>
        </w:tc>
        <w:tc>
          <w:tcPr>
            <w:tcW w:w="12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23,973</w:t>
            </w:r>
          </w:p>
        </w:tc>
        <w:tc>
          <w:tcPr>
            <w:tcW w:w="4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4,579</w:t>
            </w:r>
          </w:p>
        </w:tc>
        <w:tc>
          <w:tcPr>
            <w:tcW w:w="1460" w:type="dxa"/>
            <w:vAlign w:val="bottom"/>
            <w:gridSpan w:val="3"/>
          </w:tcPr>
          <w:p>
            <w:pPr>
              <w:jc w:val="right"/>
              <w:ind w:right="340"/>
              <w:spacing w:after="0"/>
              <w:rPr>
                <w:sz w:val="20"/>
                <w:szCs w:val="20"/>
                <w:color w:val="auto"/>
              </w:rPr>
            </w:pPr>
            <w:r>
              <w:rPr>
                <w:rFonts w:ascii="Arial" w:cs="Arial" w:eastAsia="Arial" w:hAnsi="Arial"/>
                <w:sz w:val="18"/>
                <w:szCs w:val="18"/>
                <w:color w:val="auto"/>
              </w:rPr>
              <w:t>865,130</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214,574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30,996</w:t>
            </w:r>
          </w:p>
        </w:tc>
        <w:tc>
          <w:tcPr>
            <w:tcW w:w="12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4,254,324</w:t>
            </w: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4,584,271</w:t>
            </w:r>
          </w:p>
        </w:tc>
        <w:tc>
          <w:tcPr>
            <w:tcW w:w="14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3,647,256</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3,119,888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3,195,828</w:t>
            </w:r>
          </w:p>
        </w:tc>
        <w:tc>
          <w:tcPr>
            <w:tcW w:w="12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Total long-term obligations(3)</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2,638,083</w:t>
            </w:r>
          </w:p>
        </w:tc>
        <w:tc>
          <w:tcPr>
            <w:tcW w:w="4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2,897,328</w:t>
            </w:r>
          </w:p>
        </w:tc>
        <w:tc>
          <w:tcPr>
            <w:tcW w:w="1460" w:type="dxa"/>
            <w:vAlign w:val="bottom"/>
            <w:gridSpan w:val="3"/>
          </w:tcPr>
          <w:p>
            <w:pPr>
              <w:jc w:val="right"/>
              <w:ind w:right="340"/>
              <w:spacing w:after="0"/>
              <w:rPr>
                <w:sz w:val="20"/>
                <w:szCs w:val="20"/>
                <w:color w:val="auto"/>
              </w:rPr>
            </w:pPr>
            <w:r>
              <w:rPr>
                <w:rFonts w:ascii="Arial" w:cs="Arial" w:eastAsia="Arial" w:hAnsi="Arial"/>
                <w:sz w:val="18"/>
                <w:szCs w:val="18"/>
                <w:color w:val="auto"/>
              </w:rPr>
              <w:t>2,034,603</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1,678,597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1,749,267</w:t>
            </w:r>
          </w:p>
        </w:tc>
        <w:tc>
          <w:tcPr>
            <w:tcW w:w="12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1,385,553</w:t>
            </w: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1,257,563</w:t>
            </w:r>
          </w:p>
        </w:tc>
        <w:tc>
          <w:tcPr>
            <w:tcW w:w="14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1,375,020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1,242,770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1,224,829</w:t>
            </w:r>
          </w:p>
        </w:tc>
        <w:tc>
          <w:tcPr>
            <w:tcW w:w="12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Wynn Las Vegas opened on April 28, 2005 and Encore opened on December 22, 2008.</w:t>
      </w:r>
    </w:p>
    <w:p>
      <w:pPr>
        <w:spacing w:after="0" w:line="15"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Restricted cash and investments primarily reflect the proceeds of our debt and equity financings that were restricted for the construction of Encore and prior to December 31, 2005, for Wynn Las Vegas.</w:t>
      </w: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long-term debt, long-term amounts due to affiliates, and an interest rate swap.</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16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discussion should be read in conjunction with, and is qualified in its entirety by, the consolidated financial statements and the notes thereto included elsewhere in this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are a developer, owner and operator of destination casino resorts. We currently own and operate Wynn Las Vegas, a destination casino resort in Las Vegas, Nevada, which opened on April 28, 2005, and Encore, a destination casino resort located adjacent to and connected to Wynn Las Vegas, which opened on December 22, 2008. Until the opening of Wynn Las Vegas in 2005, we were solely a development stage company.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Resorts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about our operating properties as of February 2010:</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w w:val="89"/>
              </w:rPr>
              <w:t>Hotel Rooms &amp;</w:t>
            </w:r>
          </w:p>
        </w:tc>
        <w:tc>
          <w:tcPr>
            <w:tcW w:w="960" w:type="dxa"/>
            <w:vAlign w:val="bottom"/>
          </w:tcPr>
          <w:p>
            <w:pPr>
              <w:spacing w:after="0"/>
              <w:rPr>
                <w:sz w:val="14"/>
                <w:szCs w:val="14"/>
                <w:color w:val="auto"/>
              </w:rPr>
            </w:pPr>
          </w:p>
        </w:tc>
        <w:tc>
          <w:tcPr>
            <w:tcW w:w="216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88"/>
              </w:rPr>
              <w:t>Approximate Casino</w:t>
            </w:r>
          </w:p>
        </w:tc>
        <w:tc>
          <w:tcPr>
            <w:tcW w:w="226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89"/>
              </w:rPr>
              <w:t>Approximate Number</w:t>
            </w:r>
          </w:p>
        </w:tc>
        <w:tc>
          <w:tcPr>
            <w:tcW w:w="1300" w:type="dxa"/>
            <w:vAlign w:val="bottom"/>
            <w:gridSpan w:val="2"/>
          </w:tcPr>
          <w:p>
            <w:pPr>
              <w:spacing w:after="0"/>
              <w:rPr>
                <w:sz w:val="20"/>
                <w:szCs w:val="20"/>
                <w:color w:val="auto"/>
              </w:rPr>
            </w:pPr>
            <w:r>
              <w:rPr>
                <w:rFonts w:ascii="Arial" w:cs="Arial" w:eastAsia="Arial" w:hAnsi="Arial"/>
                <w:sz w:val="14"/>
                <w:szCs w:val="14"/>
                <w:b w:val="1"/>
                <w:bCs w:val="1"/>
                <w:color w:val="auto"/>
                <w:w w:val="89"/>
              </w:rPr>
              <w:t>Approximate Number</w:t>
            </w:r>
          </w:p>
        </w:tc>
      </w:tr>
      <w:tr>
        <w:trPr>
          <w:trHeight w:val="161"/>
        </w:trPr>
        <w:tc>
          <w:tcPr>
            <w:tcW w:w="3840" w:type="dxa"/>
            <w:vAlign w:val="bottom"/>
          </w:tcPr>
          <w:p>
            <w:pPr>
              <w:spacing w:after="0"/>
              <w:rPr>
                <w:sz w:val="14"/>
                <w:szCs w:val="14"/>
                <w:color w:val="auto"/>
              </w:rPr>
            </w:pPr>
          </w:p>
        </w:tc>
        <w:tc>
          <w:tcPr>
            <w:tcW w:w="92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Suites</w:t>
            </w:r>
          </w:p>
        </w:tc>
        <w:tc>
          <w:tcPr>
            <w:tcW w:w="96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Square Footage</w:t>
            </w:r>
          </w:p>
        </w:tc>
        <w:tc>
          <w:tcPr>
            <w:tcW w:w="960" w:type="dxa"/>
            <w:vAlign w:val="bottom"/>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of Table Games</w:t>
            </w:r>
          </w:p>
        </w:tc>
        <w:tc>
          <w:tcPr>
            <w:tcW w:w="980" w:type="dxa"/>
            <w:vAlign w:val="bottom"/>
          </w:tcPr>
          <w:p>
            <w:pPr>
              <w:spacing w:after="0"/>
              <w:rPr>
                <w:sz w:val="14"/>
                <w:szCs w:val="14"/>
                <w:color w:val="auto"/>
              </w:rPr>
            </w:pPr>
          </w:p>
        </w:tc>
        <w:tc>
          <w:tcPr>
            <w:tcW w:w="128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of Slots</w:t>
            </w:r>
          </w:p>
        </w:tc>
        <w:tc>
          <w:tcPr>
            <w:tcW w:w="20" w:type="dxa"/>
            <w:vAlign w:val="bottom"/>
          </w:tcPr>
          <w:p>
            <w:pPr>
              <w:spacing w:after="0"/>
              <w:rPr>
                <w:sz w:val="14"/>
                <w:szCs w:val="14"/>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Wynn Las Vegas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w:t>
            </w:r>
          </w:p>
        </w:tc>
        <w:tc>
          <w:tcPr>
            <w:tcW w:w="312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color w:val="auto"/>
              </w:rPr>
              <w:t>110,000</w:t>
            </w:r>
          </w:p>
        </w:tc>
        <w:tc>
          <w:tcPr>
            <w:tcW w:w="22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130</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20" w:type="dxa"/>
            <w:vAlign w:val="bottom"/>
          </w:tcPr>
          <w:p>
            <w:pPr>
              <w:spacing w:after="0"/>
              <w:rPr>
                <w:sz w:val="18"/>
                <w:szCs w:val="18"/>
                <w:color w:val="auto"/>
              </w:rPr>
            </w:pPr>
          </w:p>
        </w:tc>
      </w:tr>
      <w:tr>
        <w:trPr>
          <w:trHeight w:val="222"/>
        </w:trPr>
        <w:tc>
          <w:tcPr>
            <w:tcW w:w="3840" w:type="dxa"/>
            <w:vAlign w:val="bottom"/>
          </w:tcPr>
          <w:p>
            <w:pPr>
              <w:spacing w:after="0"/>
              <w:rPr>
                <w:sz w:val="20"/>
                <w:szCs w:val="20"/>
                <w:color w:val="auto"/>
              </w:rPr>
            </w:pPr>
            <w:r>
              <w:rPr>
                <w:rFonts w:ascii="Arial" w:cs="Arial" w:eastAsia="Arial" w:hAnsi="Arial"/>
                <w:sz w:val="18"/>
                <w:szCs w:val="18"/>
                <w:color w:val="auto"/>
              </w:rPr>
              <w:t>Encore</w:t>
            </w:r>
          </w:p>
        </w:tc>
        <w:tc>
          <w:tcPr>
            <w:tcW w:w="920" w:type="dxa"/>
            <w:vAlign w:val="bottom"/>
          </w:tcPr>
          <w:p>
            <w:pPr>
              <w:jc w:val="right"/>
              <w:spacing w:after="0"/>
              <w:rPr>
                <w:sz w:val="20"/>
                <w:szCs w:val="20"/>
                <w:color w:val="auto"/>
              </w:rPr>
            </w:pPr>
            <w:r>
              <w:rPr>
                <w:rFonts w:ascii="Arial" w:cs="Arial" w:eastAsia="Arial" w:hAnsi="Arial"/>
                <w:sz w:val="18"/>
                <w:szCs w:val="18"/>
                <w:color w:val="auto"/>
              </w:rPr>
              <w:t>2,034</w:t>
            </w:r>
          </w:p>
        </w:tc>
        <w:tc>
          <w:tcPr>
            <w:tcW w:w="3120" w:type="dxa"/>
            <w:vAlign w:val="bottom"/>
            <w:gridSpan w:val="3"/>
          </w:tcPr>
          <w:p>
            <w:pPr>
              <w:jc w:val="right"/>
              <w:ind w:right="960"/>
              <w:spacing w:after="0"/>
              <w:rPr>
                <w:sz w:val="20"/>
                <w:szCs w:val="20"/>
                <w:color w:val="auto"/>
              </w:rPr>
            </w:pPr>
            <w:r>
              <w:rPr>
                <w:rFonts w:ascii="Arial" w:cs="Arial" w:eastAsia="Arial" w:hAnsi="Arial"/>
                <w:sz w:val="18"/>
                <w:szCs w:val="18"/>
                <w:color w:val="auto"/>
              </w:rPr>
              <w:t>76,000</w:t>
            </w:r>
          </w:p>
        </w:tc>
        <w:tc>
          <w:tcPr>
            <w:tcW w:w="2260" w:type="dxa"/>
            <w:vAlign w:val="bottom"/>
            <w:gridSpan w:val="2"/>
          </w:tcPr>
          <w:p>
            <w:pPr>
              <w:jc w:val="right"/>
              <w:ind w:right="980"/>
              <w:spacing w:after="0"/>
              <w:rPr>
                <w:sz w:val="20"/>
                <w:szCs w:val="20"/>
                <w:color w:val="auto"/>
              </w:rPr>
            </w:pPr>
            <w:r>
              <w:rPr>
                <w:rFonts w:ascii="Arial" w:cs="Arial" w:eastAsia="Arial" w:hAnsi="Arial"/>
                <w:sz w:val="18"/>
                <w:szCs w:val="18"/>
                <w:color w:val="auto"/>
              </w:rPr>
              <w:t>90</w:t>
            </w:r>
          </w:p>
        </w:tc>
        <w:tc>
          <w:tcPr>
            <w:tcW w:w="1280" w:type="dxa"/>
            <w:vAlign w:val="bottom"/>
          </w:tcPr>
          <w:p>
            <w:pPr>
              <w:jc w:val="right"/>
              <w:spacing w:after="0"/>
              <w:rPr>
                <w:sz w:val="20"/>
                <w:szCs w:val="20"/>
                <w:color w:val="auto"/>
              </w:rPr>
            </w:pPr>
            <w:r>
              <w:rPr>
                <w:rFonts w:ascii="Arial" w:cs="Arial" w:eastAsia="Arial" w:hAnsi="Arial"/>
                <w:sz w:val="18"/>
                <w:szCs w:val="18"/>
                <w:color w:val="auto"/>
              </w:rPr>
              <w:t>790</w:t>
            </w:r>
          </w:p>
        </w:tc>
        <w:tc>
          <w:tcPr>
            <w:tcW w:w="20" w:type="dxa"/>
            <w:vAlign w:val="bottom"/>
          </w:tcPr>
          <w:p>
            <w:pPr>
              <w:spacing w:after="0"/>
              <w:rPr>
                <w:sz w:val="19"/>
                <w:szCs w:val="19"/>
                <w:color w:val="auto"/>
              </w:rPr>
            </w:pP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9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Wynn Las Vegas is located at the intersection of the Las Vegas Strip and Sands Avenue, occupies approximately 217 acres of land fronting the Las Vegas Strip and utilizes approximately 18 additional acres across Sands Avenue, a portion of which is improved with an employee parking garage.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Wynn Las Vegas is the preeminent destination casino resort on the Strip in Las Vegas. Wynn Las Vegas features:</w:t>
      </w:r>
    </w:p>
    <w:p>
      <w:pPr>
        <w:spacing w:after="0" w:line="90" w:lineRule="exact"/>
        <w:rPr>
          <w:sz w:val="20"/>
          <w:szCs w:val="20"/>
          <w:color w:val="auto"/>
        </w:rPr>
      </w:pPr>
    </w:p>
    <w:p>
      <w:pPr>
        <w:ind w:left="900" w:right="260" w:hanging="446"/>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approximately 110,000 square foot casino offering 24-hour gaming and a full range of games, including private baccarat salons, a poker room, and a sports book;</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Luxury hotel accommodations in 2,716 spacious hotel rooms, suites and villas;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22 food and beverage outlets including the AAA five-diamond and Forbes five-star award-winning restaurant, </w:t>
      </w:r>
      <w:r>
        <w:rPr>
          <w:rFonts w:ascii="Arial" w:cs="Arial" w:eastAsia="Arial" w:hAnsi="Arial"/>
          <w:sz w:val="18"/>
          <w:szCs w:val="18"/>
          <w:i w:val="1"/>
          <w:iCs w:val="1"/>
          <w:color w:val="auto"/>
        </w:rPr>
        <w:t>Alex</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Ferrari and Maserati automobile dealership;</w:t>
      </w:r>
    </w:p>
    <w:p>
      <w:pPr>
        <w:spacing w:after="0" w:line="90"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Approximately 74,000 square feet of high-end, brand-name retail shopping, including stores and boutiques featuring Alexander McQueen, Brioni, Cartier, Chanel, Dior, Graff, Louis Vuitton, Manolo Blahnik, Oscar de la Renta, Vertu and others;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Recreation and leisure facilities, including an 18-hole golf course, five swimming pools, private cabanas and full service spa and salon;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showroom, two nightclubs and a lounge.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opened Encore on December 22, 2008. This resort is located immediately adjacent to and connected with Wynn Las Vegas. Encore features:</w:t>
      </w:r>
    </w:p>
    <w:p>
      <w:pPr>
        <w:spacing w:after="0" w:line="113" w:lineRule="exact"/>
        <w:rPr>
          <w:sz w:val="20"/>
          <w:szCs w:val="20"/>
          <w:color w:val="auto"/>
        </w:rPr>
      </w:pPr>
    </w:p>
    <w:p>
      <w:pPr>
        <w:ind w:left="5620" w:right="80" w:hanging="5166"/>
        <w:spacing w:after="0" w:line="440" w:lineRule="auto"/>
        <w:tabs>
          <w:tab w:leader="none" w:pos="893"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approximately 76,000 square foot casino offering 24-hour gaming and a full range of games, including private baccarat salons and a sports book; 41</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Luxury hotel accommodations in 2,034 all-suite rooms;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Twelve food and beverage outlets;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Approximately 27,000 square feet of high-end brand name retail shopping, including stores and boutiques featuring Hermes, Chanel and others;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Recreation and leisure facilities including swimming pools, private cabanas and a full service spa and salon;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showroom, nightclub and lounges.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Construction and Future Development</w:t>
      </w:r>
    </w:p>
    <w:p>
      <w:pPr>
        <w:spacing w:after="0" w:line="9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In response to our evaluation of our properties and the reactions of our guests, we have and expect to continue to remodel and make enhancements and refinements at both Wynn Las Vegas and Encore.</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Construction is currently underway to replace Encore’s porte-cochere on Las Vegas Boulevard with the Encore Beach Club that will feature pools, food and beverage, and nightlife offerings. The total project budget for the Encore Beach Club is approximately $68 million. The Beach Club is expected to open on schedule in the second quarter of 2010.</w:t>
      </w:r>
    </w:p>
    <w:p>
      <w:pPr>
        <w:spacing w:after="0" w:line="14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Approximately 142 acres of land immediately adjacent to both Wynn Las Vegas and Encore is currently improved with a golf course. While we may develop this property in the future, we have no immediate plans to do so.</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Current Economic and Operating Environment</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Due to a number of factors affecting consumers, including a slowdown in global economies, contracting credit markets, reduced consumer and corporate spending, and new U.S. political leadership, the outlook for the gaming, travel, and entertainment industries both domestically and abroad remains highly uncertain. Auto traffic into Las Vegas, airline capacity and air travel to McCarran International airport have continued to declined year over year, resulting in lower casino volumes and a reduced demand for hotel rooms. This slow down was particularly significant in the fourth quarter of 2008 and continued throughout 2009. Based on our experience over this past year and current market conditions, we believe that Wynn Las Vegas and Encore have, and are likely to continue to experience lower than historical hotel occupancy rates, room rates, casino volumes and accordingly lower departmental profitability. In addition, significant new supply in Las Vegas will put additional pressure on occupancy and room rates during 2010.</w:t>
      </w:r>
    </w:p>
    <w:p>
      <w:pPr>
        <w:spacing w:after="0" w:line="118"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As a result of the current economic and market conditions, we have increasingly focused on efficiency initiatives that we began implementing at Wynn Las Vegas in early 2009. These initiatives include reductions in pay for salaried employees in Las Vegas, reduced work weeks for full-time hourly employees, the substantial reduction of 2009 bonus accruals and a suspension of the employer match to the 401(k) contributions.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results of operations for the periods presented are not comparable as the year ended December 31, 2009 includes a full year of operations for Encore, whereas in 2008, Encore was open for only 10 days. Encore did not significantly impact our results of operations for the year ended December 31, 2008. We also believe that our operating results at both properties for the years ended December 31, 2009 and 2008, were adversely impacted by the weakened global economy. Disruptions in the global financial and stock markets and reduced levels of consumer spending have and are likely to continue to adversely impact our financial results.</w:t>
      </w:r>
    </w:p>
    <w:p>
      <w:pPr>
        <w:spacing w:after="0" w:line="14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offer gaming, hotel accommodations, dining, entertainment, retail shopping, convention services and other amenities at Wynn Las Vegas and Encore. We currently rely solely upon the operations of Wynn Las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Vegas and Encore for our operating cash flow. Concentration of our cash flows to Wynn Las Vegas and Encore exposes us to certain risks that competitors, whose operations are more diversified, may be better able to control. In addition to the concentration of operations to Wynn Las Vegas and Encore, many of our customers are high-end gaming customers who wager on credit, thus exposing us to increased credit risk. High-end gaming also increases the potential for variability in our results.</w:t>
      </w:r>
    </w:p>
    <w:p>
      <w:pPr>
        <w:spacing w:after="0" w:line="143" w:lineRule="exact"/>
        <w:rPr>
          <w:sz w:val="20"/>
          <w:szCs w:val="20"/>
          <w:color w:val="auto"/>
        </w:rPr>
      </w:pPr>
    </w:p>
    <w:p>
      <w:pPr>
        <w:jc w:val="both"/>
        <w:ind w:right="340" w:firstLine="456"/>
        <w:spacing w:after="0" w:line="256" w:lineRule="auto"/>
        <w:rPr>
          <w:sz w:val="20"/>
          <w:szCs w:val="20"/>
          <w:color w:val="auto"/>
        </w:rPr>
      </w:pPr>
      <w:r>
        <w:rPr>
          <w:rFonts w:ascii="Arial" w:cs="Arial" w:eastAsia="Arial" w:hAnsi="Arial"/>
          <w:sz w:val="18"/>
          <w:szCs w:val="18"/>
          <w:color w:val="auto"/>
        </w:rPr>
        <w:t>We recorded a net loss for the year ended December 31, 2009 of $309.9 million, which represents a $180.1 million increase from the net loss of $129.8 million recorded during the year ended December 31, 2008. This decrease is primarily due to an increase in depreciation and amortization expense of $144.1 million associated with the assets placed in service for Encore and an increase in interest expense of $81.4 million as we no longer capitalized interest during 2009 with the opening of Encore in December 2008.</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Measures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Certain key operating statistics specific to the gaming industry are included in our discussion of our operational performance for the periods for which 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Operations is presented. Below are definitions of the gaming statistics discussed:</w:t>
      </w:r>
    </w:p>
    <w:p>
      <w:pPr>
        <w:spacing w:after="0" w:line="84"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“Table games win” is the amount of drop that is retained and recorded as casino revenue.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“Drop” is the amount of cash and net markers issued that are deposited in a gaming table’s drop box.</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“Slot win” is the amount of “handle” (represents the total amount wagered) that is retained and recorded as casino revenue.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 by total rooms occupied.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“Revenue per Available Room” (“REVPAR”) is calculated by dividing total room revenue by total rooms available.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 for the year ended December 31, 2009 compared to the year ended December 31, 2008.</w:t>
      </w:r>
    </w:p>
    <w:p>
      <w:pPr>
        <w:spacing w:after="0" w:line="96"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As noted earlier, our financial results for the year ended December 31, 2009 are not comparable to the year ended December 31, 2008, as the year ended December 31, 2009 includes a full year of operations for Encore, whereas the prior year includes only 10 days of operations for Encore.</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Net revenues for the year ended December 31, 2009 are comprised of $505.8 million in casino revenues (41.1% of total net revenues) and $724.3 million of net non-casino revenues (58.9% of total net revenues). Net revenues for the year ended December 31, 2008 were comprised of $479.7 million in casino revenues (43.6% of total net revenues) and $620.2 million of net non-casino revenues (56.4% of total net revenues).</w:t>
      </w:r>
    </w:p>
    <w:p>
      <w:pPr>
        <w:spacing w:after="0" w:line="10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Casino revenues are comprised of the net win from our table games and slot machine operations. We expanded Wynn Las Vegas with the opening of Encore in December 2008, which added approximately 90 table games and approximately 800 slot machines to our casino operations. Even with these additions in capacity, we experienced only a modest increase in casino revenues of approximately $26.1 million to $505.8 million for the year ended December 31, 2009, compared to $479.7 million for the year ended December 31, 2008. During the year ended December 31, 2009, we experienced a 1.2% increase in drop and a slight increase in the average table games win percentage compared to the prior year. Our average table games win percentage (before discounts) of 20.2% for the year ended December 31, 2009, was below the expected range of 21% to 24%. For the year ended December 31, 2008, our average table games win percentage (before discounts) was 20.0%. Slot handle decreased 2.5% during the year ended December 31, 2009, as compared to 2008, and the slot win percentage was within the expected range of 4.5% to 5.5%.</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year ended December 31, 2009, room revenues were approximately $321.2 million, which represents a $52.6 million (or 19.6%) increase over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$268.5 million generated in the year ended December 31, 2008. This increase is a result of the addition of 2,034 suites at Encore which opened in December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2008. We continued to experience a decrease in occupancy and room rates during the year ended December 31, 2009, compared to the year ended December 31,</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2008. See the table below for key operating measures related to our room revenue.</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93"/>
              </w:rPr>
              <w:t>Year Ended</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8700" w:type="dxa"/>
            <w:vAlign w:val="bottom"/>
          </w:tcPr>
          <w:p>
            <w:pPr>
              <w:spacing w:after="0"/>
              <w:rPr>
                <w:sz w:val="14"/>
                <w:szCs w:val="14"/>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870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80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r>
      <w:tr>
        <w:trPr>
          <w:trHeight w:val="210"/>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w:t>
            </w:r>
          </w:p>
        </w:tc>
        <w:tc>
          <w:tcPr>
            <w:tcW w:w="120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color w:val="auto"/>
                <w:w w:val="84"/>
              </w:rPr>
              <w:t>$ 217</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$ 288</w:t>
            </w:r>
          </w:p>
        </w:tc>
        <w:tc>
          <w:tcPr>
            <w:tcW w:w="2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Occupancy</w:t>
            </w:r>
          </w:p>
        </w:tc>
        <w:tc>
          <w:tcPr>
            <w:tcW w:w="1200" w:type="dxa"/>
            <w:vAlign w:val="bottom"/>
            <w:gridSpan w:val="2"/>
          </w:tcPr>
          <w:p>
            <w:pPr>
              <w:jc w:val="right"/>
              <w:ind w:right="572"/>
              <w:spacing w:after="0"/>
              <w:rPr>
                <w:sz w:val="20"/>
                <w:szCs w:val="20"/>
                <w:color w:val="auto"/>
              </w:rPr>
            </w:pPr>
            <w:r>
              <w:rPr>
                <w:rFonts w:ascii="Arial" w:cs="Arial" w:eastAsia="Arial" w:hAnsi="Arial"/>
                <w:sz w:val="18"/>
                <w:szCs w:val="18"/>
                <w:color w:val="auto"/>
              </w:rPr>
              <w:t>85.2%</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91.8%</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120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color w:val="auto"/>
                <w:w w:val="84"/>
              </w:rPr>
              <w:t>$ 185</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$ 265</w:t>
            </w:r>
          </w:p>
        </w:tc>
        <w:tc>
          <w:tcPr>
            <w:tcW w:w="2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Other non-casino revenues for the year ended December 31, 2009 include: food and beverage revenues of approximately $385.8 million, retail revenues of approximately $85.8 million, entertainment revenues of approximately $57.1 million, and other revenues from outlets such as the spa and salon, of approximately $60.5 million. Other non-gaming revenues for the year ended December 31, 2008 included food and beverage revenues of approximately $305.7 million, retail revenues of approximately $86.1 million, entertainment revenues of approximately $66.2 million, and other revenues from outlets, including the spa and salon, of approximately $49.8 million. On a comparable basis, excluding the Encore expansion, which opened in December 2008, all of our revenues have declined when compared to the prior year due to the current economic environment in which we are operating. Food and beverage revenues increased during the year ended December 31, 2009 as a result of the additional 12 food and beverage outlets located in the Encore expansion. Although we added new retail outlets at Encore, retail revenues have declined due to reduced consumer spending as a result of the current economic environment. Entertainment revenues decreased over the prior year primarily due to the closure of the Spamalot production show in July 2008. This decrease was offset in part by revenue from headliner acts that performed during 2009, including Garth Brooks, who began performing in the Encore Theater in December 2009.</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During the year ended December 31, 2009, departmental expenses included casino expense of $277.6 million, rooms expense of $106.8 million, food and beverage expense of $238.3 million, and entertainment, retail and other expense of $133.8 million. Also included are general and administrative expenses of approximately $248.5 million and approximately $12.4 million charged as a provision for doubtful accounts receivable. During the year ended December 31, 2008, departmental expenses included casino expenses of $258 million, room expenses of $73.8 million, food and beverage expenses of $188.5 million, and entertainment, retail and other expenses of $132.9 million. Also included are general and administrative expenses of approximately $199.5 million and approximately $24.9 million charged as a provision for doubtful accounts receivable. Expenses for the year ended December 31, 2009, increased compared to December 31, 2008 as a result of the Encore expansion which opened in December 2008. Our provision for doubtful accounts receivable declined during the year ended December 31, 2009 compared to the prior year. In the prior year we increased our reserves in light of the economic uncertainty that existed at that time. Due to continued strong collection experience we have reduced the additional reserves we recorded in the third quarter of 2008.</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 fees</w:t>
      </w:r>
    </w:p>
    <w:p>
      <w:pPr>
        <w:spacing w:after="0" w:line="90"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Since opening Wynn Las Vegas, management fees payable to Wynn Resorts for certain corporate management services have been charged and accrued at a rate equal to 1.5% of net revenues. These fees will be paid upon meeting certain leverage ratios and satisfying certain other criteria set forth in our credit facilities and the indenture governing the 2014 notes. Management fees were $18.4 million for the year ended December 31, 2009, compared to $16.5 million for the year ended December 31, 2008.</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year ended December 31, 2009, we incurred $0.3 million pre-opening costs compared to $72.4 million for the year ended December 31, 2008.</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Pre-opening costs incurred during the year ended December 31, 2008 were related to Encore which opened in December 2008.</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Depreciation and amortization for the year ended December 31, 2009 was $313.8 million compared to $169.6 million for the year ended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2008. This increase is primarily due to depreciation on the assets of Encore, which were placed into service in December 2008.</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Property charges and other for the year ended December 31, 2009, were $24.5 million compared to $22.4 million for the year ended December 31, 2008. In response to the evaluation of our properties and the reactions of our guests, we make enhancements and refinements to the properties. Costs relating to assets retired as a result of these enhancement and remodel efforts have been expensed as property charges. Property charges and other for the year ended December 31, 2009 include the following: (a) a $16.7 million charge for the abandonment of the front porte-cochere at Encore at Wynn Las Vegas to make way for an addition to that property; (b) a $5.3 million charge for the write-off of two aircraft deposits; and (c) $2.5 million related to miscellaneous remodels, abandonments and loss on sale of equipment.</w:t>
      </w:r>
    </w:p>
    <w:p>
      <w:pPr>
        <w:spacing w:after="0" w:line="144"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Property charges and other for the year ended December 31, 2008, include $17.8 million of costs associated with Spamalot at Wynn Las Vegas which closed in July 2008. The costs included the production rights that were included in intangible assets, show production costs that were included in other assets and certain other property and equipment. The remaining property charges were related to miscellaneous renovations and abandonments at Wynn Las Vegas.</w:t>
      </w:r>
    </w:p>
    <w:p>
      <w:pPr>
        <w:spacing w:after="0" w:line="10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response to our evaluation of Wynn Las Vegas and Encore and the reactions of our guests, we continue to make enhancements to the property. The costs relating to assets retired as a result of these enhancement and remodel efforts will be expensed as property charges.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Interest income decreased by $4.8 million for the year ended December 31, 2009 compared to the year ended December 31, 2008. This decrease is due to the repayment of an $80 million note receivable from Wynn Resorts in July 2008, that resulted in $3.3 million of interest income in the prior year, as well as a decrease in the average interest rate earned on our invested cash balances and reduced average invested cash balances during the year ended December 31, 2009, compared to the prior year.</w:t>
      </w:r>
    </w:p>
    <w:p>
      <w:pPr>
        <w:spacing w:after="0" w:line="143"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Interest expense was $157.2 million, net of capitalized interest of $0, for the year ended December 31, 2009, compared to $75.9 million, net of capitalized interest of $80.4 million during the year ended December 31, 2008. Interest expense increased primarily due to an $80.4 million decrease in capitalized interest with the opening of Encore. Also increasing interest expense was approximately $8.4 million of interest related to the old 2017 notes issued in October 2009. These increases were offset by lower interest rates on our variable rate debt and lower average balances outstanding during 2009 compared to the prior year.</w:t>
      </w:r>
    </w:p>
    <w:p>
      <w:pPr>
        <w:spacing w:after="0" w:line="98"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Changes in the fair value of our interest rate swap are recorded as increase (or decrease) in swap fair value in each year. We recorded an expense of approximately $4.2 million for the year ended December 31, 2009, resulting from the decrease in the fair value of our interest rate swap from August 2009 (the date we entered into the agreement) to December 31, 2009. We recorded an expense of approximately $0.4 million for the year ended December 31, 2008 resulting from the decrease in the fair value of our interest rate swap from December 31, 2007 to December 31, 2008.</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recorded a loss on early extinguishment of debt of $3.8 million during the year ended December 31, 2009. Through an offer to purchase loans outstanding under the Wynn Las Vegas credit agreement, we purchased loans with a face-value of $87.6 million for $84.4 million, reflecting a discounted price of 96.37%. In connection with this transaction, we recognized a gain of approximately $2.1 million on early retirement of debt in the fourth quarter of 2009. Offsetting this gain was the write-off of deferred financing costs totaling $5.7 million in connection with the permanent reduction in the availability under our credit facility.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 for the year ended December 31, 2008 compared to financial results for the year ended December 31, 2007.</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jc w:val="both"/>
        <w:ind w:right="260" w:firstLine="456"/>
        <w:spacing w:after="0" w:line="256" w:lineRule="auto"/>
        <w:rPr>
          <w:sz w:val="20"/>
          <w:szCs w:val="20"/>
          <w:color w:val="auto"/>
        </w:rPr>
      </w:pPr>
      <w:r>
        <w:rPr>
          <w:rFonts w:ascii="Arial" w:cs="Arial" w:eastAsia="Arial" w:hAnsi="Arial"/>
          <w:sz w:val="18"/>
          <w:szCs w:val="18"/>
          <w:color w:val="auto"/>
        </w:rPr>
        <w:t>Net revenues for the year ended December 31, 2008 were comprised of $479.7 million in net casino revenues (43.6% of total net revenues) and $620.2 million of net non-casino revenues (56.4% of total net revenues). Net revenues for the year ended December 31, 2007 were comprised of $642.3 million in net casino revenues (49.6% of total net revenues) and $653.5 million of net non-casino revenues (50.4% of total net revenues). Our results for 2008 include the 10 days of operations at Encore which opened December 22, 2008.</w:t>
      </w:r>
    </w:p>
    <w:p>
      <w:pPr>
        <w:spacing w:after="0" w:line="143"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Casino revenues are comprised of the net win from our table games and slot machine operations. Casino revenues for the year ended December 31, 2008 of approximately $479.7 million represents a decrease of approximately $162.6 million (or 25.3%) from casino revenues of $642.3 million for the year ended December 31, 2007. For the year ended December 31, 2008, we experienced a 7.1% decrease in drop and our average table games win percentage (before discounts) of 20.0% was below the expected range of 21% to 24%. During the year ended December 31, 2007, our average table games win percentage (before discounts) was 25.3%. Slot handle decreased 12.9% during the year ended December 31, 2008 as compared to 2007, and our slot win percentage for the years ended December 31, 2008 and 2007 were within the expected range of 4.5% and 5.5%. As noted above, we believe the decrease in casino volumes reflect the overall slowdown in the global economy. In the fourth quarter of 2008, casino revenue at Wynn Las Vegas, including Encore, declined 43.3% compared to the fourth quarter of 2007 as a result of a decrease in table games drop of 20.2% and a decline in our average table games win percentage to 15.3% compared to</w:t>
      </w:r>
    </w:p>
    <w:p>
      <w:pPr>
        <w:spacing w:after="0" w:line="6"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23.5% in the prior year fourth quarter. Slot handle at Wynn Las Vegas, including Encore, decreased 22.7% during the fourth quarter of 2008 compared to the fourth quarter of 2007.</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year ended December 31, 2008, room revenues were approximately $268.5 million, which represents a $17.2 million (or 6%) decrease from the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$285.7 million generated for the year ended December 31, 2007. The decrease is primarily driven by decreased occupancy and rates at Wynn Las Vegas, offset by</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revenues generated from the 10 days of operations at Encore. In the fourth quarter of 2008, room revenue at Wynn Las Vegas, including Encore, declined by 14%</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as our occupancy percentage declined 14.6% and the average daily rate declined 6%, all compared to the fourth quarter of 2007. Room rates have continued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decline as the economic slow down reduces demand for our product.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key operating measures related to room revenue for Wynn Las Vegas, including Encore.</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9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For the Year Ended</w:t>
            </w:r>
          </w:p>
        </w:tc>
      </w:tr>
      <w:tr>
        <w:trPr>
          <w:trHeight w:val="161"/>
        </w:trPr>
        <w:tc>
          <w:tcPr>
            <w:tcW w:w="40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December 31,</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0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96"/>
              </w:rPr>
              <w:t>2008</w:t>
            </w: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3"/>
              </w:rPr>
              <w:t>2007</w:t>
            </w:r>
          </w:p>
        </w:tc>
        <w:tc>
          <w:tcPr>
            <w:tcW w:w="200" w:type="dxa"/>
            <w:vAlign w:val="bottom"/>
          </w:tcPr>
          <w:p>
            <w:pPr>
              <w:spacing w:after="0"/>
              <w:rPr>
                <w:sz w:val="12"/>
                <w:szCs w:val="12"/>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$ 288</w:t>
            </w:r>
          </w:p>
        </w:tc>
        <w:tc>
          <w:tcPr>
            <w:tcW w:w="8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0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Occupancy</w:t>
            </w:r>
          </w:p>
        </w:tc>
        <w:tc>
          <w:tcPr>
            <w:tcW w:w="3940" w:type="dxa"/>
            <w:vAlign w:val="bottom"/>
            <w:gridSpan w:val="3"/>
          </w:tcPr>
          <w:p>
            <w:pPr>
              <w:jc w:val="right"/>
              <w:ind w:right="672"/>
              <w:spacing w:after="0"/>
              <w:rPr>
                <w:sz w:val="20"/>
                <w:szCs w:val="20"/>
                <w:color w:val="auto"/>
              </w:rPr>
            </w:pPr>
            <w:r>
              <w:rPr>
                <w:rFonts w:ascii="Arial" w:cs="Arial" w:eastAsia="Arial" w:hAnsi="Arial"/>
                <w:sz w:val="18"/>
                <w:szCs w:val="18"/>
                <w:color w:val="auto"/>
              </w:rPr>
              <w:t>91.8%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96.0%</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$ 265</w:t>
            </w:r>
          </w:p>
        </w:tc>
        <w:tc>
          <w:tcPr>
            <w:tcW w:w="8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Other non-casino revenues for the year ended December 31, 2008 included food and beverage revenues of approximately $305.7 million, retail revenues of approximately $86.1 million, entertainment revenues of</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approximately $66.2 million, and other revenues from outlets, including the spa and salon, of approximately $49.8 million. Other non-casino revenues for the year ended December 31, 2007 included food and beverage revenues of approximately $311 million, retail revenues of approximately $94.8 million, entertainment revenues of approximately $64.5 million, and other revenues from outlets, including the spa and salon, of approximately $50.2 million. Food and beverage revenues and retail revenues declined in 2008 as compared to 2007 as a result of fewer customers and customers spending less due to current economic conditions. Entertainment revenues increased approximately $10.9 million from Le Rêve at Wynn Las Vegas, offset by a decrease of $9.2 million due to the close of Spamalot in mid-July 2008. Together with the producers, we elected to end Spamalot’s run at Wynn Las Vegas in July 2008 pursuant to the terms of our contract.</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year ended December 31, 2008, departmental expenses included casino expenses of $258 million, rooms expenses of $73.8 million, food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beverage expenses of $188.5 million, and entertainment, retail and other expenses of $132.9 million. General and administrative expenses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$199.5 million and approximately $24.9 million charged as a provision for doubtful accounts receivable. During the year ended December 31, 2007, departmental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expenses included casino expenses of $276.5 million, room expenses of $75.8 million, food and beverage expenses of $192.5 million, and entertainment, retail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other expenses of $145.5 million. Also included are general and administrative expenses of approximately $199.8 million and approximately $21.1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charged as a provision for doubtful accounts receivable. Departmental expenses decreased commensurate with the decrease in revenues. General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administrative expenses increased with the opening of Encore, offset by a reduction in employee bonuses for the year ended December 31, 2008. Our provision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doubtful accounts receivable increased compared to the prior year primarily due to an additional provision in light of global economic uncertainties.</w:t>
      </w:r>
    </w:p>
    <w:p>
      <w:pPr>
        <w:spacing w:after="0" w:line="26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 fees</w:t>
      </w:r>
    </w:p>
    <w:p>
      <w:pPr>
        <w:spacing w:after="0" w:line="90" w:lineRule="exact"/>
        <w:rPr>
          <w:sz w:val="20"/>
          <w:szCs w:val="20"/>
          <w:color w:val="auto"/>
        </w:rPr>
      </w:pPr>
    </w:p>
    <w:p>
      <w:pPr>
        <w:jc w:val="both"/>
        <w:ind w:firstLine="456"/>
        <w:spacing w:after="0" w:line="335" w:lineRule="auto"/>
        <w:rPr>
          <w:sz w:val="20"/>
          <w:szCs w:val="20"/>
          <w:color w:val="auto"/>
        </w:rPr>
      </w:pPr>
      <w:r>
        <w:rPr>
          <w:rFonts w:ascii="Arial" w:cs="Arial" w:eastAsia="Arial" w:hAnsi="Arial"/>
          <w:sz w:val="15"/>
          <w:szCs w:val="15"/>
          <w:color w:val="auto"/>
        </w:rPr>
        <w:t>Since opening Wynn Las Vegas, management fees payable to Wynn Resorts for certain corporate management services have been charged and accrued at a rate equal to 1.5% of net revenues. These fees will be paid upon meeting certain leverage ratios and satisfying certain other criteria set forth in our credit facilities. Management fees were $16.5 million for the year ended December 31, 2008 compared to $19.5 million for the prior year as a result of decreased revenues.</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Pre-opening costs for the year ended December 31, 2008 of $72.4 million increased by $65.9 million compared to the $6.5 million incurred during the year ended December 31, 2007. Pre-opening costs for the year ended December 31, 2008 relate to Encore. Pre-opening costs related to Encore ceased once it opened on December 22, 2008.</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Depreciation and amortization expense for the year ended December 31, 2008 was $169.6 million, an increase of $16.8 million compared to the $152.8 million incurred in the year ended December 31, 2007. This increase related primarily to shortened estimated lives, beginning in March 2008, of certain hotel room furniture, fixtures and equipment at Wynn Las Vegas based on a planned room renovation and the opening of Encore.</w:t>
      </w:r>
    </w:p>
    <w:p>
      <w:pPr>
        <w:spacing w:after="0" w:line="10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During the construction of Wynn Las Vegas and Encore, costs incurred in the construction of the buildings, improvements to land and the purchases of assets for use in operations were capitalized. Once Wynn Las Vegas and Encore opened on April 28, 2005 and December 22, 2008, respectively, these assets were placed into service and we began recognizing the associated depreciation expense. Depreciation expense will continue throughout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estimated useful lives of these assets. In addition, we continually evaluate the useful life of our property and equipment, intangibles and other assets. When circumstances require a revision to those estimates of useful life, we adjust them accordingly.</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Property charges and other for the year ended December 31, 2008 of $22.4 million increased by $16.4 million compared to the $6 million incurred for the year ended December 31, 2007.</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Based upon our evaluation of Wynn Las Vegas and the reactions of our guests, we continue to make enhancements and refinements to Wynn Las Vegas. Costs relating to assets retired as a result of these enhancement and remodel efforts have been expensed as property charges. During the year ended December 31, 2008, property charges included $17.8 million of costs associated with Spamalot at Wynn Las Vegas which closed in mid-July 2008. Together with the producers, we elected to end the show’s run at Wynn Las Vegas pursuant to the contract. The charge includes production rights that were included in intangible assets, show production costs that were included in other assets and certain other property and equipment. The remaining property charges were related to miscellaneous renovations and abandonments at Wynn Las Vegas.</w:t>
      </w:r>
    </w:p>
    <w:p>
      <w:pPr>
        <w:spacing w:after="0" w:line="12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Property charges for the year ended December 31, 2007 were related to renovations to portions of the Le Rêve Theater, the abandonment of a marquee sign, the conversion of two retail outlets and a nightclub at Wynn Las Vegas.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expect to continue to remodel and make enhancements at our properties.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right="400" w:firstLine="456"/>
        <w:spacing w:after="0" w:line="256" w:lineRule="auto"/>
        <w:rPr>
          <w:sz w:val="20"/>
          <w:szCs w:val="20"/>
          <w:color w:val="auto"/>
        </w:rPr>
      </w:pPr>
      <w:r>
        <w:rPr>
          <w:rFonts w:ascii="Arial" w:cs="Arial" w:eastAsia="Arial" w:hAnsi="Arial"/>
          <w:sz w:val="18"/>
          <w:szCs w:val="18"/>
          <w:color w:val="auto"/>
        </w:rPr>
        <w:t>Interest income was $4.8 million for the year ended December 31, 2008, a decrease of $9.4 million compared to $14.2 million for the year ended December 31, 2007. This decrease was primarily due to reduced interest income earned on invested cash balances during the year ended December 31, 2008 compared to 2007 as our cash was used to fund costs related to the development and construction of Encore, along with a decrease in interest rates on our invested cash balance.</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Interest expense was $75.9 million, net of capitalized interest of $80.4 million for the year ended December 31, 2008 compared to $86.1 million, net of capitalized interest of $33.6 million, for the year ended December 31, 2007. Interest expense increased approximately $24.1 million related to the additional $400 million of 2014 notes issued in November 2007 and approximately $12.5 million net related to borrowings under our credit facilities and other. This increase was offset by an approximate $46.8 million increase in capitalized interest due to the construction costs of Encore. In future periods, interest expense will increase significantly as we no longer capitalize such costs with the opening of Encore.</w:t>
      </w:r>
    </w:p>
    <w:p>
      <w:pPr>
        <w:spacing w:after="0" w:line="11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Changes in the fair value of our interest rate swap are recorded as an increase (decrease) in swap fair value. We recorded a decrease in swap fair value of approximately $0.4 million for the year ended December 31, 2008 and a decrease in swap fair value of approximately $4.4 million for the year ended December 31, 2007 resulting from a decrease in the fair value of our interest rate swap from December 31, 2007 to December 31, 2008 and a decrease in the fair value of our interest rate swap from December 31, 2006 to December 31, 2007, respectively.</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Loss on extinguishment of debt for the year ended December 31, 2007 was $157,000. In March 2007, World Travel, LLC, a subsidiary of Wynn Las Vegas, LLC, refinanced a $44.75 million note payable. The new loan had an original principal balance of $42 million and is due April 1, 2017. In connection with this transaction, we incurred a net loss from extinguishment of debt of $157,000 related to the write-off of unamortized debt issue costs associated with the original loan during the year ended December 31, 2007.</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8940"/>
        <w:spacing w:after="0"/>
        <w:rPr>
          <w:sz w:val="20"/>
          <w:szCs w:val="20"/>
          <w:color w:val="auto"/>
        </w:rPr>
      </w:pPr>
      <w:r>
        <w:rPr>
          <w:rFonts w:ascii="Arial" w:cs="Arial" w:eastAsia="Arial" w:hAnsi="Arial"/>
          <w:sz w:val="16"/>
          <w:szCs w:val="16"/>
          <w:b w:val="1"/>
          <w:bCs w:val="1"/>
          <w:color w:val="auto"/>
        </w:rPr>
        <w:t>Liquidity and Capital Resources</w:t>
      </w:r>
    </w:p>
    <w:p>
      <w:pPr>
        <w:spacing w:after="0" w:line="119" w:lineRule="exact"/>
        <w:rPr>
          <w:sz w:val="20"/>
          <w:szCs w:val="20"/>
          <w:color w:val="auto"/>
        </w:rPr>
      </w:pPr>
    </w:p>
    <w:p>
      <w:pPr>
        <w:jc w:val="center"/>
        <w:ind w:right="8940"/>
        <w:spacing w:after="0"/>
        <w:rPr>
          <w:sz w:val="20"/>
          <w:szCs w:val="20"/>
          <w:color w:val="auto"/>
        </w:rPr>
      </w:pPr>
      <w:r>
        <w:rPr>
          <w:rFonts w:ascii="Arial" w:cs="Arial" w:eastAsia="Arial" w:hAnsi="Arial"/>
          <w:sz w:val="18"/>
          <w:szCs w:val="18"/>
          <w:i w:val="1"/>
          <w:iCs w:val="1"/>
          <w:color w:val="auto"/>
        </w:rPr>
        <w:t>Cash Flow from Operations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Net cash provided by operations for the year ended December 31, 2009 was $80.4 million compared to $135.1 million provided by operations for the year ended December 31, 2008. Operating cash flows were negatively impacted by increased interest as we no longer capitalized such cost with the opening of Encore in 2008, a decrease in departmental profit due to current economic conditions and the opening of Encore, and decreased benefits from ordinary working capital changes, offset by decreases in pre-opening costs that were incurred during 2008 related to Encore.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 Resources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At December 31, 2009, we had approximately $66.4 million of cash and cash equivalents available for use without restriction, including for operations, debt service and retirement, new development activities, enhancements to Wynn Las Vegas and Encore and general corporate purposes. We require a certain amount of cash on hand for operations. As of December 31, 2009, we have $185 million of availability under our senior revolving credit facility. We anticipate such funds, together with any other cash needs during 2010 in excess of what we generate from operations or additional borrowings, will be provided with capital contributions from Wynn Resorts. Except for scheduled quarterly payments on one note payable, we have no debt maturities until September 2012.</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Investing Activities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Capital expenditures were approximately $245 million for the year ended December 31, 2009, and were related primarily to cash payments on construction and retention payables for Encore. Capital expenditures were approximately $1.1 billion for the year ended December 31, 2008 and were almost entirely related to the construction of Encore.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Note Receivable from Wynn Resorts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August 15, 2005, Wynn Las Vegas, LLC loaned $80 million to Wynn Resorts. In July 2008, Wynn Resorts repaid the $80 million.</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Financing Activities</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During the year ended December 31, 2009, Wynn Resorts made capital contributions to us in the amount of $413 million. The proceeds from these contributions were used to fund construction costs of Encore paid during the year, to fund the paydown on the Wynn Las Vegas Revolver pursuant to the fourth amendment to our credit facilities, and to fund the offer to purchase loans outstanding under the Credit Agreement described below.</w:t>
      </w:r>
    </w:p>
    <w:p>
      <w:pPr>
        <w:spacing w:after="0" w:line="10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As of December 31, 2009, our Wynn Las Vegas Amended and Restated Credit Agreement (the “Credit Agreement”), consisted of a $457.9 million revolving credit facility (the “Wynn Las Vegas Revolver”) and an $80.4 million term loan facility (the “Wynn Las Vegas Term Loan”) (together the “Wynn Las Vegas Credit Facilities”). As of December 31, 2009, we had borrowed $252.7 million under the Wynn Las Vegas Revolver. We also had $20.2 million of outstanding letters of credit that reduce our availability under the Wynn Las Vegas Revolver. Consequently, we have availability of $185 million under the Wynn Las Vegas Revolver as of December 31, 2009. As described below, during the year ended December 31, 2009, we (a) extended the maturity of the Wynn Las Vegas Revolver, (b) received relief from certain financial covenants, (c) increased the Wynn Las Vegas Revolver by $65 million, (d) repurchased $87.6 million of Wynn Las Vegas Revolver loans at a discount, and (e) used the net proceeds received from our $500 million old 2017 notes issuance to repay amounts outstanding, including a permanent reduction in the Wynn Las Vegas Credit Facilities of $360 million.</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April 2009, we entered into a fourth amendment to our Credit Agreement. This amendment, among other things, (i) provides a waiver of the Consolidated Leverage Ratio, as defined in the Credit Agreement, until the quarter ending June 30, 2011, and increases such thresholds thereafter; (ii) provides additional flexibility with our Consolidated Interest Coverage Ratio, as defined in the Credit Agreement, by reducing such ratio from 1.75 : 1 to 1.25 : 1 beginning June 30, 2009 through March 31, 2011; and (iii) removes the dollar limit on the equity cure provisions for the purpose of the Consolidated Leverage Ratio and the Consolidated Interest Coverage Ratio over the life of the loan. In exchange for the amendments, we (i) repaid 30% of the outstanding revolver loans of lenders consenting to the extension of their commitment (approximately $238 million) and permanently reduced such lender commitments by 25%; and (ii) agreed to an increase in the interest rate spread on the Wynn Las Vegas Revolver from LIBOR plus 1.625% to LIBOR plus 3.0%.</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August 2009, pursuant to the terms of the Credit Agreement, we expanded the availability of the Wynn Las Vegas Revolver by $65 million.</w:t>
      </w:r>
    </w:p>
    <w:p>
      <w:pPr>
        <w:spacing w:after="0" w:line="194" w:lineRule="exact"/>
        <w:rPr>
          <w:sz w:val="20"/>
          <w:szCs w:val="20"/>
          <w:color w:val="auto"/>
        </w:rPr>
      </w:pPr>
    </w:p>
    <w:p>
      <w:pPr>
        <w:ind w:right="160" w:firstLine="456"/>
        <w:spacing w:after="0" w:line="370" w:lineRule="auto"/>
        <w:rPr>
          <w:sz w:val="20"/>
          <w:szCs w:val="20"/>
          <w:color w:val="auto"/>
        </w:rPr>
      </w:pPr>
      <w:r>
        <w:rPr>
          <w:rFonts w:ascii="Arial" w:cs="Arial" w:eastAsia="Arial" w:hAnsi="Arial"/>
          <w:sz w:val="15"/>
          <w:szCs w:val="15"/>
          <w:color w:val="auto"/>
        </w:rPr>
        <w:t>In September 2009, we entered into a fifth amendment to our Credit Agreement. This amendment, among other things, permitted the issuance of the old 2017 notes and required that 75% of the net cash proceeds from such issuance be applied to prepay loans and reduce commitments under the Credit Agreement.</w:t>
      </w:r>
    </w:p>
    <w:p>
      <w:pPr>
        <w:spacing w:after="0" w:line="6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October 2009, pursuant to an offer to purchase loans outstanding under the Credit Agreement, we purchased loans with a face value of $87.6 million for $84.4 million, reflecting a discounted price of 96.37%. As a result of this transaction, the Wynn Las Vegas Revolver was permanently reduced by $43.8 million and the Wynn Las Vegas Term Loan was permanently reduced by $44.8 million.</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October 2009, the Issuers issued, in a private offering, $500 million aggregate principal amount of old 2017 notes at a price of 97.823% of the principal amount. The old 2017 notes rank pari passu with the borrowing under the Wynn Las Vegas Credit Facilities, the outstanding 2020 notes and the outstanding 2014 notes issued by the Issuers. The old 2017 notes are senior secured obligations of the Issuers, are guaranteed by Wynn Las Vegas, LLC’s subsidiaries (subject to some exceptions), and are secured on an equal and ratable basis by a first priority lien on substantially all the existing and future assets of the Issuers and guarantors. In accordance with the fifth amendment to the Wynn Las Vegas Credit Agreement described above, we used the proceeds of this offering to repay amounts outstanding under the Wynn Las Vegas Revolver and Wynn Las Vegas Term Loan.</w:t>
      </w:r>
    </w:p>
    <w:p>
      <w:pPr>
        <w:spacing w:after="0" w:line="12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Wynn Las Vegas Term Loan will be payable in two installments of $40.2 million each on September 30, 2012 and August 15, 2013. The Wynn Las Vegas Revolver matures on July 15, 2013.</w:t>
      </w:r>
    </w:p>
    <w:p>
      <w:pPr>
        <w:spacing w:after="0" w:line="13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For borrowings under the Wynn Las Vegas Revolver we have historically elected Eurodollar loans, which bear interest at 1-month LIBOR and currently include a margin of 3.0% on the outstanding balance. We also incur a fee of 1.0% on the daily average of unborrowed amounts. For borrowings under the Wynn Las Vegas Term Loan we have historically elected Eurodollar loans, which bear interest at 1-month LIBOR and currently include a margin of 1.875% on the outstanding balance.</w:t>
      </w:r>
    </w:p>
    <w:p>
      <w:pPr>
        <w:spacing w:after="0" w:line="143" w:lineRule="exact"/>
        <w:rPr>
          <w:sz w:val="20"/>
          <w:szCs w:val="20"/>
          <w:color w:val="auto"/>
        </w:rPr>
      </w:pPr>
    </w:p>
    <w:p>
      <w:pPr>
        <w:ind w:right="480" w:firstLine="456"/>
        <w:spacing w:after="0" w:line="323" w:lineRule="auto"/>
        <w:rPr>
          <w:sz w:val="20"/>
          <w:szCs w:val="20"/>
          <w:color w:val="auto"/>
        </w:rPr>
      </w:pPr>
      <w:r>
        <w:rPr>
          <w:rFonts w:ascii="Arial" w:cs="Arial" w:eastAsia="Arial" w:hAnsi="Arial"/>
          <w:sz w:val="15"/>
          <w:szCs w:val="15"/>
          <w:color w:val="auto"/>
        </w:rPr>
        <w:t>The Wynn Las Vegas Credit Facilities are an obligation of Wynn Las Vegas, LLC and are guaranteed by and secured by substantially all of the assets (except the corporate aircraft) of each of its subsidiaries (other than Wynn Completion Guarantor, LLC). The obligations of Wynn Las Vegas, LLC and the guarantors under the Wynn Las Vegas Credit Agreement rank pari passu in right of payment with their existing and future senior indebtedness, including indebtedness with respect to the 2014 notes and the old notes and senior in right of payment to all of their existing and future subordinated indebtedness.</w:t>
      </w:r>
    </w:p>
    <w:p>
      <w:pPr>
        <w:spacing w:after="0" w:line="98"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The Wynn Las Vegas Credit Agreement contains a requirement that we must make mandatory repayments of indebtedness from specified percentages of excess cash flow. If Wynn Las Vegas meets a Consolidated Leverage Ratio, as defined in the Credit Agreement, of greater than 3.5:1, such repayment is defined as 50% of Excess Cash Flow, as defined in the Credit Agreement. If the Consolidated Leverage Ratio is equal to or less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than 3.5:1, then no repayment is required. Based on the current economic conditions in which we are operating, we do not believe that Wynn Las Vegas will have excess cash flow for mandatory repayment pursuant to this provision of the Credit Agreement during the fiscal year ending December 31, 2010, and therefore we do not expect to make any mandatory repayments pursuant to this requirement during 2010.</w:t>
      </w:r>
    </w:p>
    <w:p>
      <w:pPr>
        <w:spacing w:after="0" w:line="14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Wynn Las Vegas Credit Agreement contains customary covenants restricting our activities including, but not limited to: the ability to sell assets, make capital expenditures, enter into capital leases, make loans or other investments and incur additional indebtedness. In addition, we were required by the financial covenants to maintain a Consolidated Interest Coverage Ratio, as defined, not less than 1.25 : 1 as of December 31, 2009. Management believes that we were in compliance with all covenants at December 31, 2009. We will be required to maintain a Consolidated Leverage Ratio, as defined, of 6.50 : 1 for the quarterly reporting date ending June 30, 2011, 6.25 : 1 for the quarterly reporting date ending September 30, 2011 and 6.00 : 1 for each quarterly reporting date thereafter to maturity. The Consolidated Interest Coverage Ratio remains at 1.25 : 1 for the quarterly reporting dates through March 31, 2011, and then increases to 1.75 : 1 for the quarterly reporting dates June 30, 2011 to maturity.</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Off-Balance Sheet Arrangements</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have not entered into any transactions with special purpose entities nor do we engage in any derivatives except for previously discussed interest rate swaps. We do not have any retained or contingent interest in assets transferred to an unconsolidated entity. At December 31, 2009, we had outstanding letters of credit totaling $20.2 million.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scheduled contractual commitments at December 31, 2009 (amounts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6"/>
          </w:tcPr>
          <w:p>
            <w:pPr>
              <w:jc w:val="right"/>
              <w:ind w:right="760"/>
              <w:spacing w:after="0"/>
              <w:rPr>
                <w:sz w:val="20"/>
                <w:szCs w:val="20"/>
                <w:color w:val="auto"/>
              </w:rPr>
            </w:pPr>
            <w:r>
              <w:rPr>
                <w:rFonts w:ascii="Arial" w:cs="Arial" w:eastAsia="Arial" w:hAnsi="Arial"/>
                <w:sz w:val="14"/>
                <w:szCs w:val="14"/>
                <w:b w:val="1"/>
                <w:bCs w:val="1"/>
                <w:color w:val="auto"/>
              </w:rPr>
              <w:t>Payments Due By Period</w:t>
            </w: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9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Less Than</w:t>
            </w:r>
          </w:p>
        </w:tc>
        <w:tc>
          <w:tcPr>
            <w:tcW w:w="100" w:type="dxa"/>
            <w:vAlign w:val="bottom"/>
          </w:tcPr>
          <w:p>
            <w:pPr>
              <w:spacing w:after="0"/>
              <w:rPr>
                <w:sz w:val="11"/>
                <w:szCs w:val="11"/>
                <w:color w:val="auto"/>
              </w:rPr>
            </w:pPr>
          </w:p>
        </w:tc>
        <w:tc>
          <w:tcPr>
            <w:tcW w:w="4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1"/>
              </w:rPr>
              <w:t>1 to 3</w:t>
            </w:r>
          </w:p>
        </w:tc>
        <w:tc>
          <w:tcPr>
            <w:tcW w:w="340" w:type="dxa"/>
            <w:vAlign w:val="bottom"/>
          </w:tcPr>
          <w:p>
            <w:pPr>
              <w:spacing w:after="0"/>
              <w:rPr>
                <w:sz w:val="11"/>
                <w:szCs w:val="11"/>
                <w:color w:val="auto"/>
              </w:rPr>
            </w:pPr>
          </w:p>
        </w:tc>
        <w:tc>
          <w:tcPr>
            <w:tcW w:w="960" w:type="dxa"/>
            <w:vAlign w:val="bottom"/>
            <w:gridSpan w:val="2"/>
          </w:tcPr>
          <w:p>
            <w:pPr>
              <w:jc w:val="right"/>
              <w:ind w:right="480"/>
              <w:spacing w:after="0" w:line="129" w:lineRule="exact"/>
              <w:rPr>
                <w:sz w:val="20"/>
                <w:szCs w:val="20"/>
                <w:color w:val="auto"/>
              </w:rPr>
            </w:pPr>
            <w:r>
              <w:rPr>
                <w:rFonts w:ascii="Arial" w:cs="Arial" w:eastAsia="Arial" w:hAnsi="Arial"/>
                <w:sz w:val="14"/>
                <w:szCs w:val="14"/>
                <w:b w:val="1"/>
                <w:bCs w:val="1"/>
                <w:color w:val="auto"/>
              </w:rPr>
              <w:t>4 to 5</w:t>
            </w:r>
          </w:p>
        </w:tc>
        <w:tc>
          <w:tcPr>
            <w:tcW w:w="840" w:type="dxa"/>
            <w:vAlign w:val="bottom"/>
            <w:gridSpan w:val="2"/>
          </w:tcPr>
          <w:p>
            <w:pPr>
              <w:jc w:val="right"/>
              <w:ind w:right="440"/>
              <w:spacing w:after="0" w:line="129" w:lineRule="exact"/>
              <w:rPr>
                <w:sz w:val="20"/>
                <w:szCs w:val="20"/>
                <w:color w:val="auto"/>
              </w:rPr>
            </w:pPr>
            <w:r>
              <w:rPr>
                <w:rFonts w:ascii="Arial" w:cs="Arial" w:eastAsia="Arial" w:hAnsi="Arial"/>
                <w:sz w:val="14"/>
                <w:szCs w:val="14"/>
                <w:b w:val="1"/>
                <w:bCs w:val="1"/>
                <w:color w:val="auto"/>
              </w:rPr>
              <w:t>After</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5"/>
              </w:rPr>
              <w:t>1 Year</w:t>
            </w: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8"/>
              </w:rPr>
              <w:t>Years</w:t>
            </w:r>
          </w:p>
        </w:tc>
        <w:tc>
          <w:tcPr>
            <w:tcW w:w="340" w:type="dxa"/>
            <w:vAlign w:val="bottom"/>
          </w:tcPr>
          <w:p>
            <w:pPr>
              <w:spacing w:after="0"/>
              <w:rPr>
                <w:sz w:val="14"/>
                <w:szCs w:val="14"/>
                <w:color w:val="auto"/>
              </w:rPr>
            </w:pPr>
          </w:p>
        </w:tc>
        <w:tc>
          <w:tcPr>
            <w:tcW w:w="62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Years</w:t>
            </w:r>
          </w:p>
        </w:tc>
        <w:tc>
          <w:tcPr>
            <w:tcW w:w="34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5 Years</w:t>
            </w:r>
          </w:p>
        </w:tc>
        <w:tc>
          <w:tcPr>
            <w:tcW w:w="340" w:type="dxa"/>
            <w:vAlign w:val="bottom"/>
          </w:tcPr>
          <w:p>
            <w:pPr>
              <w:spacing w:after="0"/>
              <w:rPr>
                <w:sz w:val="14"/>
                <w:szCs w:val="14"/>
                <w:color w:val="auto"/>
              </w:rPr>
            </w:pPr>
          </w:p>
        </w:tc>
        <w:tc>
          <w:tcPr>
            <w:tcW w:w="6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3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$1,995.7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$531.5</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$2,571.3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Fixed interest payments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152.0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304.0</w:t>
            </w: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294.6</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111.6</w:t>
            </w:r>
          </w:p>
        </w:tc>
        <w:tc>
          <w:tcPr>
            <w:tcW w:w="620" w:type="dxa"/>
            <w:vAlign w:val="bottom"/>
          </w:tcPr>
          <w:p>
            <w:pPr>
              <w:jc w:val="right"/>
              <w:spacing w:after="0"/>
              <w:rPr>
                <w:sz w:val="20"/>
                <w:szCs w:val="20"/>
                <w:color w:val="auto"/>
              </w:rPr>
            </w:pPr>
            <w:r>
              <w:rPr>
                <w:rFonts w:ascii="Arial" w:cs="Arial" w:eastAsia="Arial" w:hAnsi="Arial"/>
                <w:sz w:val="18"/>
                <w:szCs w:val="18"/>
                <w:color w:val="auto"/>
              </w:rPr>
              <w:t>862.2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Estimated variable interest payments(1)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3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w:t>
            </w: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.3</w:t>
            </w:r>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contracts and commitments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Employment agreements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17.8</w:t>
            </w: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1.6</w:t>
            </w: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31.6</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2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commitments</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20" w:type="dxa"/>
            <w:vAlign w:val="bottom"/>
            <w:gridSpan w:val="2"/>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266.8</w:t>
            </w:r>
          </w:p>
        </w:tc>
        <w:tc>
          <w:tcPr>
            <w:tcW w:w="3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430.4</w:t>
            </w:r>
          </w:p>
        </w:tc>
        <w:tc>
          <w:tcPr>
            <w:tcW w:w="34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2,332.8</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647.1</w:t>
            </w:r>
          </w:p>
        </w:tc>
        <w:tc>
          <w:tcPr>
            <w:tcW w:w="34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3,677.1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620" w:hanging="452"/>
        <w:spacing w:after="0" w:line="254"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Amounts for all periods represent our estimated future interest payments on our debt facilities based upon amounts outstanding and LIBOR rates at December 31, 2009. Such rates are at historical lows as of December 31, 2009. Actual rates will vary.</w:t>
      </w: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Other includes open purchase orders and other contracts.</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Liquidity Matters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are restricted under the indentures governing the 2014 notes, the 2017 notes and the 2020 notes from making certain “restricted payments” as defined in the indentures. These restricted payments include the payment of dividends or distributions to any direct or indirect holders of equity interests of Wynn Las Vegas, LLC. The restricted payments may not be made until certain other financial and non-financial criteria have been satisfied. In addition, the Credit Facilities contain similar restrictions.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323" w:lineRule="auto"/>
        <w:rPr>
          <w:sz w:val="20"/>
          <w:szCs w:val="20"/>
          <w:color w:val="auto"/>
        </w:rPr>
      </w:pPr>
      <w:r>
        <w:rPr>
          <w:rFonts w:ascii="Arial" w:cs="Arial" w:eastAsia="Arial" w:hAnsi="Arial"/>
          <w:sz w:val="15"/>
          <w:szCs w:val="15"/>
          <w:color w:val="auto"/>
        </w:rPr>
        <w:t>Wynn Las Vegas and Encore will fund their operations and capital requirements from operating cash flow, and to the extent required and available, from capital contributions from Wynn Resorts. We cannot be sure that Wynn Las Vegas and Encore will generate sufficient cash flow from operations or that future borrowings or contributions from Wynn Resorts that are available to us, if any, will be sufficient to enable us to service and repay Wynn Las Vegas, LLC’s indebtedness and to fund its other liquidity needs. We cannot be sure that we will be able to refinance any of our indebtedness on acceptable terms or at all.</w:t>
      </w:r>
    </w:p>
    <w:p>
      <w:pPr>
        <w:spacing w:after="0" w:line="98"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We continue to explore opportunities to develop additional gaming or related businesses in Las Vegas, as well as other domestic or international markets. There can be no assurances regarding the business prospects with respect to any other opportunity. Any future development would require us to obtain additional financing.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Management’s discussion and analysis of our results of operations and liquidity and capital resources are based on our consolidated financial statements. Our consolidated financial statements were prepared in conformity with accounting principles generally accepted in the United States of America. Certain of our accounting policies require that management apply significant judgment in defining the appropriate assumptions integral to financial estimates. On an ongoing basis, management evaluates those estimates, including those relating to the estimated lives of depreciable assets, asset impairment, allowances for doubtful accounts, accruals for customer loyalty rewards, self insurance, contingencies, litigation and other items. Judgments are based on historical experience, terms of existing contracts, industry trends and information available from outside sources, as appropriate. However, by their nature, judgments are subject to an inherent degree of uncertainty, and therefore actual results could differ from our estimates.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Development, Construction and Property and Equipment Estimates</w:t>
      </w:r>
    </w:p>
    <w:p>
      <w:pPr>
        <w:spacing w:after="0" w:line="90"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During the construction and development of a resort, pre-opening or start-up costs are expensed when incurred. In connection with the construction and development of our properties, significant start-up costs are incurred and charged to pre-opening costs through their respective openings. Once our properties open, expenses associated with the opening of the resorts are no longer charged as pre-opening costs.</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During the construction and development stage, direct costs such as those incurred for the design and construction of our properties, including applicable portions of interest, are capitalized. Accordingly, the recorded amounts of property and equipment increase significantly during construction periods. Depreciation expense related to capitalized construction costs is recognized when the related assets are placed in service. Upon the opening of our properties, we begin recognizing depreciation expense on the resort’s fixed assets.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remaining estimated useful lives of assets are periodically reviewed and adjusted as necessary.</w:t>
      </w:r>
    </w:p>
    <w:p>
      <w:pPr>
        <w:spacing w:after="0" w:line="171"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Costs of repairs and maintenance are charged to expense when incurred. The cost and accumulated depreciation of property and equipment retired or otherwise disposed of are eliminated from the respective accounts and any resulting gain or loss is included in operating income or loss.</w:t>
      </w:r>
    </w:p>
    <w:p>
      <w:pPr>
        <w:spacing w:after="0" w:line="8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also evaluate our property and equipment and other long-lived assets for impairment in accordance with accounting standards for the impairment or disposal of long-lived assets. For assets to be disposed of, we recognize the asset at the lower of carrying value or fair market value less costs of disposal, as estimated based on comparable asset sales, solicited offers, or a discounted cash flow model. For assets to be held and used, we review for impairment whenever indicators of impairment exist. In reviewing for impairment we compare the estimated future cash flows of the asset, on an undiscounted basis, to the carrying value of the asset. If the undiscounted cash flows exceed the carrying value, no impairment is indicated. If the undiscounted cash flows do not exceed the carrying value, then an impairment is recorded based on the fair value of the asset, typically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measured using a discounted cash flow model. If an asset is still under development, future cash flows include remaining construction costs. All recognized impairment losses, whether for assets to be disposed of or assets to be held and used, are recorded as operating expenses.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Allowance for Estimated Doubtful Accounts Receivable</w:t>
      </w:r>
    </w:p>
    <w:p>
      <w:pPr>
        <w:spacing w:after="0" w:line="90"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A substantial portion of our outstanding receivables relate to casino credit play. Credit play, through the issuance of markers, represents a significant portion of the table games volume at Wynn Las Vegas and Encore. We maintain strict controls over the issuance of markers and aggressively pursue collection from those customers who fail to pay their balances in a timely fashion. These collection efforts may include the mailing of statements and delinquency notices, personal contacts, the use of outside collection agencies, and litigation. Markers are generally legally enforceable instruments in the United States. Markers are not legally enforceable instruments in some foreign countries, but the United States assets of foreign customers may be used to satisfy judgments entered in the United States. At December 31, 2009 and 2008, approximately 68% and 69%, respectively, of our casino accounts receivable were owed by customers from foreign countries, primarily in Asia. The collectability of markers given by foreign customers is affected by a number of factors including changes in currency exchange rates and economic conditions in the customers’ home countries.</w:t>
      </w:r>
    </w:p>
    <w:p>
      <w:pPr>
        <w:spacing w:after="0" w:line="118"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We regularly evaluate our reserve for bad debts based on a specific review of customer accounts as well as management’s prior experience with collection trends in the casino industry and current economic and business conditions. The following table presents key statistics related to our casino accounts receivables (amounts in thousands):</w:t>
      </w:r>
    </w:p>
    <w:p>
      <w:pPr>
        <w:spacing w:after="0" w:line="16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4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61"/>
        </w:trPr>
        <w:tc>
          <w:tcPr>
            <w:tcW w:w="5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2009</w:t>
            </w: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r>
      <w:tr>
        <w:trPr>
          <w:trHeight w:val="210"/>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Casino accounts receivable</w:t>
            </w:r>
          </w:p>
        </w:tc>
        <w:tc>
          <w:tcPr>
            <w:tcW w:w="118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149,786</w:t>
            </w:r>
          </w:p>
        </w:tc>
        <w:tc>
          <w:tcPr>
            <w:tcW w:w="5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142,515</w:t>
            </w:r>
          </w:p>
        </w:tc>
        <w:tc>
          <w:tcPr>
            <w:tcW w:w="200" w:type="dxa"/>
            <w:vAlign w:val="bottom"/>
            <w:shd w:val="clear" w:color="auto" w:fill="CCEEFF"/>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Allowance for doubtful casino accounts receivable</w:t>
            </w:r>
          </w:p>
        </w:tc>
        <w:tc>
          <w:tcPr>
            <w:tcW w:w="11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66,328</w:t>
            </w:r>
          </w:p>
        </w:tc>
        <w:tc>
          <w:tcPr>
            <w:tcW w:w="560" w:type="dxa"/>
            <w:vAlign w:val="bottom"/>
          </w:tcPr>
          <w:p>
            <w:pPr>
              <w:spacing w:after="0"/>
              <w:rPr>
                <w:sz w:val="18"/>
                <w:szCs w:val="18"/>
                <w:color w:val="auto"/>
              </w:rPr>
            </w:pP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64,530</w:t>
            </w:r>
          </w:p>
        </w:tc>
        <w:tc>
          <w:tcPr>
            <w:tcW w:w="200" w:type="dxa"/>
            <w:vAlign w:val="bottom"/>
          </w:tcPr>
          <w:p>
            <w:pPr>
              <w:spacing w:after="0"/>
              <w:rPr>
                <w:sz w:val="18"/>
                <w:szCs w:val="18"/>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Allowance as a percentage of casino accounts receivable</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44.3%</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45.3%</w:t>
            </w:r>
          </w:p>
        </w:tc>
      </w:tr>
      <w:tr>
        <w:trPr>
          <w:trHeight w:val="222"/>
        </w:trPr>
        <w:tc>
          <w:tcPr>
            <w:tcW w:w="5800" w:type="dxa"/>
            <w:vAlign w:val="bottom"/>
          </w:tcPr>
          <w:p>
            <w:pPr>
              <w:spacing w:after="0"/>
              <w:rPr>
                <w:sz w:val="20"/>
                <w:szCs w:val="20"/>
                <w:color w:val="auto"/>
              </w:rPr>
            </w:pPr>
            <w:r>
              <w:rPr>
                <w:rFonts w:ascii="Arial" w:cs="Arial" w:eastAsia="Arial" w:hAnsi="Arial"/>
                <w:sz w:val="18"/>
                <w:szCs w:val="18"/>
                <w:color w:val="auto"/>
              </w:rPr>
              <w:t>Percentage of casino accounts receivable outstanding over 180 days</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37.9%</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31.0%</w:t>
            </w:r>
          </w:p>
        </w:tc>
      </w:tr>
    </w:tbl>
    <w:p>
      <w:pPr>
        <w:spacing w:after="0" w:line="14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Our reserve for doubtful casino accounts receivable is based on our estimates of amounts collectible and depends on the risk assessments and judgments by our employees regarding realizability, the state of the economy and our credit policy.</w:t>
      </w:r>
    </w:p>
    <w:p>
      <w:pPr>
        <w:spacing w:after="0" w:line="13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At December 31, 2009, a 100 basis-point change in the allowance for doubtful accounts as a percentage of casino accounts receivable would change the provision for doubtful accounts by approximately $1.5 million.</w:t>
      </w:r>
    </w:p>
    <w:p>
      <w:pPr>
        <w:spacing w:after="0" w:line="132"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As our customer payment experience evolves, we will continue to refine our estimated reserve for bad debts. Accordingly, the associated provision for doubtful accounts charge may fluctuate. Because individual customer account balances can be significant, the reserve and the provision can change significantly between periods, as we become aware of additional information about a customer or changes in a region’s economy or legal system.</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 Financial Instruments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seek to manage our market risk, including interest rate risk associated with variable rate borrowings, through balancing fixed-rate and variable-rate borrowings and the use of derivative financial instruments. We account for derivative financial instruments in accordance with applicable accounting standards. Derivative financial instruments are recognized as assets or liabilities, with changes in fair value affecting net income or comprehensive income, as applicable. As of December 31, 2009, changes in the swap fair values are being recorded in our Consolidated Statements of Operations, as the swaps do not qualify for hedge accounting.</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We measure the fair value of our interest rate swaps on a recurring basis. Accounting standards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We categorize these swap contracts as Level 2. The fair value approximates the amount we would receive (pay)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 We adjust this amount by applying a non-performance valuation, considering our creditworthiness or the creditworthiness of our counterparties at each settlement date, as applicable.</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Share-Based Compensation</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Accounting standards for share-based payments establishes standards for the accounting for transactions in which an entity exchanges its equity instruments for goods and services or incurs a liability in exchange for goods and services that are based on the fair value of the entity’s equity instruments or that may be settled by the issuance of those equity instruments. It requires an entity to measure the costs of employee services received in exchange for an award of equity instruments based on the grant-date fair value of the award and recognize that cost over the service period. We use the Black-Scholes valuation model to value the equity instruments issued by Wynn Resorts. The Black-Scholes valuation model uses assumptions of expected volatility, risk-free interest rates, the expected term of options granted, and expected rates of dividends. Management determines these assumptions by reviewing current market rates, making industry comparisons and reviewing conditions relevant to our Company.</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expected volatility and expected term assumptions can significantly impact the fair value of stock options. We believe that the valuation techniques and the approach utilized to develop our assumptions are appropriate in calculating the fair value of the options granted by Wynn Resorts. We estimate the expected stock price volatility using a combination of implied and historical factors related to Wynn Resorts’ stock price in accordance with applicable accounting standards. As Wynn Resorts’ stock price fluctuates, this estimate will change. For example, a 10% change in the volatility assumption for 2009 would have resulted in an approximate $1.8 million change in fair value. Expected term represents the estimated average time between the option’s grant date and its exercise date. Because of Wynn Resorts’ limited trading history as a public company we have elected to use the simplified method prescribed by applicable accounting standards, for companies with a limited trading history to estimate the expected term. Once Wynn Resorts has sufficient trading history, we will estimate the expected term using historical experience for options that have been granted to employees within Wynn Resorts’ stock option plan. A 10% change in the expected term assumption for 2009 would have resulted in an approximate $1.0 million change in fair value. These assumed changes in fair value would have been recognized over the vesting schedule of such awards.</w:t>
      </w:r>
    </w:p>
    <w:p>
      <w:pPr>
        <w:spacing w:after="0" w:line="123"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Accounting standards also require the classification of stock compensation expense in the same financial statement line items as cash compensation, and therefore impacts our departmental expenses (and related operating margins), pre-opening costs and construction in progress for our development projects, and our general and administrative expenses (including corporate expenses).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Significant Judgmental Accruals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estimate liabilities for certain self-insurance, customer loyalty program reward redemptions, contingencies, claims and litigation and other items, as appropriate. Management determines the adequacy of these estimates by reviewing the expected trends and from industry experience and adjusts the assumptions utilized as necessary.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6"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In June 2009, the Financial Accounting Standards Board (the “FASB”) issued new accounting standards regarding the consolidation of variable interest entities. These new accounting standards address the effects of elimination of the qualifying special-purpose entity concept from previous standards. These new accounting standards amend previous guidance in determining whether an enterprise has a controlling financial interest in a variable interest entity. This determination identifies the primary beneficiary of a variable interest entity as the enterprise that has both the power to direct the activities of a variable interest entity that most significantly impacts the entity’s economic performance and the ability to absorb losses or the right to receive benefits of the entity that could potentially be significant to the variable interest entity. These new accounting standards are effective January 1, 2010. We are currently evaluating the impact, if any, of adopting these new accounting standards on our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96"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Risks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primary exposure to market risk is interest rate risk associated with our debt facilities that bear interest based on floating rates. See “Management’s Discussion and Analysis of Financial Condition and Results of Operations—Liquidity and Capital Resources—Financing Activities.” We attempt to manage interest rate risk by managing the mix of long-term fixed rate borrowings and variable rate borrowings supplemented by hedging activities as believed by us to be appropriate. We cannot be sure that these risk management strategies have had the desired effect, and interest rate fluctuations could have a negative impact on our results of operations.</w:t>
      </w:r>
    </w:p>
    <w:p>
      <w:pPr>
        <w:spacing w:after="0" w:line="14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following table provides estimated future cash flow information derived from our best estimates of repayments at December 31, 2009 on our expected long-term indebtedness. However, we cannot predict the LIBOR rate that will be in effect in the future. As of December 31, 2009, such rates were at historic lows. Actual rates will vary. The one-month LIBOR rate at December 31, 2009 of 0.23% was used for all variable rate calculations in the table below.</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jc w:val="right"/>
              <w:ind w:right="880"/>
              <w:spacing w:after="0"/>
              <w:rPr>
                <w:sz w:val="20"/>
                <w:szCs w:val="20"/>
                <w:color w:val="auto"/>
              </w:rPr>
            </w:pPr>
            <w:r>
              <w:rPr>
                <w:rFonts w:ascii="Arial" w:cs="Arial" w:eastAsia="Arial" w:hAnsi="Arial"/>
                <w:sz w:val="14"/>
                <w:szCs w:val="14"/>
                <w:b w:val="1"/>
                <w:bCs w:val="1"/>
                <w:color w:val="auto"/>
                <w:w w:val="89"/>
              </w:rPr>
              <w:t>As of December 31,</w:t>
            </w: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2010</w:t>
            </w:r>
          </w:p>
        </w:tc>
        <w:tc>
          <w:tcPr>
            <w:tcW w:w="300" w:type="dxa"/>
            <w:vAlign w:val="bottom"/>
          </w:tcPr>
          <w:p>
            <w:pPr>
              <w:spacing w:after="0"/>
              <w:rPr>
                <w:sz w:val="12"/>
                <w:szCs w:val="12"/>
                <w:color w:val="auto"/>
              </w:rPr>
            </w:pPr>
          </w:p>
        </w:tc>
        <w:tc>
          <w:tcPr>
            <w:tcW w:w="5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12"/>
                <w:szCs w:val="12"/>
                <w:color w:val="auto"/>
              </w:rPr>
            </w:pPr>
          </w:p>
        </w:tc>
        <w:tc>
          <w:tcPr>
            <w:tcW w:w="660" w:type="dxa"/>
            <w:vAlign w:val="bottom"/>
            <w:gridSpan w:val="2"/>
          </w:tcPr>
          <w:p>
            <w:pPr>
              <w:jc w:val="right"/>
              <w:ind w:right="42"/>
              <w:spacing w:after="0" w:line="142" w:lineRule="exact"/>
              <w:rPr>
                <w:sz w:val="20"/>
                <w:szCs w:val="20"/>
                <w:color w:val="auto"/>
              </w:rPr>
            </w:pPr>
            <w:r>
              <w:rPr>
                <w:rFonts w:ascii="Arial" w:cs="Arial" w:eastAsia="Arial" w:hAnsi="Arial"/>
                <w:sz w:val="14"/>
                <w:szCs w:val="14"/>
                <w:b w:val="1"/>
                <w:bCs w:val="1"/>
                <w:color w:val="auto"/>
              </w:rPr>
              <w:t>2013</w:t>
            </w: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9"/>
              </w:rPr>
              <w:t>millions)</w:t>
            </w:r>
          </w:p>
        </w:tc>
        <w:tc>
          <w:tcPr>
            <w:tcW w:w="80" w:type="dxa"/>
            <w:vAlign w:val="bottom"/>
          </w:tcPr>
          <w:p>
            <w:pPr>
              <w:spacing w:after="0"/>
              <w:rPr>
                <w:sz w:val="12"/>
                <w:szCs w:val="12"/>
                <w:color w:val="auto"/>
              </w:rPr>
            </w:pPr>
          </w:p>
        </w:tc>
        <w:tc>
          <w:tcPr>
            <w:tcW w:w="540" w:type="dxa"/>
            <w:vAlign w:val="bottom"/>
          </w:tcPr>
          <w:p>
            <w:pPr>
              <w:jc w:val="right"/>
              <w:ind w:right="96"/>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2"/>
                <w:szCs w:val="12"/>
                <w:color w:val="auto"/>
              </w:rPr>
            </w:pPr>
          </w:p>
        </w:tc>
        <w:tc>
          <w:tcPr>
            <w:tcW w:w="11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Thereafter</w:t>
            </w:r>
          </w:p>
        </w:tc>
        <w:tc>
          <w:tcPr>
            <w:tcW w:w="80" w:type="dxa"/>
            <w:vAlign w:val="bottom"/>
          </w:tcPr>
          <w:p>
            <w:pPr>
              <w:spacing w:after="0"/>
              <w:rPr>
                <w:sz w:val="12"/>
                <w:szCs w:val="12"/>
                <w:color w:val="auto"/>
              </w:rPr>
            </w:pPr>
          </w:p>
        </w:tc>
        <w:tc>
          <w:tcPr>
            <w:tcW w:w="54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480" w:type="dxa"/>
            <w:vAlign w:val="bottom"/>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Long-term debt:</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Fixed rate</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492"/>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1,700.0</w:t>
            </w:r>
          </w:p>
        </w:tc>
        <w:tc>
          <w:tcPr>
            <w:tcW w:w="4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500.0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2,200.0</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Average interest rate</w:t>
            </w: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Variable rate</w:t>
            </w: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$ 1.1</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$ 1.4</w:t>
            </w:r>
          </w:p>
        </w:tc>
        <w:tc>
          <w:tcPr>
            <w:tcW w:w="46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$41.6</w:t>
            </w:r>
          </w:p>
        </w:tc>
        <w:tc>
          <w:tcPr>
            <w:tcW w:w="1140" w:type="dxa"/>
            <w:vAlign w:val="bottom"/>
            <w:gridSpan w:val="3"/>
          </w:tcPr>
          <w:p>
            <w:pPr>
              <w:jc w:val="right"/>
              <w:ind w:right="412"/>
              <w:spacing w:after="0"/>
              <w:rPr>
                <w:sz w:val="20"/>
                <w:szCs w:val="20"/>
                <w:color w:val="auto"/>
              </w:rPr>
            </w:pPr>
            <w:r>
              <w:rPr>
                <w:rFonts w:ascii="Arial" w:cs="Arial" w:eastAsia="Arial" w:hAnsi="Arial"/>
                <w:sz w:val="18"/>
                <w:szCs w:val="18"/>
                <w:color w:val="auto"/>
              </w:rPr>
              <w:t>$294.3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1.4</w:t>
            </w:r>
          </w:p>
        </w:tc>
        <w:tc>
          <w:tcPr>
            <w:tcW w:w="4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31.5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371.3</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Average interest rate</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10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1.5%</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1140" w:type="dxa"/>
            <w:vAlign w:val="bottom"/>
            <w:gridSpan w:val="3"/>
            <w:shd w:val="clear" w:color="auto" w:fill="CCEEFF"/>
          </w:tcPr>
          <w:p>
            <w:pPr>
              <w:jc w:val="right"/>
              <w:ind w:right="272"/>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Swaps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As of December 31, 2009, we have one interest rate swap agreement to hedge a portion of the underlying interest rate risk on borrowings under the Wynn Las Vegas Credit Agreement. Under this swap agreement, we pay a fixed interest rate of 2.485% on borrowings of $250 million incurred under the Wynn Las Vegas Credit Agreement in exchange for receipts on the same amount at a variable interest rate based on the applicable LIBOR at the time of payment. This interest rate swap fixes the interest rate on $250 million of borrowings under the Wynn Las Vegas Credit Agreement at approximately 5.485%. This interest rate swap agreement matures in November 2012. Changes in the fair value of this interest rate swap have and will continue to be recorded as an increase/ (decrease) in swap fair value in our Consolidated Statements of Operations as the swap does not qualify for hedge accounting.</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As of December 31, 2009, our interest rate swap had an approximate liability fair value of $4.2 million and is included in long-term liabilities in the accompanying Consolidated Balance Sheets. The fair value approximates the amount we would have paid if this contract had settled at the valuation date.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Interest Rate Swap Information</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following table provides information about our interest rate swaps, by contractual maturity dates, as of December 31, 2009 and using estimated future LIBOR rates based upon implied forward rates in the yield curve.</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00" w:type="dxa"/>
            <w:vAlign w:val="bottom"/>
            <w:gridSpan w:val="6"/>
          </w:tcPr>
          <w:p>
            <w:pPr>
              <w:jc w:val="right"/>
              <w:spacing w:after="0"/>
              <w:rPr>
                <w:sz w:val="20"/>
                <w:szCs w:val="20"/>
                <w:color w:val="auto"/>
              </w:rPr>
            </w:pPr>
            <w:r>
              <w:rPr>
                <w:rFonts w:ascii="Arial" w:cs="Arial" w:eastAsia="Arial" w:hAnsi="Arial"/>
                <w:sz w:val="14"/>
                <w:szCs w:val="14"/>
                <w:b w:val="1"/>
                <w:bCs w:val="1"/>
                <w:color w:val="auto"/>
              </w:rPr>
              <w:t>Years Ending December 31,</w:t>
            </w: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2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jc w:val="right"/>
              <w:ind w:right="77"/>
              <w:spacing w:after="0"/>
              <w:rPr>
                <w:sz w:val="20"/>
                <w:szCs w:val="20"/>
                <w:color w:val="auto"/>
              </w:rPr>
            </w:pPr>
            <w:r>
              <w:rPr>
                <w:rFonts w:ascii="Arial" w:cs="Arial" w:eastAsia="Arial" w:hAnsi="Arial"/>
                <w:sz w:val="14"/>
                <w:szCs w:val="14"/>
                <w:b w:val="1"/>
                <w:bCs w:val="1"/>
                <w:color w:val="auto"/>
                <w:w w:val="91"/>
              </w:rPr>
              <w:t>Expected Maturity Date</w:t>
            </w:r>
          </w:p>
        </w:tc>
        <w:tc>
          <w:tcPr>
            <w:tcW w:w="3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29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2010</w:t>
            </w:r>
          </w:p>
        </w:tc>
        <w:tc>
          <w:tcPr>
            <w:tcW w:w="34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2011</w:t>
            </w:r>
          </w:p>
        </w:tc>
        <w:tc>
          <w:tcPr>
            <w:tcW w:w="340" w:type="dxa"/>
            <w:vAlign w:val="bottom"/>
          </w:tcPr>
          <w:p>
            <w:pPr>
              <w:spacing w:after="0"/>
              <w:rPr>
                <w:sz w:val="12"/>
                <w:szCs w:val="12"/>
                <w:color w:val="auto"/>
              </w:rPr>
            </w:pPr>
          </w:p>
        </w:tc>
        <w:tc>
          <w:tcPr>
            <w:tcW w:w="50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6"/>
              </w:rPr>
              <w:t>2013</w:t>
            </w:r>
          </w:p>
        </w:tc>
        <w:tc>
          <w:tcPr>
            <w:tcW w:w="34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2014</w:t>
            </w:r>
          </w:p>
        </w:tc>
        <w:tc>
          <w:tcPr>
            <w:tcW w:w="340" w:type="dxa"/>
            <w:vAlign w:val="bottom"/>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Thereafter</w:t>
            </w:r>
          </w:p>
        </w:tc>
        <w:tc>
          <w:tcPr>
            <w:tcW w:w="340" w:type="dxa"/>
            <w:vAlign w:val="bottom"/>
          </w:tcPr>
          <w:p>
            <w:pPr>
              <w:spacing w:after="0"/>
              <w:rPr>
                <w:sz w:val="12"/>
                <w:szCs w:val="12"/>
                <w:color w:val="auto"/>
              </w:rPr>
            </w:pPr>
          </w:p>
        </w:tc>
        <w:tc>
          <w:tcPr>
            <w:tcW w:w="50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r>
      <w:tr>
        <w:trPr>
          <w:trHeight w:val="142"/>
        </w:trPr>
        <w:tc>
          <w:tcPr>
            <w:tcW w:w="29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ind w:left="120"/>
              <w:spacing w:after="0"/>
              <w:rPr>
                <w:sz w:val="20"/>
                <w:szCs w:val="20"/>
                <w:color w:val="auto"/>
              </w:rPr>
            </w:pPr>
            <w:r>
              <w:rPr>
                <w:rFonts w:ascii="Arial" w:cs="Arial" w:eastAsia="Arial" w:hAnsi="Arial"/>
                <w:sz w:val="12"/>
                <w:szCs w:val="12"/>
                <w:b w:val="1"/>
                <w:bCs w:val="1"/>
                <w:color w:val="auto"/>
                <w:w w:val="81"/>
              </w:rPr>
              <w:t>(in</w:t>
            </w:r>
          </w:p>
        </w:tc>
        <w:tc>
          <w:tcPr>
            <w:tcW w:w="70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millions)</w:t>
            </w: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Average notional amount</w:t>
            </w:r>
          </w:p>
        </w:tc>
        <w:tc>
          <w:tcPr>
            <w:tcW w:w="152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1120" w:type="dxa"/>
            <w:vAlign w:val="bottom"/>
            <w:gridSpan w:val="3"/>
            <w:shd w:val="clear" w:color="auto" w:fill="CCEEFF"/>
          </w:tcPr>
          <w:p>
            <w:pPr>
              <w:jc w:val="right"/>
              <w:ind w:right="212"/>
              <w:spacing w:after="0"/>
              <w:rPr>
                <w:sz w:val="20"/>
                <w:szCs w:val="20"/>
                <w:color w:val="auto"/>
              </w:rPr>
            </w:pPr>
            <w:r>
              <w:rPr>
                <w:rFonts w:ascii="Arial" w:cs="Arial" w:eastAsia="Arial" w:hAnsi="Arial"/>
                <w:sz w:val="18"/>
                <w:szCs w:val="18"/>
                <w:color w:val="auto"/>
              </w:rPr>
              <w:t>$250.0</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200" w:type="dxa"/>
            <w:vAlign w:val="bottom"/>
            <w:shd w:val="clear" w:color="auto" w:fill="CCEEFF"/>
          </w:tcPr>
          <w:p>
            <w:pPr>
              <w:spacing w:after="0"/>
              <w:rPr>
                <w:sz w:val="18"/>
                <w:szCs w:val="18"/>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Average pay rate</w:t>
            </w:r>
          </w:p>
        </w:tc>
        <w:tc>
          <w:tcPr>
            <w:tcW w:w="1160" w:type="dxa"/>
            <w:vAlign w:val="bottom"/>
          </w:tcPr>
          <w:p>
            <w:pPr>
              <w:spacing w:after="0"/>
              <w:rPr>
                <w:sz w:val="18"/>
                <w:szCs w:val="18"/>
                <w:color w:val="auto"/>
              </w:rPr>
            </w:pPr>
          </w:p>
        </w:tc>
        <w:tc>
          <w:tcPr>
            <w:tcW w:w="36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72"/>
              <w:spacing w:after="0"/>
              <w:rPr>
                <w:sz w:val="20"/>
                <w:szCs w:val="20"/>
                <w:color w:val="auto"/>
              </w:rPr>
            </w:pPr>
            <w:r>
              <w:rPr>
                <w:rFonts w:ascii="Arial" w:cs="Arial" w:eastAsia="Arial" w:hAnsi="Arial"/>
                <w:sz w:val="18"/>
                <w:szCs w:val="18"/>
                <w:color w:val="auto"/>
              </w:rPr>
              <w:t>2.49%</w:t>
            </w:r>
          </w:p>
        </w:tc>
        <w:tc>
          <w:tcPr>
            <w:tcW w:w="260" w:type="dxa"/>
            <w:vAlign w:val="bottom"/>
          </w:tcPr>
          <w:p>
            <w:pPr>
              <w:spacing w:after="0"/>
              <w:rPr>
                <w:sz w:val="18"/>
                <w:szCs w:val="18"/>
                <w:color w:val="auto"/>
              </w:rPr>
            </w:pPr>
          </w:p>
        </w:tc>
        <w:tc>
          <w:tcPr>
            <w:tcW w:w="7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2.49%</w:t>
            </w: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Average receive rate</w:t>
            </w: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1.91%</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1.91%</w:t>
            </w: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do not use derivative financial instruments, other financial instruments or derivative commodity instruments for trading or speculative purposes.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Sensitivity</w:t>
      </w:r>
    </w:p>
    <w:p>
      <w:pPr>
        <w:spacing w:after="0" w:line="90"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As of December 31, 2009, approximately 95% of our long-term debt was based on fixed rates, including the notional amount related to our interest rate swap. Based on our borrowings as of December 31, 2009, an assumed 1% change in variable rates would cause our annual interest cost to change by $1.2 million.</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Wynn Las Vegas, LLC owns and operates Wynn Las Vegas, a destination casino resort on the Strip in Las Vegas, Nevada, and Encore, which is located adjacent to and is connected with Wynn Las Vegas. Wynn Las Vegas, LLC was formed on April 17, 2001 as a Nevada limited liability company. The sole member of the Wynn Las Vegas, LLC is Wynn Holdings. The sole member of Wynn Holdings is Wynn Resorts.</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Wynn Capital is a wholly owned subsidiary of Wynn Las Vegas, LLC, incorporated on June 3, 2002, solely for the purpose of obtaining financing for Wynn Las Vegas. Wynn Capital is authorized to issue 2,000 shares of common stock, par value $0.01. At December 31, 2009, Wynn Las Vegas, LLC owned the one share that was issued and outstanding. Wynn Capital has neither any significant net assets nor any operating activity. Its sole function is to serve as the co-issuer of the 2020 notes, the 2017 notes and the 2014 notes.</w:t>
      </w:r>
    </w:p>
    <w:p>
      <w:pPr>
        <w:spacing w:after="0" w:line="143"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Due to a number of factors, including disruptions in global economies, stagnant credit markets, and reduced consumer spending, 2009 was a difficult year for the U.S. casino resort business. Auto traffic into Las Vegas, airline capacity and air travel to McCarran International Airport has declined, resulting in lower casino volumes and a reduced demand for hotel rooms. The current adverse global economic conditions, as well as the addition of new supply in late 2009, will likely continue to cause us to experience lower than historical hotel occupancy rates, room rates, casino volumes and profitability.</w:t>
      </w:r>
    </w:p>
    <w:p>
      <w:pPr>
        <w:spacing w:after="0" w:line="11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commenced operations with the opening of Wynn Las Vegas on April 28, 2005. We opened Encore on December 22, 2008. Prior to April 28, 2005, we were solely 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Las Vegas</w:t>
      </w:r>
    </w:p>
    <w:p>
      <w:pPr>
        <w:spacing w:after="0" w:line="96" w:lineRule="exact"/>
        <w:rPr>
          <w:sz w:val="20"/>
          <w:szCs w:val="20"/>
          <w:color w:val="auto"/>
        </w:rPr>
      </w:pPr>
    </w:p>
    <w:p>
      <w:pPr>
        <w:ind w:right="340" w:firstLine="456"/>
        <w:spacing w:after="0" w:line="305" w:lineRule="auto"/>
        <w:rPr>
          <w:sz w:val="20"/>
          <w:szCs w:val="20"/>
          <w:color w:val="auto"/>
        </w:rPr>
      </w:pPr>
      <w:r>
        <w:rPr>
          <w:rFonts w:ascii="Arial" w:cs="Arial" w:eastAsia="Arial" w:hAnsi="Arial"/>
          <w:sz w:val="15"/>
          <w:szCs w:val="15"/>
          <w:color w:val="auto"/>
        </w:rPr>
        <w:t>Wynn Las Vegas opened on April 28, 2005. Wynn Las Vegas offers exceptional accommodations, amenities and service with 2,716 rooms and suites, including 36 fairway villas and 6 private-entry villas for our premium guests. The Tower Suites at Wynn Las Vegas has received both the Forbes five-star and</w:t>
      </w:r>
    </w:p>
    <w:p>
      <w:pPr>
        <w:ind w:firstLine="8"/>
        <w:spacing w:after="0" w:line="261" w:lineRule="auto"/>
        <w:tabs>
          <w:tab w:leader="none" w:pos="424"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five-diamond distinctions for 2010. The Spa at Wynn Las Vegas earned five-star recognition from Forbes for the second year in a row. The Spa at Wynn Las Vegas and the Spa at Encore are the only spas in Las Vegas to be recognized with the Forbes five-star award.</w:t>
      </w:r>
    </w:p>
    <w:p>
      <w:pPr>
        <w:spacing w:after="0" w:line="138"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The approximately 110,000 square foot casino features approximately 130 table games, a baccarat salon, private VIP gaming rooms, a poker room, approximately 1,920 slot machines, and a race and sports book. The resort’s 22 food and beverage outlets feature six fine dining restaurants, including restaurants helmed by award winning chefs. Wynn Las Vegas also offers two nightclubs, a spa and salon, a Ferrari and Maserati automobile dealership, wedding chapels, an 18-hole golf course, approximately 223,000 square feet of meeting space and an approximately 74,000 square foot retail promenade featuring boutiques from Alexander McQueen, Brioni, Cartier, Chanel, Dior, Graff, Louis Vuitton, Manolo Blahnik, Oscar de la Renta and Vertu. Wynn Las Vegas also has a showroom which features “Le Rêve”, a water-based theatrical production. We believe that the unique experience of Wynn Las Vegas drives the significant visitation experienced since opening.</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Encore</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Encore is located immediately adjacent to and is connected with Wynn Las Vegas and features a 2,034 all-suite hotel as well as an approximately 76,000 square foot casino with approximately 90 table games, a baccarat salon, private VIP gaming rooms, approximately 790 slot machines and a sports book. In its first full year of operations, the Encore Tower Suites has received both the Forbes five-star and AAA five-diamond awards. The Spa at Encore also earned five-star recognition from Forbes. The resort’s 12 food and beverage outlets include five restaurants, many of which feature award winning chefs. Encore also offers a night club, a</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spa and salon, approximately 60,000 square feet of meeting space and approximately 27,000 square feet of upscale retail outlets featuring boutiques from Hermes, Chanel and others. The Encore Theater featured several headliner entertainment acts during 2009, including the return of Garth Brooks. Our agreement with Garth Brooks provides for the performance of 300 shows in the Encore Theater before 2014, but is cancelable by either party under certain conditions.</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Construction is currently underway to replace Encore’s porte-cochere on Las Vegas Boulevard with the Encore Beach Club that will feature pools, food and beverage, and nightlife offerings. The total project budget for the Encore Beach Club is approximately $68 million. The Beach Club is expected to open on schedule in the second quarter of 2010.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Construction and Other Development</w:t>
      </w:r>
    </w:p>
    <w:p>
      <w:pPr>
        <w:spacing w:after="0" w:line="9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 the ordinary course of our business, in response to market developments and customer preferences, we have made and continue to make certain enhancements and refinements to Wynn Las Vegas and Encore. We have incurred and will continue to incur these capital expenditures at Wynn Las Vegas and Encore.</w:t>
      </w:r>
    </w:p>
    <w:p>
      <w:pPr>
        <w:spacing w:after="0" w:line="14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Approximately 142 acres of land adjacent to both Wynn Las Vegas and Encore is currently improved with a golf course. While we may develop this property in the future, we have no immediate plans to do so.</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continually seek out new opportunities for additional gaming or related businesses, in Las Vegas, other markets in the United States and worldwide.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96"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We believe that Steve Wynn is the preeminent designer, developer and operator of destination casino resorts and has developed brand name status. Mr. Wynn’s involvement with our casino resorts provides a distinct advantage over other gaming enterprises. We integrate luxurious surroundings, distinctive entertainment and superior amenities, including fine dining and premium retail offerings, to create resorts that appeal to a variety of customers.</w:t>
      </w:r>
    </w:p>
    <w:p>
      <w:pPr>
        <w:spacing w:after="0" w:line="10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properties were designed and built to provide a premium experience. Wynn Las Vegas and Encore are positioned as full-service luxury resorts and casinos in the leisure, convention and tour and travel industries. We market these resorts directly to gaming customers using database marketing techniques, as well as traditional incentives, including reduced room rates and complimentary meals and suites. Our rewards system offers discounted and complimentary meals, lodging and entertainment for our guests. We also create general market awareness for our properties through various media channels, including television, radio, newspapers, magazines, the internet, direct mail and billboards.</w:t>
      </w:r>
    </w:p>
    <w:p>
      <w:pPr>
        <w:spacing w:after="0" w:line="116"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Mr. Wynn and his team bring significant experience in designing, developing and operating casino resorts. The senior executive team has an average of approximately 25 years of experience in the hotel and gaming industries. We also have an approximately 70-person design, development and construction affiliate, the senior management of which has significant experience in all major construction disciplines.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Competition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Las Vegas</w:t>
      </w:r>
    </w:p>
    <w:p>
      <w:pPr>
        <w:spacing w:after="0" w:line="90"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Las Vegas is the largest gaming market in the United States. The casino/hotel industry in Las Vegas is highly competitive and, prior to the recent economic conditions and interruption in projects under development, had undergone a period of exceptional growth, particularly with the addition of projects targeting the premium customer. Wynn Las Vegas and Encore are located on the Las Vegas Strip and compete with other high-quality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resorts and hotel casinos on the Strip, those in downtown Las Vegas, as well as a large number of hotels in and near Las Vegas. Many competing properties, such as the Bellagio, Caesars Palace, Luxor Hotel and Casino, Mandalay Bay Resort &amp; Casino, The Mirage, New York-New York Hotel and Casino, Paris Las Vegas, Treasure Island, The Venetian, The Palazzo, the recently opened City Center and others, draw a significant number of visitors and directly compete with our operations. We seek to differentiate Wynn Las Vegas and Encore from other major Las Vegas resorts by concentrating on our fundamental elements of design, atmosphere, personal service and luxury.</w:t>
      </w:r>
    </w:p>
    <w:p>
      <w:pPr>
        <w:spacing w:after="0" w:line="143"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Wynn Las Vegas and Encore face additional competition from new multi-billion dollar resorts including, without limitation, City Center which added approximately 6,000 rooms in 2009. Cosmopolitan, a $3.9 billion condo/hotel/casino resort located on the Las Vegas Strip, and the remaining phases of City Center are expected to open in 2010.</w:t>
      </w:r>
    </w:p>
    <w:p>
      <w:pPr>
        <w:spacing w:after="0" w:line="140"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Wynn Las Vegas and Encore also compete, to some extent, with other hotel/casino facilities in Nevada and Atlantic City, riverboat gaming facilities in other states, casino facilities on Native American lands and elsewhere in the world, as well as state lotteries and other forms of gaming. In addition, the legalization of casino gaming in or near metropolitan areas from which we attract customers could have a negative effect on our business. New or renovated casinos in Asia, including our properties in Macau, could draw Asian gaming customers away from Las Vegas.</w:t>
      </w:r>
    </w:p>
    <w:p>
      <w:pPr>
        <w:spacing w:after="0" w:line="11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During 2009, the economic environment in the gaming and hotel markets in Las Vegas continued to experience declines including among other things, a 3.0% decrease in visitation to 36.4 million visitors, a 9.4% decrease in Las Vegas Strip gaming revenue and a 22% decrease in average daily room rates, all as compared to the year ended December 2008. We, along with our competitors, have responded to the deterioration in consumer spending by aggressively marketing and pricing our Las Vegas offerings.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and Licensing</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Introduction. </w:t>
      </w:r>
      <w:r>
        <w:rPr>
          <w:rFonts w:ascii="Arial" w:cs="Arial" w:eastAsia="Arial" w:hAnsi="Arial"/>
          <w:sz w:val="16"/>
          <w:szCs w:val="16"/>
          <w:color w:val="auto"/>
        </w:rPr>
        <w:t>The gaming industry is highly regulated. Gaming registrations, licenses and approvals, once obtained, can be suspended or revoked for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variety of reasons. We cannot assure you that we will obtain all required registrations, licenses and approvals on a timely basis or at all, or that, once obtained, the registrations, findings of suitability, licenses and approvals will not be suspended, conditioned, limited or revoked. If we ever are prohibited from operating Wynn Las Vegas, Encore or any other property we may own and operate in the future, we would, to the extent permitted by law, seek to recover our investment by selling the property affected, but we cannot assure you that we would recover its full value.</w:t>
      </w:r>
    </w:p>
    <w:p>
      <w:pPr>
        <w:spacing w:after="0" w:line="116" w:lineRule="exact"/>
        <w:rPr>
          <w:sz w:val="20"/>
          <w:szCs w:val="20"/>
          <w:color w:val="auto"/>
        </w:rPr>
      </w:pPr>
    </w:p>
    <w:p>
      <w:pPr>
        <w:jc w:val="both"/>
        <w:ind w:right="200" w:firstLine="456"/>
        <w:spacing w:after="0" w:line="256" w:lineRule="auto"/>
        <w:rPr>
          <w:sz w:val="20"/>
          <w:szCs w:val="20"/>
          <w:color w:val="auto"/>
        </w:rPr>
      </w:pPr>
      <w:r>
        <w:rPr>
          <w:rFonts w:ascii="Arial" w:cs="Arial" w:eastAsia="Arial" w:hAnsi="Arial"/>
          <w:sz w:val="18"/>
          <w:szCs w:val="18"/>
          <w:color w:val="auto"/>
        </w:rPr>
        <w:t>The ownership and operation of casino gaming facilities in the State of Nevada are subject to the Nevada Gaming Control Act and the regulations made under the Act, as well as to various local ordinances. Our properties are subject to the licensing and regulatory control of the Nevada Gaming Commission, the Nevada State Gaming Control Board and the Clark County Liquor and Gaming Licensing Board, which we refer to herein collectively as the “Nevada Gaming Authorities.”</w:t>
      </w:r>
    </w:p>
    <w:p>
      <w:pPr>
        <w:spacing w:after="0" w:line="14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Policy Concerns of Gaming Laws. </w:t>
      </w:r>
      <w:r>
        <w:rPr>
          <w:rFonts w:ascii="Arial" w:cs="Arial" w:eastAsia="Arial" w:hAnsi="Arial"/>
          <w:sz w:val="18"/>
          <w:szCs w:val="18"/>
          <w:color w:val="auto"/>
        </w:rPr>
        <w:t>The laws, regulations and supervisory procedures of the Nevada Gaming Authorities are based upon declarations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public policy. Such public policy concerns include, among other things:</w:t>
      </w:r>
    </w:p>
    <w:p>
      <w:pPr>
        <w:spacing w:after="0" w:line="51"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preventing unsavory or unsuitable persons from being directly or indirectly involved with gaming at any time or in any capacity;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establishing and maintaining responsible accounting practices and procedures;</w:t>
      </w:r>
    </w:p>
    <w:p>
      <w:pPr>
        <w:spacing w:after="0" w:line="90" w:lineRule="exact"/>
        <w:rPr>
          <w:rFonts w:ascii="Arial" w:cs="Arial" w:eastAsia="Arial" w:hAnsi="Arial"/>
          <w:sz w:val="18"/>
          <w:szCs w:val="18"/>
          <w:color w:val="auto"/>
        </w:rPr>
      </w:pPr>
    </w:p>
    <w:p>
      <w:pPr>
        <w:ind w:left="900" w:right="140" w:hanging="446"/>
        <w:spacing w:after="0" w:line="332" w:lineRule="auto"/>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maintaining effective controls over the financial practices of licensees, including establishing minimum procedures for internal fiscal affairs and safeguarding assets and revenue, providing reliable recordkeeping and requiring the filing of periodic reports with the Nevada Gaming Authorities;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459" w:right="2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preventing cheating and fraudulent practices;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providing a source of state and local revenue through taxation and licensing fees.</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Changes in applicable laws, regulations and procedures could have significant negative effects on Wynn Las Vegas’ gaming operations and our financial condition and results of operations.</w:t>
      </w:r>
    </w:p>
    <w:p>
      <w:pPr>
        <w:spacing w:after="0" w:line="132"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b w:val="1"/>
          <w:bCs w:val="1"/>
          <w:i w:val="1"/>
          <w:iCs w:val="1"/>
          <w:color w:val="auto"/>
        </w:rPr>
        <w:t xml:space="preserve">Owner and Operator Licensing Requirements. </w:t>
      </w:r>
      <w:r>
        <w:rPr>
          <w:rFonts w:ascii="Arial" w:cs="Arial" w:eastAsia="Arial" w:hAnsi="Arial"/>
          <w:sz w:val="16"/>
          <w:szCs w:val="16"/>
          <w:color w:val="auto"/>
        </w:rPr>
        <w:t>Wynn Las Vegas, LLC, as the owner and operator of Wynn Las Vegas and Encore, has been approved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Nevada Gaming Authorities as a limited liability company licensee, referred to as a company licensee, which includes approval to conduct casino gaming operations, including a race book and sports pool and pari-mutuel wagering. These gaming licenses are not transferable.</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Company Registration Requirements. </w:t>
      </w:r>
      <w:r>
        <w:rPr>
          <w:rFonts w:ascii="Arial" w:cs="Arial" w:eastAsia="Arial" w:hAnsi="Arial"/>
          <w:sz w:val="16"/>
          <w:szCs w:val="16"/>
          <w:color w:val="auto"/>
        </w:rPr>
        <w:t>Wynn Resorts was found suitable by the Nevada Gaming Commission to own the equity interests of Wynn Holdings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to be registered by the Nevada Gaming Commission as a publicly traded corporation, referred to as a registered company, for the purposes of the Nevada Gaming Control Act. Wynn Holdings was found suitable by the Nevada Gaming Commission to own the equity interests of Wynn Las Vegas, LLC and to be registered by the Nevada Gaming Commission as an intermediary company. In addition to being licensed, Wynn Las Vegas, LLC, as an issuer of debt securities that were registered with the SEC, also qualified as a registered company. Wynn Capital., a co-issuer of the debt securities, was not required to be registered or licensed, but may be required to be found suitable as a lender or financing source.</w:t>
      </w:r>
    </w:p>
    <w:p>
      <w:pPr>
        <w:spacing w:after="0" w:line="12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Periodically, we are required to submit detailed financial and operating reports to the Nevada Gaming Commission and provide any other information that the Nevada Gaming Commission may require. Substantially all of our material loans, leases, sales of securities and similar financing transactions must be reported to, and/or approved by, the Nevada Gaming Commission.</w:t>
      </w:r>
    </w:p>
    <w:p>
      <w:pPr>
        <w:spacing w:after="0" w:line="140"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b w:val="1"/>
          <w:bCs w:val="1"/>
          <w:i w:val="1"/>
          <w:iCs w:val="1"/>
          <w:color w:val="auto"/>
        </w:rPr>
        <w:t xml:space="preserve">Individual Licensing Requirements. </w:t>
      </w:r>
      <w:r>
        <w:rPr>
          <w:rFonts w:ascii="Arial" w:cs="Arial" w:eastAsia="Arial" w:hAnsi="Arial"/>
          <w:sz w:val="16"/>
          <w:szCs w:val="16"/>
          <w:color w:val="auto"/>
        </w:rPr>
        <w:t>No person may become a stockholder or member of, or receive any percentage of the profits of, an intermediary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or company licensee without first obtaining licenses and approvals from the Nevada Gaming Authorities. The Nevada Gaming Authorities may investigate any individual who has a material relationship to or material involvement with us to determine whether the individual is suitable or should be licensed as a business associate of a gaming licensee. Certain of our officers, directors and key employees have been or may be required to file applications with the Nevada Gaming Authorities and are or may be required to be licensed or found suitable by the Nevada Gaming Authorities. All applications required as of the date of this prospectus have been filed. However, the Nevada Gaming Authorities may require additional applications and may also deny an application for licensing for any reason which they deem appropriate. A finding of suitability is comparable to licensing, and both require submission of detailed personal and financial information followed by a thorough investigation. An applicant for licensing or an applicant for a finding of suitability must pay or must cause to be paid all the costs of the investigation. Changes in licensed positions must be reported to the Nevada Gaming Authorities and, in addition to their authority to deny an application for a finding of suitability or licensing, the Nevada Gaming Authorities have the jurisdiction to disapprove a change in a corporate position.</w:t>
      </w:r>
    </w:p>
    <w:p>
      <w:pPr>
        <w:spacing w:after="0" w:line="12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If the Nevada Gaming Authorities were to find an officer, director or key employee unsuitable for licensing or unsuitable to continue having a relationship with us, we would have to sever all relationships with that person. In addition, the Nevada Gaming Commission may require us to terminate the employment of any person who refuses to file appropriate applications. Determinations of suitability or questions pertaining to licensing are not subject to judicial review in Nevada.</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Consequences of Violating Gaming Laws. </w:t>
      </w:r>
      <w:r>
        <w:rPr>
          <w:rFonts w:ascii="Arial" w:cs="Arial" w:eastAsia="Arial" w:hAnsi="Arial"/>
          <w:sz w:val="18"/>
          <w:szCs w:val="18"/>
          <w:color w:val="auto"/>
        </w:rPr>
        <w:t>If the Nevada Gaming Commission determines that we have violated the Nevada Gaming Control Act or any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its regulations, it could limit, condition, suspend or revoke our registrations and gaming license. In addition, we and the persons involved could be subject to substantial fines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for each separate violation of the Nevada Gaming Control Act, or of the regulations of the Nevada Gaming Commission, at the discretion of the Nevada Gaming Commission. Further, the Nevada Gaming Commission could appoint a supervisor to operate Wynn Las Vegas and Encore and, under specified circumstances, earnings generated during the supervisor’s appointment (except for the reasonable rental value of the premises) could be forfeited to the State of Nevada. Limitation, conditioning or suspension of any of our gaming licenses and the appointment of a supervisor could, and revocation of any gaming license would, have a significant negative effect on our gaming operations.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Requirements for Voting or Nonvoting Securities Holders. </w:t>
      </w:r>
      <w:r>
        <w:rPr>
          <w:rFonts w:ascii="Arial" w:cs="Arial" w:eastAsia="Arial" w:hAnsi="Arial"/>
          <w:sz w:val="16"/>
          <w:szCs w:val="16"/>
          <w:color w:val="auto"/>
        </w:rPr>
        <w:t>Regardless of the number of shares held, any beneficial owner of a registered company’s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voting or nonvoting securities may be required to file an application, be investigated and have that person’s suitability as a beneficial owner of voting securities determined if the Nevada Gaming Commission has reason to believe that the ownership would be inconsistent with the declared policies of the State of Nevada. If the beneficial owner of the voting or nonvoting securities of Wynn Resorts who must be found suitable is a corporation, partnership, limited partnership, limited liability company or trust, it must submit detailed business and financial information including a list of its beneficial owners. The applicant must pay all costs of the investigation incurred by the Nevada Gaming Authorities in conducting any investigation.</w:t>
      </w:r>
    </w:p>
    <w:p>
      <w:pPr>
        <w:spacing w:after="0" w:line="120"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The Nevada Gaming Control Act requires any person who acquires more than 5% of the voting securities of a registered company to report the acquisition to the Nevada Gaming Commission. The Nevada Gaming Control Act requires beneficial owners of more than 10% of a registered company’s voting securities to apply to the Nevada Gaming Commission for a finding of suitability within 30 days after the Chairman of the Nevada State Gaming Control Board mails the written notice requiring such filing. However, an “institutional investor,” as defined in the Nevada Gaming Control Act, which beneficially owns more than 10% but not more than 11% of a registered company’s voting securities as a result of a stock repurchase by the registered company may not be required to file such an application. Further, an institutional investor which acquires more than 10%, but not more than 25%, of a registered company’s voting securities may apply to the Nevada Gaming Commission for a waiver of a finding of suitability if the institutional investor holds the voting securities for investment purposes only. An institutional investor that has obtained a waiver may hold more than 25% but not more than 29% of a registered company’s voting securities and maintain its waiver where the additional ownership results from a stock repurchase by the registered company. An institutional investor will not be deemed to hold voting securities for investment purposes unless the voting securities were acquired and are held in the ordinary course of business as an institutional investor and not for the purpose of causing, directly or indirectly, the election of a majority of the members of the board of directors of the registered company, a change in the corporate charter, bylaws, management, policies or operations of the registered company, or any of its gaming affiliates, or any other action which the Nevada Gaming Commission finds to be inconsistent with holding the registered company’s voting securities for investment purposes only. Activities which are not deemed to be inconsistent with holding voting securities for investment purposes only include:</w:t>
      </w:r>
    </w:p>
    <w:p>
      <w:pPr>
        <w:spacing w:after="0" w:line="47" w:lineRule="exact"/>
        <w:rPr>
          <w:sz w:val="20"/>
          <w:szCs w:val="20"/>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voting on all matters voted on by stockholders or interest holders;</w:t>
      </w:r>
    </w:p>
    <w:p>
      <w:pPr>
        <w:spacing w:after="0" w:line="90"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making financial and other inquiries of management of the type normally made by securities analysts for informational purposes and not to cause a change in its management, policies or operations;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 activities that the Nevada Gaming Commission may determine to be consistent with such investment intent.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articles of incorporation of Wynn Resorts include provisions intended to assist its implementation of the above restrictions.</w:t>
      </w:r>
    </w:p>
    <w:p>
      <w:pPr>
        <w:spacing w:after="0" w:line="171"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b w:val="1"/>
          <w:bCs w:val="1"/>
          <w:i w:val="1"/>
          <w:iCs w:val="1"/>
          <w:color w:val="auto"/>
        </w:rPr>
        <w:t xml:space="preserve">Consequences of Being Found Unsuitable. </w:t>
      </w:r>
      <w:r>
        <w:rPr>
          <w:rFonts w:ascii="Arial" w:cs="Arial" w:eastAsia="Arial" w:hAnsi="Arial"/>
          <w:sz w:val="16"/>
          <w:szCs w:val="16"/>
          <w:color w:val="auto"/>
        </w:rPr>
        <w:t>Any person who fails or refuses to apply for a finding of suitability or a license within 30 days after being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ordered to do so by the Nevada Gaming Commission or by the Chairman of the Nevada State Gaming Control Board, or who refuses or fails to pay the investigative costs incurred by the Nevada Gaming Authorities in connection with the investigation of its application, may be found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unsuitable. The same restrictions apply to a record owner if the record owner, after request, fails to identify the beneficial owner. Any person found unsuitable and who holds, directly or indirectly, any beneficial ownership of any voting security or debt security of a registered company beyond the period of time as may be prescribed by the Nevada Gaming Commission may be guilty of a criminal offense. We will be subject to disciplinary action if, after we receive notice that a person is unsuitable to hold an equity interest or to have any other relationship with us, we:</w:t>
      </w:r>
    </w:p>
    <w:p>
      <w:pPr>
        <w:spacing w:after="0" w:line="62" w:lineRule="exact"/>
        <w:rPr>
          <w:sz w:val="20"/>
          <w:szCs w:val="20"/>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pay that person any dividend or interest upon any voting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allow that person to exercise, directly or indirectly, any voting right held by that person relating to Wynn Resorts;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pay remuneration in any form to that person for services rendered or otherwise; or,</w:t>
      </w:r>
    </w:p>
    <w:p>
      <w:pPr>
        <w:spacing w:after="0" w:line="90"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fail to pursue all lawful efforts to require the unsuitable person to relinquish such person’s voting securities including, if necessary, the immediate purchase of the voting securities for cash at fair market value.</w:t>
      </w:r>
    </w:p>
    <w:p>
      <w:pPr>
        <w:spacing w:after="0" w:line="132"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b w:val="1"/>
          <w:bCs w:val="1"/>
          <w:i w:val="1"/>
          <w:iCs w:val="1"/>
          <w:color w:val="auto"/>
        </w:rPr>
        <w:t xml:space="preserve">Gaming Laws Relating to Debt Securities Ownership. </w:t>
      </w:r>
      <w:r>
        <w:rPr>
          <w:rFonts w:ascii="Arial" w:cs="Arial" w:eastAsia="Arial" w:hAnsi="Arial"/>
          <w:sz w:val="16"/>
          <w:szCs w:val="16"/>
          <w:color w:val="auto"/>
        </w:rPr>
        <w:t>The Nevada Gaming Commission may, in its discretion, require the owner of any debt or similar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securities of a registered company, to file applications, be investigated and be found suitable to own the debt or other security of the registered company if the Nevada Gaming Commission has reason to believe that such ownership would otherwise be inconsistent with the declared policies of the State of Nevada. If the Nevada Gaming Commission decides that a person is unsuitable to own the security, then under the Nevada Gaming Control Act, the registered company can be sanctioned, including the loss of its approvals if, without the prior approval of the Nevada Gaming Commission, it:</w:t>
      </w:r>
    </w:p>
    <w:p>
      <w:pPr>
        <w:spacing w:after="0" w:line="35" w:lineRule="exact"/>
        <w:rPr>
          <w:sz w:val="20"/>
          <w:szCs w:val="20"/>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pays to the unsuitable person any dividend, interest or any distribution whatsoever;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recognizes any voting right by the unsuitable person in connection with the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pays the unsuitable person remuneration in any form;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makes any payment to the unsuitable person by way of principal, redemption, conversion, exchange, liquidation or similar transaction.</w:t>
      </w:r>
    </w:p>
    <w:p>
      <w:pPr>
        <w:spacing w:after="0" w:line="194"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b w:val="1"/>
          <w:bCs w:val="1"/>
          <w:i w:val="1"/>
          <w:iCs w:val="1"/>
          <w:color w:val="auto"/>
        </w:rPr>
        <w:t xml:space="preserve">Approval of Public Offerings. </w:t>
      </w:r>
      <w:r>
        <w:rPr>
          <w:rFonts w:ascii="Arial" w:cs="Arial" w:eastAsia="Arial" w:hAnsi="Arial"/>
          <w:sz w:val="16"/>
          <w:szCs w:val="16"/>
          <w:color w:val="auto"/>
        </w:rPr>
        <w:t>We may not make a public offering without the prior approval of the Nevada Gaming Commission if the proceeds from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offering are intended to be used to construct, acquire or finance gaming facilities in Nevada, or to retire or extend obligations incurred for those purposes or for similar transactions. On March 19, 2009, the Nevada Gaming Commission granted us prior approval, subject to certain conditions, to make public offerings for a period of two years (the “Shelf Approval”). The Shelf Approval also applies to any affiliated company wholly owned by us which is a publicly traded corporation or would thereby become a publicly traded corporation pursuant to a public offering. The Shelf Approval may be rescinded for good cause without prior notice upon the issuance of an interlocutory stop order by the Chairman of the Nevada State Gaming Control Board. The Shelf Approval does not constitute a finding, recommendation or approval by any of the Nevada Gaming Authorities as to the accuracy or adequacy of the offering memorandum or the investment merits of the securities. Any representation to the contrary is unlawful.</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Approval of Changes in Control. </w:t>
      </w:r>
      <w:r>
        <w:rPr>
          <w:rFonts w:ascii="Arial" w:cs="Arial" w:eastAsia="Arial" w:hAnsi="Arial"/>
          <w:sz w:val="18"/>
          <w:szCs w:val="18"/>
          <w:color w:val="auto"/>
        </w:rPr>
        <w:t>A registered company must obtain the prior approval of the Nevada Gaming Commission with respect to a change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 through merger; consolidation; stock or asset acquisitions; management or consulting agreements; or any act or conduct by a person by which the person obtains control of the registered company.</w:t>
      </w:r>
    </w:p>
    <w:p>
      <w:pPr>
        <w:spacing w:after="0" w:line="14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Entities seeking to acquire control of a registered company must satisfy the Nevada State Gaming Control Board and Nevada Gaming Commission with respect to a variety of stringent standards before assuming control of the registered company. The Nevada Gaming Commission may also require controlling stockholders, officers,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directors and other persons having a material relationship or involvement with the entity proposing to acquire control to be investigated and licensed as part of the approval process relating to the transaction.</w:t>
      </w:r>
    </w:p>
    <w:p>
      <w:pPr>
        <w:spacing w:after="0" w:line="132" w:lineRule="exact"/>
        <w:rPr>
          <w:sz w:val="20"/>
          <w:szCs w:val="20"/>
          <w:color w:val="auto"/>
        </w:rPr>
      </w:pPr>
    </w:p>
    <w:p>
      <w:pPr>
        <w:ind w:right="220" w:firstLine="456"/>
        <w:spacing w:after="0" w:line="323" w:lineRule="auto"/>
        <w:rPr>
          <w:sz w:val="20"/>
          <w:szCs w:val="20"/>
          <w:color w:val="auto"/>
        </w:rPr>
      </w:pPr>
      <w:r>
        <w:rPr>
          <w:rFonts w:ascii="Arial" w:cs="Arial" w:eastAsia="Arial" w:hAnsi="Arial"/>
          <w:sz w:val="15"/>
          <w:szCs w:val="15"/>
          <w:b w:val="1"/>
          <w:bCs w:val="1"/>
          <w:i w:val="1"/>
          <w:iCs w:val="1"/>
          <w:color w:val="auto"/>
        </w:rPr>
        <w:t xml:space="preserve">Approval of Defensive Tactics. </w:t>
      </w:r>
      <w:r>
        <w:rPr>
          <w:rFonts w:ascii="Arial" w:cs="Arial" w:eastAsia="Arial" w:hAnsi="Arial"/>
          <w:sz w:val="15"/>
          <w:szCs w:val="15"/>
          <w:color w:val="auto"/>
        </w:rPr>
        <w:t>The Nevada legislature has declared that some corporate acquisitions opposed by management, repurchases of voting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securities and corporate defense tactics affecting Nevada corporate gaming licensees or affecting registered companies that are affiliated with the operations of Nevada gaming licensees may be harmful to stable and productive corporate gaming. The Nevada Gaming Commission has established a regulatory scheme to reduce the potential adverse effects of these business practices upon Nevada’s gaming industry and to further Nevada’s policy in order to:</w:t>
      </w:r>
    </w:p>
    <w:p>
      <w:pPr>
        <w:spacing w:after="0" w:line="17" w:lineRule="exact"/>
        <w:rPr>
          <w:sz w:val="20"/>
          <w:szCs w:val="20"/>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assure the financial stability of corporate gaming licensees and their affiliated companies;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preserve the beneficial aspects of conducting business in the corporate form;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promote a neutral environment for the orderly governance of corporate affairs.</w:t>
      </w:r>
    </w:p>
    <w:p>
      <w:pPr>
        <w:spacing w:after="0" w:line="171"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Approvals may be required from the Nevada Gaming Commission before a registered company can make exceptional repurchases of voting securities above its current market price and before a corporate acquisition opposed by management can be consummated. The Nevada Gaming Control Act also requires prior approval of a plan of recapitalization proposed by a registered company’s board of directors in response to a tender offer made directly to its stockholders for the purpose of acquiring control.</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Fees and Taxes. </w:t>
      </w:r>
      <w:r>
        <w:rPr>
          <w:rFonts w:ascii="Arial" w:cs="Arial" w:eastAsia="Arial" w:hAnsi="Arial"/>
          <w:sz w:val="18"/>
          <w:szCs w:val="18"/>
          <w:color w:val="auto"/>
        </w:rPr>
        <w:t>License fees and taxes, computed in various ways depending on the type of gaming or activity involved, are payable to the State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Nevada and to the counties and cities in which the licensed subsidiaries’ respective operations are conducted. Depending upon the particular fee or tax involved, these fees and taxes are payable monthly, quarterly or annually and are based upon:</w:t>
      </w:r>
    </w:p>
    <w:p>
      <w:pPr>
        <w:spacing w:after="0" w:line="59" w:lineRule="exact"/>
        <w:rPr>
          <w:sz w:val="20"/>
          <w:szCs w:val="20"/>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percentage of the gross revenue received;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number of gaming devices operated;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number of table games operated.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live entertainment tax also is imposed on admission charges and sales of food, beverages and merchandise where live entertainment is furnished.</w:t>
      </w:r>
    </w:p>
    <w:p>
      <w:pPr>
        <w:spacing w:after="0" w:line="19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i w:val="1"/>
          <w:iCs w:val="1"/>
          <w:color w:val="auto"/>
        </w:rPr>
        <w:t xml:space="preserve">Foreign Gaming Investigations. </w:t>
      </w:r>
      <w:r>
        <w:rPr>
          <w:rFonts w:ascii="Arial" w:cs="Arial" w:eastAsia="Arial" w:hAnsi="Arial"/>
          <w:sz w:val="16"/>
          <w:szCs w:val="16"/>
          <w:color w:val="auto"/>
        </w:rPr>
        <w:t>Any person who is licensed, required to be licensed, registered, required to be registered in Nevada, or is under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control with such persons (collectively, “licensees”), and who proposes to become involved in a gaming venture outside of Nevada, is required to deposit with the Nevada State Gaming Control Board, and thereafter maintain, a revolving fund in the amount of $10,000 to pay the expenses of investigation of the Nevada State Gaming Control Board of the licensee’s or registrant’s participation in such foreign gaming. The revolving fund is subject to increase or decrease at the discretion of the Nevada Gaming Commission. Licensees and registrants are required to comply with the foreign gaming reporting requirements imposed by the Nevada Gaming Control Act. A licensee or registrant is also subject to disciplinary action by the Nevada Gaming Commission if it:</w:t>
      </w:r>
    </w:p>
    <w:p>
      <w:pPr>
        <w:spacing w:after="0" w:line="39" w:lineRule="exact"/>
        <w:rPr>
          <w:sz w:val="20"/>
          <w:szCs w:val="20"/>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knowingly violates any laws of the foreign jurisdiction pertaining to the foreign gaming operation;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fails to conduct the foreign gaming operation in accordance with the standards of honesty and integrity required of Nevada gaming operations;</w:t>
      </w:r>
    </w:p>
    <w:p>
      <w:pPr>
        <w:spacing w:after="0" w:line="113" w:lineRule="exact"/>
        <w:rPr>
          <w:rFonts w:ascii="Arial" w:cs="Arial" w:eastAsia="Arial" w:hAnsi="Arial"/>
          <w:sz w:val="16"/>
          <w:szCs w:val="16"/>
          <w:color w:val="auto"/>
        </w:rPr>
      </w:pPr>
    </w:p>
    <w:p>
      <w:pPr>
        <w:ind w:left="900" w:right="220" w:hanging="446"/>
        <w:spacing w:after="0" w:line="370" w:lineRule="auto"/>
        <w:tabs>
          <w:tab w:leader="none" w:pos="900" w:val="left"/>
        </w:tabs>
        <w:numPr>
          <w:ilvl w:val="0"/>
          <w:numId w:val="49"/>
        </w:numPr>
        <w:rPr>
          <w:rFonts w:ascii="Arial" w:cs="Arial" w:eastAsia="Arial" w:hAnsi="Arial"/>
          <w:sz w:val="15"/>
          <w:szCs w:val="15"/>
          <w:color w:val="auto"/>
        </w:rPr>
      </w:pPr>
      <w:r>
        <w:rPr>
          <w:rFonts w:ascii="Arial" w:cs="Arial" w:eastAsia="Arial" w:hAnsi="Arial"/>
          <w:sz w:val="15"/>
          <w:szCs w:val="15"/>
          <w:color w:val="auto"/>
        </w:rPr>
        <w:t>engages in any activity or enters into any association that is unsuitable because it poses an unreasonable threat to the control of gaming in Nevada, reflects or tends to reflect, discredit or disrepute upon the State of Nevada or gaming in Nevada, or is contrary to the gaming policies of Nevada;</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engages in activities or enters into associations that are harmful to the State of Nevada or its ability to collect gaming taxes and fees; or</w:t>
      </w:r>
    </w:p>
    <w:p>
      <w:pPr>
        <w:spacing w:after="0" w:line="113" w:lineRule="exact"/>
        <w:rPr>
          <w:rFonts w:ascii="Arial" w:cs="Arial" w:eastAsia="Arial" w:hAnsi="Arial"/>
          <w:sz w:val="16"/>
          <w:szCs w:val="16"/>
          <w:color w:val="auto"/>
        </w:rPr>
      </w:pPr>
    </w:p>
    <w:p>
      <w:pPr>
        <w:ind w:left="900" w:right="120" w:hanging="446"/>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employs, contracts with or associates with a person in the foreign operation who has been denied a license or finding of suitability in Nevada on the ground of unsuitability.</w:t>
      </w:r>
    </w:p>
    <w:p>
      <w:pPr>
        <w:spacing w:after="0" w:line="13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b w:val="1"/>
          <w:bCs w:val="1"/>
          <w:i w:val="1"/>
          <w:iCs w:val="1"/>
          <w:color w:val="auto"/>
        </w:rPr>
        <w:t xml:space="preserve">Licenses for Conduct of Gaming and Sale of Alcoholic Beverages. </w:t>
      </w:r>
      <w:r>
        <w:rPr>
          <w:rFonts w:ascii="Arial" w:cs="Arial" w:eastAsia="Arial" w:hAnsi="Arial"/>
          <w:sz w:val="18"/>
          <w:szCs w:val="18"/>
          <w:color w:val="auto"/>
        </w:rPr>
        <w:t>The conduct of gaming activities and the service and sale of alcoholic beverages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Wynn Las Vegas and Encore are subject to licensing, control and regulation by the Clark County Liquor and Gaming Licensing Board, which has granted Wynn Las Vegas, LLC, licenses for such purposes. In addition to approving Wynn Las Vegas, LLC, the Clark County Liquor and Gaming Licensing Board has the authority to approve all persons owning or controlling the stock of any corporation controlling a gaming license. Clark County gaming and liquor licenses are not transferable. The County has full power to limit, condition, suspend or revoke any license. Any disciplinary action could, and revocation would, have a substantial negative impact upon our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may experience fluctuations in revenues and cash flows from month to month, however, we do not believe that our business is materially impacted by seasonality.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2009, we had a total of approximately 12,200 employees.</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During 2006, we entered into a collective bargaining agreement with the Culinary and Bartenders Union local covering approximately 5,800 of our employees. In May 2007, the dealers at Wynn Las Vegas elected the Transportation Workers Union to represent them. Contract negotiations have concluded with the only remaining item being the duration of the contract. The negotiated agreement is subject to ratification by the bargaining unit and the Transportation Workers Union has advised us that they have recommended ratification to the affected employees. Certain other unions may seek to organize the workers at Wynn Las Vegas and Encore. Unionization, pressure to unionize, or other forms of collective bargaining could increase our labor costs.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most important marks are our trademarks and service marks that use the name “WYNN”. Wynn Holdings has filed applications with the PTO and various foreign patent and trademark registries, to register a variety of the WYNN-related trademarks and service marks in connection with a variety of goods and services. These marks include “WYNN LAS VEGAS” and “ENCORE”. Some of the applications are based upon ongoing use and others are based upon a bona fide intent to use the marks in the future.</w:t>
      </w:r>
    </w:p>
    <w:p>
      <w:pPr>
        <w:spacing w:after="0" w:line="14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 common element of most of these marks is the use of the surname, “WYNN.” As a general rule, a surname (or a mark primarily constituting a surname) is not registerable unless the surname has acquired “secondary meaning.” To date, Wynn Holdings has been successful in demonstrating to the PTO such secondary meaning for the Wynn name in certain of the applications based upon Mr. Wynn’s prominence as a resort developer.</w:t>
      </w:r>
    </w:p>
    <w:p>
      <w:pPr>
        <w:spacing w:after="0" w:line="107"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spacing w:after="0" w:line="8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have also filed applications with various foreign patent and trademark registries including registries in Macau, China, Singapore, Hong Kong, Taiwan, Japan, certain European countries and various other jurisdictions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throughout the world to register a variety of WYNN-related trademarks and service marks in connection with a variety of goods and services. These marks include many of the same marks filed with the PTO and include “WYNN LAS VEGAS” and “ENCORE”. Some of the applications are based upon ongoing use and others are based upon a bona fide intent to use the marks in the future.</w:t>
      </w:r>
    </w:p>
    <w:p>
      <w:pPr>
        <w:spacing w:after="0" w:line="140" w:lineRule="exact"/>
        <w:rPr>
          <w:sz w:val="20"/>
          <w:szCs w:val="20"/>
          <w:color w:val="auto"/>
        </w:rPr>
      </w:pPr>
    </w:p>
    <w:p>
      <w:pPr>
        <w:ind w:right="420" w:firstLine="456"/>
        <w:spacing w:after="0" w:line="256" w:lineRule="auto"/>
        <w:rPr>
          <w:sz w:val="20"/>
          <w:szCs w:val="20"/>
          <w:color w:val="auto"/>
        </w:rPr>
      </w:pPr>
      <w:r>
        <w:rPr>
          <w:rFonts w:ascii="Arial" w:cs="Arial" w:eastAsia="Arial" w:hAnsi="Arial"/>
          <w:sz w:val="18"/>
          <w:szCs w:val="18"/>
          <w:color w:val="auto"/>
        </w:rPr>
        <w:t>We recognize that our intellectual property assets, especially the logo version of “WYNN”, are among our most valuable assets. As a result, and in connection with expansion of our resort and gaming activities outside the United States, we have undertaken a program to register our trademarks and other intellectual property rights in all relevant jurisdictions. We have retained counsel and intend to take all steps necessary to not only acquire, but protect our intellectual property rights against unauthorized use throughout the world.</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On August 6, 2004, Wynn Holdings entered into agreements with Mr. Wynn that confirm and clarify its rights to use the “Wynn” name and Mr. Wynn’s persona in connection with our casino resorts. Under a Surname Rights Agreement, Mr. Wynn has granted Wynn Holdings an exclusive, fully paid-up, perpetual, worldwide license to use, and to own and register trademarks and service marks incorporating, the “Wynn” name for casino resorts and related businesses, together with the right to sublicense the name and marks to our affiliates. Under a Rights of Publicity License, Mr. Wynn has granted Wynn Holdings the exclusive, royalty-free, worldwide right to use his full name, persona and related rights of publicity for casino resorts and related businesses, together with the ability to sublicense the persona and publicity rights to our affiliates, until October 24, 2017. Wynn Holdings has entered into sublicense agreements with us relating to our use of Mr. Wynn’s name and persona, as well as other intellectual property.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Property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Las Vegas Land</w:t>
      </w:r>
    </w:p>
    <w:p>
      <w:pPr>
        <w:spacing w:after="0" w:line="90"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We currently own approximately 240 acres of land on or near the Las Vegas Strip. This consists of approximately 75 acres at the northeast corner of the intersection of Las Vegas Boulevard and Sands Avenue on which Wynn Las Vegas and Encore are located, the approximately 142-acre golf course behind Wynn Las Vegas, approximately 5 acres adjacent to the golf course on which an office building is located and approximately 18 acres located across from the Wynn Las Vegas site at Koval Lane and Sands Avenue, a portion of which is improved with an employee parking garage. Our Las Vegas property, with limited exceptions, is encumbered by a first priority security interest in favor of our lenders under the 2020 notes, the 2017 notes, the 2014 notes and our credit facilities.</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Las Vegas Water Rights</w:t>
      </w:r>
    </w:p>
    <w:p>
      <w:pPr>
        <w:spacing w:after="0" w:line="90" w:lineRule="exact"/>
        <w:rPr>
          <w:sz w:val="20"/>
          <w:szCs w:val="20"/>
          <w:color w:val="auto"/>
        </w:rPr>
      </w:pPr>
    </w:p>
    <w:p>
      <w:pPr>
        <w:ind w:right="340" w:firstLine="456"/>
        <w:spacing w:after="0" w:line="335" w:lineRule="auto"/>
        <w:rPr>
          <w:sz w:val="20"/>
          <w:szCs w:val="20"/>
          <w:color w:val="auto"/>
        </w:rPr>
      </w:pPr>
      <w:r>
        <w:rPr>
          <w:rFonts w:ascii="Arial" w:cs="Arial" w:eastAsia="Arial" w:hAnsi="Arial"/>
          <w:sz w:val="15"/>
          <w:szCs w:val="15"/>
          <w:color w:val="auto"/>
        </w:rPr>
        <w:t>We own approximately 834 acre-feet of permitted and certificated water rights, which we currently use to irrigate the golf course. We also own approximately 151.5 acre-feet of permitted and certificated water rights for commercial use. There are significant cost savings and conservation benefits associated with using water supplied pursuant to our water rights. We anticipate using our water rights to support future development of the golf course land.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are occasionally party to lawsuits. As with all litigation, no assurance can be provided as to the outcome of such matters and we note that litigation inherently involves significant costs. We are not currently party to any material legal proceedings.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60"/>
          </w:cols>
          <w:pgMar w:left="240" w:top="459" w:right="2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MANAGEMENT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are a wholly owned subsidiary of Wynn Holdings. Wynn Holdings is a wholly owned subsidiary of Wynn Resorts. The following table sets forth the directors, executive officers and certain key management personnel of Wynn Resorts and certain of its subsidiaries as of March 1, 2010. All directors hold their positions until their terms expire and until their respective successors are elected and qualified. Executive officers are appointed by the Board of Directors of Wynn Resorts and serve at the discretion of the Board of Directors, subject to applicable employment agreements.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280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Age</w:t>
            </w:r>
          </w:p>
        </w:tc>
        <w:tc>
          <w:tcPr>
            <w:tcW w:w="200" w:type="dxa"/>
            <w:vAlign w:val="bottom"/>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Position</w:t>
            </w:r>
          </w:p>
        </w:tc>
        <w:tc>
          <w:tcPr>
            <w:tcW w:w="4680" w:type="dxa"/>
            <w:vAlign w:val="bottom"/>
          </w:tcPr>
          <w:p>
            <w:pPr>
              <w:spacing w:after="0"/>
              <w:rPr>
                <w:sz w:val="14"/>
                <w:szCs w:val="14"/>
                <w:color w:val="auto"/>
              </w:rPr>
            </w:pPr>
          </w:p>
        </w:tc>
      </w:tr>
      <w:tr>
        <w:trPr>
          <w:trHeight w:val="201"/>
        </w:trPr>
        <w:tc>
          <w:tcPr>
            <w:tcW w:w="3180" w:type="dxa"/>
            <w:vAlign w:val="bottom"/>
            <w:gridSpan w:val="2"/>
          </w:tcPr>
          <w:p>
            <w:pPr>
              <w:spacing w:after="0" w:line="201" w:lineRule="exact"/>
              <w:rPr>
                <w:sz w:val="20"/>
                <w:szCs w:val="20"/>
                <w:color w:val="auto"/>
              </w:rPr>
            </w:pPr>
            <w:r>
              <w:rPr>
                <w:rFonts w:ascii="Arial" w:cs="Arial" w:eastAsia="Arial" w:hAnsi="Arial"/>
                <w:sz w:val="18"/>
                <w:szCs w:val="18"/>
                <w:color w:val="auto"/>
              </w:rPr>
              <w:t>Stephen A. Wynn</w:t>
            </w:r>
          </w:p>
        </w:tc>
        <w:tc>
          <w:tcPr>
            <w:tcW w:w="280" w:type="dxa"/>
            <w:vAlign w:val="bottom"/>
          </w:tcPr>
          <w:p>
            <w:pPr>
              <w:jc w:val="right"/>
              <w:spacing w:after="0" w:line="201" w:lineRule="exact"/>
              <w:rPr>
                <w:sz w:val="20"/>
                <w:szCs w:val="20"/>
                <w:color w:val="auto"/>
              </w:rPr>
            </w:pPr>
            <w:r>
              <w:rPr>
                <w:rFonts w:ascii="Arial" w:cs="Arial" w:eastAsia="Arial" w:hAnsi="Arial"/>
                <w:sz w:val="18"/>
                <w:szCs w:val="18"/>
                <w:color w:val="auto"/>
              </w:rPr>
              <w:t>68</w:t>
            </w:r>
          </w:p>
        </w:tc>
        <w:tc>
          <w:tcPr>
            <w:tcW w:w="200" w:type="dxa"/>
            <w:vAlign w:val="bottom"/>
          </w:tcPr>
          <w:p>
            <w:pPr>
              <w:spacing w:after="0"/>
              <w:rPr>
                <w:sz w:val="17"/>
                <w:szCs w:val="17"/>
                <w:color w:val="auto"/>
              </w:rPr>
            </w:pPr>
          </w:p>
        </w:tc>
        <w:tc>
          <w:tcPr>
            <w:tcW w:w="5180" w:type="dxa"/>
            <w:vAlign w:val="bottom"/>
            <w:gridSpan w:val="2"/>
          </w:tcPr>
          <w:p>
            <w:pPr>
              <w:spacing w:after="0" w:line="201" w:lineRule="exact"/>
              <w:rPr>
                <w:sz w:val="20"/>
                <w:szCs w:val="20"/>
                <w:color w:val="auto"/>
              </w:rPr>
            </w:pPr>
            <w:r>
              <w:rPr>
                <w:rFonts w:ascii="Arial" w:cs="Arial" w:eastAsia="Arial" w:hAnsi="Arial"/>
                <w:sz w:val="18"/>
                <w:szCs w:val="18"/>
                <w:color w:val="auto"/>
              </w:rPr>
              <w:t>Chairman of the Board and Chief Executive Officer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Kazuo Okada</w:t>
            </w:r>
          </w:p>
        </w:tc>
        <w:tc>
          <w:tcPr>
            <w:tcW w:w="280" w:type="dxa"/>
            <w:vAlign w:val="bottom"/>
          </w:tcPr>
          <w:p>
            <w:pPr>
              <w:jc w:val="right"/>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Vice Chairman of the Board</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Linda Chen</w:t>
            </w: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President, Wynn International Marketing, Ltd. and Director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Russell Goldsmith</w:t>
            </w:r>
          </w:p>
        </w:tc>
        <w:tc>
          <w:tcPr>
            <w:tcW w:w="280" w:type="dxa"/>
            <w:vAlign w:val="bottom"/>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Robert J. Miller</w:t>
            </w:r>
          </w:p>
        </w:tc>
        <w:tc>
          <w:tcPr>
            <w:tcW w:w="280" w:type="dxa"/>
            <w:vAlign w:val="bottom"/>
          </w:tcPr>
          <w:p>
            <w:pPr>
              <w:jc w:val="right"/>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John A. Moran</w:t>
            </w:r>
          </w:p>
        </w:tc>
        <w:tc>
          <w:tcPr>
            <w:tcW w:w="280" w:type="dxa"/>
            <w:vAlign w:val="bottom"/>
          </w:tcPr>
          <w:p>
            <w:pPr>
              <w:jc w:val="right"/>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Alvin V. Shoemaker</w:t>
            </w:r>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Ray R. Irani</w:t>
            </w:r>
          </w:p>
        </w:tc>
        <w:tc>
          <w:tcPr>
            <w:tcW w:w="280" w:type="dxa"/>
            <w:vAlign w:val="bottom"/>
          </w:tcPr>
          <w:p>
            <w:pPr>
              <w:jc w:val="right"/>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D. Boone Wayson</w:t>
            </w:r>
          </w:p>
        </w:tc>
        <w:tc>
          <w:tcPr>
            <w:tcW w:w="280" w:type="dxa"/>
            <w:vAlign w:val="bottom"/>
          </w:tcPr>
          <w:p>
            <w:pPr>
              <w:jc w:val="right"/>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Elaine P. Wynn</w:t>
            </w:r>
          </w:p>
        </w:tc>
        <w:tc>
          <w:tcPr>
            <w:tcW w:w="280" w:type="dxa"/>
            <w:vAlign w:val="bottom"/>
          </w:tcPr>
          <w:p>
            <w:pPr>
              <w:jc w:val="right"/>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Allan Zeman</w:t>
            </w:r>
          </w:p>
        </w:tc>
        <w:tc>
          <w:tcPr>
            <w:tcW w:w="280" w:type="dxa"/>
            <w:vAlign w:val="bottom"/>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Marc D. Schorr</w:t>
            </w:r>
          </w:p>
        </w:tc>
        <w:tc>
          <w:tcPr>
            <w:tcW w:w="280" w:type="dxa"/>
            <w:vAlign w:val="bottom"/>
          </w:tcPr>
          <w:p>
            <w:pPr>
              <w:jc w:val="right"/>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Chief Operating Officer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John Strzemp</w:t>
            </w:r>
          </w:p>
        </w:tc>
        <w:tc>
          <w:tcPr>
            <w:tcW w:w="280" w:type="dxa"/>
            <w:vAlign w:val="bottom"/>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Executive Vice President—Chief Administrative Officer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Ian M. Coughlan</w:t>
            </w:r>
          </w:p>
        </w:tc>
        <w:tc>
          <w:tcPr>
            <w:tcW w:w="280" w:type="dxa"/>
            <w:vAlign w:val="bottom"/>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President, Wynn Macau</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Matt Maddox</w:t>
            </w: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Chief Financial Officer and Treasurer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Andrew Pascal</w:t>
            </w:r>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President, Wynn Las Vegas, LLC</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Scott Peterson</w:t>
            </w: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w w:val="89"/>
              </w:rPr>
              <w:t>Senior Vice President and Chief Financial Officer, Wynn Las Vegas, LLC</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Kim Sinatra</w:t>
            </w:r>
          </w:p>
        </w:tc>
        <w:tc>
          <w:tcPr>
            <w:tcW w:w="280" w:type="dxa"/>
            <w:vAlign w:val="bottom"/>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Senior Vice President, General Counsel and Secretary</w:t>
            </w:r>
          </w:p>
        </w:tc>
      </w:tr>
      <w:tr>
        <w:trPr>
          <w:trHeight w:val="222"/>
        </w:trPr>
        <w:tc>
          <w:tcPr>
            <w:tcW w:w="3180" w:type="dxa"/>
            <w:vAlign w:val="bottom"/>
            <w:gridSpan w:val="2"/>
          </w:tcPr>
          <w:p>
            <w:pPr>
              <w:spacing w:after="0"/>
              <w:rPr>
                <w:sz w:val="20"/>
                <w:szCs w:val="20"/>
                <w:color w:val="auto"/>
              </w:rPr>
            </w:pPr>
            <w:r>
              <w:rPr>
                <w:rFonts w:ascii="Arial" w:cs="Arial" w:eastAsia="Arial" w:hAnsi="Arial"/>
                <w:sz w:val="18"/>
                <w:szCs w:val="18"/>
                <w:color w:val="auto"/>
              </w:rPr>
              <w:t>Robert Gansmo</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w w:val="90"/>
              </w:rPr>
              <w:t>Vice President and Chief Financial Officer, Wynn Resorts (Macau), S.A.</w:t>
            </w:r>
          </w:p>
        </w:tc>
      </w:tr>
    </w:tbl>
    <w:p>
      <w:pPr>
        <w:spacing w:after="0" w:line="15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Set forth below is certain information regarding each of the directors and the non-director executive officers and certain key management personnel of Wynn Resorts.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Class I Directors (Terms expire at the 2012 Annual Meeting of Stockholders)</w:t>
      </w:r>
    </w:p>
    <w:p>
      <w:pPr>
        <w:spacing w:after="0" w:line="84" w:lineRule="exact"/>
        <w:rPr>
          <w:sz w:val="20"/>
          <w:szCs w:val="20"/>
          <w:color w:val="auto"/>
        </w:rPr>
      </w:pPr>
    </w:p>
    <w:p>
      <w:pPr>
        <w:ind w:right="200" w:firstLine="456"/>
        <w:spacing w:after="0" w:line="293" w:lineRule="auto"/>
        <w:rPr>
          <w:sz w:val="20"/>
          <w:szCs w:val="20"/>
          <w:color w:val="auto"/>
        </w:rPr>
      </w:pPr>
      <w:r>
        <w:rPr>
          <w:rFonts w:ascii="Arial" w:cs="Arial" w:eastAsia="Arial" w:hAnsi="Arial"/>
          <w:sz w:val="16"/>
          <w:szCs w:val="16"/>
          <w:b w:val="1"/>
          <w:bCs w:val="1"/>
          <w:color w:val="auto"/>
        </w:rPr>
        <w:t xml:space="preserve">Linda Chen. </w:t>
      </w:r>
      <w:r>
        <w:rPr>
          <w:rFonts w:ascii="Arial" w:cs="Arial" w:eastAsia="Arial" w:hAnsi="Arial"/>
          <w:sz w:val="16"/>
          <w:szCs w:val="16"/>
          <w:color w:val="auto"/>
        </w:rPr>
        <w:t>Ms. Chen, 43, has served as a director of Wynn Resorts since October 2007. Ms. Chen serves as the President of Wynn International</w:t>
      </w:r>
      <w:r>
        <w:rPr>
          <w:rFonts w:ascii="Arial" w:cs="Arial" w:eastAsia="Arial" w:hAnsi="Arial"/>
          <w:sz w:val="16"/>
          <w:szCs w:val="16"/>
          <w:b w:val="1"/>
          <w:bCs w:val="1"/>
          <w:color w:val="auto"/>
        </w:rPr>
        <w:t xml:space="preserve"> </w:t>
      </w:r>
      <w:r>
        <w:rPr>
          <w:rFonts w:ascii="Arial" w:cs="Arial" w:eastAsia="Arial" w:hAnsi="Arial"/>
          <w:sz w:val="16"/>
          <w:szCs w:val="16"/>
          <w:color w:val="auto"/>
        </w:rPr>
        <w:t>Marketing, Limited, a wholly-owned indirect subsidiary of Wynn Resorts, a position she has held since January 2005. In addition, Ms. Chen is the Chief Operating Officer of Wynn Resorts (Macau), S.A., a wholly owned indirect subsidiary of Wynn Resorts, a role she has served in since June 2002, and is a member of the Board of Directors of Wynn Macau. Ms. Chen is responsible for managing the Wynn Resorts’ global marketing efforts and is involved in the operations and strategic development of Wynn Macau. Ms. Chen has a Bachelor of Science degree in Hotel Administrations from Cornell University and is a graduate of the Stanford Graduate School of Business Executive Development Program.</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Ms. Chen’s insights and experience as the primary marketing executive for Wynn Resorts’ Asian operations contributes to the Board’s ability to evaluate and make informed decisions that affect those operations. This experience becomes ever more important to Wynn Resorts and its stockholders as the percentage of the Wynn Resorts’ operational revenue and profits generated from its Macau operations increases.</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60"/>
          </w:cols>
          <w:pgMar w:left="240" w:top="459" w:right="3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John A. Moran. </w:t>
      </w:r>
      <w:r>
        <w:rPr>
          <w:rFonts w:ascii="Arial" w:cs="Arial" w:eastAsia="Arial" w:hAnsi="Arial"/>
          <w:sz w:val="18"/>
          <w:szCs w:val="18"/>
          <w:color w:val="auto"/>
        </w:rPr>
        <w:t>Mr. Moran, 78, has served as a director of Wynn Resorts since October 2002. Mr. Moran was with The Dyson-Kissner-Moran</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a private investment entity, from 1967 and retired as Chairman of the Board in 1994. Mr. Moran is the honorary Co-Chairman of the Republican Leadership Council of Washington, D.C. He served as Chairman of the Republican National Finance Committee from 1993 to 1995 and was the National Finance Chairman of the Dole for President Campaign.</w:t>
      </w:r>
    </w:p>
    <w:p>
      <w:pPr>
        <w:spacing w:after="0" w:line="14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With his extensive knowledge of the Wynn Resorts’ background, development and financing arrangements and his experience with financing and equity markets, Mr. Moran provides the Board insight that is important to the Board’s oversight of the Wynn Resorts’ financial structure. His guidance in the evaluation of capital deployment and management of the Wynn Resorts’ balance sheet is especially valuable. In addition, he brings to the Board experience in political and public policy matters.</w:t>
      </w:r>
    </w:p>
    <w:p>
      <w:pPr>
        <w:spacing w:after="0" w:line="137" w:lineRule="exact"/>
        <w:rPr>
          <w:sz w:val="20"/>
          <w:szCs w:val="20"/>
          <w:color w:val="auto"/>
        </w:rPr>
      </w:pPr>
    </w:p>
    <w:p>
      <w:pPr>
        <w:ind w:right="120" w:firstLine="456"/>
        <w:spacing w:after="0" w:line="310" w:lineRule="auto"/>
        <w:rPr>
          <w:sz w:val="20"/>
          <w:szCs w:val="20"/>
          <w:color w:val="auto"/>
        </w:rPr>
      </w:pPr>
      <w:r>
        <w:rPr>
          <w:rFonts w:ascii="Arial" w:cs="Arial" w:eastAsia="Arial" w:hAnsi="Arial"/>
          <w:sz w:val="16"/>
          <w:szCs w:val="16"/>
          <w:b w:val="1"/>
          <w:bCs w:val="1"/>
          <w:color w:val="auto"/>
        </w:rPr>
        <w:t xml:space="preserve">Elaine P. Wynn. </w:t>
      </w:r>
      <w:r>
        <w:rPr>
          <w:rFonts w:ascii="Arial" w:cs="Arial" w:eastAsia="Arial" w:hAnsi="Arial"/>
          <w:sz w:val="16"/>
          <w:szCs w:val="16"/>
          <w:color w:val="auto"/>
        </w:rPr>
        <w:t>Elaine Wynn, 67, has served as a director of Wynn Resorts since October 2002. In addition to her service as a member of the Board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since 1995 Elaine Wynn has co-chaired the Greater Las Vegas After-School All-Stars. She is the founding Chairperson of Communities-in-Schools of Nevada and, in 2009, was appointed as Chairperson of the National Board of Communities in Schools. Elaine Wynn is the former wife of Stephen A. Wynn.</w:t>
      </w:r>
    </w:p>
    <w:p>
      <w:pPr>
        <w:spacing w:after="0" w:line="10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Elaine P. Wynn has been a creative partner of Stephen A. Wynn and has contributed to the development of the Wynn Resorts’ properties. In addition, her significant community and philanthropic contributions have guided the Wynn Resorts’ efforts in these areas.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Class II Directors (Terms expire at the 2010 Annual Meeting of Stockholders)</w:t>
      </w:r>
    </w:p>
    <w:p>
      <w:pPr>
        <w:spacing w:after="0" w:line="84" w:lineRule="exact"/>
        <w:rPr>
          <w:sz w:val="20"/>
          <w:szCs w:val="20"/>
          <w:color w:val="auto"/>
        </w:rPr>
      </w:pPr>
    </w:p>
    <w:p>
      <w:pPr>
        <w:ind w:right="360" w:firstLine="456"/>
        <w:spacing w:after="0" w:line="262" w:lineRule="auto"/>
        <w:rPr>
          <w:sz w:val="20"/>
          <w:szCs w:val="20"/>
          <w:color w:val="auto"/>
        </w:rPr>
      </w:pPr>
      <w:r>
        <w:rPr>
          <w:rFonts w:ascii="Arial" w:cs="Arial" w:eastAsia="Arial" w:hAnsi="Arial"/>
          <w:sz w:val="18"/>
          <w:szCs w:val="18"/>
          <w:b w:val="1"/>
          <w:bCs w:val="1"/>
          <w:color w:val="auto"/>
        </w:rPr>
        <w:t xml:space="preserve">Stephen A. Wynn. </w:t>
      </w:r>
      <w:r>
        <w:rPr>
          <w:rFonts w:ascii="Arial" w:cs="Arial" w:eastAsia="Arial" w:hAnsi="Arial"/>
          <w:sz w:val="18"/>
          <w:szCs w:val="18"/>
          <w:color w:val="auto"/>
        </w:rPr>
        <w:t>Mr. Wynn, 68, has served as Chairman of the Board and Chief Executive Officer of Wynn Resorts since June 2002. Mr. Wynn also</w:t>
      </w:r>
      <w:r>
        <w:rPr>
          <w:rFonts w:ascii="Arial" w:cs="Arial" w:eastAsia="Arial" w:hAnsi="Arial"/>
          <w:sz w:val="18"/>
          <w:szCs w:val="18"/>
          <w:b w:val="1"/>
          <w:bCs w:val="1"/>
          <w:color w:val="auto"/>
        </w:rPr>
        <w:t xml:space="preserve"> </w:t>
      </w:r>
      <w:r>
        <w:rPr>
          <w:rFonts w:ascii="Arial" w:cs="Arial" w:eastAsia="Arial" w:hAnsi="Arial"/>
          <w:sz w:val="18"/>
          <w:szCs w:val="18"/>
          <w:color w:val="auto"/>
        </w:rPr>
        <w:t>serves as the Chairman and Chief Executive Officer of Wynn Macau and as an officer and/or director of several of our subsidiaries. Mr. Wynn is the former husband of Elaine P. Wynn.</w:t>
      </w:r>
    </w:p>
    <w:p>
      <w:pPr>
        <w:spacing w:after="0" w:line="13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Mr. Wynn is the founder and creative and organizational force of Wynn Resorts. Mr. Wynn’s 40 years of experience in the industry has contributed to his brand name status as the preeminent designer, developer and operator of destination casino resorts. Mr. Wynn’s involvement with our casino resorts provides a distinct advantage over other gaming enterprises. As founder, Chairman and Chief Executive Officer, he has a unique perspective into the operations and vision for Wynn Resorts. Mr. Wynn’s senior leadership experience also enables him to provide insights and guidance and to assess and respond to situations encountered in serving on Wynn Resorts’s Board.</w:t>
      </w:r>
    </w:p>
    <w:p>
      <w:pPr>
        <w:spacing w:after="0" w:line="13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b w:val="1"/>
          <w:bCs w:val="1"/>
          <w:color w:val="auto"/>
        </w:rPr>
        <w:t xml:space="preserve">Dr. Ray. R. Irani. </w:t>
      </w:r>
      <w:r>
        <w:rPr>
          <w:rFonts w:ascii="Arial" w:cs="Arial" w:eastAsia="Arial" w:hAnsi="Arial"/>
          <w:sz w:val="16"/>
          <w:szCs w:val="16"/>
          <w:color w:val="auto"/>
        </w:rPr>
        <w:t>Dr. Ray R. Irani, 75, has served as a director of Wynn Resorts since October 2007. Dr. Irani is Chairman and Chief Executive Officer of</w:t>
      </w:r>
      <w:r>
        <w:rPr>
          <w:rFonts w:ascii="Arial" w:cs="Arial" w:eastAsia="Arial" w:hAnsi="Arial"/>
          <w:sz w:val="16"/>
          <w:szCs w:val="16"/>
          <w:b w:val="1"/>
          <w:bCs w:val="1"/>
          <w:color w:val="auto"/>
        </w:rPr>
        <w:t xml:space="preserve"> </w:t>
      </w:r>
      <w:r>
        <w:rPr>
          <w:rFonts w:ascii="Arial" w:cs="Arial" w:eastAsia="Arial" w:hAnsi="Arial"/>
          <w:sz w:val="16"/>
          <w:szCs w:val="16"/>
          <w:color w:val="auto"/>
        </w:rPr>
        <w:t>Occidental Petroleum Corporation, an international oil and gas exploration and production company as well as a major North American chemical manufacturer, a position he has held since 1990. He joined Occidental in 1983 as Chief Executive Officer and Chairman of Occidental Chemical Corporation, an Occidental subsidiary. Prior to joining Occidental, Dr. Irani served as President and Chief Operating Officer of Olin Corporation. Dr. Irani is a Director of the American Petroleum Institute, and The TCW Group, Inc. He is a Trustee of the University of Southern California and is Co-Chairman of the Board of the American University of Beirut, and also serves on the Board of Governors of Town Hall and the World Affairs Council. Dr. Irani is a member of the American Chemical Society, The Conference Board, the Council on Foreign Relations, the National Petroleum Council, and The Scientific Research Society of America. He also serves on the Advisory Board of RAND’s Center for Middle East Public Policy. Dr. Irani received a B.S. degree in chemistry from the American University of Beirut in 1953 and a Ph.D. in physical chemistry from the University of Southern California in 1957.</w:t>
      </w:r>
    </w:p>
    <w:p>
      <w:pPr>
        <w:spacing w:after="0" w:line="119"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After the opening of Wynn Macau in 2006, Wynn Resorts sought additional representation on the Board by executives with experience in managing international operations and with keen insight into international</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relations, which are of increasing importance to Wynn Resorts. Dr. Irani was identified to the Nominating and Governance Committee as a potential director by Mr. Wynn and was elected to the Board of Directors in 2007 as a result of his extensive international experience with such matters as the long time Chairman and Chief Executive Officer of Occidental Petroleum Corporation, an international oil and gas exploration and production company with operations throughout the world.</w:t>
      </w:r>
    </w:p>
    <w:p>
      <w:pPr>
        <w:spacing w:after="0" w:line="137" w:lineRule="exact"/>
        <w:rPr>
          <w:sz w:val="20"/>
          <w:szCs w:val="20"/>
          <w:color w:val="auto"/>
        </w:rPr>
      </w:pPr>
    </w:p>
    <w:p>
      <w:pPr>
        <w:ind w:right="120" w:firstLine="456"/>
        <w:spacing w:after="0" w:line="310" w:lineRule="auto"/>
        <w:rPr>
          <w:sz w:val="20"/>
          <w:szCs w:val="20"/>
          <w:color w:val="auto"/>
        </w:rPr>
      </w:pPr>
      <w:r>
        <w:rPr>
          <w:rFonts w:ascii="Arial" w:cs="Arial" w:eastAsia="Arial" w:hAnsi="Arial"/>
          <w:sz w:val="16"/>
          <w:szCs w:val="16"/>
          <w:b w:val="1"/>
          <w:bCs w:val="1"/>
          <w:color w:val="auto"/>
        </w:rPr>
        <w:t xml:space="preserve">Alvin V. Shoemaker. </w:t>
      </w:r>
      <w:r>
        <w:rPr>
          <w:rFonts w:ascii="Arial" w:cs="Arial" w:eastAsia="Arial" w:hAnsi="Arial"/>
          <w:sz w:val="16"/>
          <w:szCs w:val="16"/>
          <w:color w:val="auto"/>
        </w:rPr>
        <w:t>Mr. Shoemaker, 71, has served as a director of Wynn Resorts since December 2002. Mr. Shoemaker is currently retired and was the</w:t>
      </w:r>
      <w:r>
        <w:rPr>
          <w:rFonts w:ascii="Arial" w:cs="Arial" w:eastAsia="Arial" w:hAnsi="Arial"/>
          <w:sz w:val="16"/>
          <w:szCs w:val="16"/>
          <w:b w:val="1"/>
          <w:bCs w:val="1"/>
          <w:color w:val="auto"/>
        </w:rPr>
        <w:t xml:space="preserve"> </w:t>
      </w:r>
      <w:r>
        <w:rPr>
          <w:rFonts w:ascii="Arial" w:cs="Arial" w:eastAsia="Arial" w:hAnsi="Arial"/>
          <w:sz w:val="16"/>
          <w:szCs w:val="16"/>
          <w:color w:val="auto"/>
        </w:rPr>
        <w:t>Chairman of the Board of First Boston Inc. and First Boston Corp. from April 1983 until his retirement in January 1989, at the time of its sale to Credit Suisse Bank. Mr. Shoemaker is a member of the board of directors of Frontier Bank, Western Community Bank Shares, and Huntsman Chemical Co.</w:t>
      </w:r>
    </w:p>
    <w:p>
      <w:pPr>
        <w:spacing w:after="0" w:line="10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Mr. Shoemaker has served on the Board of Directors of Wynn Resorts since its formation in 2002. With his extensive knowledge of Wynn Resorts’ background, development and financing arrangements and his deep experience as a financial executive serving as the Chairman of First Boston, Mr. Shoemaker contributes particularly to the Board’s oversight of Wynn Resorts’ financial matters. Mr. Shoemaker’s experience in this respect has continued to be important to Wynn Resorts during the current financial crisis, and enables him to provide strong leadership of the Audit Committee.</w:t>
      </w:r>
    </w:p>
    <w:p>
      <w:pPr>
        <w:spacing w:after="0" w:line="107" w:lineRule="exact"/>
        <w:rPr>
          <w:sz w:val="20"/>
          <w:szCs w:val="20"/>
          <w:color w:val="auto"/>
        </w:rPr>
      </w:pPr>
    </w:p>
    <w:p>
      <w:pPr>
        <w:ind w:firstLine="456"/>
        <w:spacing w:after="0" w:line="310" w:lineRule="auto"/>
        <w:rPr>
          <w:sz w:val="20"/>
          <w:szCs w:val="20"/>
          <w:color w:val="auto"/>
        </w:rPr>
      </w:pPr>
      <w:r>
        <w:rPr>
          <w:rFonts w:ascii="Arial" w:cs="Arial" w:eastAsia="Arial" w:hAnsi="Arial"/>
          <w:sz w:val="16"/>
          <w:szCs w:val="16"/>
          <w:b w:val="1"/>
          <w:bCs w:val="1"/>
          <w:color w:val="auto"/>
        </w:rPr>
        <w:t xml:space="preserve">D. Boone Wayson. </w:t>
      </w:r>
      <w:r>
        <w:rPr>
          <w:rFonts w:ascii="Arial" w:cs="Arial" w:eastAsia="Arial" w:hAnsi="Arial"/>
          <w:sz w:val="16"/>
          <w:szCs w:val="16"/>
          <w:color w:val="auto"/>
        </w:rPr>
        <w:t>Mr. Wayson, 57, has served as a director of Wynn Resorts since August 2003. Mr. Wayson has been a principal of Wayson’s Properties,</w:t>
      </w:r>
      <w:r>
        <w:rPr>
          <w:rFonts w:ascii="Arial" w:cs="Arial" w:eastAsia="Arial" w:hAnsi="Arial"/>
          <w:sz w:val="16"/>
          <w:szCs w:val="16"/>
          <w:b w:val="1"/>
          <w:bCs w:val="1"/>
          <w:color w:val="auto"/>
        </w:rPr>
        <w:t xml:space="preserve"> </w:t>
      </w:r>
      <w:r>
        <w:rPr>
          <w:rFonts w:ascii="Arial" w:cs="Arial" w:eastAsia="Arial" w:hAnsi="Arial"/>
          <w:sz w:val="16"/>
          <w:szCs w:val="16"/>
          <w:color w:val="auto"/>
        </w:rPr>
        <w:t>Incorporated, a real estate development and holding company, since 1970. He also serves as an officer and/or director of other real estate and business ventures. From 2000 through May 2003, Mr. Wayson served as a member of the board of directors of MGM MIRAGE.</w:t>
      </w:r>
    </w:p>
    <w:p>
      <w:pPr>
        <w:spacing w:after="0" w:line="103"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Mr. Wayson’s experience in the real estate and gaming businesses contributes to the Board’s ability to assess and oversee these critical aspects of Wynn Resorts’ business and to provide insights to Wynn Resorts’ operations. Mr. Wayson has extensive operational experience in the casino finance area, beginning as casino controller and ultimately managing a resort casino property in Atlantic City, N.J. The Board is benefited from Mr. Wayson’s first hand experience in operations and utilizes his knowledge of the business, especially in the finance and marketing areas, to assist with its risk oversight responsibilities.</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Class III Directors (Terms expire at the 2011 Annual Meeting of Stockholders)</w:t>
      </w:r>
    </w:p>
    <w:p>
      <w:pPr>
        <w:spacing w:after="0" w:line="84" w:lineRule="exact"/>
        <w:rPr>
          <w:sz w:val="20"/>
          <w:szCs w:val="20"/>
          <w:color w:val="auto"/>
        </w:rPr>
      </w:pPr>
    </w:p>
    <w:p>
      <w:pPr>
        <w:ind w:right="40" w:firstLine="456"/>
        <w:spacing w:after="0" w:line="296" w:lineRule="auto"/>
        <w:rPr>
          <w:sz w:val="20"/>
          <w:szCs w:val="20"/>
          <w:color w:val="auto"/>
        </w:rPr>
      </w:pPr>
      <w:r>
        <w:rPr>
          <w:rFonts w:ascii="Arial" w:cs="Arial" w:eastAsia="Arial" w:hAnsi="Arial"/>
          <w:sz w:val="16"/>
          <w:szCs w:val="16"/>
          <w:b w:val="1"/>
          <w:bCs w:val="1"/>
          <w:color w:val="auto"/>
        </w:rPr>
        <w:t xml:space="preserve">Russell Goldsmith. </w:t>
      </w:r>
      <w:r>
        <w:rPr>
          <w:rFonts w:ascii="Arial" w:cs="Arial" w:eastAsia="Arial" w:hAnsi="Arial"/>
          <w:sz w:val="16"/>
          <w:szCs w:val="16"/>
          <w:color w:val="auto"/>
        </w:rPr>
        <w:t>Mr. Goldsmith, 60, has served as a director of Wynn Resorts since May 2008. Mr. Goldsmith has served as Chief Executive Officer of</w:t>
      </w:r>
      <w:r>
        <w:rPr>
          <w:rFonts w:ascii="Arial" w:cs="Arial" w:eastAsia="Arial" w:hAnsi="Arial"/>
          <w:sz w:val="16"/>
          <w:szCs w:val="16"/>
          <w:b w:val="1"/>
          <w:bCs w:val="1"/>
          <w:color w:val="auto"/>
        </w:rPr>
        <w:t xml:space="preserve"> </w:t>
      </w:r>
      <w:r>
        <w:rPr>
          <w:rFonts w:ascii="Arial" w:cs="Arial" w:eastAsia="Arial" w:hAnsi="Arial"/>
          <w:sz w:val="16"/>
          <w:szCs w:val="16"/>
          <w:color w:val="auto"/>
        </w:rPr>
        <w:t>City National Bank, a provider of a wide range of banking, investing and trust services</w:t>
      </w:r>
      <w:r>
        <w:rPr>
          <w:rFonts w:ascii="Arial" w:cs="Arial" w:eastAsia="Arial" w:hAnsi="Arial"/>
          <w:sz w:val="16"/>
          <w:szCs w:val="16"/>
          <w:b w:val="1"/>
          <w:bCs w:val="1"/>
          <w:color w:val="auto"/>
        </w:rPr>
        <w:t>,</w:t>
      </w:r>
      <w:r>
        <w:rPr>
          <w:rFonts w:ascii="Arial" w:cs="Arial" w:eastAsia="Arial" w:hAnsi="Arial"/>
          <w:sz w:val="16"/>
          <w:szCs w:val="16"/>
          <w:color w:val="auto"/>
        </w:rPr>
        <w:t xml:space="preserve"> since 1995. Additionally, he has served as Chief Executive Officer and either President or Vice Chairman of its publicly held parent company, City National Corporation, since 1995. He has been a director of both the bank and its parent company since 1978. Mr. Goldsmith also serves on the Federal Reserve Board’s 12-member Federal Advisory Council, representing the Twelfth Federal Reserve District, and he serves on the Board of Directors of the Financial Services Roundtable.</w:t>
      </w:r>
    </w:p>
    <w:p>
      <w:pPr>
        <w:spacing w:after="0" w:line="11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Mr. Goldsmith brings current insight and deep financial expertise to our Board. His service on the Federal Reserve Board’s Advisory Council has brought additional perspective on the macroeconomic and public policy issues facing Wynn Resorts.</w:t>
      </w:r>
    </w:p>
    <w:p>
      <w:pPr>
        <w:spacing w:after="0" w:line="126" w:lineRule="exact"/>
        <w:rPr>
          <w:sz w:val="20"/>
          <w:szCs w:val="20"/>
          <w:color w:val="auto"/>
        </w:rPr>
      </w:pPr>
    </w:p>
    <w:p>
      <w:pPr>
        <w:ind w:right="40" w:firstLine="456"/>
        <w:spacing w:after="0" w:line="296" w:lineRule="auto"/>
        <w:rPr>
          <w:sz w:val="20"/>
          <w:szCs w:val="20"/>
          <w:color w:val="auto"/>
        </w:rPr>
      </w:pPr>
      <w:r>
        <w:rPr>
          <w:rFonts w:ascii="Arial" w:cs="Arial" w:eastAsia="Arial" w:hAnsi="Arial"/>
          <w:sz w:val="16"/>
          <w:szCs w:val="16"/>
          <w:b w:val="1"/>
          <w:bCs w:val="1"/>
          <w:color w:val="auto"/>
        </w:rPr>
        <w:t xml:space="preserve">Kazuo Okada. </w:t>
      </w:r>
      <w:r>
        <w:rPr>
          <w:rFonts w:ascii="Arial" w:cs="Arial" w:eastAsia="Arial" w:hAnsi="Arial"/>
          <w:sz w:val="16"/>
          <w:szCs w:val="16"/>
          <w:color w:val="auto"/>
        </w:rPr>
        <w:t>Mr. Okada, 67, has served as Vice Chairman of the Board of Wynn Resorts since October 2002. Mr. Okada also serves as a member of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 of Directors of Wynn Macau. In 1969, Mr. Okada founded Universal Lease Co. Ltd., which became Aruze Corp. in 1998. In November 2009, the name of Aruze Corp. was changed to Universal Entertainment Corporation (“Universal”) and is a Japanese manufacturer of pachislot and pachinko machines, amusement machines, and video games. Universal has been issued a manufacturer license by the Nevada Gaming Commission. The Nevada Gaming Commission has also approved Universal’s suitability as the 100% shareholder for a subsidiary, Aruze USA, Inc. Aruze USA has been found</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40" w:top="459" w:right="2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suitable by the Nevada Gaming Commission as a major shareholder of Wynn Resorts. Mr. Okada currently serves as Director and Chairman of the Board of Universal and as Director, President, Secretary and Treasurer of Aruze USA. Aruze Gaming America is privately owned by Mr. Okada and holds manufacturer, distributor, and operator licenses from the Nevada Gaming Commission. Mr. Okada also serves as Director, President, Secretary and Treasurer of Aruze Gaming America, Inc.</w:t>
      </w:r>
    </w:p>
    <w:p>
      <w:pPr>
        <w:spacing w:after="0" w:line="143" w:lineRule="exact"/>
        <w:rPr>
          <w:sz w:val="20"/>
          <w:szCs w:val="20"/>
          <w:color w:val="auto"/>
        </w:rPr>
      </w:pPr>
    </w:p>
    <w:p>
      <w:pPr>
        <w:jc w:val="both"/>
        <w:ind w:right="140" w:firstLine="456"/>
        <w:spacing w:after="0" w:line="370" w:lineRule="auto"/>
        <w:rPr>
          <w:sz w:val="20"/>
          <w:szCs w:val="20"/>
          <w:color w:val="auto"/>
        </w:rPr>
      </w:pPr>
      <w:r>
        <w:rPr>
          <w:rFonts w:ascii="Arial" w:cs="Arial" w:eastAsia="Arial" w:hAnsi="Arial"/>
          <w:sz w:val="15"/>
          <w:szCs w:val="15"/>
          <w:color w:val="auto"/>
        </w:rPr>
        <w:t>Mr. Okada, a founding stockholder along with Mr. Wynn, as well as Wynn Resorts’ Vice Chairman, brings an international perspective that is essential to Wynn Resorts’ strategic vision. In addition, his primary business as a manufacturer and developer of gaming equipment adds significant value to our operations.</w:t>
      </w:r>
    </w:p>
    <w:p>
      <w:pPr>
        <w:spacing w:after="0" w:line="5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b w:val="1"/>
          <w:bCs w:val="1"/>
          <w:color w:val="auto"/>
        </w:rPr>
        <w:t xml:space="preserve">Robert J. Miller. </w:t>
      </w:r>
      <w:r>
        <w:rPr>
          <w:rFonts w:ascii="Arial" w:cs="Arial" w:eastAsia="Arial" w:hAnsi="Arial"/>
          <w:sz w:val="18"/>
          <w:szCs w:val="18"/>
          <w:color w:val="auto"/>
        </w:rPr>
        <w:t>Mr. Miller, 64, has served as a director of Wynn Resorts since October 2002. Since July 2005, he has been a principal of Dutko</w:t>
      </w:r>
      <w:r>
        <w:rPr>
          <w:rFonts w:ascii="Arial" w:cs="Arial" w:eastAsia="Arial" w:hAnsi="Arial"/>
          <w:sz w:val="18"/>
          <w:szCs w:val="18"/>
          <w:b w:val="1"/>
          <w:bCs w:val="1"/>
          <w:color w:val="auto"/>
        </w:rPr>
        <w:t xml:space="preserve"> </w:t>
      </w:r>
      <w:r>
        <w:rPr>
          <w:rFonts w:ascii="Arial" w:cs="Arial" w:eastAsia="Arial" w:hAnsi="Arial"/>
          <w:sz w:val="18"/>
          <w:szCs w:val="18"/>
          <w:color w:val="auto"/>
        </w:rPr>
        <w:t>Worldwide, a multidisciplinary governmental affairs strategy and management firm. From January 1999 until he joined Dutko Worldwide, Mr. Miller was a partner of the Nevada law firm of Jones Vargas. He was a partner in Miller &amp; Behar Strategies from January 2003 to August 2007 and has been a partner in Nevada Rose, LLC since November 2004. From January 1989 until January 1999, Mr. Miller served as Governor of the State of Nevada, and, from 1987 to 1989, he served as Lieutenant Governor of the State of Nevada. Mr. Miller also serves as a director of Zenith National Insurance Corp., Newmont Mining Corporation and International Game Technology. Mr. Miller received a B.A. degree in political science from the University of Santa Clara in 1967 and a Juris Doctor from Loyola Law School in 1971.</w:t>
      </w:r>
    </w:p>
    <w:p>
      <w:pPr>
        <w:spacing w:after="0" w:line="14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Governor Miller’s extensive experience in Nevada and federal politics brings unique expertise and insight into state regulatory and public policy issues that directly impact Wynn Resorts’ operations. In addition, his legal background and service as our Compliance Director and Chair of Wynn Resorts’ Compliance Committee is an important element of maintaining our regulatory structure and probity.</w:t>
      </w:r>
    </w:p>
    <w:p>
      <w:pPr>
        <w:spacing w:after="0" w:line="134" w:lineRule="exact"/>
        <w:rPr>
          <w:sz w:val="20"/>
          <w:szCs w:val="20"/>
          <w:color w:val="auto"/>
        </w:rPr>
      </w:pPr>
    </w:p>
    <w:p>
      <w:pPr>
        <w:ind w:right="20" w:firstLine="456"/>
        <w:spacing w:after="0" w:line="296" w:lineRule="auto"/>
        <w:rPr>
          <w:sz w:val="20"/>
          <w:szCs w:val="20"/>
          <w:color w:val="auto"/>
        </w:rPr>
      </w:pPr>
      <w:r>
        <w:rPr>
          <w:rFonts w:ascii="Arial" w:cs="Arial" w:eastAsia="Arial" w:hAnsi="Arial"/>
          <w:sz w:val="16"/>
          <w:szCs w:val="16"/>
          <w:b w:val="1"/>
          <w:bCs w:val="1"/>
          <w:color w:val="auto"/>
        </w:rPr>
        <w:t xml:space="preserve">Allan Zeman. </w:t>
      </w:r>
      <w:r>
        <w:rPr>
          <w:rFonts w:ascii="Arial" w:cs="Arial" w:eastAsia="Arial" w:hAnsi="Arial"/>
          <w:sz w:val="16"/>
          <w:szCs w:val="16"/>
          <w:color w:val="auto"/>
        </w:rPr>
        <w:t>Mr. Zeman, 61, has served as a director of Wynn Resorts since October 2002. He is also Vice Chairman and a member of the Board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of Wynn Macau. Mr. Zeman has been chairman of Lan Kwai Fong Holdings Limited, a Hong Kong based company engaged in property investment and development, since July 1996. Mr. Zeman is also chairman of Ocean Park, a major theme park in Hong Kong and serves on the Board of Directors of Pacific Century Premium Developments Limited (since 2004), Tsim Sha Tsui Properties Limited (since 2004) and Sino Land Company Limited (since 2004). In 2001, he was appointed a Justice of the Peace in Hong Kong and, in 2004, he was awarded the Gold Bauhinia Star by the Chief Executive of Hong Kong.</w:t>
      </w:r>
    </w:p>
    <w:p>
      <w:pPr>
        <w:spacing w:after="0" w:line="114"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Mr. Zeman, a Hong Kong citizen and successful Hong Kong entrepreneur, has been a guiding force in the development of our Macau operations and the continued operation and strategic focus of Wynn Macau. His extensive knowledge of Wynn Resorts’ background, development and marketing strategy in Asia contribute to the Board’s oversight of these aspects of Wynn Resorts’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Key Management</w:t>
      </w:r>
    </w:p>
    <w:p>
      <w:pPr>
        <w:spacing w:after="0" w:line="90" w:lineRule="exact"/>
        <w:rPr>
          <w:sz w:val="20"/>
          <w:szCs w:val="20"/>
          <w:color w:val="auto"/>
        </w:rPr>
      </w:pPr>
    </w:p>
    <w:p>
      <w:pPr>
        <w:ind w:right="580" w:firstLine="456"/>
        <w:spacing w:after="0" w:line="339" w:lineRule="auto"/>
        <w:rPr>
          <w:sz w:val="20"/>
          <w:szCs w:val="20"/>
          <w:color w:val="auto"/>
        </w:rPr>
      </w:pPr>
      <w:r>
        <w:rPr>
          <w:rFonts w:ascii="Arial" w:cs="Arial" w:eastAsia="Arial" w:hAnsi="Arial"/>
          <w:sz w:val="16"/>
          <w:szCs w:val="16"/>
          <w:b w:val="1"/>
          <w:bCs w:val="1"/>
          <w:color w:val="auto"/>
        </w:rPr>
        <w:t xml:space="preserve">Marc D. Schorr. </w:t>
      </w:r>
      <w:r>
        <w:rPr>
          <w:rFonts w:ascii="Arial" w:cs="Arial" w:eastAsia="Arial" w:hAnsi="Arial"/>
          <w:sz w:val="16"/>
          <w:szCs w:val="16"/>
          <w:color w:val="auto"/>
        </w:rPr>
        <w:t>Mr. Schorr serves as Chief Operating Officer of Wynn Resorts, a position he has held since June 2002. Mr. Schorr also serves as a</w:t>
      </w:r>
      <w:r>
        <w:rPr>
          <w:rFonts w:ascii="Arial" w:cs="Arial" w:eastAsia="Arial" w:hAnsi="Arial"/>
          <w:sz w:val="16"/>
          <w:szCs w:val="16"/>
          <w:b w:val="1"/>
          <w:bCs w:val="1"/>
          <w:color w:val="auto"/>
        </w:rPr>
        <w:t xml:space="preserve"> </w:t>
      </w:r>
      <w:r>
        <w:rPr>
          <w:rFonts w:ascii="Arial" w:cs="Arial" w:eastAsia="Arial" w:hAnsi="Arial"/>
          <w:sz w:val="16"/>
          <w:szCs w:val="16"/>
          <w:color w:val="auto"/>
        </w:rPr>
        <w:t>member of the Board of Directors of Wynn Macau and as an officer of several of Wynn Resorts’ other subsidiaries.</w:t>
      </w:r>
    </w:p>
    <w:p>
      <w:pPr>
        <w:spacing w:after="0" w:line="74"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b w:val="1"/>
          <w:bCs w:val="1"/>
          <w:color w:val="auto"/>
        </w:rPr>
        <w:t xml:space="preserve">John Strzemp. </w:t>
      </w:r>
      <w:r>
        <w:rPr>
          <w:rFonts w:ascii="Arial" w:cs="Arial" w:eastAsia="Arial" w:hAnsi="Arial"/>
          <w:sz w:val="18"/>
          <w:szCs w:val="18"/>
          <w:color w:val="auto"/>
        </w:rPr>
        <w:t>Mr. Strzemp serves as Executive Vice President and Chief Administrative Officer of Wynn Resorts. Prior to his promotion in March 2008,</w:t>
      </w:r>
      <w:r>
        <w:rPr>
          <w:rFonts w:ascii="Arial" w:cs="Arial" w:eastAsia="Arial" w:hAnsi="Arial"/>
          <w:sz w:val="18"/>
          <w:szCs w:val="18"/>
          <w:b w:val="1"/>
          <w:bCs w:val="1"/>
          <w:color w:val="auto"/>
        </w:rPr>
        <w:t xml:space="preserve"> </w:t>
      </w:r>
      <w:r>
        <w:rPr>
          <w:rFonts w:ascii="Arial" w:cs="Arial" w:eastAsia="Arial" w:hAnsi="Arial"/>
          <w:sz w:val="18"/>
          <w:szCs w:val="18"/>
          <w:color w:val="auto"/>
        </w:rPr>
        <w:t>Mr. Strzemp served as Executive Vice President and Chief Financial Officer of Wynn Resorts, positions he had held since September 2002. Mr. Strzemp served as Wynn Resorts’ Treasurer from March 2003 to March 2006.</w:t>
      </w:r>
    </w:p>
    <w:p>
      <w:pPr>
        <w:spacing w:after="0" w:line="132" w:lineRule="exact"/>
        <w:rPr>
          <w:sz w:val="20"/>
          <w:szCs w:val="20"/>
          <w:color w:val="auto"/>
        </w:rPr>
      </w:pPr>
    </w:p>
    <w:p>
      <w:pPr>
        <w:ind w:right="140" w:firstLine="456"/>
        <w:spacing w:after="0" w:line="275" w:lineRule="auto"/>
        <w:rPr>
          <w:sz w:val="20"/>
          <w:szCs w:val="20"/>
          <w:color w:val="auto"/>
        </w:rPr>
      </w:pPr>
      <w:r>
        <w:rPr>
          <w:rFonts w:ascii="Arial" w:cs="Arial" w:eastAsia="Arial" w:hAnsi="Arial"/>
          <w:sz w:val="18"/>
          <w:szCs w:val="18"/>
          <w:b w:val="1"/>
          <w:bCs w:val="1"/>
          <w:color w:val="auto"/>
        </w:rPr>
        <w:t xml:space="preserve">Matt Maddox. </w:t>
      </w:r>
      <w:r>
        <w:rPr>
          <w:rFonts w:ascii="Arial" w:cs="Arial" w:eastAsia="Arial" w:hAnsi="Arial"/>
          <w:sz w:val="18"/>
          <w:szCs w:val="18"/>
          <w:color w:val="auto"/>
        </w:rPr>
        <w:t>Mr. Maddox serves as Wynn Resorts’ Chief Financial Officer and Treasurer. Prior to his promotion in March 2008, Mr. Maddox served as</w:t>
      </w:r>
      <w:r>
        <w:rPr>
          <w:rFonts w:ascii="Arial" w:cs="Arial" w:eastAsia="Arial" w:hAnsi="Arial"/>
          <w:sz w:val="18"/>
          <w:szCs w:val="18"/>
          <w:b w:val="1"/>
          <w:bCs w:val="1"/>
          <w:color w:val="auto"/>
        </w:rPr>
        <w:t xml:space="preserve"> </w:t>
      </w:r>
      <w:r>
        <w:rPr>
          <w:rFonts w:ascii="Arial" w:cs="Arial" w:eastAsia="Arial" w:hAnsi="Arial"/>
          <w:sz w:val="18"/>
          <w:szCs w:val="18"/>
          <w:color w:val="auto"/>
        </w:rPr>
        <w:t>Wynn Resorts’ Senior Vice President of Business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Development and Treasurer, positions he held since January 2007 and May 2006, respectively. From June 2005 to December 31, 2006, Mr. Maddox served as the Senior Vice President of Business Development for Wynn Las Vegas, LLC. From March 2003 to June 2005, Mr. Maddox was the Chief Financial Officer of Wynn Resorts (Macau), S.A. From May 2002 through March 2003, Mr. Maddox was Wynn Resorts’ Treasurer and Vice President—Investor Relations.</w:t>
      </w:r>
    </w:p>
    <w:p>
      <w:pPr>
        <w:spacing w:after="0" w:line="101"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 xml:space="preserve">Kim Sinatra. </w:t>
      </w:r>
      <w:r>
        <w:rPr>
          <w:rFonts w:ascii="Arial" w:cs="Arial" w:eastAsia="Arial" w:hAnsi="Arial"/>
          <w:sz w:val="18"/>
          <w:szCs w:val="18"/>
          <w:color w:val="auto"/>
        </w:rPr>
        <w:t>Ms. Sinatra is General Counsel and Secretary of Wynn Resorts, a position she has held since March 2006. Ms. Sinatra is also the Senior Vice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and General Counsel of Worldwide Wynn, LLC, a wholly owned subsidiary of Wynn Resorts, a position she has held since January 2004. She also serves as an officer of several of Wynn Resorts’ subsidiaries.</w:t>
      </w:r>
    </w:p>
    <w:p>
      <w:pPr>
        <w:spacing w:after="0" w:line="13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b w:val="1"/>
          <w:bCs w:val="1"/>
          <w:color w:val="auto"/>
        </w:rPr>
        <w:t xml:space="preserve">Ian Michael Coughlan. </w:t>
      </w:r>
      <w:r>
        <w:rPr>
          <w:rFonts w:ascii="Arial" w:cs="Arial" w:eastAsia="Arial" w:hAnsi="Arial"/>
          <w:sz w:val="18"/>
          <w:szCs w:val="18"/>
          <w:color w:val="auto"/>
        </w:rPr>
        <w:t>Mr. Coughlan is an Executive Director of Wynn Macau and serves as the President of Wynn Resorts (Macau) S.A., a position he</w:t>
      </w:r>
      <w:r>
        <w:rPr>
          <w:rFonts w:ascii="Arial" w:cs="Arial" w:eastAsia="Arial" w:hAnsi="Arial"/>
          <w:sz w:val="18"/>
          <w:szCs w:val="18"/>
          <w:b w:val="1"/>
          <w:bCs w:val="1"/>
          <w:color w:val="auto"/>
        </w:rPr>
        <w:t xml:space="preserve"> </w:t>
      </w:r>
      <w:r>
        <w:rPr>
          <w:rFonts w:ascii="Arial" w:cs="Arial" w:eastAsia="Arial" w:hAnsi="Arial"/>
          <w:sz w:val="18"/>
          <w:szCs w:val="18"/>
          <w:color w:val="auto"/>
        </w:rPr>
        <w:t>has held since July 2007. Prior to becoming President of Wynn Macau, Mr. Coughlan was Director of Hotel Operations—Worldwide for Wynn Resorts, Limited. Mr. Coughlan has over 30 years of hospitality experience with leading hotels across Asia, Europe and the United States. Before joining Wynn Resorts, Limited, he spent 10 years with The Peninsula Group, including posts as General Manager of The Peninsula Hong Kong from September 2004 to January 2007, and General Manager of The Peninsula Bangkok from September 1999 to August 2004. Mr. Coughlan has a Diploma from Shannon College of Hotel Management, Ireland.</w:t>
      </w:r>
    </w:p>
    <w:p>
      <w:pPr>
        <w:spacing w:after="0" w:line="139"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 xml:space="preserve">Andrew Pascal. </w:t>
      </w:r>
      <w:r>
        <w:rPr>
          <w:rFonts w:ascii="Arial" w:cs="Arial" w:eastAsia="Arial" w:hAnsi="Arial"/>
          <w:sz w:val="18"/>
          <w:szCs w:val="18"/>
          <w:color w:val="auto"/>
        </w:rPr>
        <w:t>Mr. Pascal is the President of Wynn Las Vegas, LLC., a position he has held since October 2005. From July 2005 through October 2005,</w:t>
      </w:r>
      <w:r>
        <w:rPr>
          <w:rFonts w:ascii="Arial" w:cs="Arial" w:eastAsia="Arial" w:hAnsi="Arial"/>
          <w:sz w:val="18"/>
          <w:szCs w:val="18"/>
          <w:b w:val="1"/>
          <w:bCs w:val="1"/>
          <w:color w:val="auto"/>
        </w:rPr>
        <w:t xml:space="preserve"> </w:t>
      </w:r>
      <w:r>
        <w:rPr>
          <w:rFonts w:ascii="Arial" w:cs="Arial" w:eastAsia="Arial" w:hAnsi="Arial"/>
          <w:sz w:val="18"/>
          <w:szCs w:val="18"/>
          <w:color w:val="auto"/>
        </w:rPr>
        <w:t>Mr. Pascal was the Executive Vice President and Chief Operating Officer of Wynn Las Vegas, LLC. Mr. Pascal served as the Senior Vice President—Product Marketing and Development for Wynn Resorts from August 2003 to July 2005. From March 2001 to September 2003, Mr. Pascal was Chief Executive Officer of WagerWorks, Inc. a developer and supplier of remote gaming applications.</w:t>
      </w:r>
    </w:p>
    <w:p>
      <w:pPr>
        <w:spacing w:after="0" w:line="136" w:lineRule="exact"/>
        <w:rPr>
          <w:sz w:val="20"/>
          <w:szCs w:val="20"/>
          <w:color w:val="auto"/>
        </w:rPr>
      </w:pPr>
    </w:p>
    <w:p>
      <w:pPr>
        <w:jc w:val="both"/>
        <w:ind w:right="160" w:firstLine="456"/>
        <w:spacing w:after="0" w:line="258" w:lineRule="auto"/>
        <w:rPr>
          <w:sz w:val="20"/>
          <w:szCs w:val="20"/>
          <w:color w:val="auto"/>
        </w:rPr>
      </w:pPr>
      <w:r>
        <w:rPr>
          <w:rFonts w:ascii="Arial" w:cs="Arial" w:eastAsia="Arial" w:hAnsi="Arial"/>
          <w:sz w:val="18"/>
          <w:szCs w:val="18"/>
          <w:b w:val="1"/>
          <w:bCs w:val="1"/>
          <w:color w:val="auto"/>
        </w:rPr>
        <w:t xml:space="preserve">Scott Peterson. </w:t>
      </w:r>
      <w:r>
        <w:rPr>
          <w:rFonts w:ascii="Arial" w:cs="Arial" w:eastAsia="Arial" w:hAnsi="Arial"/>
          <w:sz w:val="18"/>
          <w:szCs w:val="18"/>
          <w:color w:val="auto"/>
        </w:rPr>
        <w:t>Mr. Peterson is the Senior Vice President and Chief Financial Officer of Wynn Las Vegas, LLC, a position he has held since April 2009.</w:t>
      </w:r>
      <w:r>
        <w:rPr>
          <w:rFonts w:ascii="Arial" w:cs="Arial" w:eastAsia="Arial" w:hAnsi="Arial"/>
          <w:sz w:val="18"/>
          <w:szCs w:val="18"/>
          <w:b w:val="1"/>
          <w:bCs w:val="1"/>
          <w:color w:val="auto"/>
        </w:rPr>
        <w:t xml:space="preserve"> </w:t>
      </w:r>
      <w:r>
        <w:rPr>
          <w:rFonts w:ascii="Arial" w:cs="Arial" w:eastAsia="Arial" w:hAnsi="Arial"/>
          <w:sz w:val="18"/>
          <w:szCs w:val="18"/>
          <w:color w:val="auto"/>
        </w:rPr>
        <w:t>From June 2005 to April 2009, Mr. Peterson was the Vice President and Chief Financial Officer for Wynn Resorts (Macau), S.A. From September 2002 to June 2005, Mr. Peterson was the Vice President—Finance of Wynn Las Vegas, LLC. From April 2001 to September 2002, Mr. Peterson was Assistant Vice President —Finance of Wynn Holdings.</w:t>
      </w:r>
    </w:p>
    <w:p>
      <w:pPr>
        <w:spacing w:after="0" w:line="136" w:lineRule="exact"/>
        <w:rPr>
          <w:sz w:val="20"/>
          <w:szCs w:val="20"/>
          <w:color w:val="auto"/>
        </w:rPr>
      </w:pPr>
    </w:p>
    <w:p>
      <w:pPr>
        <w:jc w:val="both"/>
        <w:ind w:right="120" w:firstLine="456"/>
        <w:spacing w:after="0" w:line="262" w:lineRule="auto"/>
        <w:rPr>
          <w:sz w:val="20"/>
          <w:szCs w:val="20"/>
          <w:color w:val="auto"/>
        </w:rPr>
      </w:pPr>
      <w:r>
        <w:rPr>
          <w:rFonts w:ascii="Arial" w:cs="Arial" w:eastAsia="Arial" w:hAnsi="Arial"/>
          <w:sz w:val="18"/>
          <w:szCs w:val="18"/>
          <w:b w:val="1"/>
          <w:bCs w:val="1"/>
          <w:color w:val="auto"/>
        </w:rPr>
        <w:t xml:space="preserve">Robert Gansmo. </w:t>
      </w:r>
      <w:r>
        <w:rPr>
          <w:rFonts w:ascii="Arial" w:cs="Arial" w:eastAsia="Arial" w:hAnsi="Arial"/>
          <w:sz w:val="18"/>
          <w:szCs w:val="18"/>
          <w:color w:val="auto"/>
        </w:rPr>
        <w:t>Mr. Gansmo is the Vice President and Chief Financial Officer of Wynn Resorts (Macau), S.A., a position he has held since April 2009.</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taking this position, from January 2007 to April 2009, Mr. Gansmo was the Director—Finance of Wynn Resorts (Macau), S.A. From November 2002 to January 2007, Mr. Gansmo was the Director of Financial Reporting for Wynn Resorts.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FURTHER INFORMATION CONCERNING THE BOARD OF DIRECTORS OF WYNN RESORTS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Seven of the eleven members of the Board of Directors are independent under the listing standards of The NASDAQ Stock Market LLC (“NASDAQ”). In addition, the Corporate Governance Guidelines require all independent directors to meet additional, heightened independence criteria that apply to audit committee members under the NASDAQ listing standards.</w:t>
      </w:r>
    </w:p>
    <w:p>
      <w:pPr>
        <w:spacing w:after="0" w:line="14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Board of Directors has determined that the following directors are independent under the NASDAQ listing standards and that they also meet the additional, heightened independence criteria applicable to audit committee members under the NASDAQ listing standards: Messrs. Goldsmith, Irani, Miller, Moran, Shoemaker, Wayson and Zeman. Based upon information requested from each director concerning his or her background, employment and affiliations, the Board of Directors has affirmatively determined that none of the independent directors has a material relationship with Wynn Resorts. In assessing independence, the Board of Directors considered all relevant facts and circumstances, including any direct or indirect relationship between Wynn Resorts and the director or his or her immediate family member. None of the independent directors has any economic relationship with Wynn Resorts other than receipt of his director’s compensation. Additionally, all related party transactions are considered under Wynn Resorts’ related party policy (described in additional detail below). None of the independent directors is engaged in any related party transaction with Wynn Resorts. Mr. Wynn, Mr. Okada, Elaine P. Wynn and Ms. Chen have been determined not to be independent.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Board of Directors currently has three standing committees: the Audit Committee, the Compensation Committee, and the Nominating and Corporate Governance Committee. Each of these committees consists entirely of directors whom the Board of Directors has determined to be independent under the NASDAQ listing standards for audit committee members. The current membership and functions of each of the Board of Directors’ committees are listed below.</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80" w:type="dxa"/>
            <w:vAlign w:val="bottom"/>
          </w:tcPr>
          <w:p>
            <w:pPr>
              <w:spacing w:after="0"/>
              <w:rPr>
                <w:sz w:val="20"/>
                <w:szCs w:val="20"/>
                <w:color w:val="auto"/>
              </w:rPr>
            </w:pPr>
            <w:r>
              <w:rPr>
                <w:rFonts w:ascii="Arial" w:cs="Arial" w:eastAsia="Arial" w:hAnsi="Arial"/>
                <w:sz w:val="14"/>
                <w:szCs w:val="14"/>
                <w:b w:val="1"/>
                <w:bCs w:val="1"/>
                <w:color w:val="auto"/>
                <w:w w:val="88"/>
              </w:rPr>
              <w:t>Nominating and Corporate</w:t>
            </w:r>
          </w:p>
        </w:tc>
      </w:tr>
      <w:tr>
        <w:trPr>
          <w:trHeight w:val="161"/>
        </w:trPr>
        <w:tc>
          <w:tcPr>
            <w:tcW w:w="3380" w:type="dxa"/>
            <w:vAlign w:val="bottom"/>
            <w:gridSpan w:val="2"/>
          </w:tcPr>
          <w:p>
            <w:pPr>
              <w:spacing w:after="0"/>
              <w:rPr>
                <w:sz w:val="20"/>
                <w:szCs w:val="20"/>
                <w:color w:val="auto"/>
              </w:rPr>
            </w:pPr>
            <w:r>
              <w:rPr>
                <w:rFonts w:ascii="Arial" w:cs="Arial" w:eastAsia="Arial" w:hAnsi="Arial"/>
                <w:sz w:val="14"/>
                <w:szCs w:val="14"/>
                <w:b w:val="1"/>
                <w:bCs w:val="1"/>
                <w:color w:val="auto"/>
              </w:rPr>
              <w:t>Director</w:t>
            </w:r>
          </w:p>
        </w:tc>
        <w:tc>
          <w:tcPr>
            <w:tcW w:w="1960" w:type="dxa"/>
            <w:vAlign w:val="bottom"/>
          </w:tcPr>
          <w:p>
            <w:pPr>
              <w:spacing w:after="0"/>
              <w:rPr>
                <w:sz w:val="14"/>
                <w:szCs w:val="14"/>
                <w:color w:val="auto"/>
              </w:rPr>
            </w:pPr>
          </w:p>
        </w:tc>
        <w:tc>
          <w:tcPr>
            <w:tcW w:w="400" w:type="dxa"/>
            <w:vAlign w:val="bottom"/>
          </w:tcPr>
          <w:p>
            <w:pPr>
              <w:ind w:left="40"/>
              <w:spacing w:after="0"/>
              <w:rPr>
                <w:sz w:val="20"/>
                <w:szCs w:val="20"/>
                <w:color w:val="auto"/>
              </w:rPr>
            </w:pPr>
            <w:r>
              <w:rPr>
                <w:rFonts w:ascii="Arial" w:cs="Arial" w:eastAsia="Arial" w:hAnsi="Arial"/>
                <w:sz w:val="14"/>
                <w:szCs w:val="14"/>
                <w:b w:val="1"/>
                <w:bCs w:val="1"/>
                <w:color w:val="auto"/>
                <w:w w:val="94"/>
              </w:rPr>
              <w:t>Audit</w:t>
            </w:r>
          </w:p>
        </w:tc>
        <w:tc>
          <w:tcPr>
            <w:tcW w:w="162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4"/>
                <w:szCs w:val="14"/>
                <w:b w:val="1"/>
                <w:bCs w:val="1"/>
                <w:color w:val="auto"/>
                <w:w w:val="82"/>
              </w:rPr>
              <w:t>Compensation</w:t>
            </w:r>
          </w:p>
        </w:tc>
        <w:tc>
          <w:tcPr>
            <w:tcW w:w="1640" w:type="dxa"/>
            <w:vAlign w:val="bottom"/>
          </w:tcPr>
          <w:p>
            <w:pPr>
              <w:spacing w:after="0"/>
              <w:rPr>
                <w:sz w:val="14"/>
                <w:szCs w:val="14"/>
                <w:color w:val="auto"/>
              </w:rPr>
            </w:pPr>
          </w:p>
        </w:tc>
        <w:tc>
          <w:tcPr>
            <w:tcW w:w="1580" w:type="dxa"/>
            <w:vAlign w:val="bottom"/>
          </w:tcPr>
          <w:p>
            <w:pPr>
              <w:ind w:left="100"/>
              <w:spacing w:after="0"/>
              <w:rPr>
                <w:sz w:val="20"/>
                <w:szCs w:val="20"/>
                <w:color w:val="auto"/>
              </w:rPr>
            </w:pPr>
            <w:r>
              <w:rPr>
                <w:rFonts w:ascii="Arial" w:cs="Arial" w:eastAsia="Arial" w:hAnsi="Arial"/>
                <w:sz w:val="14"/>
                <w:szCs w:val="14"/>
                <w:b w:val="1"/>
                <w:bCs w:val="1"/>
                <w:color w:val="auto"/>
                <w:w w:val="92"/>
              </w:rPr>
              <w:t>Governance Committee</w:t>
            </w:r>
          </w:p>
        </w:tc>
      </w:tr>
      <w:tr>
        <w:trPr>
          <w:trHeight w:val="201"/>
        </w:trPr>
        <w:tc>
          <w:tcPr>
            <w:tcW w:w="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1"/>
              </w:rPr>
              <w:t>Russell</w:t>
            </w:r>
          </w:p>
        </w:tc>
        <w:tc>
          <w:tcPr>
            <w:tcW w:w="2880" w:type="dxa"/>
            <w:vAlign w:val="bottom"/>
          </w:tcPr>
          <w:p>
            <w:pPr>
              <w:ind w:left="60"/>
              <w:spacing w:after="0" w:line="201" w:lineRule="exact"/>
              <w:rPr>
                <w:sz w:val="20"/>
                <w:szCs w:val="20"/>
                <w:color w:val="auto"/>
              </w:rPr>
            </w:pPr>
            <w:r>
              <w:rPr>
                <w:rFonts w:ascii="Arial" w:cs="Arial" w:eastAsia="Arial" w:hAnsi="Arial"/>
                <w:sz w:val="18"/>
                <w:szCs w:val="18"/>
                <w:color w:val="auto"/>
              </w:rPr>
              <w:t>Goldsmith</w:t>
            </w:r>
          </w:p>
        </w:tc>
        <w:tc>
          <w:tcPr>
            <w:tcW w:w="1960" w:type="dxa"/>
            <w:vAlign w:val="bottom"/>
          </w:tcPr>
          <w:p>
            <w:pPr>
              <w:spacing w:after="0"/>
              <w:rPr>
                <w:sz w:val="17"/>
                <w:szCs w:val="17"/>
                <w:color w:val="auto"/>
              </w:rPr>
            </w:pPr>
          </w:p>
        </w:tc>
        <w:tc>
          <w:tcPr>
            <w:tcW w:w="4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X</w:t>
            </w:r>
          </w:p>
        </w:tc>
        <w:tc>
          <w:tcPr>
            <w:tcW w:w="1620" w:type="dxa"/>
            <w:vAlign w:val="bottom"/>
          </w:tcPr>
          <w:p>
            <w:pPr>
              <w:spacing w:after="0"/>
              <w:rPr>
                <w:sz w:val="17"/>
                <w:szCs w:val="17"/>
                <w:color w:val="auto"/>
              </w:rPr>
            </w:pPr>
          </w:p>
        </w:tc>
        <w:tc>
          <w:tcPr>
            <w:tcW w:w="8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X</w:t>
            </w:r>
          </w:p>
        </w:tc>
        <w:tc>
          <w:tcPr>
            <w:tcW w:w="164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Dr. Ray R. Irani</w:t>
            </w:r>
          </w:p>
        </w:tc>
        <w:tc>
          <w:tcPr>
            <w:tcW w:w="1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X</w:t>
            </w:r>
          </w:p>
        </w:tc>
        <w:tc>
          <w:tcPr>
            <w:tcW w:w="3220" w:type="dxa"/>
            <w:vAlign w:val="bottom"/>
            <w:gridSpan w:val="2"/>
          </w:tcPr>
          <w:p>
            <w:pPr>
              <w:ind w:left="1640"/>
              <w:spacing w:after="0"/>
              <w:rPr>
                <w:sz w:val="20"/>
                <w:szCs w:val="20"/>
                <w:color w:val="auto"/>
              </w:rPr>
            </w:pPr>
            <w:r>
              <w:rPr>
                <w:rFonts w:ascii="Arial" w:cs="Arial" w:eastAsia="Arial" w:hAnsi="Arial"/>
                <w:sz w:val="18"/>
                <w:szCs w:val="18"/>
                <w:color w:val="auto"/>
              </w:rPr>
              <w:t>X</w:t>
            </w: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Robert J. Miller</w:t>
            </w:r>
          </w:p>
        </w:tc>
        <w:tc>
          <w:tcPr>
            <w:tcW w:w="1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20" w:type="dxa"/>
            <w:vAlign w:val="bottom"/>
            <w:gridSpan w:val="2"/>
          </w:tcPr>
          <w:p>
            <w:pPr>
              <w:ind w:left="1640"/>
              <w:spacing w:after="0"/>
              <w:rPr>
                <w:sz w:val="20"/>
                <w:szCs w:val="20"/>
                <w:color w:val="auto"/>
              </w:rPr>
            </w:pPr>
            <w:r>
              <w:rPr>
                <w:rFonts w:ascii="Arial" w:cs="Arial" w:eastAsia="Arial" w:hAnsi="Arial"/>
                <w:sz w:val="18"/>
                <w:szCs w:val="18"/>
                <w:color w:val="auto"/>
              </w:rPr>
              <w:t>Chair</w:t>
            </w: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John A. Moran</w:t>
            </w:r>
          </w:p>
        </w:tc>
        <w:tc>
          <w:tcPr>
            <w:tcW w:w="2360" w:type="dxa"/>
            <w:vAlign w:val="bottom"/>
            <w:gridSpan w:val="2"/>
          </w:tcPr>
          <w:p>
            <w:pPr>
              <w:ind w:left="1960"/>
              <w:spacing w:after="0"/>
              <w:rPr>
                <w:sz w:val="20"/>
                <w:szCs w:val="20"/>
                <w:color w:val="auto"/>
              </w:rPr>
            </w:pPr>
            <w:r>
              <w:rPr>
                <w:rFonts w:ascii="Arial" w:cs="Arial" w:eastAsia="Arial" w:hAnsi="Arial"/>
                <w:sz w:val="18"/>
                <w:szCs w:val="18"/>
                <w:color w:val="auto"/>
              </w:rPr>
              <w:t>X</w:t>
            </w:r>
          </w:p>
        </w:tc>
        <w:tc>
          <w:tcPr>
            <w:tcW w:w="16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Chair</w:t>
            </w:r>
          </w:p>
        </w:tc>
        <w:tc>
          <w:tcPr>
            <w:tcW w:w="16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Alvin V. Shoemaker</w:t>
            </w:r>
          </w:p>
        </w:tc>
        <w:tc>
          <w:tcPr>
            <w:tcW w:w="2360" w:type="dxa"/>
            <w:vAlign w:val="bottom"/>
            <w:gridSpan w:val="2"/>
          </w:tcPr>
          <w:p>
            <w:pPr>
              <w:ind w:left="1960"/>
              <w:spacing w:after="0"/>
              <w:rPr>
                <w:sz w:val="20"/>
                <w:szCs w:val="20"/>
                <w:color w:val="auto"/>
              </w:rPr>
            </w:pPr>
            <w:r>
              <w:rPr>
                <w:rFonts w:ascii="Arial" w:cs="Arial" w:eastAsia="Arial" w:hAnsi="Arial"/>
                <w:sz w:val="18"/>
                <w:szCs w:val="18"/>
                <w:color w:val="auto"/>
                <w:w w:val="88"/>
              </w:rPr>
              <w:t>Chair</w:t>
            </w:r>
          </w:p>
        </w:tc>
        <w:tc>
          <w:tcPr>
            <w:tcW w:w="16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X</w:t>
            </w:r>
          </w:p>
        </w:tc>
        <w:tc>
          <w:tcPr>
            <w:tcW w:w="16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D. Boone Wayson</w:t>
            </w:r>
          </w:p>
        </w:tc>
        <w:tc>
          <w:tcPr>
            <w:tcW w:w="2360" w:type="dxa"/>
            <w:vAlign w:val="bottom"/>
            <w:gridSpan w:val="2"/>
          </w:tcPr>
          <w:p>
            <w:pPr>
              <w:ind w:left="1960"/>
              <w:spacing w:after="0"/>
              <w:rPr>
                <w:sz w:val="20"/>
                <w:szCs w:val="20"/>
                <w:color w:val="auto"/>
              </w:rPr>
            </w:pPr>
            <w:r>
              <w:rPr>
                <w:rFonts w:ascii="Arial" w:cs="Arial" w:eastAsia="Arial" w:hAnsi="Arial"/>
                <w:sz w:val="18"/>
                <w:szCs w:val="18"/>
                <w:color w:val="auto"/>
              </w:rPr>
              <w:t>X</w:t>
            </w:r>
          </w:p>
        </w:tc>
        <w:tc>
          <w:tcPr>
            <w:tcW w:w="16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X</w:t>
            </w:r>
          </w:p>
        </w:tc>
        <w:tc>
          <w:tcPr>
            <w:tcW w:w="3220" w:type="dxa"/>
            <w:vAlign w:val="bottom"/>
            <w:gridSpan w:val="2"/>
          </w:tcPr>
          <w:p>
            <w:pPr>
              <w:ind w:left="1640"/>
              <w:spacing w:after="0"/>
              <w:rPr>
                <w:sz w:val="20"/>
                <w:szCs w:val="20"/>
                <w:color w:val="auto"/>
              </w:rPr>
            </w:pPr>
            <w:r>
              <w:rPr>
                <w:rFonts w:ascii="Arial" w:cs="Arial" w:eastAsia="Arial" w:hAnsi="Arial"/>
                <w:sz w:val="18"/>
                <w:szCs w:val="18"/>
                <w:color w:val="auto"/>
              </w:rPr>
              <w:t>X</w:t>
            </w:r>
          </w:p>
        </w:tc>
      </w:tr>
      <w:tr>
        <w:trPr>
          <w:trHeight w:val="222"/>
        </w:trPr>
        <w:tc>
          <w:tcPr>
            <w:tcW w:w="3380" w:type="dxa"/>
            <w:vAlign w:val="bottom"/>
            <w:gridSpan w:val="2"/>
          </w:tcPr>
          <w:p>
            <w:pPr>
              <w:spacing w:after="0"/>
              <w:rPr>
                <w:sz w:val="20"/>
                <w:szCs w:val="20"/>
                <w:color w:val="auto"/>
              </w:rPr>
            </w:pPr>
            <w:r>
              <w:rPr>
                <w:rFonts w:ascii="Arial" w:cs="Arial" w:eastAsia="Arial" w:hAnsi="Arial"/>
                <w:sz w:val="18"/>
                <w:szCs w:val="18"/>
                <w:color w:val="auto"/>
              </w:rPr>
              <w:t>Allan Zeman</w:t>
            </w:r>
          </w:p>
        </w:tc>
        <w:tc>
          <w:tcPr>
            <w:tcW w:w="2360" w:type="dxa"/>
            <w:vAlign w:val="bottom"/>
            <w:gridSpan w:val="2"/>
          </w:tcPr>
          <w:p>
            <w:pPr>
              <w:ind w:left="1960"/>
              <w:spacing w:after="0"/>
              <w:rPr>
                <w:sz w:val="20"/>
                <w:szCs w:val="20"/>
                <w:color w:val="auto"/>
              </w:rPr>
            </w:pPr>
            <w:r>
              <w:rPr>
                <w:rFonts w:ascii="Arial" w:cs="Arial" w:eastAsia="Arial" w:hAnsi="Arial"/>
                <w:sz w:val="18"/>
                <w:szCs w:val="18"/>
                <w:color w:val="auto"/>
              </w:rPr>
              <w:t>X</w:t>
            </w:r>
          </w:p>
        </w:tc>
        <w:tc>
          <w:tcPr>
            <w:tcW w:w="1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20" w:type="dxa"/>
            <w:vAlign w:val="bottom"/>
            <w:gridSpan w:val="2"/>
          </w:tcPr>
          <w:p>
            <w:pPr>
              <w:ind w:left="1640"/>
              <w:spacing w:after="0"/>
              <w:rPr>
                <w:sz w:val="20"/>
                <w:szCs w:val="20"/>
                <w:color w:val="auto"/>
              </w:rPr>
            </w:pPr>
            <w:r>
              <w:rPr>
                <w:rFonts w:ascii="Arial" w:cs="Arial" w:eastAsia="Arial" w:hAnsi="Arial"/>
                <w:sz w:val="18"/>
                <w:szCs w:val="18"/>
                <w:color w:val="auto"/>
              </w:rPr>
              <w:t>X</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members of the Compensation Committee are appointed by the Board of Directors each year. The members of the Compensation Committee serving in 2009, Messrs. Irani, Moran, Shoemaker and Wayson, were appointed on May 5, 2009. Mr. Goldsmith was appointed by the Board of Directors to serve on the Compensation Committee on July 31, 2009. No member of the Compensation Committee is, or was formerly, one of Wynn Resorts’ officers or employees. No interlocking relationship exists between the Board of Directors or Compensation Committee and the board of directors or compensation committee of any other company, nor has any interlocking relationship existed in the past.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AND EXECUTIVE OFFICER COMPENSATION AND OTHER MATTERS</w:t>
      </w:r>
    </w:p>
    <w:p>
      <w:pPr>
        <w:spacing w:after="0" w:line="177"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The table below summarizes the total compensation awarded to, earned by or paid to each of the non-employee directors for the fiscal year ended December 31, 2009.</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DIRECTOR COMPENSATION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75"/>
              </w:rPr>
              <w:t>Fees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Earned or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8"/>
              </w:rPr>
              <w:t>Option</w:t>
            </w:r>
          </w:p>
        </w:tc>
        <w:tc>
          <w:tcPr>
            <w:tcW w:w="320" w:type="dxa"/>
            <w:vAlign w:val="bottom"/>
          </w:tcPr>
          <w:p>
            <w:pPr>
              <w:spacing w:after="0"/>
              <w:rPr>
                <w:sz w:val="12"/>
                <w:szCs w:val="12"/>
                <w:color w:val="auto"/>
              </w:rPr>
            </w:pPr>
          </w:p>
        </w:tc>
        <w:tc>
          <w:tcPr>
            <w:tcW w:w="1220" w:type="dxa"/>
            <w:vAlign w:val="bottom"/>
            <w:gridSpan w:val="3"/>
          </w:tcPr>
          <w:p>
            <w:pPr>
              <w:ind w:left="180"/>
              <w:spacing w:after="0" w:line="149" w:lineRule="exact"/>
              <w:rPr>
                <w:sz w:val="20"/>
                <w:szCs w:val="20"/>
                <w:color w:val="auto"/>
              </w:rPr>
            </w:pPr>
            <w:r>
              <w:rPr>
                <w:rFonts w:ascii="Arial" w:cs="Arial" w:eastAsia="Arial" w:hAnsi="Arial"/>
                <w:sz w:val="14"/>
                <w:szCs w:val="14"/>
                <w:b w:val="1"/>
                <w:bCs w:val="1"/>
                <w:color w:val="auto"/>
              </w:rPr>
              <w:t>All Other</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Paid in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6"/>
              </w:rPr>
              <w:t>Awards</w:t>
            </w:r>
          </w:p>
        </w:tc>
        <w:tc>
          <w:tcPr>
            <w:tcW w:w="320" w:type="dxa"/>
            <w:vAlign w:val="bottom"/>
          </w:tcPr>
          <w:p>
            <w:pPr>
              <w:spacing w:after="0"/>
              <w:rPr>
                <w:sz w:val="12"/>
                <w:szCs w:val="12"/>
                <w:color w:val="auto"/>
              </w:rPr>
            </w:pPr>
          </w:p>
        </w:tc>
        <w:tc>
          <w:tcPr>
            <w:tcW w:w="12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Compensation</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4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Cash($)</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center"/>
              <w:ind w:right="44"/>
              <w:spacing w:after="0"/>
              <w:rPr>
                <w:sz w:val="20"/>
                <w:szCs w:val="20"/>
                <w:color w:val="auto"/>
              </w:rPr>
            </w:pPr>
            <w:r>
              <w:rPr>
                <w:rFonts w:ascii="Arial" w:cs="Arial" w:eastAsia="Arial" w:hAnsi="Arial"/>
                <w:sz w:val="14"/>
                <w:szCs w:val="14"/>
                <w:b w:val="1"/>
                <w:bCs w:val="1"/>
                <w:color w:val="auto"/>
                <w:w w:val="93"/>
              </w:rPr>
              <w:t>($)(1)(3)</w:t>
            </w: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20"/>
                <w:szCs w:val="20"/>
                <w:color w:val="auto"/>
              </w:rPr>
            </w:pPr>
            <w:r>
              <w:rPr>
                <w:rFonts w:ascii="Arial" w:cs="Arial" w:eastAsia="Arial" w:hAnsi="Arial"/>
                <w:sz w:val="14"/>
                <w:szCs w:val="14"/>
                <w:b w:val="1"/>
                <w:bCs w:val="1"/>
                <w:color w:val="auto"/>
              </w:rPr>
              <w:t>)(4)</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Russell Goldsmith</w:t>
            </w:r>
          </w:p>
        </w:tc>
        <w:tc>
          <w:tcPr>
            <w:tcW w:w="8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$ 105,500</w:t>
            </w:r>
          </w:p>
        </w:tc>
        <w:tc>
          <w:tcPr>
            <w:tcW w:w="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87"/>
              </w:rPr>
              <w:t>$ 266,500</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372,000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Dr. Ray R. Irani</w:t>
            </w:r>
          </w:p>
        </w:tc>
        <w:tc>
          <w:tcPr>
            <w:tcW w:w="88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$ 111,000</w:t>
            </w:r>
          </w:p>
        </w:tc>
        <w:tc>
          <w:tcPr>
            <w:tcW w:w="880" w:type="dxa"/>
            <w:vAlign w:val="bottom"/>
            <w:gridSpan w:val="3"/>
          </w:tcPr>
          <w:p>
            <w:pPr>
              <w:ind w:left="160"/>
              <w:spacing w:after="0"/>
              <w:rPr>
                <w:sz w:val="20"/>
                <w:szCs w:val="20"/>
                <w:color w:val="auto"/>
              </w:rPr>
            </w:pPr>
            <w:r>
              <w:rPr>
                <w:rFonts w:ascii="Arial" w:cs="Arial" w:eastAsia="Arial" w:hAnsi="Arial"/>
                <w:sz w:val="18"/>
                <w:szCs w:val="18"/>
                <w:color w:val="auto"/>
                <w:w w:val="87"/>
              </w:rPr>
              <w:t>$ 266,500</w:t>
            </w: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377,500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J. Miller(2)</w:t>
            </w:r>
          </w:p>
        </w:tc>
        <w:tc>
          <w:tcPr>
            <w:tcW w:w="8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$ 169,000</w:t>
            </w:r>
          </w:p>
        </w:tc>
        <w:tc>
          <w:tcPr>
            <w:tcW w:w="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87"/>
              </w:rPr>
              <w:t>$ 266,500</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435,500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John A. Moran</w:t>
            </w:r>
          </w:p>
        </w:tc>
        <w:tc>
          <w:tcPr>
            <w:tcW w:w="88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$ 129,000</w:t>
            </w:r>
          </w:p>
        </w:tc>
        <w:tc>
          <w:tcPr>
            <w:tcW w:w="880" w:type="dxa"/>
            <w:vAlign w:val="bottom"/>
            <w:gridSpan w:val="3"/>
          </w:tcPr>
          <w:p>
            <w:pPr>
              <w:ind w:left="160"/>
              <w:spacing w:after="0"/>
              <w:rPr>
                <w:sz w:val="20"/>
                <w:szCs w:val="20"/>
                <w:color w:val="auto"/>
              </w:rPr>
            </w:pPr>
            <w:r>
              <w:rPr>
                <w:rFonts w:ascii="Arial" w:cs="Arial" w:eastAsia="Arial" w:hAnsi="Arial"/>
                <w:sz w:val="18"/>
                <w:szCs w:val="18"/>
                <w:color w:val="auto"/>
                <w:w w:val="87"/>
              </w:rPr>
              <w:t>$ 266,500</w:t>
            </w: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395,500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Kazuo Okada</w:t>
            </w:r>
          </w:p>
        </w:tc>
        <w:tc>
          <w:tcPr>
            <w:tcW w:w="8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5"/>
              </w:rPr>
              <w:t>$  66,000</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24,078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Alvin V. Shoemaker</w:t>
            </w:r>
          </w:p>
        </w:tc>
        <w:tc>
          <w:tcPr>
            <w:tcW w:w="88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$ 126,500</w:t>
            </w:r>
          </w:p>
        </w:tc>
        <w:tc>
          <w:tcPr>
            <w:tcW w:w="880" w:type="dxa"/>
            <w:vAlign w:val="bottom"/>
            <w:gridSpan w:val="3"/>
          </w:tcPr>
          <w:p>
            <w:pPr>
              <w:ind w:left="160"/>
              <w:spacing w:after="0"/>
              <w:rPr>
                <w:sz w:val="20"/>
                <w:szCs w:val="20"/>
                <w:color w:val="auto"/>
              </w:rPr>
            </w:pPr>
            <w:r>
              <w:rPr>
                <w:rFonts w:ascii="Arial" w:cs="Arial" w:eastAsia="Arial" w:hAnsi="Arial"/>
                <w:sz w:val="18"/>
                <w:szCs w:val="18"/>
                <w:color w:val="auto"/>
                <w:w w:val="87"/>
              </w:rPr>
              <w:t>$ 266,500</w:t>
            </w: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393,000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 Boone Wayson</w:t>
            </w:r>
          </w:p>
        </w:tc>
        <w:tc>
          <w:tcPr>
            <w:tcW w:w="8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$ 136,500</w:t>
            </w:r>
          </w:p>
        </w:tc>
        <w:tc>
          <w:tcPr>
            <w:tcW w:w="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87"/>
              </w:rPr>
              <w:t>$ 266,500</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403,000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Elaine Wynn</w:t>
            </w:r>
          </w:p>
        </w:tc>
        <w:tc>
          <w:tcPr>
            <w:tcW w:w="88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  67,500</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67,500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Allen Zeman</w:t>
            </w:r>
          </w:p>
        </w:tc>
        <w:tc>
          <w:tcPr>
            <w:tcW w:w="8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$ 114,000</w:t>
            </w:r>
          </w:p>
        </w:tc>
        <w:tc>
          <w:tcPr>
            <w:tcW w:w="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87"/>
              </w:rPr>
              <w:t>$ 266,500</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380,500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jc w:val="both"/>
        <w:ind w:left="460" w:right="360" w:hanging="452"/>
        <w:spacing w:after="0" w:line="306" w:lineRule="auto"/>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amounts set forth in this column reflects the aggregate grant date fair value of stock option awards granted to each non-employee director in 2009, computed in accordance with accounting standards for stock-based compensation. See Wynn Resorts’ Annual Report on Form 10-K for the year ended December 31, 2009, Note 14 to its Consolidated Financial Statements for assumptions used in computing fair value.</w:t>
      </w:r>
    </w:p>
    <w:p>
      <w:pPr>
        <w:spacing w:after="0" w:line="25" w:lineRule="exact"/>
        <w:rPr>
          <w:rFonts w:ascii="Arial" w:cs="Arial" w:eastAsia="Arial" w:hAnsi="Arial"/>
          <w:sz w:val="16"/>
          <w:szCs w:val="16"/>
          <w:color w:val="auto"/>
        </w:rPr>
      </w:pPr>
    </w:p>
    <w:p>
      <w:pPr>
        <w:ind w:left="460" w:right="860" w:hanging="452"/>
        <w:spacing w:after="0" w:line="268"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Mr. Miller, as a member of the Board of Directors, receives a $50,000 annual retainer for his service as the Chairman of Wynn Resorts’ Gaming Compliance Committee and a $20,000 annual retainer for his service as Wynn Resorts’ Compliance Director.</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aggregate number of outstanding awards for each director at December 31, 2009 is as follows:</w:t>
      </w:r>
    </w:p>
    <w:p>
      <w:pPr>
        <w:spacing w:after="0" w:line="90" w:lineRule="exact"/>
        <w:rPr>
          <w:rFonts w:ascii="Arial" w:cs="Arial" w:eastAsia="Arial" w:hAnsi="Arial"/>
          <w:sz w:val="18"/>
          <w:szCs w:val="18"/>
          <w:color w:val="auto"/>
        </w:rPr>
      </w:pPr>
    </w:p>
    <w:p>
      <w:pPr>
        <w:ind w:left="900" w:right="180" w:hanging="446"/>
        <w:spacing w:after="0" w:line="256" w:lineRule="auto"/>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for each director other than Mr. Goldsmith and Dr. Irani, restricted stock awards on 7,500 shares, for Dr. Irani restricted stock awards on 5,000 shares, and for Mr. Goldsmith a restricted stock award on 2,500 shares. The restricted stock awards vest upon the fifth anniversary of the grant date unless the director leaves the Board of Directors prior to vesting, in which case the grant vests pro rata, 20% per year, based upon the number of years served since the grant;</w:t>
      </w:r>
    </w:p>
    <w:p>
      <w:pPr>
        <w:spacing w:after="0" w:line="62" w:lineRule="exact"/>
        <w:rPr>
          <w:rFonts w:ascii="Arial" w:cs="Arial" w:eastAsia="Arial" w:hAnsi="Arial"/>
          <w:sz w:val="18"/>
          <w:szCs w:val="18"/>
          <w:color w:val="auto"/>
        </w:rPr>
      </w:pPr>
    </w:p>
    <w:p>
      <w:pPr>
        <w:ind w:left="900" w:right="80" w:hanging="446"/>
        <w:spacing w:after="0" w:line="268" w:lineRule="auto"/>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for each director other than Mr. Goldsmith and Dr. Irani, stock option awards on 30,000 shares, and for Mr. Goldsmith and Dr. Irani stock options on 10,000 shares. The stock option awards are fully vested; and,</w:t>
      </w:r>
    </w:p>
    <w:p>
      <w:pPr>
        <w:spacing w:after="0" w:line="50" w:lineRule="exact"/>
        <w:rPr>
          <w:rFonts w:ascii="Arial" w:cs="Arial" w:eastAsia="Arial" w:hAnsi="Arial"/>
          <w:sz w:val="18"/>
          <w:szCs w:val="18"/>
          <w:color w:val="auto"/>
        </w:rPr>
      </w:pPr>
    </w:p>
    <w:p>
      <w:pPr>
        <w:ind w:left="900" w:right="880" w:hanging="446"/>
        <w:spacing w:after="0" w:line="268" w:lineRule="auto"/>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for each director stock options awards on 10,000 shares which were granted on May 6, 2009 and which vest 10% on each of the first four anniversaries of the grant date and the remaining 60% on May 6, 2014.</w:t>
      </w:r>
    </w:p>
    <w:p>
      <w:pPr>
        <w:spacing w:after="0" w:line="51" w:lineRule="exact"/>
        <w:rPr>
          <w:sz w:val="20"/>
          <w:szCs w:val="20"/>
          <w:color w:val="auto"/>
        </w:rPr>
      </w:pPr>
    </w:p>
    <w:p>
      <w:pPr>
        <w:ind w:left="460" w:right="520"/>
        <w:spacing w:after="0" w:line="268" w:lineRule="auto"/>
        <w:rPr>
          <w:sz w:val="20"/>
          <w:szCs w:val="20"/>
          <w:color w:val="auto"/>
        </w:rPr>
      </w:pPr>
      <w:r>
        <w:rPr>
          <w:rFonts w:ascii="Arial" w:cs="Arial" w:eastAsia="Arial" w:hAnsi="Arial"/>
          <w:sz w:val="18"/>
          <w:szCs w:val="18"/>
          <w:color w:val="auto"/>
        </w:rPr>
        <w:t>Mr. Okada and Elaine P. Wynn, who each are greater than five percent beneficial owners of Wynn Resorts’ common stock, have not previously been granted equity awards for their service as directors.</w:t>
      </w:r>
    </w:p>
    <w:p>
      <w:pPr>
        <w:spacing w:after="0" w:line="51"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following amounts are included in “All Other Compensation”: Mr. Okada—merchandise discounts of $24,078.</w:t>
      </w:r>
    </w:p>
    <w:p>
      <w:pPr>
        <w:spacing w:after="0" w:line="171" w:lineRule="exact"/>
        <w:rPr>
          <w:sz w:val="20"/>
          <w:szCs w:val="20"/>
          <w:color w:val="auto"/>
        </w:rPr>
      </w:pPr>
    </w:p>
    <w:p>
      <w:pPr>
        <w:jc w:val="both"/>
        <w:ind w:right="720" w:firstLine="456"/>
        <w:spacing w:after="0" w:line="306" w:lineRule="auto"/>
        <w:rPr>
          <w:sz w:val="20"/>
          <w:szCs w:val="20"/>
          <w:color w:val="auto"/>
        </w:rPr>
      </w:pPr>
      <w:r>
        <w:rPr>
          <w:rFonts w:ascii="Arial" w:cs="Arial" w:eastAsia="Arial" w:hAnsi="Arial"/>
          <w:sz w:val="16"/>
          <w:szCs w:val="16"/>
          <w:color w:val="auto"/>
        </w:rPr>
        <w:t>Directors who are not employees of Wynn Resorts currently receive a monthly fee of $5,000 for services as a director. Directors who serve on the Compensation Committee or the Nominating/Governance Committee receive an additional monthly fee of $1,000 per committee ($2,000 for committee chairmen). Directors who serve on the Audit Committee receive an additional monthly fee of $1,250 ($2,500 for the Chairman). Each</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non-employee director also receives a $1,500 meeting fee for each board or committee meeting he or she attends. Directors are also awarded annual equity participation in the form of stock options or restricted stock determined annually at the May meeting of the Board of Directors, which for 2009 consisted of a grant of 10,000 stock options. All directors are provided complementary room, food and beverage privileges at our properties in connection with their attendance at board or committee meetings or other Wynn Resorts events and are reimbursed for any other out of pocket expenses related to attendance at meetings. Wynn Resorts does not provide non-equity incentive plan awards or deferred compensation or retirement plans for non-employee directors.</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40"/>
          </w:cols>
          <w:pgMar w:left="240" w:top="459" w:right="31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Philosophy</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Compensation Committee has the responsibility for setting and implementing compensation for the executive officers named in the Summary Compensation Table below (the “named executive officers”). The Committee strives to provide total compensation that allows it to attract and retain superior management talent. Wynn Resorts’ executive compensation program is designed to reward the achievement of specific annual, long term and strategic goals, with the ultimate objective of creating stockholder value. Wynn Resorts’ goals include the development and operation of the premier casino resort in each jurisdiction in which it operates, and the development and expansion of the “Wynn” brand while delivering successful operating and financial performance. The Committee regularly evaluates Wynn Resorts’ compensation arrangements to assess whether they are appropriately structured to enable Wynn Resorts to attract and retain superior employees in key positions while rewarding achievement of financial, property development, and operating performance. To achieve these objectives, Wynn Resorts’ compensation includes both cash and equity based incentives.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Executive Officers in Setting Compensation</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Committee sets all elements of compensation for the Chief Executive Officer and Chief Operating Officer based upon consideration of their respective contributions to the development and operating performance of Wynn Resorts. Annually, the Committee reviews compensation data of those with whom Wynn Resorts competes for talent. The Committee considers the recommendations of the Chief Executive Officer and Chief Operating Officer in establishing compensation for all other named executive officers. The Chief Executive Officer and Chief Operating Officer perform annual reviews of all of Wynn Resorts’ senior management and make recommendations to the Committee. The Committee reserves the discretion to modify recommendations and makes the final decisions regarding compensation for all of Wynn Resorts’ most senior management.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Setting Executive Compensation</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making compensation decisions for the named executive officers, the Compensation Committee compares each element of compensation and total compensation against compensation levels of executives in comparable positions at a peer group of companies. Additionally, the Committee considers current and long term goals for each executive and for Wynn Resorts to align rewards with performance. The Committee believes that Wynn Resorts’ peer companies are those companies with which Wynn Resorts competes for talent and stockholder investment. While cash bonuses are considered annually, reviews of base salary and equity incentives are conducted only on a periodic basis or in response to delivery of identified value creation for Wynn Resorts stockholders. When considering adjustments in base salary, or awards of cash bonuses or equity incentives, the Committee reviews both total compensation of peer companies and contribution to Wynn Resorts. Peer companies include gaming companies, as well as brand driven, entertainment and growth companies. In addition to peer company review, the Compensation Committee evaluates relative internal pay levels, relative levels of responsibility and correlates overall compensation levels to reward the drivers of financial and brand performance.</w:t>
      </w:r>
    </w:p>
    <w:p>
      <w:pPr>
        <w:spacing w:after="0" w:line="12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As discussed further below, base salaries for some of the named executive officers were adjusted in 2009 to reflect expanded responsibilities, discretionary cash bonuses were paid to reward extraordinary, measurable performance, and equity awards were granted to certain of the named executive officers in recognition of expanded responsibilities and the Committee’s assessment of the level of past equity grants and desire to retain senior management.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Executive Compensation</w:t>
      </w:r>
    </w:p>
    <w:p>
      <w:pPr>
        <w:spacing w:after="0" w:line="96"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Wynn Resorts’ total direct compensation for named executive officers generally includes (a) base salary, (b) discretionary bonuses, (c) annual cash incentive compensation, and (d) long term equity incentives. However, Wynn Resorts has not granted equity awards to Mr. Wynn, at his election. The Compensation Committee reviews total compensation annually, along with value created from past incentives, to assess whether Wynn Resorts’ compensation program achieves its objectives of attracting and retaining superior management while rewarding achievement of specific property and financial performance goals. Wynn Resorts’ policy for allocating among base salary, cash bonus awards, and long term compensation does not include a specific formula or weighting, but is designed to offer what the Compensation Committee views as adequate base compensation to attract and retain personnel while providing incentives to retain superior management talent and maximize long term value for Wynn Resorts and its stockholders.</w:t>
      </w:r>
    </w:p>
    <w:p>
      <w:pPr>
        <w:spacing w:after="0" w:line="118" w:lineRule="exact"/>
        <w:rPr>
          <w:sz w:val="20"/>
          <w:szCs w:val="20"/>
          <w:color w:val="auto"/>
        </w:rPr>
      </w:pPr>
    </w:p>
    <w:p>
      <w:pPr>
        <w:ind w:right="300" w:firstLine="456"/>
        <w:spacing w:after="0" w:line="370" w:lineRule="auto"/>
        <w:rPr>
          <w:sz w:val="20"/>
          <w:szCs w:val="20"/>
          <w:color w:val="auto"/>
        </w:rPr>
      </w:pPr>
      <w:r>
        <w:rPr>
          <w:rFonts w:ascii="Arial" w:cs="Arial" w:eastAsia="Arial" w:hAnsi="Arial"/>
          <w:sz w:val="15"/>
          <w:szCs w:val="15"/>
          <w:color w:val="auto"/>
        </w:rPr>
        <w:t>When considering total compensation, the Committee uses the peer group described above as an indication of market levels of compensation, but not to target a specific relative pay level, and adjusts compensation levels to reflect the gaming industry’s exhaustive regulatory requirements and other demands.</w:t>
      </w:r>
    </w:p>
    <w:p>
      <w:pPr>
        <w:spacing w:after="0" w:line="62"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Committee retains the discretion to adjust actual bonus amounts paid based on other factors, including corporate, property level and individual performance, as well as general macroeconomic conditions. The Committee exercised this discretion with respect to payments made for the 2009 performance year.</w:t>
      </w:r>
    </w:p>
    <w:p>
      <w:pPr>
        <w:spacing w:after="0" w:line="140"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b w:val="1"/>
          <w:bCs w:val="1"/>
          <w:i w:val="1"/>
          <w:iCs w:val="1"/>
          <w:color w:val="auto"/>
        </w:rPr>
        <w:t xml:space="preserve">Base Salary. </w:t>
      </w:r>
      <w:r>
        <w:rPr>
          <w:rFonts w:ascii="Arial" w:cs="Arial" w:eastAsia="Arial" w:hAnsi="Arial"/>
          <w:sz w:val="16"/>
          <w:szCs w:val="16"/>
          <w:color w:val="auto"/>
        </w:rPr>
        <w:t>Base Salaries are established by employment contracts and reviewed and adjusted periodically if necessary due to competitive reasons or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reflect changes in responsibility or other extraordinary circumstances. To fulfill Wynn Resorts’ goal of attracting and retaining high-quality and experienced executives, Wynn Resorts has paid base salary levels for its named executive officers that may exceed the peer group mean. Companies in the gaming business typically have total compensation packages that may be higher than their non-gaming counterparts due to certain regulatory and other extraordinary demands. Wynn Resorts’ rapid expansion in the last five years has required that named executive officers provide extraordinary levels of financial, development, opening and operating expertise. These efforts have resulted in industry-leading product and impressive financial performance, including returns to stockholders exceeding the industry averages. In 2009, Mr. Maddox received a salary increase in consideration of his assuming additional responsibility in connection with the public offering of the shares of Wynn Macau and navigating the extremely challenging global macroeconomic conditions and related difficulties in the financial market. Additionally, Mr. Wynn, Mr. Schorr, and Ms. Sinatra continue with 15% reductions in base salary reflecting conditions imposed on other employees at Wynn Las Vegas.</w:t>
      </w:r>
    </w:p>
    <w:p>
      <w:pPr>
        <w:spacing w:after="0" w:line="12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i w:val="1"/>
          <w:iCs w:val="1"/>
          <w:color w:val="auto"/>
        </w:rPr>
        <w:t xml:space="preserve">Annual Incentives. </w:t>
      </w:r>
      <w:r>
        <w:rPr>
          <w:rFonts w:ascii="Arial" w:cs="Arial" w:eastAsia="Arial" w:hAnsi="Arial"/>
          <w:sz w:val="16"/>
          <w:szCs w:val="16"/>
          <w:color w:val="auto"/>
        </w:rPr>
        <w:t>Discretionary bonuses were awarded to named executive officers and certain other Wynn Resorts management for 2009 outside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Wynn Resorts, Limited Annual Performance-Based Incentive Plan for Executive Officers (the “Incentive Plan”) since the Committee determined not to establish performance targets under the Plan in light of the adverse economic conditions faced by operations. However, consistent with its historical practice under the Incentive Plan, the Compensation Committee evaluated Wynn Resorts’ financial and operating performance. Although operations did a superior job considering conditions beyond their control, operating income was significantly below historical levels in 2009. Value was created at the Wynn Resorts level by financial transactions led by the named executive officers. The discretionary bonuses to named executive officers in 2009 were paid in recognition of the financial success of the initial public offering of Wynn Macau shares and success in adjusting Wynn Resorts’ financial structure to resist the extremely difficult macroeconomic and credit market conditions of 2008 and 2009. These bonuses were awarded at the same level as in 2008, which were significantly below prior year bonuses under the Incentive Plan, except for Mr. Maddox and Ms. Sinatra in light of their significant individual efforts in timely and successfully managing the initial public offering of Wynn Macau.</w:t>
      </w:r>
    </w:p>
    <w:p>
      <w:pPr>
        <w:spacing w:after="0" w:line="12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Each of Wynn Resorts’ named executive officers is eligible to participate in the Incentive Plan. Typically, within 90 days after the commencement of that year, the Compensation Committee identifies the executive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officers who will participate in the Incentive Plan for that year and establishes the performance criteria for the Incentive Plan, as well as the maximum percentage of base salary that can be paid to each participant. As provided under the Incentive Plan, named executive officer participants (other than Mr. Wynn) have a maximum annual incentive under the Plan of 200% of Base Salary, and Mr. Wynn’s maximum annual incentive is 250% of his Base Salary. In light of the adverse economic conditions in 2009, the Compensation Committee did not establish targets or award annual incentives under the Incentive Plan in 2009.</w:t>
      </w:r>
    </w:p>
    <w:p>
      <w:pPr>
        <w:spacing w:after="0" w:line="11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b w:val="1"/>
          <w:bCs w:val="1"/>
          <w:i w:val="1"/>
          <w:iCs w:val="1"/>
          <w:color w:val="auto"/>
        </w:rPr>
        <w:t>Long Term Incentives</w:t>
      </w:r>
      <w:r>
        <w:rPr>
          <w:rFonts w:ascii="Arial" w:cs="Arial" w:eastAsia="Arial" w:hAnsi="Arial"/>
          <w:sz w:val="16"/>
          <w:szCs w:val="16"/>
          <w:color w:val="auto"/>
        </w:rPr>
        <w:t>. The Compensation Committee has not provided annual equity grants to executives but instead uses grants under the 2002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Plan to attract qualified individuals to work for Wynn Resorts, and makes periodic grants to existing officers to retain superior officers and to reward extraordinary performance, as determined in the Compensation Committee’s judgment. The number of options or shares of restricted stock to be granted to each executive officer is based on the individual executive’s job accomplishments, tenure and future potential as well as the Compensation Committee’s assessment of competitive compensation levels. In awarding long term equity incentive compensation, the Committee considers current and historical levels awarded by industry peers. Grants to named executive officers are typically made periodically with long term vesting dates. The underlying philosophy is to retain senior management for the long term, building a talent base for Wynn Resorts’ future growth and achievement of desired goals. In 2009, the Committee elected to award significant retention grants to its most senior officers. These grants were made in stock options as the Committee concluded that many executives in peer companies had profited from grants of restricted stock when shareholders had experienced losses in value and stock options only have value to the extent that the price of the Wynn Resorts’ common stock increases following the grant date. The awards were determined in consideration of relative seniority, past awards and value created and long term comparative value and contribution.</w:t>
      </w:r>
    </w:p>
    <w:p>
      <w:pPr>
        <w:spacing w:after="0" w:line="12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Mr. Wynn, the founder, Chairman and Chief Executive Officer of Wynn Resorts who owns a large percentage of Wynn Resorts’ outstanding stock, does not participate in Wynn Resorts’ equity incentive plans at his election. This differs from the chief executive officer compensation at most of the companies included in the peer group.</w:t>
      </w:r>
    </w:p>
    <w:p>
      <w:pPr>
        <w:spacing w:after="0" w:line="140"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During 2009, the Compensation Committee made the following awards: 300,000 stock options to Mr. Maddox; 500,000 stock options to Mr. Schorr; 300,000 stock options to Ms. Chen; and 250,000 stock options to Ms. Sinatra. All of the grants awarded in 2009 will vest 10% on each anniversary of the grant date until fully vested. In addition, unless the executive is party to an employment agreement with Wynn Resorts and Wynn Resorts terminates the executive without cause, such awards will vest pro-rata on a monthly basis to the termination date. These long term incentive grants were made after thorough analysis of Wynn Resorts’ overhang of equity grants, peer group compensation with the goal of retaining and rewarding Wynn Resorts’ most senior and valuable management. As Wynn Resorts competes for talent with the peer group, the Committee endeavors to exceed the mean long term compensation on a comparative basis.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and Accounting Implications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Internal Revenue Code Section 162(m) prevents publicly traded companies from receiving a tax deduction on certain compensation paid to the chief executive officer and three other highest-paid executive officers (other than the chief financial officer) in excess of $1,000,000 in any taxable year. Wynn Resort’s policy with respect to qualifying compensation paid to its executive officers for tax deductibility purposes is that executive compensation plans will generally be designed and implemented to maximize tax deductibility. However, the Compensation Committee may elect to provide non-deductible compensation when it determines that to be advisable to achieve its compensation objectives of attracting or retaining key executives, or where achieving maximum tax deductibility would be considered disadvantageous to the best interests of Wynn Resorts. In light of the Compensation Committee’s determination not to operate under the Incentive Plan, most of the covered executives 2009 taxable compensation will not be deductible in excess of $1,000,000. However, stock options granted in 2009 are designed to qualify for deductibility under 162(m) if and when exercised.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96" w:lineRule="exact"/>
        <w:rPr>
          <w:sz w:val="20"/>
          <w:szCs w:val="20"/>
          <w:color w:val="auto"/>
        </w:rPr>
      </w:pPr>
    </w:p>
    <w:p>
      <w:pPr>
        <w:ind w:right="160" w:firstLine="456"/>
        <w:spacing w:after="0" w:line="370" w:lineRule="auto"/>
        <w:rPr>
          <w:sz w:val="20"/>
          <w:szCs w:val="20"/>
          <w:color w:val="auto"/>
        </w:rPr>
      </w:pPr>
      <w:r>
        <w:rPr>
          <w:rFonts w:ascii="Arial" w:cs="Arial" w:eastAsia="Arial" w:hAnsi="Arial"/>
          <w:sz w:val="15"/>
          <w:szCs w:val="15"/>
          <w:color w:val="auto"/>
        </w:rPr>
        <w:t>Wynn Resorts typically enters into employment agreements with its executives to advance its objectives of providing for a long-term relationship with talented and experienced executives. The terms and conditions of these agreements are described in the chart following the 2009 Summary Compensation table.</w:t>
      </w:r>
    </w:p>
    <w:p>
      <w:pPr>
        <w:spacing w:after="0" w:line="62"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employment agreements for the named executive officers provided for a minimum base salary and discretionary bonus opportunity and provide that if the executive’s employment terminates for death, disability, good reason or without cause, (including after a change in control) the executive will receive a multiple (ranging from one to, in the case of Mr. Wynn, three times) of the sum of the executive’s salary and imputed bonus that would be payable during the remaining term of the contract, but not less than one year, except that Mr. Wynn’s payment is limited to 4 years salary and bonus in certain circumstances. The employment agreements and the terms of equity awards also provide that vesting of some or all of an executive’s equity awards will accelerate upon such event. If termination occurs after a change in control, Wynn Resorts also provides for a tax gross-up. The Compensation Committee has determined that these arrangements are appropriate compensation to its senior management and are necessary to retain talent at a closely controlled public company that has more limited operations and a shorter operating history than many of its peers. Additional information regarding payments under these provisions is provided under the heading “Potential Payments Made Upon Termination or a Change of Control.”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Benefits</w:t>
      </w:r>
    </w:p>
    <w:p>
      <w:pPr>
        <w:spacing w:after="0" w:line="96" w:lineRule="exact"/>
        <w:rPr>
          <w:sz w:val="20"/>
          <w:szCs w:val="20"/>
          <w:color w:val="auto"/>
        </w:rPr>
      </w:pPr>
    </w:p>
    <w:p>
      <w:pPr>
        <w:ind w:right="160" w:firstLine="456"/>
        <w:spacing w:after="0" w:line="302" w:lineRule="auto"/>
        <w:rPr>
          <w:sz w:val="20"/>
          <w:szCs w:val="20"/>
          <w:color w:val="auto"/>
        </w:rPr>
      </w:pPr>
      <w:r>
        <w:rPr>
          <w:rFonts w:ascii="Arial" w:cs="Arial" w:eastAsia="Arial" w:hAnsi="Arial"/>
          <w:sz w:val="15"/>
          <w:szCs w:val="15"/>
          <w:color w:val="auto"/>
        </w:rPr>
        <w:t>In addition to base salary, annual incentive compensation and long term equity incentives, Wynn Resorts also provides certain of its named executive officers with a number of executive benefits. The primary executive benefits include certain health insurance coverage, life insurance premiums, discounts and complementary privileges with respect to Wynn Resorts’ properties which are described in the footnotes to the “2009 Summary Compensation Table.” In 2009, executives also received matching contributions under Wynn Resorts’ 401(k) program until March 16, 2009, when Wynn Resorts suspended 401(k) matches for all employees, including the named executive officers. In addition, Messrs. Wynn and Schorr have access to Wynn Resorts’ aircraft pursuant to time sharing agreements described in “Certain Relationships and Related Transactions—Aircraft Arrangements.” For security purposes, the Board of Directors requires</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Mr. Wynn to travel on Wynn Resorts’ aircraft for both personal and business travel, and Wynn Resorts provides a car and driver (and security when necessary) for his personal use. Consistent with competitive practice in Macau, Ms. Chen receives a car and driver, certain housing and living expenses and assistance with tax preparation.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Compensation</w:t>
      </w:r>
    </w:p>
    <w:p>
      <w:pPr>
        <w:spacing w:after="0" w:line="9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Mr. Wynn is employed by Wynn Resorts pursuant to an employment agreement dated October 4, 2002, amended August 6, 2004, February 1, 2007 and September 15, 2008, which has a term expiring in 2020. Mr. Wynn, a holder of approximately 8.95% of Wynn Resorts’ common stock, has not received any equity awards as part of his compensation as Chief Executive Officer of Wynn Resorts. Mr. Wynn currently receives a base salary of $2,762,500 per year, and participates in the Incentive Plan. Mr. Wynn is provided with Wynn Resorts paid life insurance and disability policies, as well as participation in Wynn Resorts’ 401(k) plan. He also receives certain executive benefits described above.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SUMMARY COMPENSATION TABLE</w:t>
      </w:r>
    </w:p>
    <w:p>
      <w:pPr>
        <w:spacing w:after="0" w:line="1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table below summarizes the total compensation awarded to, earned by or paid to each of the named executive officers of Wynn Resorts for the fiscal years ended December 31, 2009, 2008 and 2007.</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w w:val="88"/>
              </w:rPr>
              <w:t>Non-Equity</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Stock</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Option</w:t>
            </w:r>
          </w:p>
        </w:tc>
        <w:tc>
          <w:tcPr>
            <w:tcW w:w="8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All Other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2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ind w:left="120"/>
              <w:spacing w:after="0" w:line="135" w:lineRule="exact"/>
              <w:rPr>
                <w:sz w:val="20"/>
                <w:szCs w:val="20"/>
                <w:color w:val="auto"/>
              </w:rPr>
            </w:pPr>
            <w:r>
              <w:rPr>
                <w:rFonts w:ascii="Arial" w:cs="Arial" w:eastAsia="Arial" w:hAnsi="Arial"/>
                <w:sz w:val="14"/>
                <w:szCs w:val="14"/>
                <w:b w:val="1"/>
                <w:bCs w:val="1"/>
                <w:color w:val="auto"/>
              </w:rPr>
              <w:t>Salary</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ind w:left="140"/>
              <w:spacing w:after="0" w:line="135" w:lineRule="exact"/>
              <w:rPr>
                <w:sz w:val="20"/>
                <w:szCs w:val="20"/>
                <w:color w:val="auto"/>
              </w:rPr>
            </w:pPr>
            <w:r>
              <w:rPr>
                <w:rFonts w:ascii="Arial" w:cs="Arial" w:eastAsia="Arial" w:hAnsi="Arial"/>
                <w:sz w:val="14"/>
                <w:szCs w:val="14"/>
                <w:b w:val="1"/>
                <w:bCs w:val="1"/>
                <w:color w:val="auto"/>
              </w:rPr>
              <w:t>Bonus</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6"/>
              </w:rPr>
              <w:t>Awards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6"/>
              </w:rPr>
              <w:t>Awards</w:t>
            </w:r>
          </w:p>
        </w:tc>
        <w:tc>
          <w:tcPr>
            <w:tcW w:w="86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84"/>
              </w:rPr>
              <w:t>Compensation</w:t>
            </w:r>
          </w:p>
        </w:tc>
        <w:tc>
          <w:tcPr>
            <w:tcW w:w="220" w:type="dxa"/>
            <w:vAlign w:val="bottom"/>
          </w:tcPr>
          <w:p>
            <w:pPr>
              <w:spacing w:after="0"/>
              <w:rPr>
                <w:sz w:val="11"/>
                <w:szCs w:val="11"/>
                <w:color w:val="auto"/>
              </w:rPr>
            </w:pPr>
          </w:p>
        </w:tc>
        <w:tc>
          <w:tcPr>
            <w:tcW w:w="96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w w:val="96"/>
              </w:rPr>
              <w:t>Compensation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ind w:right="235"/>
              <w:spacing w:after="0" w:line="13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3320" w:type="dxa"/>
            <w:vAlign w:val="bottom"/>
            <w:gridSpan w:val="3"/>
          </w:tcPr>
          <w:p>
            <w:pPr>
              <w:spacing w:after="0"/>
              <w:rPr>
                <w:sz w:val="20"/>
                <w:szCs w:val="20"/>
                <w:color w:val="auto"/>
              </w:rPr>
            </w:pPr>
            <w:r>
              <w:rPr>
                <w:rFonts w:ascii="Arial" w:cs="Arial" w:eastAsia="Arial" w:hAnsi="Arial"/>
                <w:sz w:val="14"/>
                <w:szCs w:val="14"/>
                <w:b w:val="1"/>
                <w:bCs w:val="1"/>
                <w:color w:val="auto"/>
              </w:rPr>
              <w:t>Principal Position</w:t>
            </w:r>
          </w:p>
        </w:tc>
        <w:tc>
          <w:tcPr>
            <w:tcW w:w="2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92"/>
              </w:rPr>
              <w:t>Year</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23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16"/>
              <w:spacing w:after="0"/>
              <w:rPr>
                <w:sz w:val="20"/>
                <w:szCs w:val="20"/>
                <w:color w:val="auto"/>
              </w:rPr>
            </w:pPr>
            <w:r>
              <w:rPr>
                <w:rFonts w:ascii="Arial" w:cs="Arial" w:eastAsia="Arial" w:hAnsi="Arial"/>
                <w:sz w:val="14"/>
                <w:szCs w:val="14"/>
                <w:b w:val="1"/>
                <w:bCs w:val="1"/>
                <w:color w:val="auto"/>
                <w:w w:val="93"/>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16"/>
              <w:spacing w:after="0"/>
              <w:rPr>
                <w:sz w:val="20"/>
                <w:szCs w:val="20"/>
                <w:color w:val="auto"/>
              </w:rPr>
            </w:pPr>
            <w:r>
              <w:rPr>
                <w:rFonts w:ascii="Arial" w:cs="Arial" w:eastAsia="Arial" w:hAnsi="Arial"/>
                <w:sz w:val="14"/>
                <w:szCs w:val="14"/>
                <w:b w:val="1"/>
                <w:bCs w:val="1"/>
                <w:color w:val="auto"/>
                <w:w w:val="93"/>
              </w:rPr>
              <w:t>($)(1)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255"/>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76"/>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29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Chairman and Chief</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Executive Officer</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2009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2,953,125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84"/>
              </w:rPr>
              <w:t>4,062,500</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$ 1,370,206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8,385,831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2008</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3,250,000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4,062,500</w:t>
            </w:r>
          </w:p>
        </w:tc>
        <w:tc>
          <w:tcPr>
            <w:tcW w:w="11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$ 1,141,588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8,454,088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2007</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3,173,077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7,500,000</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573,428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11,246,505</w:t>
            </w:r>
          </w:p>
        </w:tc>
        <w:tc>
          <w:tcPr>
            <w:tcW w:w="0" w:type="dxa"/>
            <w:vAlign w:val="bottom"/>
          </w:tcPr>
          <w:p>
            <w:pPr>
              <w:spacing w:after="0"/>
              <w:rPr>
                <w:sz w:val="1"/>
                <w:szCs w:val="1"/>
                <w:color w:val="auto"/>
              </w:rPr>
            </w:pPr>
          </w:p>
        </w:tc>
      </w:tr>
      <w:tr>
        <w:trPr>
          <w:trHeight w:val="316"/>
        </w:trPr>
        <w:tc>
          <w:tcPr>
            <w:tcW w:w="3320" w:type="dxa"/>
            <w:vAlign w:val="bottom"/>
            <w:gridSpan w:val="3"/>
          </w:tcPr>
          <w:p>
            <w:pPr>
              <w:spacing w:after="0"/>
              <w:rPr>
                <w:sz w:val="20"/>
                <w:szCs w:val="20"/>
                <w:color w:val="auto"/>
              </w:rPr>
            </w:pPr>
            <w:r>
              <w:rPr>
                <w:rFonts w:ascii="Arial" w:cs="Arial" w:eastAsia="Arial" w:hAnsi="Arial"/>
                <w:sz w:val="18"/>
                <w:szCs w:val="18"/>
                <w:color w:val="auto"/>
              </w:rPr>
              <w:t>Matt Maddox</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ind w:left="200"/>
              <w:spacing w:after="0"/>
              <w:rPr>
                <w:sz w:val="20"/>
                <w:szCs w:val="20"/>
                <w:color w:val="auto"/>
              </w:rPr>
            </w:pPr>
            <w:r>
              <w:rPr>
                <w:rFonts w:ascii="Arial" w:cs="Arial" w:eastAsia="Arial" w:hAnsi="Arial"/>
                <w:sz w:val="18"/>
                <w:szCs w:val="18"/>
                <w:color w:val="auto"/>
              </w:rPr>
              <w:t>Chief Financial Officer and Treasurer</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2009</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779,988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r>
              <w:rPr>
                <w:rFonts w:ascii="Arial" w:cs="Arial" w:eastAsia="Arial" w:hAnsi="Arial"/>
                <w:sz w:val="18"/>
                <w:szCs w:val="18"/>
                <w:color w:val="auto"/>
                <w:w w:val="84"/>
              </w:rPr>
              <w:t>5,650,000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8,348,244</w:t>
            </w:r>
          </w:p>
        </w:tc>
        <w:tc>
          <w:tcPr>
            <w:tcW w:w="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248,067</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15,026,299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2008</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593,590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5,397,500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11,010,020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650,000</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13,786</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17,664,896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080" w:type="dxa"/>
            <w:vAlign w:val="bottom"/>
          </w:tcPr>
          <w:p>
            <w:pPr>
              <w:spacing w:after="0"/>
              <w:rPr>
                <w:sz w:val="9"/>
                <w:szCs w:val="9"/>
                <w:color w:val="auto"/>
              </w:rPr>
            </w:pPr>
          </w:p>
        </w:tc>
        <w:tc>
          <w:tcPr>
            <w:tcW w:w="2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D. Schorr</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Chief Operating Officer</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2009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1,817,308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84"/>
              </w:rPr>
              <w:t>2,000,000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13,913,740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$ 1,153,817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18,884,865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2008</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1,947,115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21,830,000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2,000,000</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301,943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26,079,058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79"/>
              </w:rPr>
              <w:t>2007</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1,750,000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3,500,000</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646,033</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5,896,033</w:t>
            </w:r>
          </w:p>
        </w:tc>
        <w:tc>
          <w:tcPr>
            <w:tcW w:w="0" w:type="dxa"/>
            <w:vAlign w:val="bottom"/>
          </w:tcPr>
          <w:p>
            <w:pPr>
              <w:spacing w:after="0"/>
              <w:rPr>
                <w:sz w:val="1"/>
                <w:szCs w:val="1"/>
                <w:color w:val="auto"/>
              </w:rPr>
            </w:pPr>
          </w:p>
        </w:tc>
      </w:tr>
      <w:tr>
        <w:trPr>
          <w:trHeight w:val="309"/>
        </w:trPr>
        <w:tc>
          <w:tcPr>
            <w:tcW w:w="3320" w:type="dxa"/>
            <w:vAlign w:val="bottom"/>
            <w:gridSpan w:val="3"/>
          </w:tcPr>
          <w:p>
            <w:pPr>
              <w:spacing w:after="0"/>
              <w:rPr>
                <w:sz w:val="20"/>
                <w:szCs w:val="20"/>
                <w:color w:val="auto"/>
              </w:rPr>
            </w:pPr>
            <w:r>
              <w:rPr>
                <w:rFonts w:ascii="Arial" w:cs="Arial" w:eastAsia="Arial" w:hAnsi="Arial"/>
                <w:sz w:val="18"/>
                <w:szCs w:val="18"/>
                <w:color w:val="auto"/>
              </w:rPr>
              <w:t>Linda Chen</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ind w:left="200"/>
              <w:spacing w:after="0"/>
              <w:rPr>
                <w:sz w:val="20"/>
                <w:szCs w:val="20"/>
                <w:color w:val="auto"/>
              </w:rPr>
            </w:pPr>
            <w:r>
              <w:rPr>
                <w:rFonts w:ascii="Arial" w:cs="Arial" w:eastAsia="Arial" w:hAnsi="Arial"/>
                <w:sz w:val="18"/>
                <w:szCs w:val="18"/>
                <w:color w:val="auto"/>
                <w:w w:val="91"/>
              </w:rPr>
              <w:t>President of Wynn International Marketing</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2009</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951,701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r>
              <w:rPr>
                <w:rFonts w:ascii="Arial" w:cs="Arial" w:eastAsia="Arial" w:hAnsi="Arial"/>
                <w:sz w:val="18"/>
                <w:szCs w:val="18"/>
                <w:color w:val="auto"/>
                <w:w w:val="84"/>
              </w:rPr>
              <w:t>1,000,000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8,348,244</w:t>
            </w:r>
          </w:p>
        </w:tc>
        <w:tc>
          <w:tcPr>
            <w:tcW w:w="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858,565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11,158,510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2008</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1,000,000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10,795,000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11,010,020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1,000,000</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63,539</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23,868,559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2007</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1,000,000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2,000,000</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651,079</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3,651,079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080" w:type="dxa"/>
            <w:vAlign w:val="bottom"/>
          </w:tcPr>
          <w:p>
            <w:pPr>
              <w:spacing w:after="0"/>
              <w:rPr>
                <w:sz w:val="9"/>
                <w:szCs w:val="9"/>
                <w:color w:val="auto"/>
              </w:rPr>
            </w:pPr>
          </w:p>
        </w:tc>
        <w:tc>
          <w:tcPr>
            <w:tcW w:w="2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Kim Sinatra</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General Counsel and Secretary</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535,582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84"/>
              </w:rPr>
              <w:t>2,750,000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6,956,870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207,801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10,450,253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340" w:right="160" w:hanging="332"/>
        <w:spacing w:after="0" w:line="298" w:lineRule="auto"/>
        <w:tabs>
          <w:tab w:leader="none" w:pos="3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amounts set forth in these columns reflect the aggregate grant date fair value of equity awards granted in each respective year, computed in accordance with accounting standards for stock based compensation. See Wynn Resorts’ Annual Report on Form 10-K for the year ended December 31, 2009, Note 14 to its Consolidated Financial Statements for assumptions used in computing fair value. The 2009 grants will vest 10% per year beginning on the first anniversary of the grant until fully vested in May 2019. The 2008 grants will fully vest in December 2016.</w:t>
      </w:r>
    </w:p>
    <w:p>
      <w:pPr>
        <w:spacing w:after="0" w:line="153" w:lineRule="exact"/>
        <w:rPr>
          <w:rFonts w:ascii="Arial" w:cs="Arial" w:eastAsia="Arial" w:hAnsi="Arial"/>
          <w:sz w:val="16"/>
          <w:szCs w:val="16"/>
          <w:color w:val="auto"/>
        </w:rPr>
      </w:pPr>
    </w:p>
    <w:p>
      <w:pPr>
        <w:ind w:left="340" w:hanging="332"/>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following amounts for 2009 are included in “All Other Compensation” for Mr. Wynn:</w:t>
      </w:r>
    </w:p>
    <w:p>
      <w:pPr>
        <w:spacing w:after="0" w:line="90" w:lineRule="exact"/>
        <w:rPr>
          <w:rFonts w:ascii="Arial" w:cs="Arial" w:eastAsia="Arial" w:hAnsi="Arial"/>
          <w:sz w:val="18"/>
          <w:szCs w:val="18"/>
          <w:color w:val="auto"/>
        </w:rPr>
      </w:pPr>
    </w:p>
    <w:p>
      <w:pPr>
        <w:ind w:left="800" w:right="60" w:hanging="454"/>
        <w:spacing w:after="0" w:line="254" w:lineRule="auto"/>
        <w:tabs>
          <w:tab w:leader="none" w:pos="8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personal use of Wynn Resorts’ aircraft of $1,198,056 (Mr. Wynn receives no tax-gross ups relating to the value of aircraft usage that is imputed to him as compensation);</w:t>
      </w:r>
    </w:p>
    <w:p>
      <w:pPr>
        <w:ind w:left="800" w:hanging="454"/>
        <w:spacing w:after="0"/>
        <w:tabs>
          <w:tab w:leader="none" w:pos="8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executive life insurance premiums of $29,718;</w:t>
      </w:r>
    </w:p>
    <w:p>
      <w:pPr>
        <w:spacing w:after="0" w:line="9" w:lineRule="exact"/>
        <w:rPr>
          <w:rFonts w:ascii="Arial" w:cs="Arial" w:eastAsia="Arial" w:hAnsi="Arial"/>
          <w:sz w:val="18"/>
          <w:szCs w:val="18"/>
          <w:color w:val="auto"/>
        </w:rPr>
      </w:pPr>
    </w:p>
    <w:p>
      <w:pPr>
        <w:ind w:left="800" w:hanging="454"/>
        <w:spacing w:after="0"/>
        <w:tabs>
          <w:tab w:leader="none" w:pos="8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compensation pursuant to the Wynn Resorts, Limited Executive Medical Plan of $60,036;</w:t>
      </w:r>
    </w:p>
    <w:p>
      <w:pPr>
        <w:spacing w:after="0" w:line="9" w:lineRule="exact"/>
        <w:rPr>
          <w:rFonts w:ascii="Arial" w:cs="Arial" w:eastAsia="Arial" w:hAnsi="Arial"/>
          <w:sz w:val="18"/>
          <w:szCs w:val="18"/>
          <w:color w:val="auto"/>
        </w:rPr>
      </w:pPr>
    </w:p>
    <w:p>
      <w:pPr>
        <w:ind w:left="800" w:hanging="454"/>
        <w:spacing w:after="0"/>
        <w:tabs>
          <w:tab w:leader="none" w:pos="8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allocated compensation and benefits for personal use of a driver whom Wynn Resorts employs for Mr. Wynn of $12,806;</w:t>
      </w:r>
    </w:p>
    <w:p>
      <w:pPr>
        <w:spacing w:after="0" w:line="9" w:lineRule="exact"/>
        <w:rPr>
          <w:rFonts w:ascii="Arial" w:cs="Arial" w:eastAsia="Arial" w:hAnsi="Arial"/>
          <w:sz w:val="18"/>
          <w:szCs w:val="18"/>
          <w:color w:val="auto"/>
        </w:rPr>
      </w:pPr>
    </w:p>
    <w:p>
      <w:pPr>
        <w:ind w:left="800" w:hanging="454"/>
        <w:spacing w:after="0"/>
        <w:tabs>
          <w:tab w:leader="none" w:pos="8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merchandise discounts of $62,240; and</w:t>
      </w:r>
    </w:p>
    <w:p>
      <w:pPr>
        <w:spacing w:after="0" w:line="9" w:lineRule="exact"/>
        <w:rPr>
          <w:rFonts w:ascii="Arial" w:cs="Arial" w:eastAsia="Arial" w:hAnsi="Arial"/>
          <w:sz w:val="18"/>
          <w:szCs w:val="18"/>
          <w:color w:val="auto"/>
        </w:rPr>
      </w:pPr>
    </w:p>
    <w:p>
      <w:pPr>
        <w:ind w:left="800" w:hanging="454"/>
        <w:spacing w:after="0"/>
        <w:tabs>
          <w:tab w:leader="none" w:pos="8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401k employer matching contributions of $7,350.</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amounts for 2009 are included in “All Other Compensation” for Mr. Maddox:</w:t>
      </w:r>
    </w:p>
    <w:p>
      <w:pPr>
        <w:spacing w:after="0" w:line="90" w:lineRule="exact"/>
        <w:rPr>
          <w:sz w:val="20"/>
          <w:szCs w:val="20"/>
          <w:color w:val="auto"/>
        </w:rPr>
      </w:pPr>
    </w:p>
    <w:p>
      <w:pPr>
        <w:ind w:left="800" w:hanging="454"/>
        <w:spacing w:after="0"/>
        <w:tabs>
          <w:tab w:leader="none" w:pos="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amounts for executive life insurance premiums, merchandise discounts and 401k employer matching contributions of $8,067; and</w:t>
      </w:r>
    </w:p>
    <w:p>
      <w:pPr>
        <w:spacing w:after="0" w:line="15" w:lineRule="exact"/>
        <w:rPr>
          <w:rFonts w:ascii="Arial" w:cs="Arial" w:eastAsia="Arial" w:hAnsi="Arial"/>
          <w:sz w:val="18"/>
          <w:szCs w:val="18"/>
          <w:color w:val="auto"/>
        </w:rPr>
      </w:pPr>
    </w:p>
    <w:p>
      <w:pPr>
        <w:jc w:val="both"/>
        <w:ind w:left="800" w:right="380" w:hanging="454"/>
        <w:spacing w:after="0" w:line="255" w:lineRule="auto"/>
        <w:tabs>
          <w:tab w:leader="none" w:pos="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$240,000 of accrued cash distributions related to unvested restricted stock. Dividends that are accrued on unvested restricted stock are reported as compensation because the value of dividends was not previously reflected in the accounting expense for these awards when they were granted, as Wynn Resorts did not regularly pay dividends at that time.</w:t>
      </w:r>
    </w:p>
    <w:p>
      <w:pPr>
        <w:spacing w:after="0" w:line="14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amounts for 2009 are included in “All Other Compensation” for Mr. Schorr:</w:t>
      </w:r>
    </w:p>
    <w:p>
      <w:pPr>
        <w:spacing w:after="0" w:line="90" w:lineRule="exact"/>
        <w:rPr>
          <w:sz w:val="20"/>
          <w:szCs w:val="20"/>
          <w:color w:val="auto"/>
        </w:rPr>
      </w:pPr>
    </w:p>
    <w:p>
      <w:pPr>
        <w:ind w:left="800" w:right="140" w:hanging="454"/>
        <w:spacing w:after="0" w:line="268" w:lineRule="auto"/>
        <w:tabs>
          <w:tab w:leader="none" w:pos="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personal use of Wynn Resorts’ aircraft of $103,421 (Mr. Schorr receives no tax-gross ups relating to the value of aircraft usage that is imputed to him as compensation);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hanging="454"/>
        <w:spacing w:after="0"/>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executive life insurance premiums of $13,365;</w:t>
      </w:r>
    </w:p>
    <w:p>
      <w:pPr>
        <w:spacing w:after="0" w:line="15" w:lineRule="exact"/>
        <w:rPr>
          <w:rFonts w:ascii="Arial" w:cs="Arial" w:eastAsia="Arial" w:hAnsi="Arial"/>
          <w:sz w:val="18"/>
          <w:szCs w:val="18"/>
          <w:color w:val="auto"/>
        </w:rPr>
      </w:pPr>
    </w:p>
    <w:p>
      <w:pPr>
        <w:ind w:left="800" w:hanging="454"/>
        <w:spacing w:after="0"/>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401k employer matching contributions of $7,350;</w:t>
      </w:r>
    </w:p>
    <w:p>
      <w:pPr>
        <w:spacing w:after="0" w:line="9" w:lineRule="exact"/>
        <w:rPr>
          <w:rFonts w:ascii="Arial" w:cs="Arial" w:eastAsia="Arial" w:hAnsi="Arial"/>
          <w:sz w:val="18"/>
          <w:szCs w:val="18"/>
          <w:color w:val="auto"/>
        </w:rPr>
      </w:pPr>
    </w:p>
    <w:p>
      <w:pPr>
        <w:ind w:left="800" w:hanging="454"/>
        <w:spacing w:after="0"/>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merchandise discounts of $29,681; and</w:t>
      </w:r>
    </w:p>
    <w:p>
      <w:pPr>
        <w:spacing w:after="0" w:line="9" w:lineRule="exact"/>
        <w:rPr>
          <w:rFonts w:ascii="Arial" w:cs="Arial" w:eastAsia="Arial" w:hAnsi="Arial"/>
          <w:sz w:val="18"/>
          <w:szCs w:val="18"/>
          <w:color w:val="auto"/>
        </w:rPr>
      </w:pPr>
    </w:p>
    <w:p>
      <w:pPr>
        <w:ind w:left="800" w:right="100" w:hanging="454"/>
        <w:spacing w:after="0" w:line="255" w:lineRule="auto"/>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$1,000,000 of accrued cash distributions related to unvested restricted stock. Dividends that are accrued on unvested restricted stock are reported as compensation because the value of dividends was not previously reflected in the accounting expense for these awards when they were granted, as Wynn Resorts did not regularly pay dividends at that time.</w:t>
      </w:r>
    </w:p>
    <w:p>
      <w:pPr>
        <w:spacing w:after="0" w:line="14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amounts for 2009 are included in “All Other Compensation” for Ms. Chen:</w:t>
      </w:r>
    </w:p>
    <w:p>
      <w:pPr>
        <w:spacing w:after="0" w:line="90" w:lineRule="exact"/>
        <w:rPr>
          <w:sz w:val="20"/>
          <w:szCs w:val="20"/>
          <w:color w:val="auto"/>
        </w:rPr>
      </w:pPr>
    </w:p>
    <w:p>
      <w:pPr>
        <w:ind w:left="800" w:hanging="454"/>
        <w:spacing w:after="0"/>
        <w:tabs>
          <w:tab w:leader="none" w:pos="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$50,195 attributable to housing and other living expenses in Macau;</w:t>
      </w:r>
    </w:p>
    <w:p>
      <w:pPr>
        <w:spacing w:after="0" w:line="15" w:lineRule="exact"/>
        <w:rPr>
          <w:rFonts w:ascii="Arial" w:cs="Arial" w:eastAsia="Arial" w:hAnsi="Arial"/>
          <w:sz w:val="18"/>
          <w:szCs w:val="18"/>
          <w:color w:val="auto"/>
        </w:rPr>
      </w:pPr>
    </w:p>
    <w:p>
      <w:pPr>
        <w:ind w:left="800" w:hanging="454"/>
        <w:spacing w:after="0"/>
        <w:tabs>
          <w:tab w:leader="none" w:pos="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amounts for executive life insurance and other premiums and 401k employer matching contributions of $8,370; and</w:t>
      </w:r>
    </w:p>
    <w:p>
      <w:pPr>
        <w:spacing w:after="0" w:line="9" w:lineRule="exact"/>
        <w:rPr>
          <w:rFonts w:ascii="Arial" w:cs="Arial" w:eastAsia="Arial" w:hAnsi="Arial"/>
          <w:sz w:val="18"/>
          <w:szCs w:val="18"/>
          <w:color w:val="auto"/>
        </w:rPr>
      </w:pPr>
    </w:p>
    <w:p>
      <w:pPr>
        <w:jc w:val="both"/>
        <w:ind w:left="800" w:right="220" w:hanging="454"/>
        <w:spacing w:after="0" w:line="255" w:lineRule="auto"/>
        <w:tabs>
          <w:tab w:leader="none" w:pos="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$800,000 of accrued cash distributions related to unvested restricted stock. Dividends that are accrued on unvested restricted stock are reported as compensation because the value of dividends was not previously reflected in the accounting expense for these awards when they were granted, as Wynn Resorts did not regularly pay dividends at that time.</w:t>
      </w:r>
    </w:p>
    <w:p>
      <w:pPr>
        <w:spacing w:after="0" w:line="14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amounts for 2009 are included in “All Other Compensation” for Ms. Sinatra:</w:t>
      </w:r>
    </w:p>
    <w:p>
      <w:pPr>
        <w:spacing w:after="0" w:line="90" w:lineRule="exact"/>
        <w:rPr>
          <w:sz w:val="20"/>
          <w:szCs w:val="20"/>
          <w:color w:val="auto"/>
        </w:rPr>
      </w:pPr>
    </w:p>
    <w:p>
      <w:pPr>
        <w:ind w:left="800" w:hanging="454"/>
        <w:spacing w:after="0"/>
        <w:tabs>
          <w:tab w:leader="none" w:pos="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amounts for executive life insurance and other premiums and 401k employer matching contributions of $7,801; and</w:t>
      </w:r>
    </w:p>
    <w:p>
      <w:pPr>
        <w:spacing w:after="0" w:line="15" w:lineRule="exact"/>
        <w:rPr>
          <w:rFonts w:ascii="Arial" w:cs="Arial" w:eastAsia="Arial" w:hAnsi="Arial"/>
          <w:sz w:val="18"/>
          <w:szCs w:val="18"/>
          <w:color w:val="auto"/>
        </w:rPr>
      </w:pPr>
    </w:p>
    <w:p>
      <w:pPr>
        <w:jc w:val="both"/>
        <w:ind w:left="800" w:right="220" w:hanging="454"/>
        <w:spacing w:after="0" w:line="255" w:lineRule="auto"/>
        <w:tabs>
          <w:tab w:leader="none" w:pos="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$200,000 of accrued cash distributions related to unvested restricted stock. Dividends that are accrued on unvested restricted stock are reported as compensation because the value of dividends was not previously reflected in the accounting expense for these awards when they were granted, as Wynn Resorts did not regularly pay dividends at that time.</w:t>
      </w:r>
    </w:p>
    <w:p>
      <w:pPr>
        <w:spacing w:after="0" w:line="144"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For amounts shown as personal use of Wynn Resorts’ aircraft, incremental aircraft expenses were calculated by dividing the 2009 total direct (variable) flight expenses (consisting primarily of fuel, maintenance and landing fees) by the total hours the aircraft was operated during the year. The executives’ hourly usage was multiplied by this annual hourly rate. Any reimbursement received from the executive was applied against this amount.</w:t>
      </w:r>
    </w:p>
    <w:p>
      <w:pPr>
        <w:spacing w:after="0" w:line="10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Amounts shown as cash distributions accrued on unvested restricted stock are reported in the year such amounts accrue instead of the year paid, based on an SEC staff interpretation. These amounts are paid only if and when the restricted stock vests.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2009, each of the named executive officers received base salary in accordance with the terms of his or her employment agreement, as approved by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Key terms of the current agreements as amended are as follows: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Contract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560" w:type="dxa"/>
            <w:vAlign w:val="bottom"/>
            <w:gridSpan w:val="2"/>
          </w:tcPr>
          <w:p>
            <w:pPr>
              <w:spacing w:after="0"/>
              <w:rPr>
                <w:sz w:val="20"/>
                <w:szCs w:val="20"/>
                <w:color w:val="auto"/>
              </w:rPr>
            </w:pPr>
            <w:r>
              <w:rPr>
                <w:rFonts w:ascii="Arial" w:cs="Arial" w:eastAsia="Arial" w:hAnsi="Arial"/>
                <w:sz w:val="14"/>
                <w:szCs w:val="14"/>
                <w:b w:val="1"/>
                <w:bCs w:val="1"/>
                <w:color w:val="auto"/>
                <w:w w:val="93"/>
              </w:rPr>
              <w:t>Named Executive Officer</w:t>
            </w:r>
          </w:p>
        </w:tc>
        <w:tc>
          <w:tcPr>
            <w:tcW w:w="672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9"/>
              </w:rPr>
              <w:t>Expiration</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Base Salary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Mr. Wynn</w:t>
            </w:r>
          </w:p>
        </w:tc>
        <w:tc>
          <w:tcPr>
            <w:tcW w:w="67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10/24/20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2,762,500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Mr. Maddox</w:t>
            </w:r>
          </w:p>
        </w:tc>
        <w:tc>
          <w:tcPr>
            <w:tcW w:w="7720" w:type="dxa"/>
            <w:vAlign w:val="bottom"/>
            <w:gridSpan w:val="3"/>
          </w:tcPr>
          <w:p>
            <w:pPr>
              <w:jc w:val="right"/>
              <w:ind w:right="220"/>
              <w:spacing w:after="0"/>
              <w:rPr>
                <w:sz w:val="20"/>
                <w:szCs w:val="20"/>
                <w:color w:val="auto"/>
              </w:rPr>
            </w:pPr>
            <w:r>
              <w:rPr>
                <w:rFonts w:ascii="Arial" w:cs="Arial" w:eastAsia="Arial" w:hAnsi="Arial"/>
                <w:sz w:val="18"/>
                <w:szCs w:val="18"/>
                <w:color w:val="auto"/>
              </w:rPr>
              <w:t>11/30/13</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Mr. Schorr</w:t>
            </w:r>
          </w:p>
        </w:tc>
        <w:tc>
          <w:tcPr>
            <w:tcW w:w="7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10/31/12</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Ms. Chen</w:t>
            </w:r>
          </w:p>
        </w:tc>
        <w:tc>
          <w:tcPr>
            <w:tcW w:w="7720" w:type="dxa"/>
            <w:vAlign w:val="bottom"/>
            <w:gridSpan w:val="3"/>
          </w:tcPr>
          <w:p>
            <w:pPr>
              <w:jc w:val="right"/>
              <w:ind w:right="220"/>
              <w:spacing w:after="0"/>
              <w:rPr>
                <w:sz w:val="20"/>
                <w:szCs w:val="20"/>
                <w:color w:val="auto"/>
              </w:rPr>
            </w:pPr>
            <w:r>
              <w:rPr>
                <w:rFonts w:ascii="Arial" w:cs="Arial" w:eastAsia="Arial" w:hAnsi="Arial"/>
                <w:sz w:val="18"/>
                <w:szCs w:val="18"/>
                <w:color w:val="auto"/>
              </w:rPr>
              <w:t>8/1/11</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Ms. Sinatra</w:t>
            </w:r>
          </w:p>
        </w:tc>
        <w:tc>
          <w:tcPr>
            <w:tcW w:w="7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5/5/14</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Each of the employment agreements provide that the executive will participate in company profit sharing and retirement plans, disability or life insurance plans, medical and/or hospitalization plans and vacation and expense reimbursement programs. In addition, the agreements provide for severance payments and benefits upon certain terminations of employment, including termination following a change-in-control, as discussed in the section below entitled “Potential Payments upon Termination or Change-In-Control.”</w:t>
      </w:r>
    </w:p>
    <w:p>
      <w:pPr>
        <w:spacing w:after="0" w:line="13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60"/>
          </w:cols>
          <w:pgMar w:left="240" w:top="459" w:right="39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GRANTS OF PLAN-BASED AWARDS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All Other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Options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Awards</w:t>
            </w:r>
          </w:p>
        </w:tc>
        <w:tc>
          <w:tcPr>
            <w:tcW w:w="160" w:type="dxa"/>
            <w:vAlign w:val="bottom"/>
          </w:tcPr>
          <w:p>
            <w:pPr>
              <w:spacing w:after="0"/>
              <w:rPr>
                <w:sz w:val="12"/>
                <w:szCs w:val="12"/>
                <w:color w:val="auto"/>
              </w:rPr>
            </w:pPr>
          </w:p>
        </w:tc>
        <w:tc>
          <w:tcPr>
            <w:tcW w:w="7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Exercise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Number of</w:t>
            </w:r>
          </w:p>
        </w:tc>
        <w:tc>
          <w:tcPr>
            <w:tcW w:w="160" w:type="dxa"/>
            <w:vAlign w:val="bottom"/>
          </w:tcPr>
          <w:p>
            <w:pPr>
              <w:spacing w:after="0"/>
              <w:rPr>
                <w:sz w:val="12"/>
                <w:szCs w:val="12"/>
                <w:color w:val="auto"/>
              </w:rPr>
            </w:pPr>
          </w:p>
        </w:tc>
        <w:tc>
          <w:tcPr>
            <w:tcW w:w="7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or base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2"/>
              </w:rPr>
              <w:t>securities</w:t>
            </w:r>
          </w:p>
        </w:tc>
        <w:tc>
          <w:tcPr>
            <w:tcW w:w="160" w:type="dxa"/>
            <w:vAlign w:val="bottom"/>
          </w:tcPr>
          <w:p>
            <w:pPr>
              <w:spacing w:after="0"/>
              <w:rPr>
                <w:sz w:val="12"/>
                <w:szCs w:val="12"/>
                <w:color w:val="auto"/>
              </w:rPr>
            </w:pPr>
          </w:p>
        </w:tc>
        <w:tc>
          <w:tcPr>
            <w:tcW w:w="7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price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fair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underlying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option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stock 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2"/>
              </w:rPr>
              <w:t>options</w:t>
            </w:r>
          </w:p>
        </w:tc>
        <w:tc>
          <w:tcPr>
            <w:tcW w:w="160" w:type="dxa"/>
            <w:vAlign w:val="bottom"/>
          </w:tcPr>
          <w:p>
            <w:pPr>
              <w:spacing w:after="0"/>
              <w:rPr>
                <w:sz w:val="12"/>
                <w:szCs w:val="12"/>
                <w:color w:val="auto"/>
              </w:rPr>
            </w:pPr>
          </w:p>
        </w:tc>
        <w:tc>
          <w:tcPr>
            <w:tcW w:w="7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awards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option awards</w:t>
            </w:r>
          </w:p>
        </w:tc>
        <w:tc>
          <w:tcPr>
            <w:tcW w:w="0" w:type="dxa"/>
            <w:vAlign w:val="bottom"/>
          </w:tcPr>
          <w:p>
            <w:pPr>
              <w:spacing w:after="0"/>
              <w:rPr>
                <w:sz w:val="1"/>
                <w:szCs w:val="1"/>
                <w:color w:val="auto"/>
              </w:rPr>
            </w:pPr>
          </w:p>
        </w:tc>
      </w:tr>
      <w:tr>
        <w:trPr>
          <w:trHeight w:val="161"/>
        </w:trPr>
        <w:tc>
          <w:tcPr>
            <w:tcW w:w="73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Grant Date</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($/sh)</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22"/>
              <w:spacing w:after="0"/>
              <w:rPr>
                <w:sz w:val="20"/>
                <w:szCs w:val="20"/>
                <w:color w:val="auto"/>
              </w:rPr>
            </w:pPr>
            <w:r>
              <w:rPr>
                <w:rFonts w:ascii="Arial" w:cs="Arial" w:eastAsia="Arial" w:hAnsi="Arial"/>
                <w:sz w:val="14"/>
                <w:szCs w:val="14"/>
                <w:b w:val="1"/>
                <w:bCs w:val="1"/>
                <w:color w:val="auto"/>
                <w:w w:val="93"/>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Matt Maddox</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5/6/2009</w:t>
            </w:r>
          </w:p>
        </w:tc>
        <w:tc>
          <w:tcPr>
            <w:tcW w:w="720" w:type="dxa"/>
            <w:vAlign w:val="bottom"/>
          </w:tcPr>
          <w:p>
            <w:pPr>
              <w:jc w:val="right"/>
              <w:spacing w:after="0"/>
              <w:rPr>
                <w:sz w:val="20"/>
                <w:szCs w:val="20"/>
                <w:color w:val="auto"/>
              </w:rPr>
            </w:pPr>
            <w:r>
              <w:rPr>
                <w:rFonts w:ascii="Arial" w:cs="Arial" w:eastAsia="Arial" w:hAnsi="Arial"/>
                <w:sz w:val="18"/>
                <w:szCs w:val="18"/>
                <w:color w:val="auto"/>
              </w:rPr>
              <w:t>300,000</w:t>
            </w:r>
          </w:p>
        </w:tc>
        <w:tc>
          <w:tcPr>
            <w:tcW w:w="1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47.12</w:t>
            </w:r>
          </w:p>
        </w:tc>
        <w:tc>
          <w:tcPr>
            <w:tcW w:w="18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8,348,244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D. Schorr</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5/6/2009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47.12</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13,913,740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Linda Chen</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5/6/2009</w:t>
            </w:r>
          </w:p>
        </w:tc>
        <w:tc>
          <w:tcPr>
            <w:tcW w:w="720" w:type="dxa"/>
            <w:vAlign w:val="bottom"/>
          </w:tcPr>
          <w:p>
            <w:pPr>
              <w:jc w:val="right"/>
              <w:spacing w:after="0"/>
              <w:rPr>
                <w:sz w:val="20"/>
                <w:szCs w:val="20"/>
                <w:color w:val="auto"/>
              </w:rPr>
            </w:pPr>
            <w:r>
              <w:rPr>
                <w:rFonts w:ascii="Arial" w:cs="Arial" w:eastAsia="Arial" w:hAnsi="Arial"/>
                <w:sz w:val="18"/>
                <w:szCs w:val="18"/>
                <w:color w:val="auto"/>
              </w:rPr>
              <w:t>300,000</w:t>
            </w:r>
          </w:p>
        </w:tc>
        <w:tc>
          <w:tcPr>
            <w:tcW w:w="1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47.12</w:t>
            </w:r>
          </w:p>
        </w:tc>
        <w:tc>
          <w:tcPr>
            <w:tcW w:w="18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8,348,244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Kim Sinatra</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5/6/2009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47.12</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6,956,870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line="254"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All of the option awards will vest 10% per year beginning on the first anniversary of the grant until fully vested in May 2019. Each of the awards has a term of ten years from the grant date.</w:t>
      </w:r>
    </w:p>
    <w:p>
      <w:pPr>
        <w:ind w:left="460" w:hanging="452"/>
        <w:spacing w:after="0"/>
        <w:tabs>
          <w:tab w:leader="none" w:pos="460" w:val="left"/>
        </w:tabs>
        <w:numPr>
          <w:ilvl w:val="0"/>
          <w:numId w:val="59"/>
        </w:numPr>
        <w:rPr>
          <w:rFonts w:ascii="Arial" w:cs="Arial" w:eastAsia="Arial" w:hAnsi="Arial"/>
          <w:sz w:val="15"/>
          <w:szCs w:val="15"/>
          <w:color w:val="auto"/>
        </w:rPr>
      </w:pPr>
      <w:r>
        <w:rPr>
          <w:rFonts w:ascii="Arial" w:cs="Arial" w:eastAsia="Arial" w:hAnsi="Arial"/>
          <w:sz w:val="15"/>
          <w:szCs w:val="15"/>
          <w:color w:val="auto"/>
        </w:rPr>
        <w:t>The amounts are calculated based on the aggregate grant date fair value computed in accordance with accounting standards for stock based compensation.</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OUTSTANDING EQUITY AWARDS AT FISCAL YEAR-END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Option Awards</w:t>
            </w: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60" w:type="dxa"/>
            <w:vAlign w:val="bottom"/>
            <w:gridSpan w:val="6"/>
          </w:tcPr>
          <w:p>
            <w:pPr>
              <w:ind w:left="82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1220" w:type="dxa"/>
            <w:vAlign w:val="bottom"/>
            <w:tcBorders>
              <w:top w:val="single" w:sz="8" w:color="auto"/>
            </w:tcBorders>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91"/>
              </w:rPr>
              <w:t>Number of</w:t>
            </w:r>
          </w:p>
        </w:tc>
        <w:tc>
          <w:tcPr>
            <w:tcW w:w="1140" w:type="dxa"/>
            <w:vAlign w:val="bottom"/>
            <w:tcBorders>
              <w:top w:val="single" w:sz="8" w:color="auto"/>
            </w:tcBorders>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91"/>
              </w:rPr>
              <w:t>Number of</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2"/>
              </w:rPr>
              <w:t>Market Value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of Shares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Underlying</w:t>
            </w: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Underlying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Shares or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Units of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Option</w:t>
            </w: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Units of Stock</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That Have Not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Options</w:t>
            </w: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Options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Exercise</w:t>
            </w: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Option</w:t>
            </w: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That Have not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2"/>
              </w:rPr>
              <w:t>Vested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3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Price</w:t>
            </w: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Expiration</w:t>
            </w: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2"/>
              </w:rPr>
              <w:t>Vested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3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Exercisable</w:t>
            </w: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Unexercisable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37"/>
              <w:spacing w:after="0"/>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Date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11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N/A</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Matt Maddox(1)</w:t>
            </w:r>
          </w:p>
        </w:tc>
        <w:tc>
          <w:tcPr>
            <w:tcW w:w="880" w:type="dxa"/>
            <w:vAlign w:val="bottom"/>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tcPr>
          <w:p>
            <w:pPr>
              <w:spacing w:after="0"/>
              <w:rPr>
                <w:sz w:val="18"/>
                <w:szCs w:val="18"/>
                <w:color w:val="auto"/>
              </w:rPr>
            </w:pPr>
          </w:p>
        </w:tc>
        <w:tc>
          <w:tcPr>
            <w:tcW w:w="1140" w:type="dxa"/>
            <w:vAlign w:val="bottom"/>
            <w:gridSpan w:val="2"/>
          </w:tcPr>
          <w:p>
            <w:pPr>
              <w:ind w:left="660"/>
              <w:spacing w:after="0"/>
              <w:rPr>
                <w:sz w:val="20"/>
                <w:szCs w:val="20"/>
                <w:color w:val="auto"/>
              </w:rPr>
            </w:pPr>
            <w:r>
              <w:rPr>
                <w:rFonts w:ascii="Arial" w:cs="Arial" w:eastAsia="Arial" w:hAnsi="Arial"/>
                <w:sz w:val="18"/>
                <w:szCs w:val="18"/>
                <w:color w:val="auto"/>
              </w:rPr>
              <w:t>N/A</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59.44</w:t>
            </w:r>
          </w:p>
        </w:tc>
        <w:tc>
          <w:tcPr>
            <w:tcW w:w="3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11/02/14</w:t>
            </w:r>
          </w:p>
        </w:tc>
        <w:tc>
          <w:tcPr>
            <w:tcW w:w="1000" w:type="dxa"/>
            <w:vAlign w:val="bottom"/>
          </w:tcPr>
          <w:p>
            <w:pPr>
              <w:jc w:val="right"/>
              <w:spacing w:after="0"/>
              <w:rPr>
                <w:sz w:val="20"/>
                <w:szCs w:val="20"/>
                <w:color w:val="auto"/>
              </w:rPr>
            </w:pPr>
            <w:r>
              <w:rPr>
                <w:rFonts w:ascii="Arial" w:cs="Arial" w:eastAsia="Arial" w:hAnsi="Arial"/>
                <w:sz w:val="18"/>
                <w:szCs w:val="18"/>
                <w:color w:val="auto"/>
              </w:rPr>
              <w:t>60,000</w:t>
            </w:r>
          </w:p>
        </w:tc>
        <w:tc>
          <w:tcPr>
            <w:tcW w:w="1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3,493,800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33,333</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16,667</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51.08</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11/07/15</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960" w:type="dxa"/>
            <w:vAlign w:val="bottom"/>
          </w:tcPr>
          <w:p>
            <w:pPr>
              <w:jc w:val="right"/>
              <w:spacing w:after="0"/>
              <w:rPr>
                <w:sz w:val="20"/>
                <w:szCs w:val="20"/>
                <w:color w:val="auto"/>
              </w:rPr>
            </w:pPr>
            <w:r>
              <w:rPr>
                <w:rFonts w:ascii="Arial" w:cs="Arial" w:eastAsia="Arial" w:hAnsi="Arial"/>
                <w:sz w:val="18"/>
                <w:szCs w:val="18"/>
                <w:color w:val="auto"/>
              </w:rPr>
              <w:t>175,000</w:t>
            </w:r>
          </w:p>
        </w:tc>
        <w:tc>
          <w:tcPr>
            <w:tcW w:w="18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107.95</w:t>
            </w:r>
          </w:p>
        </w:tc>
        <w:tc>
          <w:tcPr>
            <w:tcW w:w="3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05/06/18</w:t>
            </w:r>
          </w:p>
        </w:tc>
        <w:tc>
          <w:tcPr>
            <w:tcW w:w="1180" w:type="dxa"/>
            <w:vAlign w:val="bottom"/>
            <w:gridSpan w:val="2"/>
          </w:tcPr>
          <w:p>
            <w:pPr>
              <w:ind w:left="70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47.12</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05/06/19</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Marc D. Schorr(2)</w:t>
            </w:r>
          </w:p>
        </w:tc>
        <w:tc>
          <w:tcPr>
            <w:tcW w:w="880" w:type="dxa"/>
            <w:vAlign w:val="bottom"/>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tcPr>
          <w:p>
            <w:pPr>
              <w:spacing w:after="0"/>
              <w:rPr>
                <w:sz w:val="18"/>
                <w:szCs w:val="18"/>
                <w:color w:val="auto"/>
              </w:rPr>
            </w:pPr>
          </w:p>
        </w:tc>
        <w:tc>
          <w:tcPr>
            <w:tcW w:w="1140" w:type="dxa"/>
            <w:vAlign w:val="bottom"/>
            <w:gridSpan w:val="2"/>
          </w:tcPr>
          <w:p>
            <w:pPr>
              <w:ind w:left="660"/>
              <w:spacing w:after="0"/>
              <w:rPr>
                <w:sz w:val="20"/>
                <w:szCs w:val="20"/>
                <w:color w:val="auto"/>
              </w:rPr>
            </w:pPr>
            <w:r>
              <w:rPr>
                <w:rFonts w:ascii="Arial" w:cs="Arial" w:eastAsia="Arial" w:hAnsi="Arial"/>
                <w:sz w:val="18"/>
                <w:szCs w:val="18"/>
                <w:color w:val="auto"/>
              </w:rPr>
              <w:t>N/A</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15.40</w:t>
            </w:r>
          </w:p>
        </w:tc>
        <w:tc>
          <w:tcPr>
            <w:tcW w:w="3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03/25/13</w:t>
            </w:r>
          </w:p>
        </w:tc>
        <w:tc>
          <w:tcPr>
            <w:tcW w:w="1000" w:type="dxa"/>
            <w:vAlign w:val="bottom"/>
          </w:tcPr>
          <w:p>
            <w:pPr>
              <w:jc w:val="right"/>
              <w:spacing w:after="0"/>
              <w:rPr>
                <w:sz w:val="20"/>
                <w:szCs w:val="20"/>
                <w:color w:val="auto"/>
              </w:rPr>
            </w:pPr>
            <w:r>
              <w:rPr>
                <w:rFonts w:ascii="Arial" w:cs="Arial" w:eastAsia="Arial" w:hAnsi="Arial"/>
                <w:sz w:val="18"/>
                <w:szCs w:val="18"/>
                <w:color w:val="auto"/>
              </w:rPr>
              <w:t>250,000</w:t>
            </w:r>
          </w:p>
        </w:tc>
        <w:tc>
          <w:tcPr>
            <w:tcW w:w="1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14,557,500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47.12</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05/06/19</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Linda Chen(3)</w:t>
            </w:r>
          </w:p>
        </w:tc>
        <w:tc>
          <w:tcPr>
            <w:tcW w:w="880" w:type="dxa"/>
            <w:vAlign w:val="bottom"/>
          </w:tcPr>
          <w:p>
            <w:pPr>
              <w:jc w:val="right"/>
              <w:spacing w:after="0"/>
              <w:rPr>
                <w:sz w:val="20"/>
                <w:szCs w:val="20"/>
                <w:color w:val="auto"/>
              </w:rPr>
            </w:pPr>
            <w:r>
              <w:rPr>
                <w:rFonts w:ascii="Arial" w:cs="Arial" w:eastAsia="Arial" w:hAnsi="Arial"/>
                <w:sz w:val="18"/>
                <w:szCs w:val="18"/>
                <w:color w:val="auto"/>
              </w:rPr>
              <w:t>66,667</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33,333</w:t>
            </w:r>
          </w:p>
        </w:tc>
        <w:tc>
          <w:tcPr>
            <w:tcW w:w="18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56.67</w:t>
            </w:r>
          </w:p>
        </w:tc>
        <w:tc>
          <w:tcPr>
            <w:tcW w:w="3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08/01/15</w:t>
            </w:r>
          </w:p>
        </w:tc>
        <w:tc>
          <w:tcPr>
            <w:tcW w:w="1000" w:type="dxa"/>
            <w:vAlign w:val="bottom"/>
          </w:tcPr>
          <w:p>
            <w:pPr>
              <w:jc w:val="right"/>
              <w:spacing w:after="0"/>
              <w:rPr>
                <w:sz w:val="20"/>
                <w:szCs w:val="20"/>
                <w:color w:val="auto"/>
              </w:rPr>
            </w:pPr>
            <w:r>
              <w:rPr>
                <w:rFonts w:ascii="Arial" w:cs="Arial" w:eastAsia="Arial" w:hAnsi="Arial"/>
                <w:sz w:val="18"/>
                <w:szCs w:val="18"/>
                <w:color w:val="auto"/>
              </w:rPr>
              <w:t>200,000</w:t>
            </w:r>
          </w:p>
        </w:tc>
        <w:tc>
          <w:tcPr>
            <w:tcW w:w="1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11,646,000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107.95</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05/06/18</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960" w:type="dxa"/>
            <w:vAlign w:val="bottom"/>
          </w:tcPr>
          <w:p>
            <w:pPr>
              <w:jc w:val="right"/>
              <w:spacing w:after="0"/>
              <w:rPr>
                <w:sz w:val="20"/>
                <w:szCs w:val="20"/>
                <w:color w:val="auto"/>
              </w:rPr>
            </w:pPr>
            <w:r>
              <w:rPr>
                <w:rFonts w:ascii="Arial" w:cs="Arial" w:eastAsia="Arial" w:hAnsi="Arial"/>
                <w:sz w:val="18"/>
                <w:szCs w:val="18"/>
                <w:color w:val="auto"/>
              </w:rPr>
              <w:t>300,000</w:t>
            </w:r>
          </w:p>
        </w:tc>
        <w:tc>
          <w:tcPr>
            <w:tcW w:w="18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47.12</w:t>
            </w:r>
          </w:p>
        </w:tc>
        <w:tc>
          <w:tcPr>
            <w:tcW w:w="3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05/06/19</w:t>
            </w:r>
          </w:p>
        </w:tc>
        <w:tc>
          <w:tcPr>
            <w:tcW w:w="1180" w:type="dxa"/>
            <w:vAlign w:val="bottom"/>
            <w:gridSpan w:val="2"/>
          </w:tcPr>
          <w:p>
            <w:pPr>
              <w:ind w:left="70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Kim Sinatra(4)</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107.95</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05/06/18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2,911,500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960" w:type="dxa"/>
            <w:vAlign w:val="bottom"/>
          </w:tcPr>
          <w:p>
            <w:pPr>
              <w:jc w:val="right"/>
              <w:spacing w:after="0"/>
              <w:rPr>
                <w:sz w:val="20"/>
                <w:szCs w:val="20"/>
                <w:color w:val="auto"/>
              </w:rPr>
            </w:pPr>
            <w:r>
              <w:rPr>
                <w:rFonts w:ascii="Arial" w:cs="Arial" w:eastAsia="Arial" w:hAnsi="Arial"/>
                <w:sz w:val="18"/>
                <w:szCs w:val="18"/>
                <w:color w:val="auto"/>
              </w:rPr>
              <w:t>250,000</w:t>
            </w:r>
          </w:p>
        </w:tc>
        <w:tc>
          <w:tcPr>
            <w:tcW w:w="180" w:type="dxa"/>
            <w:vAlign w:val="bottom"/>
          </w:tcPr>
          <w:p>
            <w:pPr>
              <w:spacing w:after="0"/>
              <w:rPr>
                <w:sz w:val="19"/>
                <w:szCs w:val="19"/>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47.12</w:t>
            </w:r>
          </w:p>
        </w:tc>
        <w:tc>
          <w:tcPr>
            <w:tcW w:w="32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05/06/19</w:t>
            </w:r>
          </w:p>
        </w:tc>
        <w:tc>
          <w:tcPr>
            <w:tcW w:w="1180" w:type="dxa"/>
            <w:vAlign w:val="bottom"/>
            <w:gridSpan w:val="2"/>
          </w:tcPr>
          <w:p>
            <w:pPr>
              <w:ind w:left="70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Mr. Maddox’s unvested awards will vest as follows:</w:t>
      </w:r>
    </w:p>
    <w:p>
      <w:pPr>
        <w:spacing w:after="0" w:line="15" w:lineRule="exact"/>
        <w:rPr>
          <w:rFonts w:ascii="Arial" w:cs="Arial" w:eastAsia="Arial" w:hAnsi="Arial"/>
          <w:sz w:val="18"/>
          <w:szCs w:val="18"/>
          <w:color w:val="auto"/>
        </w:rPr>
      </w:pPr>
    </w:p>
    <w:p>
      <w:pPr>
        <w:ind w:left="900" w:hanging="446"/>
        <w:spacing w:after="0"/>
        <w:tabs>
          <w:tab w:leader="none" w:pos="9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16,667 stock options will vest on November 7, 2010;</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175,000 stock options will vest on December 5, 2016;</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30,000 stock options will vest on May 6, 2010 and each anniversary thereafter until the 300,000 stock options are fully vested; and</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10,000 shares of restricted stock will vest on May 7, 2012 and 50,000 shares of restricted stock will vest on December 5, 2016.</w:t>
      </w:r>
    </w:p>
    <w:p>
      <w:pPr>
        <w:spacing w:after="0" w:line="83" w:lineRule="exact"/>
        <w:rPr>
          <w:rFonts w:ascii="Arial" w:cs="Arial" w:eastAsia="Arial" w:hAnsi="Arial"/>
          <w:sz w:val="18"/>
          <w:szCs w:val="18"/>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Mr. Schorr’s unvested awards will vest as follows:</w:t>
      </w:r>
    </w:p>
    <w:p>
      <w:pPr>
        <w:spacing w:after="0" w:line="15" w:lineRule="exact"/>
        <w:rPr>
          <w:rFonts w:ascii="Arial" w:cs="Arial" w:eastAsia="Arial" w:hAnsi="Arial"/>
          <w:sz w:val="18"/>
          <w:szCs w:val="18"/>
          <w:color w:val="auto"/>
        </w:rPr>
      </w:pPr>
    </w:p>
    <w:p>
      <w:pPr>
        <w:ind w:left="900" w:hanging="446"/>
        <w:spacing w:after="0"/>
        <w:tabs>
          <w:tab w:leader="none" w:pos="9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250,000 shares of restricted stock will vest on December 5, 2016; and</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50,000 stock options will vest on May 6, 2010 and each anniversary thereafter until the 500,000 stock options are fully vested.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Ms. Chen’s unvested awards will vest as follows:</w:t>
      </w:r>
    </w:p>
    <w:p>
      <w:pPr>
        <w:spacing w:after="0" w:line="15" w:lineRule="exact"/>
        <w:rPr>
          <w:rFonts w:ascii="Arial" w:cs="Arial" w:eastAsia="Arial" w:hAnsi="Arial"/>
          <w:sz w:val="18"/>
          <w:szCs w:val="18"/>
          <w:color w:val="auto"/>
        </w:rPr>
      </w:pPr>
    </w:p>
    <w:p>
      <w:pPr>
        <w:ind w:left="900" w:hanging="446"/>
        <w:spacing w:after="0"/>
        <w:tabs>
          <w:tab w:leader="none" w:pos="9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33,333 stock options vest on August 1, 2010;</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175,000 stock options will vest on December 5, 2016;</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30,000 stock options will vest on May 6, 2010 and each anniversary thereafter until the 300,000 stock options are fully vested; and</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100,000 shares of restricted stock will vest on July 31, 2012 and 100,000 shares of restricted stock will vest on December 5, 2016.</w:t>
      </w:r>
    </w:p>
    <w:p>
      <w:pPr>
        <w:spacing w:after="0" w:line="83" w:lineRule="exact"/>
        <w:rPr>
          <w:rFonts w:ascii="Arial" w:cs="Arial" w:eastAsia="Arial" w:hAnsi="Arial"/>
          <w:sz w:val="18"/>
          <w:szCs w:val="18"/>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Ms. Sinatra’s unvested awards will vest as follows:</w:t>
      </w:r>
    </w:p>
    <w:p>
      <w:pPr>
        <w:spacing w:after="0" w:line="15" w:lineRule="exact"/>
        <w:rPr>
          <w:rFonts w:ascii="Arial" w:cs="Arial" w:eastAsia="Arial" w:hAnsi="Arial"/>
          <w:sz w:val="18"/>
          <w:szCs w:val="18"/>
          <w:color w:val="auto"/>
        </w:rPr>
      </w:pPr>
    </w:p>
    <w:p>
      <w:pPr>
        <w:ind w:left="900" w:hanging="446"/>
        <w:spacing w:after="0"/>
        <w:tabs>
          <w:tab w:leader="none" w:pos="9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75,000 stock options will vest on December 5, 2016;</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25,000 stock options will vest on May 6, 2010 and each anniversary thereafter until the 250,000 stock options are fully vested;</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25,000 shares of restricted stock will vest on December 5, 2016; and</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25,000 shares of restricted stock will vest on July 31, 2011.</w:t>
      </w:r>
    </w:p>
    <w:p>
      <w:pPr>
        <w:spacing w:after="0" w:line="83" w:lineRule="exact"/>
        <w:rPr>
          <w:rFonts w:ascii="Arial" w:cs="Arial" w:eastAsia="Arial" w:hAnsi="Arial"/>
          <w:sz w:val="18"/>
          <w:szCs w:val="18"/>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Amounts in this column are based upon the closing price of Wynn Resorts’ stock at year-end which was $58.23 per share.</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All vesting is conditioned upon such named executive officer being an employee of Wynn Resorts on the vesting date, except as discussed below under “Potential Payments Upon Termination or Change in Control.”</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OPTION EXERCISES AND STOCK VESTED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2500" w:type="dxa"/>
            <w:vAlign w:val="bottom"/>
            <w:gridSpan w:val="5"/>
          </w:tcPr>
          <w:p>
            <w:pPr>
              <w:ind w:left="580"/>
              <w:spacing w:after="0"/>
              <w:rPr>
                <w:sz w:val="20"/>
                <w:szCs w:val="20"/>
                <w:color w:val="auto"/>
              </w:rPr>
            </w:pPr>
            <w:r>
              <w:rPr>
                <w:rFonts w:ascii="Arial" w:cs="Arial" w:eastAsia="Arial" w:hAnsi="Arial"/>
                <w:sz w:val="14"/>
                <w:szCs w:val="14"/>
                <w:b w:val="1"/>
                <w:bCs w:val="1"/>
                <w:color w:val="auto"/>
              </w:rPr>
              <w:t>Option Awards</w:t>
            </w:r>
          </w:p>
        </w:tc>
        <w:tc>
          <w:tcPr>
            <w:tcW w:w="2100" w:type="dxa"/>
            <w:vAlign w:val="bottom"/>
            <w:gridSpan w:val="5"/>
          </w:tcPr>
          <w:p>
            <w:pPr>
              <w:ind w:left="64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60" w:type="dxa"/>
            <w:vAlign w:val="bottom"/>
          </w:tcPr>
          <w:p>
            <w:pPr>
              <w:spacing w:after="0"/>
              <w:rPr>
                <w:sz w:val="11"/>
                <w:szCs w:val="11"/>
                <w:color w:val="auto"/>
              </w:rPr>
            </w:pPr>
          </w:p>
        </w:tc>
        <w:tc>
          <w:tcPr>
            <w:tcW w:w="980" w:type="dxa"/>
            <w:vAlign w:val="bottom"/>
            <w:tcBorders>
              <w:top w:val="single" w:sz="8" w:color="auto"/>
            </w:tcBorders>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1"/>
              </w:rPr>
              <w:t>Number of</w:t>
            </w:r>
          </w:p>
        </w:tc>
        <w:tc>
          <w:tcPr>
            <w:tcW w:w="2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tcBorders>
              <w:top w:val="single" w:sz="8" w:color="auto"/>
            </w:tcBorders>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8"/>
              </w:rPr>
              <w:t>Number of</w:t>
            </w:r>
          </w:p>
        </w:tc>
        <w:tc>
          <w:tcPr>
            <w:tcW w:w="2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Shares</w:t>
            </w:r>
          </w:p>
        </w:tc>
        <w:tc>
          <w:tcPr>
            <w:tcW w:w="220" w:type="dxa"/>
            <w:vAlign w:val="bottom"/>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Value</w:t>
            </w: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1"/>
              </w:rPr>
              <w:t>Shares</w:t>
            </w:r>
          </w:p>
        </w:tc>
        <w:tc>
          <w:tcPr>
            <w:tcW w:w="220" w:type="dxa"/>
            <w:vAlign w:val="bottom"/>
          </w:tcPr>
          <w:p>
            <w:pPr>
              <w:spacing w:after="0"/>
              <w:rPr>
                <w:sz w:val="12"/>
                <w:szCs w:val="12"/>
                <w:color w:val="auto"/>
              </w:rPr>
            </w:pPr>
          </w:p>
        </w:tc>
        <w:tc>
          <w:tcPr>
            <w:tcW w:w="8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Acquired on</w:t>
            </w:r>
          </w:p>
        </w:tc>
        <w:tc>
          <w:tcPr>
            <w:tcW w:w="220" w:type="dxa"/>
            <w:vAlign w:val="bottom"/>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4"/>
              </w:rPr>
              <w:t>Realized on</w:t>
            </w: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Acquired on</w:t>
            </w:r>
          </w:p>
        </w:tc>
        <w:tc>
          <w:tcPr>
            <w:tcW w:w="220" w:type="dxa"/>
            <w:vAlign w:val="bottom"/>
          </w:tcPr>
          <w:p>
            <w:pPr>
              <w:spacing w:after="0"/>
              <w:rPr>
                <w:sz w:val="12"/>
                <w:szCs w:val="12"/>
                <w:color w:val="auto"/>
              </w:rPr>
            </w:pPr>
          </w:p>
        </w:tc>
        <w:tc>
          <w:tcPr>
            <w:tcW w:w="8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Realized 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Exercise</w:t>
            </w:r>
          </w:p>
        </w:tc>
        <w:tc>
          <w:tcPr>
            <w:tcW w:w="220" w:type="dxa"/>
            <w:vAlign w:val="bottom"/>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Exercise</w:t>
            </w: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2"/>
              </w:rPr>
              <w:t>Vesting</w:t>
            </w:r>
          </w:p>
        </w:tc>
        <w:tc>
          <w:tcPr>
            <w:tcW w:w="220" w:type="dxa"/>
            <w:vAlign w:val="bottom"/>
          </w:tcPr>
          <w:p>
            <w:pPr>
              <w:spacing w:after="0"/>
              <w:rPr>
                <w:sz w:val="12"/>
                <w:szCs w:val="12"/>
                <w:color w:val="auto"/>
              </w:rPr>
            </w:pPr>
          </w:p>
        </w:tc>
        <w:tc>
          <w:tcPr>
            <w:tcW w:w="8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2"/>
              </w:rPr>
              <w:t>Vesting</w:t>
            </w:r>
          </w:p>
        </w:tc>
        <w:tc>
          <w:tcPr>
            <w:tcW w:w="0" w:type="dxa"/>
            <w:vAlign w:val="bottom"/>
          </w:tcPr>
          <w:p>
            <w:pPr>
              <w:spacing w:after="0"/>
              <w:rPr>
                <w:sz w:val="1"/>
                <w:szCs w:val="1"/>
                <w:color w:val="auto"/>
              </w:rPr>
            </w:pPr>
          </w:p>
        </w:tc>
      </w:tr>
      <w:tr>
        <w:trPr>
          <w:trHeight w:val="161"/>
        </w:trPr>
        <w:tc>
          <w:tcPr>
            <w:tcW w:w="68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080" w:type="dxa"/>
            <w:vAlign w:val="bottom"/>
            <w:gridSpan w:val="2"/>
          </w:tcPr>
          <w:p>
            <w:pPr>
              <w:jc w:val="center"/>
              <w:ind w:left="139"/>
              <w:spacing w:after="0"/>
              <w:rPr>
                <w:sz w:val="20"/>
                <w:szCs w:val="20"/>
                <w:color w:val="auto"/>
              </w:rPr>
            </w:pPr>
            <w:r>
              <w:rPr>
                <w:rFonts w:ascii="Arial" w:cs="Arial" w:eastAsia="Arial" w:hAnsi="Arial"/>
                <w:sz w:val="14"/>
                <w:szCs w:val="14"/>
                <w:b w:val="1"/>
                <w:bCs w:val="1"/>
                <w:color w:val="auto"/>
                <w:w w:val="76"/>
              </w:rPr>
              <w:t>$</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76"/>
              </w:rPr>
              <w:t>#</w:t>
            </w:r>
          </w:p>
        </w:tc>
        <w:tc>
          <w:tcPr>
            <w:tcW w:w="240" w:type="dxa"/>
            <w:vAlign w:val="bottom"/>
          </w:tcPr>
          <w:p>
            <w:pPr>
              <w:spacing w:after="0"/>
              <w:rPr>
                <w:sz w:val="14"/>
                <w:szCs w:val="14"/>
                <w:color w:val="auto"/>
              </w:rPr>
            </w:pPr>
          </w:p>
        </w:tc>
        <w:tc>
          <w:tcPr>
            <w:tcW w:w="1080" w:type="dxa"/>
            <w:vAlign w:val="bottom"/>
            <w:gridSpan w:val="2"/>
          </w:tcPr>
          <w:p>
            <w:pPr>
              <w:jc w:val="right"/>
              <w:ind w:right="321"/>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N/A</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3"/>
              </w:rPr>
              <w:t>N/A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Matt Maddox</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12,500</w:t>
            </w:r>
          </w:p>
        </w:tc>
        <w:tc>
          <w:tcPr>
            <w:tcW w:w="1080" w:type="dxa"/>
            <w:vAlign w:val="bottom"/>
            <w:gridSpan w:val="2"/>
          </w:tcPr>
          <w:p>
            <w:pPr>
              <w:jc w:val="center"/>
              <w:ind w:left="139"/>
              <w:spacing w:after="0"/>
              <w:rPr>
                <w:sz w:val="20"/>
                <w:szCs w:val="20"/>
                <w:color w:val="auto"/>
              </w:rPr>
            </w:pPr>
            <w:r>
              <w:rPr>
                <w:rFonts w:ascii="Arial" w:cs="Arial" w:eastAsia="Arial" w:hAnsi="Arial"/>
                <w:sz w:val="18"/>
                <w:szCs w:val="18"/>
                <w:color w:val="auto"/>
              </w:rPr>
              <w:t>$  658,313</w:t>
            </w:r>
          </w:p>
        </w:tc>
        <w:tc>
          <w:tcPr>
            <w:tcW w:w="4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8"/>
                <w:szCs w:val="18"/>
                <w:color w:val="auto"/>
              </w:rPr>
            </w:pPr>
          </w:p>
        </w:tc>
        <w:tc>
          <w:tcPr>
            <w:tcW w:w="860" w:type="dxa"/>
            <w:vAlign w:val="bottom"/>
          </w:tcPr>
          <w:p>
            <w:pPr>
              <w:ind w:left="56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D. Schorr</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N/A</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$ 1,544,750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Linda Chen</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8"/>
                <w:szCs w:val="18"/>
                <w:color w:val="auto"/>
              </w:rPr>
            </w:pPr>
          </w:p>
        </w:tc>
        <w:tc>
          <w:tcPr>
            <w:tcW w:w="1300" w:type="dxa"/>
            <w:vAlign w:val="bottom"/>
            <w:gridSpan w:val="2"/>
          </w:tcPr>
          <w:p>
            <w:pPr>
              <w:ind w:left="560"/>
              <w:spacing w:after="0"/>
              <w:rPr>
                <w:sz w:val="20"/>
                <w:szCs w:val="20"/>
                <w:color w:val="auto"/>
              </w:rPr>
            </w:pPr>
            <w:r>
              <w:rPr>
                <w:rFonts w:ascii="Arial" w:cs="Arial" w:eastAsia="Arial" w:hAnsi="Arial"/>
                <w:sz w:val="18"/>
                <w:szCs w:val="18"/>
                <w:color w:val="auto"/>
              </w:rPr>
              <w:t>N/A</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8"/>
                <w:szCs w:val="18"/>
                <w:color w:val="auto"/>
              </w:rPr>
            </w:pPr>
          </w:p>
        </w:tc>
        <w:tc>
          <w:tcPr>
            <w:tcW w:w="860" w:type="dxa"/>
            <w:vAlign w:val="bottom"/>
          </w:tcPr>
          <w:p>
            <w:pPr>
              <w:ind w:left="56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Kim Sinatra</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35,000</w:t>
            </w:r>
          </w:p>
        </w:tc>
        <w:tc>
          <w:tcPr>
            <w:tcW w:w="1080" w:type="dxa"/>
            <w:vAlign w:val="bottom"/>
            <w:gridSpan w:val="2"/>
            <w:shd w:val="clear" w:color="auto" w:fill="CCEEFF"/>
          </w:tcPr>
          <w:p>
            <w:pPr>
              <w:jc w:val="center"/>
              <w:ind w:left="139"/>
              <w:spacing w:after="0"/>
              <w:rPr>
                <w:sz w:val="20"/>
                <w:szCs w:val="20"/>
                <w:color w:val="auto"/>
              </w:rPr>
            </w:pPr>
            <w:r>
              <w:rPr>
                <w:rFonts w:ascii="Arial" w:cs="Arial" w:eastAsia="Arial" w:hAnsi="Arial"/>
                <w:sz w:val="18"/>
                <w:szCs w:val="18"/>
                <w:color w:val="auto"/>
                <w:w w:val="90"/>
              </w:rPr>
              <w:t>$ 1,034,250</w:t>
            </w: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The amounts reported in the table above are based on the closing price of Wynn Resorts’ common stock on the date the stock award vested or the stock options were exercised. Upon vesting of the stock awards, the executive also was paid an amount equal to the dividends that had accrued on the shares prior to their vesting.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0" w:firstLine="2593"/>
        <w:spacing w:after="0" w:line="394" w:lineRule="auto"/>
        <w:rPr>
          <w:sz w:val="20"/>
          <w:szCs w:val="20"/>
          <w:color w:val="auto"/>
        </w:rPr>
      </w:pPr>
      <w:r>
        <w:rPr>
          <w:rFonts w:ascii="Arial" w:cs="Arial" w:eastAsia="Arial" w:hAnsi="Arial"/>
          <w:sz w:val="18"/>
          <w:szCs w:val="18"/>
          <w:b w:val="1"/>
          <w:bCs w:val="1"/>
          <w:color w:val="auto"/>
        </w:rPr>
        <w:t>POTENTIAL PAYMENTS UPON TERMINATION OR CHANGE-IN-CONTROL Payments Made Upon Termination Due to Death, Complete Disability or License Revocation</w:t>
      </w:r>
    </w:p>
    <w:p>
      <w:pPr>
        <w:spacing w:after="0" w:line="2"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Wynn Resorts’ employment agreements with its named executive officers provide that such agreements terminate automatically upon death or complete disability of the employee, as well as upon failure of the employee to obtain or maintain required gaming licenses. Upon such termination, the employee is entitled to a lump sum payment of accrued and unpaid base salary and accrued and unpaid vacation through the termination date.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Made Upon Termination Without Cause at Employer’s Election During the Term</w:t>
      </w:r>
    </w:p>
    <w:p>
      <w:pPr>
        <w:spacing w:after="0" w:line="96" w:lineRule="exact"/>
        <w:rPr>
          <w:sz w:val="20"/>
          <w:szCs w:val="20"/>
          <w:color w:val="auto"/>
        </w:rPr>
      </w:pPr>
    </w:p>
    <w:p>
      <w:pPr>
        <w:ind w:right="100" w:firstLine="456"/>
        <w:spacing w:after="0" w:line="284" w:lineRule="auto"/>
        <w:rPr>
          <w:sz w:val="20"/>
          <w:szCs w:val="20"/>
          <w:color w:val="auto"/>
        </w:rPr>
      </w:pPr>
      <w:r>
        <w:rPr>
          <w:rFonts w:ascii="Arial" w:cs="Arial" w:eastAsia="Arial" w:hAnsi="Arial"/>
          <w:sz w:val="16"/>
          <w:szCs w:val="16"/>
          <w:color w:val="auto"/>
        </w:rPr>
        <w:t>Wynn Resorts’ employment agreements with its named executive officers provide that such agreements are terminable by Wynn Resorts without cause upon notice to the employee, so long as a “separation payment” is paid as provided for in such contracts. Cause is defined as (i) willful destruction of property of Wynn Resorts or an affiliate having a material value to Wynn Resorts or such affiliate; (ii) fraud, embezzlement, theft, or comparable dishonest activity;</w:t>
      </w:r>
    </w:p>
    <w:p>
      <w:pPr>
        <w:spacing w:after="0" w:line="1" w:lineRule="exact"/>
        <w:rPr>
          <w:sz w:val="20"/>
          <w:szCs w:val="20"/>
          <w:color w:val="auto"/>
        </w:rPr>
      </w:pPr>
    </w:p>
    <w:p>
      <w:pPr>
        <w:ind w:right="20" w:firstLine="8"/>
        <w:spacing w:after="0" w:line="252" w:lineRule="auto"/>
        <w:tabs>
          <w:tab w:leader="none" w:pos="307"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conviction of or entering a plea of guilty or nolo contendere to any crime constituting a felony or any misdemeanor involving fraud, dishonesty or moral turpitude; (iv) breach, neglect, refusal, or failure to materially discharge duties (other than due to physical or mental illness) commensurate with title and function, or failure to comply with the lawful directions of Wynn Resorts, that is not cured within 15 days after written notice thereof; (v) willful and knowing material misrepresentation to Wynn Resorts’ or an affiliate’s board of directors; (vi) willful violation of a material policy of Wynn Resorts or an affiliate, which does or could result in material harm to Wynn Resorts or to Wynn Resorts’ reputation; or (vii) material violation of a statutory or common law duty of loyalty or fiduciary duty to Wynn Resorts or an affiliate.</w:t>
      </w:r>
    </w:p>
    <w:p>
      <w:pPr>
        <w:spacing w:after="0" w:line="14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“separation payment” consists of a multiple (ranging from one to, in the case of Mr. Wynn, three times) of the sum of (a) base salary through the end of the term of the agreement, but not less than 12 months (and in Mr. Wynn’s case, not more than 4 years); (b) bonus for all bonus periods based upon last bonus paid pursuant to the employment agreement through the end of the term (and in Mr. Wynn’s case, this is limited to a maximum of 4 years); and (c) a tax gross up in certain circumstances. In addition, the employee is entitled to health benefits coverage under the same plan or arrangement as the employee was covered immediately prior to termination. Health benefits are to be provided until the earlier of the remainder of the original term, or until the employee is covered by a plan of another employer. In addition, some of the stock option agreements and restricted stock agreements held by the named executive officers provide that unvested options and shares will vest upon termination without cause.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Made Upon Termination by Employee after Change in Control for Good Reason</w:t>
      </w:r>
    </w:p>
    <w:p>
      <w:pPr>
        <w:spacing w:after="0" w:line="9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Wynn Resorts’ employment agreements with its named executive officers provide that such agreements are terminable by the employee for good reason after a change in control. A change in control is defined as (a) any person or group (other than Mr. Wynn and his affiliates) becomes the beneficial owner of more than 50% of Wynn Resorts’ outstanding securities; or (b) the existing directors of Wynn Resorts (including those elected in the normal course and not including those elected as a result of an actual or threatened election contest) cease to constitute a majority of the Board of Directors of Wynn Resorts. Good reason is defined as: (i) reduction of employee’s base salary; (ii) discontinuation of employer’s bonus plan without immediately replacing such bonus plan with a plan that is the substantial economic equivalent of such bonus plan, or amends such bonus plan so as to materially reduce employee’s potential bonus at any given level of economic performance of employer or its successor entity; (iii) material reduction in the aggregate benefits and perquisites to employee; (iv) requirement that such employee change the location of his or her job or office by a distance of more than 25 miles; (v) reduction of responsibilities or required reporting to a person of lower rank or responsibilities; or (vi) a successor’s failure to expressly assume in writing the employment agreement. Upon termination by the employee pursuant to this provision, the employee is entitled to the same amounts described under “Payments Made Upon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Termination Without Cause at Employer’s Election During the Term” above. In addition, if an executive’s termination is deemed to occur in connection with a change in control under the Tax Code, certain executives are entitled to a tax gross up on the excise tax if the executive’s benefits trigger an excise tax. Pursuant to the terms of the applicable stock option agreements and restricted stock grant agreements, some or all of the unvested options and restricted stock held by the named executive officers would immediately vest upon termination by Wynn Resorts without cause or upon termination by the employee for good reason after a change in control.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Made Upon Termination</w:t>
      </w:r>
    </w:p>
    <w:p>
      <w:pPr>
        <w:spacing w:after="0" w:line="9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tables below reflect the amount of compensation that would become payable to each of the named executive officers under existing agreements and arrangements if the named executive’s employment had terminated on December 31, 2009 given the named executive’s compensation as of such date and, if applicable, based on Wynn Resorts’ closing stock price on that date. These benefits are in addition to benefits available prior to the occurrence of any termination of employment, including under then-exercisable stock options, and benefits generally available to all salaried employees, such as distributions under Wynn Resorts’s 401(k) plan. In addition, in connection with any actual termination of employment, the Compensation Committee may determine to enter into an agreement or to establish an arrangement providing additional benefits or amounts, or altering the terms of benefits described below, as the Committee determines appropriate.</w:t>
      </w:r>
    </w:p>
    <w:p>
      <w:pPr>
        <w:spacing w:after="0" w:line="14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actual amounts that would be paid upon a named executive officer’s termination of employment can only be determined at the time of such executive’s separation from Wynn Resorts. Due to the number of factors that affect the nature and amount of any benefits provided upon the events discussed below, any actual amounts paid or distributed may be higher or lower than reported below. Factors that could affect these amounts include the timing during the year of any such event and Wynn Resorts’ stock price.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Stephen A. Wynn</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the case of Mr. Wynn, the payments to be made upon “Termination Without Cause at Employer’s Election During the Term” and “Termination by Employee for Good Reason After Change in Control for Good Reason” is three times the salary that would be payable during the remaining term of the contract with a limit of 4 years.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Termination</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Termination</w:t>
            </w:r>
          </w:p>
        </w:tc>
      </w:tr>
      <w:tr>
        <w:trPr>
          <w:trHeight w:val="149"/>
        </w:trPr>
        <w:tc>
          <w:tcPr>
            <w:tcW w:w="7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without Cause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by Employee</w:t>
            </w:r>
          </w:p>
        </w:tc>
      </w:tr>
      <w:tr>
        <w:trPr>
          <w:trHeight w:val="149"/>
        </w:trPr>
        <w:tc>
          <w:tcPr>
            <w:tcW w:w="7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at Employer’s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for Good</w:t>
            </w:r>
          </w:p>
        </w:tc>
      </w:tr>
      <w:tr>
        <w:trPr>
          <w:trHeight w:val="149"/>
        </w:trPr>
        <w:tc>
          <w:tcPr>
            <w:tcW w:w="7400" w:type="dxa"/>
            <w:vAlign w:val="bottom"/>
          </w:tcPr>
          <w:p>
            <w:pPr>
              <w:spacing w:after="0"/>
              <w:rPr>
                <w:sz w:val="12"/>
                <w:szCs w:val="12"/>
                <w:color w:val="auto"/>
              </w:rPr>
            </w:pPr>
          </w:p>
        </w:tc>
        <w:tc>
          <w:tcPr>
            <w:tcW w:w="162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Termination Upon</w:t>
            </w:r>
          </w:p>
        </w:tc>
        <w:tc>
          <w:tcPr>
            <w:tcW w:w="12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Election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Reason After</w:t>
            </w:r>
          </w:p>
        </w:tc>
      </w:tr>
      <w:tr>
        <w:trPr>
          <w:trHeight w:val="149"/>
        </w:trPr>
        <w:tc>
          <w:tcPr>
            <w:tcW w:w="7400" w:type="dxa"/>
            <w:vAlign w:val="bottom"/>
          </w:tcPr>
          <w:p>
            <w:pPr>
              <w:spacing w:after="0"/>
              <w:rPr>
                <w:sz w:val="12"/>
                <w:szCs w:val="12"/>
                <w:color w:val="auto"/>
              </w:rPr>
            </w:pPr>
          </w:p>
        </w:tc>
        <w:tc>
          <w:tcPr>
            <w:tcW w:w="162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Death or Complete</w:t>
            </w:r>
          </w:p>
        </w:tc>
        <w:tc>
          <w:tcPr>
            <w:tcW w:w="12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During the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Change in</w:t>
            </w:r>
          </w:p>
        </w:tc>
      </w:tr>
      <w:tr>
        <w:trPr>
          <w:trHeight w:val="161"/>
        </w:trPr>
        <w:tc>
          <w:tcPr>
            <w:tcW w:w="7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0"/>
              </w:rPr>
              <w:t>Disability(2)</w:t>
            </w: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9"/>
              </w:rPr>
              <w:t>Term(2)</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9"/>
              </w:rPr>
              <w:t>Control(2)</w:t>
            </w:r>
          </w:p>
        </w:tc>
        <w:tc>
          <w:tcPr>
            <w:tcW w:w="20" w:type="dxa"/>
            <w:vAlign w:val="bottom"/>
          </w:tcPr>
          <w:p>
            <w:pPr>
              <w:spacing w:after="0"/>
              <w:rPr>
                <w:sz w:val="14"/>
                <w:szCs w:val="14"/>
                <w:color w:val="auto"/>
              </w:rPr>
            </w:pPr>
          </w:p>
        </w:tc>
      </w:tr>
      <w:tr>
        <w:trPr>
          <w:trHeight w:val="210"/>
        </w:trPr>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Base Salary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11,050,000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33,150,000</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33,150,000</w:t>
            </w:r>
          </w:p>
        </w:tc>
        <w:tc>
          <w:tcPr>
            <w:tcW w:w="20" w:type="dxa"/>
            <w:vAlign w:val="bottom"/>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b w:val="1"/>
                <w:bCs w:val="1"/>
                <w:color w:val="auto"/>
              </w:rPr>
              <w:t>Bonus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20,312,500</w:t>
            </w:r>
          </w:p>
        </w:tc>
        <w:tc>
          <w:tcPr>
            <w:tcW w:w="4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52,812,500</w:t>
            </w:r>
          </w:p>
        </w:tc>
        <w:tc>
          <w:tcPr>
            <w:tcW w:w="24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52,812,500</w:t>
            </w:r>
          </w:p>
        </w:tc>
        <w:tc>
          <w:tcPr>
            <w:tcW w:w="2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Options/Restricted Stock</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b w:val="1"/>
                <w:bCs w:val="1"/>
                <w:color w:val="auto"/>
              </w:rPr>
              <w:t>Company Paid Life Insurance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2,000,000</w:t>
            </w:r>
          </w:p>
        </w:tc>
        <w:tc>
          <w:tcPr>
            <w:tcW w:w="4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Gross Up</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33,912,649</w:t>
            </w:r>
          </w:p>
        </w:tc>
        <w:tc>
          <w:tcPr>
            <w:tcW w:w="20" w:type="dxa"/>
            <w:vAlign w:val="bottom"/>
          </w:tcPr>
          <w:p>
            <w:pPr>
              <w:spacing w:after="0"/>
              <w:rPr>
                <w:sz w:val="18"/>
                <w:szCs w:val="18"/>
                <w:color w:val="auto"/>
              </w:rPr>
            </w:pPr>
          </w:p>
        </w:tc>
      </w:tr>
      <w:tr>
        <w:trPr>
          <w:trHeight w:val="228"/>
        </w:trPr>
        <w:tc>
          <w:tcPr>
            <w:tcW w:w="7400" w:type="dxa"/>
            <w:vAlign w:val="bottom"/>
          </w:tcPr>
          <w:p>
            <w:pPr>
              <w:spacing w:after="0"/>
              <w:rPr>
                <w:sz w:val="20"/>
                <w:szCs w:val="20"/>
                <w:color w:val="auto"/>
              </w:rPr>
            </w:pPr>
            <w:r>
              <w:rPr>
                <w:rFonts w:ascii="Arial" w:cs="Arial" w:eastAsia="Arial" w:hAnsi="Arial"/>
                <w:sz w:val="18"/>
                <w:szCs w:val="18"/>
                <w:b w:val="1"/>
                <w:bCs w:val="1"/>
                <w:color w:val="auto"/>
              </w:rPr>
              <w:t>Benefits(1)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377,655</w:t>
            </w:r>
          </w:p>
        </w:tc>
        <w:tc>
          <w:tcPr>
            <w:tcW w:w="4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377,655</w:t>
            </w:r>
          </w:p>
        </w:tc>
        <w:tc>
          <w:tcPr>
            <w:tcW w:w="24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551,091</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right="200" w:hanging="452"/>
        <w:spacing w:after="0" w:line="254"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Continued health benefits for remainder of the term or until covered by another plan. Amounts shown reflect an estimated cost including tax equalization for providing such benefits through the remainder of the term.</w:t>
      </w: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Bonus amount includes annual bonus for the 2009 bonus period, paid in 2010.</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Matt Maddox</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Termination</w:t>
            </w:r>
          </w:p>
        </w:tc>
        <w:tc>
          <w:tcPr>
            <w:tcW w:w="640" w:type="dxa"/>
            <w:vAlign w:val="bottom"/>
          </w:tcPr>
          <w:p>
            <w:pPr>
              <w:spacing w:after="0"/>
              <w:rPr>
                <w:sz w:val="14"/>
                <w:szCs w:val="14"/>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Termination</w:t>
            </w: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without Cause</w:t>
            </w:r>
          </w:p>
        </w:tc>
        <w:tc>
          <w:tcPr>
            <w:tcW w:w="640" w:type="dxa"/>
            <w:vAlign w:val="bottom"/>
          </w:tcPr>
          <w:p>
            <w:pPr>
              <w:spacing w:after="0"/>
              <w:rPr>
                <w:sz w:val="12"/>
                <w:szCs w:val="12"/>
                <w:color w:val="auto"/>
              </w:rPr>
            </w:pPr>
          </w:p>
        </w:tc>
        <w:tc>
          <w:tcPr>
            <w:tcW w:w="8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by Employee</w:t>
            </w: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7"/>
              </w:rPr>
              <w:t>at Employer’s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for Good</w:t>
            </w: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Termination Upon</w:t>
            </w:r>
          </w:p>
        </w:tc>
        <w:tc>
          <w:tcPr>
            <w:tcW w:w="100" w:type="dxa"/>
            <w:vAlign w:val="bottom"/>
          </w:tcPr>
          <w:p>
            <w:pPr>
              <w:spacing w:after="0"/>
              <w:rPr>
                <w:sz w:val="12"/>
                <w:szCs w:val="12"/>
                <w:color w:val="auto"/>
              </w:rPr>
            </w:pPr>
          </w:p>
        </w:tc>
        <w:tc>
          <w:tcPr>
            <w:tcW w:w="74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8"/>
              </w:rPr>
              <w:t>Election</w:t>
            </w:r>
          </w:p>
        </w:tc>
        <w:tc>
          <w:tcPr>
            <w:tcW w:w="640" w:type="dxa"/>
            <w:vAlign w:val="bottom"/>
          </w:tcPr>
          <w:p>
            <w:pPr>
              <w:spacing w:after="0"/>
              <w:rPr>
                <w:sz w:val="12"/>
                <w:szCs w:val="12"/>
                <w:color w:val="auto"/>
              </w:rPr>
            </w:pP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9"/>
              </w:rPr>
              <w:t>Reason After</w:t>
            </w: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Death or Complete</w:t>
            </w:r>
          </w:p>
        </w:tc>
        <w:tc>
          <w:tcPr>
            <w:tcW w:w="100" w:type="dxa"/>
            <w:vAlign w:val="bottom"/>
          </w:tcPr>
          <w:p>
            <w:pPr>
              <w:spacing w:after="0"/>
              <w:rPr>
                <w:sz w:val="12"/>
                <w:szCs w:val="12"/>
                <w:color w:val="auto"/>
              </w:rPr>
            </w:pPr>
          </w:p>
        </w:tc>
        <w:tc>
          <w:tcPr>
            <w:tcW w:w="74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88"/>
              </w:rPr>
              <w:t>During the</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Change in</w:t>
            </w:r>
          </w:p>
        </w:tc>
      </w:tr>
      <w:tr>
        <w:trPr>
          <w:trHeight w:val="161"/>
        </w:trPr>
        <w:tc>
          <w:tcPr>
            <w:tcW w:w="7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Disability</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3"/>
              </w:rPr>
              <w:t>Term(6)</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Control(6)</w:t>
            </w:r>
          </w:p>
        </w:tc>
        <w:tc>
          <w:tcPr>
            <w:tcW w:w="20" w:type="dxa"/>
            <w:vAlign w:val="bottom"/>
          </w:tcPr>
          <w:p>
            <w:pPr>
              <w:spacing w:after="0"/>
              <w:rPr>
                <w:sz w:val="14"/>
                <w:szCs w:val="14"/>
                <w:color w:val="auto"/>
              </w:rPr>
            </w:pPr>
          </w:p>
        </w:tc>
      </w:tr>
      <w:tr>
        <w:trPr>
          <w:trHeight w:val="201"/>
        </w:trPr>
        <w:tc>
          <w:tcPr>
            <w:tcW w:w="70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Base Salary</w:t>
            </w:r>
          </w:p>
        </w:tc>
        <w:tc>
          <w:tcPr>
            <w:tcW w:w="10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jc w:val="right"/>
              <w:ind w:right="660"/>
              <w:spacing w:after="0" w:line="201" w:lineRule="exact"/>
              <w:rPr>
                <w:sz w:val="20"/>
                <w:szCs w:val="20"/>
                <w:color w:val="auto"/>
              </w:rPr>
            </w:pPr>
            <w:r>
              <w:rPr>
                <w:rFonts w:ascii="Arial" w:cs="Arial" w:eastAsia="Arial" w:hAnsi="Arial"/>
                <w:sz w:val="18"/>
                <w:szCs w:val="18"/>
                <w:color w:val="auto"/>
                <w:w w:val="85"/>
              </w:rPr>
              <w:t>Amount earned and</w:t>
            </w:r>
          </w:p>
        </w:tc>
        <w:tc>
          <w:tcPr>
            <w:tcW w:w="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9"/>
              </w:rPr>
              <w:t>3,916,667</w:t>
            </w:r>
          </w:p>
        </w:tc>
        <w:tc>
          <w:tcPr>
            <w:tcW w:w="740" w:type="dxa"/>
            <w:vAlign w:val="bottom"/>
            <w:gridSpan w:val="2"/>
            <w:shd w:val="clear" w:color="auto" w:fill="CCEEFF"/>
          </w:tcPr>
          <w:p>
            <w:pPr>
              <w:ind w:left="640"/>
              <w:spacing w:after="0" w:line="201"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4"/>
              </w:rPr>
              <w:t>3,916,667</w:t>
            </w:r>
          </w:p>
        </w:tc>
        <w:tc>
          <w:tcPr>
            <w:tcW w:w="20" w:type="dxa"/>
            <w:vAlign w:val="bottom"/>
          </w:tcPr>
          <w:p>
            <w:pPr>
              <w:spacing w:after="0"/>
              <w:rPr>
                <w:sz w:val="17"/>
                <w:szCs w:val="17"/>
                <w:color w:val="auto"/>
              </w:rPr>
            </w:pPr>
          </w:p>
        </w:tc>
      </w:tr>
      <w:tr>
        <w:trPr>
          <w:trHeight w:val="216"/>
        </w:trPr>
        <w:tc>
          <w:tcPr>
            <w:tcW w:w="7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0"/>
              </w:rPr>
              <w:t>unpaid through the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7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8"/>
              </w:rPr>
              <w:t>date of termination.</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b w:val="1"/>
                <w:bCs w:val="1"/>
                <w:color w:val="auto"/>
              </w:rPr>
              <w:t>Bonus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tcPr>
          <w:p>
            <w:pPr>
              <w:jc w:val="right"/>
              <w:ind w:right="660"/>
              <w:spacing w:after="0"/>
              <w:rPr>
                <w:sz w:val="20"/>
                <w:szCs w:val="20"/>
                <w:color w:val="auto"/>
              </w:rPr>
            </w:pPr>
            <w:r>
              <w:rPr>
                <w:rFonts w:ascii="Arial" w:cs="Arial" w:eastAsia="Arial" w:hAnsi="Arial"/>
                <w:sz w:val="18"/>
                <w:szCs w:val="18"/>
                <w:color w:val="auto"/>
              </w:rPr>
              <w:t>650,000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3,195,833</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3,195,833</w:t>
            </w:r>
          </w:p>
        </w:tc>
        <w:tc>
          <w:tcPr>
            <w:tcW w:w="2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Options/Restricted Stock(1)(2)(3)(4)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6,563,669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932,186</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3,111,500</w:t>
            </w:r>
          </w:p>
        </w:tc>
        <w:tc>
          <w:tcPr>
            <w:tcW w:w="20" w:type="dxa"/>
            <w:vAlign w:val="bottom"/>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b w:val="1"/>
                <w:bCs w:val="1"/>
                <w:color w:val="auto"/>
              </w:rPr>
              <w:t>Company Paid Life Insurance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tcPr>
          <w:p>
            <w:pPr>
              <w:jc w:val="right"/>
              <w:ind w:right="660"/>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Gross Up</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3,116,652</w:t>
            </w:r>
          </w:p>
        </w:tc>
        <w:tc>
          <w:tcPr>
            <w:tcW w:w="20" w:type="dxa"/>
            <w:vAlign w:val="bottom"/>
          </w:tcPr>
          <w:p>
            <w:pPr>
              <w:spacing w:after="0"/>
              <w:rPr>
                <w:sz w:val="18"/>
                <w:szCs w:val="18"/>
                <w:color w:val="auto"/>
              </w:rPr>
            </w:pPr>
          </w:p>
        </w:tc>
      </w:tr>
      <w:tr>
        <w:trPr>
          <w:trHeight w:val="228"/>
        </w:trPr>
        <w:tc>
          <w:tcPr>
            <w:tcW w:w="7000" w:type="dxa"/>
            <w:vAlign w:val="bottom"/>
          </w:tcPr>
          <w:p>
            <w:pPr>
              <w:spacing w:after="0"/>
              <w:rPr>
                <w:sz w:val="20"/>
                <w:szCs w:val="20"/>
                <w:color w:val="auto"/>
              </w:rPr>
            </w:pPr>
            <w:r>
              <w:rPr>
                <w:rFonts w:ascii="Arial" w:cs="Arial" w:eastAsia="Arial" w:hAnsi="Arial"/>
                <w:sz w:val="18"/>
                <w:szCs w:val="18"/>
                <w:b w:val="1"/>
                <w:bCs w:val="1"/>
                <w:color w:val="auto"/>
              </w:rPr>
              <w:t>Benefits(5)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tcPr>
          <w:p>
            <w:pPr>
              <w:jc w:val="right"/>
              <w:ind w:right="66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367,788</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539,610</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right="120" w:hanging="452"/>
        <w:spacing w:after="0" w:line="252"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Upon death, complete disability or change of control, unvested stock options of 175,000 would vest in full immediately. Upon termination without cause, 175,000 stock options would vest on a pro-rated basis based on the number of months since the grant date, so long as the employee’s employment agreement with Wynn Resorts has not terminated or expired. Using the closing price on December 31, 2009, the value of such stock options upon exercise would have been $0.</w:t>
      </w:r>
    </w:p>
    <w:p>
      <w:pPr>
        <w:spacing w:after="0" w:line="1" w:lineRule="exact"/>
        <w:rPr>
          <w:rFonts w:ascii="Arial" w:cs="Arial" w:eastAsia="Arial" w:hAnsi="Arial"/>
          <w:sz w:val="18"/>
          <w:szCs w:val="18"/>
          <w:color w:val="auto"/>
        </w:rPr>
      </w:pPr>
    </w:p>
    <w:p>
      <w:pPr>
        <w:ind w:left="460" w:right="260" w:hanging="452"/>
        <w:spacing w:after="0" w:line="250"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Upon death or complete disability, unvested stock options of 316,667 would vest in full immediately. Using the closing price on December 31, 2009, the value of such stock options upon exercise would have been $3,452,169.</w:t>
      </w:r>
    </w:p>
    <w:p>
      <w:pPr>
        <w:ind w:left="460" w:right="180" w:hanging="452"/>
        <w:spacing w:after="0" w:line="250"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Upon death, complete disability or change of control, 50,000 shares of restricted stock would vest in full immediately so long as the employee’s employment agreement with Wynn Resorts has not terminated or expired. Using the closing price on December 31, 2009, the value of such 50,000 shares would have been $2,911,500 plus accrued dividends of $200,000.</w:t>
      </w:r>
    </w:p>
    <w:p>
      <w:pPr>
        <w:spacing w:after="0" w:line="1" w:lineRule="exact"/>
        <w:rPr>
          <w:rFonts w:ascii="Arial" w:cs="Arial" w:eastAsia="Arial" w:hAnsi="Arial"/>
          <w:sz w:val="18"/>
          <w:szCs w:val="18"/>
          <w:color w:val="auto"/>
        </w:rPr>
      </w:pPr>
    </w:p>
    <w:p>
      <w:pPr>
        <w:ind w:left="460" w:right="140" w:hanging="452"/>
        <w:spacing w:after="0" w:line="281" w:lineRule="auto"/>
        <w:tabs>
          <w:tab w:leader="none" w:pos="4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Upon termination without cause 50,000 shares of restricted stock would vest on a pro-rated basis based on the number of months since the grant date so long as the employee’s employment agreement with Wynn Resorts has not terminated or expired, and another 10,000 shares of restricted stock would vest pro-rated based on the number of months since the grant date regardless of the status of the employee’s employment contract. Using the closing price on December 31, 2009, the value of such 14,482 shares would have been $843,253, plus accrued dividends of $88,933.</w:t>
      </w:r>
    </w:p>
    <w:p>
      <w:pPr>
        <w:spacing w:after="0" w:line="2" w:lineRule="exact"/>
        <w:rPr>
          <w:rFonts w:ascii="Arial" w:cs="Arial" w:eastAsia="Arial" w:hAnsi="Arial"/>
          <w:sz w:val="16"/>
          <w:szCs w:val="16"/>
          <w:color w:val="auto"/>
        </w:rPr>
      </w:pPr>
    </w:p>
    <w:p>
      <w:pPr>
        <w:ind w:left="460" w:right="220" w:hanging="452"/>
        <w:spacing w:after="0" w:line="250"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Continued health benefits for remainder of term or until covered by another plan. Amounts shown reflect an estimated cost including tax equalization for providing such benefits through the remainder of the term.</w:t>
      </w: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Bonus amount includes annual bonus for the 2009 bonus period, paid in 2010.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Marc D. Schorr</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Termination</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Termination</w:t>
            </w:r>
          </w:p>
        </w:tc>
      </w:tr>
      <w:tr>
        <w:trPr>
          <w:trHeight w:val="149"/>
        </w:trPr>
        <w:tc>
          <w:tcPr>
            <w:tcW w:w="43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3"/>
              </w:rPr>
              <w:t>without Cause</w:t>
            </w:r>
          </w:p>
        </w:tc>
        <w:tc>
          <w:tcPr>
            <w:tcW w:w="660" w:type="dxa"/>
            <w:vAlign w:val="bottom"/>
          </w:tcPr>
          <w:p>
            <w:pPr>
              <w:spacing w:after="0"/>
              <w:rPr>
                <w:sz w:val="12"/>
                <w:szCs w:val="12"/>
                <w:color w:val="auto"/>
              </w:rPr>
            </w:pPr>
          </w:p>
        </w:tc>
        <w:tc>
          <w:tcPr>
            <w:tcW w:w="9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by Employee</w:t>
            </w:r>
          </w:p>
        </w:tc>
      </w:tr>
      <w:tr>
        <w:trPr>
          <w:trHeight w:val="149"/>
        </w:trPr>
        <w:tc>
          <w:tcPr>
            <w:tcW w:w="43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7"/>
              </w:rPr>
              <w:t>at Employer’s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for Good</w:t>
            </w:r>
          </w:p>
        </w:tc>
      </w:tr>
      <w:tr>
        <w:trPr>
          <w:trHeight w:val="149"/>
        </w:trPr>
        <w:tc>
          <w:tcPr>
            <w:tcW w:w="43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Termination Upon</w:t>
            </w:r>
          </w:p>
        </w:tc>
        <w:tc>
          <w:tcPr>
            <w:tcW w:w="1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Election</w:t>
            </w:r>
          </w:p>
        </w:tc>
        <w:tc>
          <w:tcPr>
            <w:tcW w:w="660" w:type="dxa"/>
            <w:vAlign w:val="bottom"/>
          </w:tcPr>
          <w:p>
            <w:pPr>
              <w:spacing w:after="0"/>
              <w:rPr>
                <w:sz w:val="12"/>
                <w:szCs w:val="12"/>
                <w:color w:val="auto"/>
              </w:rPr>
            </w:pPr>
          </w:p>
        </w:tc>
        <w:tc>
          <w:tcPr>
            <w:tcW w:w="9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Reason After</w:t>
            </w:r>
          </w:p>
        </w:tc>
      </w:tr>
      <w:tr>
        <w:trPr>
          <w:trHeight w:val="149"/>
        </w:trPr>
        <w:tc>
          <w:tcPr>
            <w:tcW w:w="43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Death or Complete</w:t>
            </w:r>
          </w:p>
        </w:tc>
        <w:tc>
          <w:tcPr>
            <w:tcW w:w="1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During the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Change in</w:t>
            </w:r>
          </w:p>
        </w:tc>
      </w:tr>
      <w:tr>
        <w:trPr>
          <w:trHeight w:val="161"/>
        </w:trPr>
        <w:tc>
          <w:tcPr>
            <w:tcW w:w="43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Disability</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Term(5)</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Control(5)</w:t>
            </w:r>
          </w:p>
        </w:tc>
        <w:tc>
          <w:tcPr>
            <w:tcW w:w="20" w:type="dxa"/>
            <w:vAlign w:val="bottom"/>
          </w:tcPr>
          <w:p>
            <w:pPr>
              <w:spacing w:after="0"/>
              <w:rPr>
                <w:sz w:val="14"/>
                <w:szCs w:val="14"/>
                <w:color w:val="auto"/>
              </w:rPr>
            </w:pPr>
          </w:p>
        </w:tc>
      </w:tr>
      <w:tr>
        <w:trPr>
          <w:trHeight w:val="201"/>
        </w:trPr>
        <w:tc>
          <w:tcPr>
            <w:tcW w:w="43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Base Salary</w:t>
            </w:r>
          </w:p>
        </w:tc>
        <w:tc>
          <w:tcPr>
            <w:tcW w:w="2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jc w:val="right"/>
              <w:ind w:right="660"/>
              <w:spacing w:after="0" w:line="201" w:lineRule="exact"/>
              <w:rPr>
                <w:sz w:val="20"/>
                <w:szCs w:val="20"/>
                <w:color w:val="auto"/>
              </w:rPr>
            </w:pPr>
            <w:r>
              <w:rPr>
                <w:rFonts w:ascii="Arial" w:cs="Arial" w:eastAsia="Arial" w:hAnsi="Arial"/>
                <w:sz w:val="18"/>
                <w:szCs w:val="18"/>
                <w:color w:val="auto"/>
                <w:w w:val="85"/>
              </w:rPr>
              <w:t>Amount earned and</w:t>
            </w:r>
          </w:p>
        </w:tc>
        <w:tc>
          <w:tcPr>
            <w:tcW w:w="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9"/>
              </w:rPr>
              <w:t>4,816,667</w:t>
            </w:r>
          </w:p>
        </w:tc>
        <w:tc>
          <w:tcPr>
            <w:tcW w:w="7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7"/>
              </w:rPr>
              <w:t>4,816,667</w:t>
            </w:r>
          </w:p>
        </w:tc>
        <w:tc>
          <w:tcPr>
            <w:tcW w:w="20" w:type="dxa"/>
            <w:vAlign w:val="bottom"/>
          </w:tcPr>
          <w:p>
            <w:pPr>
              <w:spacing w:after="0"/>
              <w:rPr>
                <w:sz w:val="17"/>
                <w:szCs w:val="17"/>
                <w:color w:val="auto"/>
              </w:rPr>
            </w:pPr>
          </w:p>
        </w:tc>
      </w:tr>
      <w:tr>
        <w:trPr>
          <w:trHeight w:val="216"/>
        </w:trPr>
        <w:tc>
          <w:tcPr>
            <w:tcW w:w="430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0"/>
              </w:rPr>
              <w:t>unpaid through the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430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8"/>
              </w:rPr>
              <w:t>date of termination.</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b w:val="1"/>
                <w:bCs w:val="1"/>
                <w:color w:val="auto"/>
              </w:rPr>
              <w:t>Bonus</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660"/>
              <w:spacing w:after="0"/>
              <w:rPr>
                <w:sz w:val="20"/>
                <w:szCs w:val="20"/>
                <w:color w:val="auto"/>
              </w:rPr>
            </w:pPr>
            <w:r>
              <w:rPr>
                <w:rFonts w:ascii="Arial" w:cs="Arial" w:eastAsia="Arial" w:hAnsi="Arial"/>
                <w:sz w:val="18"/>
                <w:szCs w:val="18"/>
                <w:color w:val="auto"/>
              </w:rPr>
              <w:t>2,000,000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7,666,667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7,666,667</w:t>
            </w:r>
          </w:p>
        </w:tc>
        <w:tc>
          <w:tcPr>
            <w:tcW w:w="20" w:type="dxa"/>
            <w:vAlign w:val="bottom"/>
          </w:tcPr>
          <w:p>
            <w:pPr>
              <w:spacing w:after="0"/>
              <w:rPr>
                <w:sz w:val="18"/>
                <w:szCs w:val="18"/>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Options/Restricted Stock(1)(2)(3)</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21,112,500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2,381,249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15,557,500</w:t>
            </w:r>
          </w:p>
        </w:tc>
        <w:tc>
          <w:tcPr>
            <w:tcW w:w="20" w:type="dxa"/>
            <w:vAlign w:val="bottom"/>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b w:val="1"/>
                <w:bCs w:val="1"/>
                <w:color w:val="auto"/>
              </w:rPr>
              <w:t>Company Paid Life Insurance</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660"/>
              <w:spacing w:after="0"/>
              <w:rPr>
                <w:sz w:val="20"/>
                <w:szCs w:val="20"/>
                <w:color w:val="auto"/>
              </w:rPr>
            </w:pPr>
            <w:r>
              <w:rPr>
                <w:rFonts w:ascii="Arial" w:cs="Arial" w:eastAsia="Arial" w:hAnsi="Arial"/>
                <w:sz w:val="18"/>
                <w:szCs w:val="18"/>
                <w:color w:val="auto"/>
              </w:rPr>
              <w:t>1,700,000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Gross Up</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28"/>
        </w:trPr>
        <w:tc>
          <w:tcPr>
            <w:tcW w:w="4300" w:type="dxa"/>
            <w:vAlign w:val="bottom"/>
          </w:tcPr>
          <w:p>
            <w:pPr>
              <w:spacing w:after="0"/>
              <w:rPr>
                <w:sz w:val="20"/>
                <w:szCs w:val="20"/>
                <w:color w:val="auto"/>
              </w:rPr>
            </w:pPr>
            <w:r>
              <w:rPr>
                <w:rFonts w:ascii="Arial" w:cs="Arial" w:eastAsia="Arial" w:hAnsi="Arial"/>
                <w:sz w:val="18"/>
                <w:szCs w:val="18"/>
                <w:b w:val="1"/>
                <w:bCs w:val="1"/>
                <w:color w:val="auto"/>
              </w:rPr>
              <w:t>Benefits(4)</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66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267,506</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267,506</w:t>
            </w:r>
          </w:p>
        </w:tc>
        <w:tc>
          <w:tcPr>
            <w:tcW w:w="20" w:type="dxa"/>
            <w:vAlign w:val="bottom"/>
          </w:tcPr>
          <w:p>
            <w:pPr>
              <w:spacing w:after="0"/>
              <w:rPr>
                <w:sz w:val="19"/>
                <w:szCs w:val="19"/>
                <w:color w:val="auto"/>
              </w:rPr>
            </w:pPr>
          </w:p>
        </w:tc>
      </w:tr>
      <w:tr>
        <w:trPr>
          <w:trHeight w:val="350"/>
        </w:trPr>
        <w:tc>
          <w:tcPr>
            <w:tcW w:w="4300" w:type="dxa"/>
            <w:vAlign w:val="bottom"/>
          </w:tcPr>
          <w:p>
            <w:pPr>
              <w:spacing w:after="0"/>
              <w:rPr>
                <w:sz w:val="24"/>
                <w:szCs w:val="24"/>
                <w:color w:val="auto"/>
              </w:rPr>
            </w:pPr>
          </w:p>
        </w:tc>
        <w:tc>
          <w:tcPr>
            <w:tcW w:w="2580" w:type="dxa"/>
            <w:vAlign w:val="bottom"/>
          </w:tcPr>
          <w:p>
            <w:pPr>
              <w:jc w:val="right"/>
              <w:ind w:right="992"/>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right="260" w:hanging="452"/>
        <w:spacing w:after="0" w:line="254"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Upon death or complete disability, unvested stock options of 500,000 would vest in full immediately. Using the closing price on December 31, 2009, the value of such stock options upon exercise would have been $5,555,000.</w:t>
      </w:r>
    </w:p>
    <w:p>
      <w:pPr>
        <w:ind w:left="460" w:right="140" w:hanging="452"/>
        <w:spacing w:after="0" w:line="250"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Upon death, complete disability or change of control, 250,000 shares of restricted stock would vest in full, so long as the employee’s employment agreement with Wynn Resorts has not terminated or expired. Using the closing price on December 31, 2009, the value of such restricted stock grants upon vesting would have been $14,557,500, plus accrued dividends of $1,000,000.</w:t>
      </w:r>
    </w:p>
    <w:p>
      <w:pPr>
        <w:spacing w:after="0" w:line="1" w:lineRule="exact"/>
        <w:rPr>
          <w:rFonts w:ascii="Arial" w:cs="Arial" w:eastAsia="Arial" w:hAnsi="Arial"/>
          <w:sz w:val="18"/>
          <w:szCs w:val="18"/>
          <w:color w:val="auto"/>
        </w:rPr>
      </w:pPr>
    </w:p>
    <w:p>
      <w:pPr>
        <w:ind w:left="460" w:right="100" w:hanging="452"/>
        <w:spacing w:after="0" w:line="250"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Upon termination without cause 250,000 shares of restricted stock would vest on a pro-rated basis based on the number of months since the grant date, so long as the employee’s employment agreement with Wynn Resorts has not terminated or expired. Using the closing price on December 31, 2009, the value of such 38,265 shares would have been $2,228,189 plus accrued dividends of $153,060.</w:t>
      </w:r>
    </w:p>
    <w:p>
      <w:pPr>
        <w:spacing w:after="0" w:line="1" w:lineRule="exact"/>
        <w:rPr>
          <w:rFonts w:ascii="Arial" w:cs="Arial" w:eastAsia="Arial" w:hAnsi="Arial"/>
          <w:sz w:val="18"/>
          <w:szCs w:val="18"/>
          <w:color w:val="auto"/>
        </w:rPr>
      </w:pPr>
    </w:p>
    <w:p>
      <w:pPr>
        <w:ind w:left="460" w:right="220" w:hanging="452"/>
        <w:spacing w:after="0" w:line="250"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Continued health benefits for remainder of term or until covered by another plan. Amounts shown reflect an estimated cost including tax equalization for providing such benefits through the remainder of the term.</w:t>
      </w: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Bonus amount includes annual bonus for the 2009 bonus period, paid in 2010.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Linda Chen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Termination</w:t>
            </w:r>
          </w:p>
        </w:tc>
        <w:tc>
          <w:tcPr>
            <w:tcW w:w="640" w:type="dxa"/>
            <w:vAlign w:val="bottom"/>
          </w:tcPr>
          <w:p>
            <w:pPr>
              <w:spacing w:after="0"/>
              <w:rPr>
                <w:sz w:val="14"/>
                <w:szCs w:val="14"/>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Termination</w:t>
            </w: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without Cause</w:t>
            </w:r>
          </w:p>
        </w:tc>
        <w:tc>
          <w:tcPr>
            <w:tcW w:w="640" w:type="dxa"/>
            <w:vAlign w:val="bottom"/>
          </w:tcPr>
          <w:p>
            <w:pPr>
              <w:spacing w:after="0"/>
              <w:rPr>
                <w:sz w:val="12"/>
                <w:szCs w:val="12"/>
                <w:color w:val="auto"/>
              </w:rPr>
            </w:pPr>
          </w:p>
        </w:tc>
        <w:tc>
          <w:tcPr>
            <w:tcW w:w="8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by Employee</w:t>
            </w: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7"/>
              </w:rPr>
              <w:t>at Employer’s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for Good</w:t>
            </w: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Termination Upon</w:t>
            </w:r>
          </w:p>
        </w:tc>
        <w:tc>
          <w:tcPr>
            <w:tcW w:w="100" w:type="dxa"/>
            <w:vAlign w:val="bottom"/>
          </w:tcPr>
          <w:p>
            <w:pPr>
              <w:spacing w:after="0"/>
              <w:rPr>
                <w:sz w:val="12"/>
                <w:szCs w:val="12"/>
                <w:color w:val="auto"/>
              </w:rPr>
            </w:pPr>
          </w:p>
        </w:tc>
        <w:tc>
          <w:tcPr>
            <w:tcW w:w="74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8"/>
              </w:rPr>
              <w:t>Election</w:t>
            </w:r>
          </w:p>
        </w:tc>
        <w:tc>
          <w:tcPr>
            <w:tcW w:w="640" w:type="dxa"/>
            <w:vAlign w:val="bottom"/>
          </w:tcPr>
          <w:p>
            <w:pPr>
              <w:spacing w:after="0"/>
              <w:rPr>
                <w:sz w:val="12"/>
                <w:szCs w:val="12"/>
                <w:color w:val="auto"/>
              </w:rPr>
            </w:pP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9"/>
              </w:rPr>
              <w:t>Reason After</w:t>
            </w: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Death or Complete</w:t>
            </w:r>
          </w:p>
        </w:tc>
        <w:tc>
          <w:tcPr>
            <w:tcW w:w="100" w:type="dxa"/>
            <w:vAlign w:val="bottom"/>
          </w:tcPr>
          <w:p>
            <w:pPr>
              <w:spacing w:after="0"/>
              <w:rPr>
                <w:sz w:val="12"/>
                <w:szCs w:val="12"/>
                <w:color w:val="auto"/>
              </w:rPr>
            </w:pPr>
          </w:p>
        </w:tc>
        <w:tc>
          <w:tcPr>
            <w:tcW w:w="74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88"/>
              </w:rPr>
              <w:t>During the</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Change in</w:t>
            </w:r>
          </w:p>
        </w:tc>
      </w:tr>
      <w:tr>
        <w:trPr>
          <w:trHeight w:val="161"/>
        </w:trPr>
        <w:tc>
          <w:tcPr>
            <w:tcW w:w="7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Disability</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3"/>
              </w:rPr>
              <w:t>Term(6)</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Control(6)</w:t>
            </w:r>
          </w:p>
        </w:tc>
        <w:tc>
          <w:tcPr>
            <w:tcW w:w="20" w:type="dxa"/>
            <w:vAlign w:val="bottom"/>
          </w:tcPr>
          <w:p>
            <w:pPr>
              <w:spacing w:after="0"/>
              <w:rPr>
                <w:sz w:val="14"/>
                <w:szCs w:val="14"/>
                <w:color w:val="auto"/>
              </w:rPr>
            </w:pPr>
          </w:p>
        </w:tc>
      </w:tr>
      <w:tr>
        <w:trPr>
          <w:trHeight w:val="201"/>
        </w:trPr>
        <w:tc>
          <w:tcPr>
            <w:tcW w:w="70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Base Salary</w:t>
            </w:r>
          </w:p>
        </w:tc>
        <w:tc>
          <w:tcPr>
            <w:tcW w:w="10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jc w:val="right"/>
              <w:ind w:right="660"/>
              <w:spacing w:after="0" w:line="201" w:lineRule="exact"/>
              <w:rPr>
                <w:sz w:val="20"/>
                <w:szCs w:val="20"/>
                <w:color w:val="auto"/>
              </w:rPr>
            </w:pPr>
            <w:r>
              <w:rPr>
                <w:rFonts w:ascii="Arial" w:cs="Arial" w:eastAsia="Arial" w:hAnsi="Arial"/>
                <w:sz w:val="18"/>
                <w:szCs w:val="18"/>
                <w:color w:val="auto"/>
                <w:w w:val="85"/>
              </w:rPr>
              <w:t>Amount earned and</w:t>
            </w:r>
          </w:p>
        </w:tc>
        <w:tc>
          <w:tcPr>
            <w:tcW w:w="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9"/>
              </w:rPr>
              <w:t>1,583,333</w:t>
            </w:r>
          </w:p>
        </w:tc>
        <w:tc>
          <w:tcPr>
            <w:tcW w:w="740" w:type="dxa"/>
            <w:vAlign w:val="bottom"/>
            <w:gridSpan w:val="2"/>
            <w:shd w:val="clear" w:color="auto" w:fill="CCEEFF"/>
          </w:tcPr>
          <w:p>
            <w:pPr>
              <w:ind w:left="640"/>
              <w:spacing w:after="0" w:line="201"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4"/>
              </w:rPr>
              <w:t>1,583,333</w:t>
            </w:r>
          </w:p>
        </w:tc>
        <w:tc>
          <w:tcPr>
            <w:tcW w:w="20" w:type="dxa"/>
            <w:vAlign w:val="bottom"/>
          </w:tcPr>
          <w:p>
            <w:pPr>
              <w:spacing w:after="0"/>
              <w:rPr>
                <w:sz w:val="17"/>
                <w:szCs w:val="17"/>
                <w:color w:val="auto"/>
              </w:rPr>
            </w:pPr>
          </w:p>
        </w:tc>
      </w:tr>
      <w:tr>
        <w:trPr>
          <w:trHeight w:val="216"/>
        </w:trPr>
        <w:tc>
          <w:tcPr>
            <w:tcW w:w="7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0"/>
              </w:rPr>
              <w:t>unpaid through the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7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8"/>
              </w:rPr>
              <w:t>date of termination.</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b w:val="1"/>
                <w:bCs w:val="1"/>
                <w:color w:val="auto"/>
              </w:rPr>
              <w:t>Bonus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tcPr>
          <w:p>
            <w:pPr>
              <w:jc w:val="right"/>
              <w:ind w:right="660"/>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2,583,000</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2,583,333</w:t>
            </w:r>
          </w:p>
        </w:tc>
        <w:tc>
          <w:tcPr>
            <w:tcW w:w="2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Options/Restricted Stock(1)(2)(3)(4)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9,607,999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5,386,510</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6,223,000</w:t>
            </w:r>
          </w:p>
        </w:tc>
        <w:tc>
          <w:tcPr>
            <w:tcW w:w="20" w:type="dxa"/>
            <w:vAlign w:val="bottom"/>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b w:val="1"/>
                <w:bCs w:val="1"/>
                <w:color w:val="auto"/>
              </w:rPr>
              <w:t>Company Paid Life Insurance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tcPr>
          <w:p>
            <w:pPr>
              <w:jc w:val="right"/>
              <w:ind w:right="660"/>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Gross Up</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28"/>
        </w:trPr>
        <w:tc>
          <w:tcPr>
            <w:tcW w:w="7000" w:type="dxa"/>
            <w:vAlign w:val="bottom"/>
          </w:tcPr>
          <w:p>
            <w:pPr>
              <w:spacing w:after="0"/>
              <w:rPr>
                <w:sz w:val="20"/>
                <w:szCs w:val="20"/>
                <w:color w:val="auto"/>
              </w:rPr>
            </w:pPr>
            <w:r>
              <w:rPr>
                <w:rFonts w:ascii="Arial" w:cs="Arial" w:eastAsia="Arial" w:hAnsi="Arial"/>
                <w:sz w:val="18"/>
                <w:szCs w:val="18"/>
                <w:b w:val="1"/>
                <w:bCs w:val="1"/>
                <w:color w:val="auto"/>
              </w:rPr>
              <w:t>Benefits(5)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tcPr>
          <w:p>
            <w:pPr>
              <w:jc w:val="right"/>
              <w:ind w:right="66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149,489</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149,489</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right="120" w:hanging="452"/>
        <w:spacing w:after="0" w:line="252"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Upon death, complete disability or change of control, unvested stock options of 175,000 would vest in full immediately. Upon termination without cause, 175,000 stock options would vest on a pro-rated basis based on the number of months since the grant date, so long as the employee’s employment agreement with Wynn Resorts has not terminated or expired. Using the closing price on December 31, 2009, the value of such stock options upon exercise would have been $0.</w:t>
      </w:r>
    </w:p>
    <w:p>
      <w:pPr>
        <w:spacing w:after="0" w:line="1" w:lineRule="exact"/>
        <w:rPr>
          <w:rFonts w:ascii="Arial" w:cs="Arial" w:eastAsia="Arial" w:hAnsi="Arial"/>
          <w:sz w:val="18"/>
          <w:szCs w:val="18"/>
          <w:color w:val="auto"/>
        </w:rPr>
      </w:pPr>
    </w:p>
    <w:p>
      <w:pPr>
        <w:ind w:left="460" w:right="260" w:hanging="452"/>
        <w:spacing w:after="0" w:line="250"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Upon death or complete disability, unvested stock options of 333,333 would vest in full immediately. Using the closing price on December 31, 2009, the value of such stock options upon exercise would have been $3,384,999.</w:t>
      </w:r>
    </w:p>
    <w:p>
      <w:pPr>
        <w:ind w:left="460" w:right="700" w:hanging="452"/>
        <w:spacing w:after="0" w:line="281" w:lineRule="auto"/>
        <w:tabs>
          <w:tab w:leader="none" w:pos="4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Upon death, complete disability or change of control, 100,000 shares of restricted stock would vest in full immediately. Using the closing price on December 31, 2009, the value of such 100,000 shares would have been $5,823,000, plus accrued dividends of $400,000.</w:t>
      </w:r>
    </w:p>
    <w:p>
      <w:pPr>
        <w:spacing w:after="0" w:line="1" w:lineRule="exact"/>
        <w:rPr>
          <w:rFonts w:ascii="Arial" w:cs="Arial" w:eastAsia="Arial" w:hAnsi="Arial"/>
          <w:sz w:val="16"/>
          <w:szCs w:val="16"/>
          <w:color w:val="auto"/>
        </w:rPr>
      </w:pPr>
    </w:p>
    <w:p>
      <w:pPr>
        <w:ind w:left="460" w:right="380" w:hanging="452"/>
        <w:spacing w:after="0" w:line="300" w:lineRule="auto"/>
        <w:tabs>
          <w:tab w:leader="none" w:pos="460" w:val="left"/>
        </w:tabs>
        <w:numPr>
          <w:ilvl w:val="0"/>
          <w:numId w:val="66"/>
        </w:numPr>
        <w:rPr>
          <w:rFonts w:ascii="Arial" w:cs="Arial" w:eastAsia="Arial" w:hAnsi="Arial"/>
          <w:sz w:val="15"/>
          <w:szCs w:val="15"/>
          <w:color w:val="auto"/>
        </w:rPr>
      </w:pPr>
      <w:r>
        <w:rPr>
          <w:rFonts w:ascii="Arial" w:cs="Arial" w:eastAsia="Arial" w:hAnsi="Arial"/>
          <w:sz w:val="15"/>
          <w:szCs w:val="15"/>
          <w:color w:val="auto"/>
        </w:rPr>
        <w:t>Upon termination without cause 200,000 shares of restricted stock would vest on a pro-rated basis based on the number of months since the grant date. Using the closing price on December 31, 2009, the value of such 75,576 shares would have been $4,400,816, plus accrued dividends of $985,694.</w:t>
      </w:r>
    </w:p>
    <w:p>
      <w:pPr>
        <w:ind w:left="460" w:right="220" w:hanging="452"/>
        <w:spacing w:after="0" w:line="250"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Continued health benefits for remainder of term or until covered by another plan. Amounts shown reflect an estimated cost including tax equalization for providing such benefits through the remainder of the term.</w:t>
      </w: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Bonus amount includes annual bonus for the 2009 bonus period, paid in 2010.</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Kim Sinatra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Termination</w:t>
            </w:r>
          </w:p>
        </w:tc>
        <w:tc>
          <w:tcPr>
            <w:tcW w:w="640" w:type="dxa"/>
            <w:vAlign w:val="bottom"/>
          </w:tcPr>
          <w:p>
            <w:pPr>
              <w:spacing w:after="0"/>
              <w:rPr>
                <w:sz w:val="14"/>
                <w:szCs w:val="14"/>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Termination</w:t>
            </w: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without Cause</w:t>
            </w:r>
          </w:p>
        </w:tc>
        <w:tc>
          <w:tcPr>
            <w:tcW w:w="640" w:type="dxa"/>
            <w:vAlign w:val="bottom"/>
          </w:tcPr>
          <w:p>
            <w:pPr>
              <w:spacing w:after="0"/>
              <w:rPr>
                <w:sz w:val="12"/>
                <w:szCs w:val="12"/>
                <w:color w:val="auto"/>
              </w:rPr>
            </w:pPr>
          </w:p>
        </w:tc>
        <w:tc>
          <w:tcPr>
            <w:tcW w:w="8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by Employee</w:t>
            </w: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7"/>
              </w:rPr>
              <w:t>at Employer’s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for Good</w:t>
            </w: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Termination Upon</w:t>
            </w:r>
          </w:p>
        </w:tc>
        <w:tc>
          <w:tcPr>
            <w:tcW w:w="100" w:type="dxa"/>
            <w:vAlign w:val="bottom"/>
          </w:tcPr>
          <w:p>
            <w:pPr>
              <w:spacing w:after="0"/>
              <w:rPr>
                <w:sz w:val="12"/>
                <w:szCs w:val="12"/>
                <w:color w:val="auto"/>
              </w:rPr>
            </w:pPr>
          </w:p>
        </w:tc>
        <w:tc>
          <w:tcPr>
            <w:tcW w:w="74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8"/>
              </w:rPr>
              <w:t>Election</w:t>
            </w:r>
          </w:p>
        </w:tc>
        <w:tc>
          <w:tcPr>
            <w:tcW w:w="640" w:type="dxa"/>
            <w:vAlign w:val="bottom"/>
          </w:tcPr>
          <w:p>
            <w:pPr>
              <w:spacing w:after="0"/>
              <w:rPr>
                <w:sz w:val="12"/>
                <w:szCs w:val="12"/>
                <w:color w:val="auto"/>
              </w:rPr>
            </w:pP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9"/>
              </w:rPr>
              <w:t>Reason After</w:t>
            </w: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Death or Complete</w:t>
            </w:r>
          </w:p>
        </w:tc>
        <w:tc>
          <w:tcPr>
            <w:tcW w:w="100" w:type="dxa"/>
            <w:vAlign w:val="bottom"/>
          </w:tcPr>
          <w:p>
            <w:pPr>
              <w:spacing w:after="0"/>
              <w:rPr>
                <w:sz w:val="12"/>
                <w:szCs w:val="12"/>
                <w:color w:val="auto"/>
              </w:rPr>
            </w:pPr>
          </w:p>
        </w:tc>
        <w:tc>
          <w:tcPr>
            <w:tcW w:w="74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88"/>
              </w:rPr>
              <w:t>During the</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Change in</w:t>
            </w:r>
          </w:p>
        </w:tc>
      </w:tr>
      <w:tr>
        <w:trPr>
          <w:trHeight w:val="161"/>
        </w:trPr>
        <w:tc>
          <w:tcPr>
            <w:tcW w:w="7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Disability</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3"/>
              </w:rPr>
              <w:t>Term(6)</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Control(6)</w:t>
            </w:r>
          </w:p>
        </w:tc>
        <w:tc>
          <w:tcPr>
            <w:tcW w:w="20" w:type="dxa"/>
            <w:vAlign w:val="bottom"/>
          </w:tcPr>
          <w:p>
            <w:pPr>
              <w:spacing w:after="0"/>
              <w:rPr>
                <w:sz w:val="14"/>
                <w:szCs w:val="14"/>
                <w:color w:val="auto"/>
              </w:rPr>
            </w:pPr>
          </w:p>
        </w:tc>
      </w:tr>
      <w:tr>
        <w:trPr>
          <w:trHeight w:val="201"/>
        </w:trPr>
        <w:tc>
          <w:tcPr>
            <w:tcW w:w="70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Base Salary</w:t>
            </w:r>
          </w:p>
        </w:tc>
        <w:tc>
          <w:tcPr>
            <w:tcW w:w="10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jc w:val="right"/>
              <w:ind w:right="660"/>
              <w:spacing w:after="0" w:line="201" w:lineRule="exact"/>
              <w:rPr>
                <w:sz w:val="20"/>
                <w:szCs w:val="20"/>
                <w:color w:val="auto"/>
              </w:rPr>
            </w:pPr>
            <w:r>
              <w:rPr>
                <w:rFonts w:ascii="Arial" w:cs="Arial" w:eastAsia="Arial" w:hAnsi="Arial"/>
                <w:sz w:val="18"/>
                <w:szCs w:val="18"/>
                <w:color w:val="auto"/>
                <w:w w:val="85"/>
              </w:rPr>
              <w:t>Amount earned and</w:t>
            </w:r>
          </w:p>
        </w:tc>
        <w:tc>
          <w:tcPr>
            <w:tcW w:w="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9"/>
              </w:rPr>
              <w:t>2,394,167</w:t>
            </w:r>
          </w:p>
        </w:tc>
        <w:tc>
          <w:tcPr>
            <w:tcW w:w="740" w:type="dxa"/>
            <w:vAlign w:val="bottom"/>
            <w:gridSpan w:val="2"/>
            <w:shd w:val="clear" w:color="auto" w:fill="CCEEFF"/>
          </w:tcPr>
          <w:p>
            <w:pPr>
              <w:ind w:left="640"/>
              <w:spacing w:after="0" w:line="201"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4"/>
              </w:rPr>
              <w:t>2,394,167</w:t>
            </w:r>
          </w:p>
        </w:tc>
        <w:tc>
          <w:tcPr>
            <w:tcW w:w="20" w:type="dxa"/>
            <w:vAlign w:val="bottom"/>
          </w:tcPr>
          <w:p>
            <w:pPr>
              <w:spacing w:after="0"/>
              <w:rPr>
                <w:sz w:val="17"/>
                <w:szCs w:val="17"/>
                <w:color w:val="auto"/>
              </w:rPr>
            </w:pPr>
          </w:p>
        </w:tc>
      </w:tr>
      <w:tr>
        <w:trPr>
          <w:trHeight w:val="216"/>
        </w:trPr>
        <w:tc>
          <w:tcPr>
            <w:tcW w:w="7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0"/>
              </w:rPr>
              <w:t>unpaid through the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7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8"/>
              </w:rPr>
              <w:t>date of termination.</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b w:val="1"/>
                <w:bCs w:val="1"/>
                <w:color w:val="auto"/>
              </w:rPr>
              <w:t>Bonus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tcPr>
          <w:p>
            <w:pPr>
              <w:jc w:val="right"/>
              <w:ind w:right="660"/>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500,000</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500,000</w:t>
            </w:r>
          </w:p>
        </w:tc>
        <w:tc>
          <w:tcPr>
            <w:tcW w:w="2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Options/Restricted Stock(1)(2)(3)(4)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4,333,250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1,403,254</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1,555,750</w:t>
            </w:r>
          </w:p>
        </w:tc>
        <w:tc>
          <w:tcPr>
            <w:tcW w:w="20" w:type="dxa"/>
            <w:vAlign w:val="bottom"/>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b w:val="1"/>
                <w:bCs w:val="1"/>
                <w:color w:val="auto"/>
              </w:rPr>
              <w:t>Company Paid Life Insurance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tcPr>
          <w:p>
            <w:pPr>
              <w:jc w:val="right"/>
              <w:ind w:right="660"/>
              <w:spacing w:after="0"/>
              <w:rPr>
                <w:sz w:val="20"/>
                <w:szCs w:val="20"/>
                <w:color w:val="auto"/>
              </w:rPr>
            </w:pPr>
            <w:r>
              <w:rPr>
                <w:rFonts w:ascii="Arial" w:cs="Arial" w:eastAsia="Arial" w:hAnsi="Arial"/>
                <w:sz w:val="18"/>
                <w:szCs w:val="18"/>
                <w:color w:val="auto"/>
              </w:rPr>
              <w:t>552,500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Gross Up</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28"/>
        </w:trPr>
        <w:tc>
          <w:tcPr>
            <w:tcW w:w="7000" w:type="dxa"/>
            <w:vAlign w:val="bottom"/>
          </w:tcPr>
          <w:p>
            <w:pPr>
              <w:spacing w:after="0"/>
              <w:rPr>
                <w:sz w:val="20"/>
                <w:szCs w:val="20"/>
                <w:color w:val="auto"/>
              </w:rPr>
            </w:pPr>
            <w:r>
              <w:rPr>
                <w:rFonts w:ascii="Arial" w:cs="Arial" w:eastAsia="Arial" w:hAnsi="Arial"/>
                <w:sz w:val="18"/>
                <w:szCs w:val="18"/>
                <w:b w:val="1"/>
                <w:bCs w:val="1"/>
                <w:color w:val="auto"/>
              </w:rPr>
              <w:t>Benefits(5)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tcPr>
          <w:p>
            <w:pPr>
              <w:jc w:val="right"/>
              <w:ind w:right="66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409,127</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409,127</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right="20" w:hanging="452"/>
        <w:spacing w:after="0" w:line="252"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Upon death, complete disability or change of control, unvested stock options of 75,000 would vest in full immediately. Upon termination without cause, 75,000 stock options would vest on a pro-rated basis based on the number of months since the grant date, so long as the employee’s employment agreement with Wynn Resorts has not terminated or expired. Using the closing price on December 31, 2009, the value of such stock options upon exercise would have been $0.</w:t>
      </w:r>
    </w:p>
    <w:p>
      <w:pPr>
        <w:spacing w:after="0" w:line="1" w:lineRule="exact"/>
        <w:rPr>
          <w:rFonts w:ascii="Arial" w:cs="Arial" w:eastAsia="Arial" w:hAnsi="Arial"/>
          <w:sz w:val="18"/>
          <w:szCs w:val="18"/>
          <w:color w:val="auto"/>
        </w:rPr>
      </w:pPr>
    </w:p>
    <w:p>
      <w:pPr>
        <w:ind w:left="460" w:right="260" w:hanging="452"/>
        <w:spacing w:after="0" w:line="250"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Upon death or complete disability, unvested stock options of 250,000 would vest in full immediately. Using the closing price on December 31, 2009, the value of such stock options upon exercise would have been $2,777,500.</w:t>
      </w:r>
    </w:p>
    <w:p>
      <w:pPr>
        <w:ind w:left="460" w:right="40" w:hanging="452"/>
        <w:spacing w:after="0" w:line="250"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Upon death, complete disability or change of control, 25,000 shares of restricted stock would vest in full, so long as the employee’s employment agreement with Wynn Resorts has not terminated or expired. Using the closing price on December 31, 2009, the value of such restricted stock grants upon vesting would have been $1,455,750, plus accrued dividends of $100,000.</w:t>
      </w:r>
    </w:p>
    <w:p>
      <w:pPr>
        <w:spacing w:after="0" w:line="1" w:lineRule="exact"/>
        <w:rPr>
          <w:rFonts w:ascii="Arial" w:cs="Arial" w:eastAsia="Arial" w:hAnsi="Arial"/>
          <w:sz w:val="18"/>
          <w:szCs w:val="18"/>
          <w:color w:val="auto"/>
        </w:rPr>
      </w:pPr>
    </w:p>
    <w:p>
      <w:pPr>
        <w:ind w:left="460" w:right="180" w:hanging="452"/>
        <w:spacing w:after="0" w:line="281" w:lineRule="auto"/>
        <w:tabs>
          <w:tab w:leader="none" w:pos="4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Upon termination without cause 25,000 shares of restricted stock would vest on a pro-rated basis based on the number of months since the grant date, so long as the employee’s employment agreement with Wynn Resorts has not terminated or expired and another 25,000 shares of restricted stock would vest 20% for each full year from the date of grant to the effective date of termination. Using the closing price on December 31, 2009, the value of such 19,657 shares would have been $1,144,627 plus accrued dividends of $258,627.</w:t>
      </w:r>
    </w:p>
    <w:p>
      <w:pPr>
        <w:spacing w:after="0" w:line="2" w:lineRule="exact"/>
        <w:rPr>
          <w:rFonts w:ascii="Arial" w:cs="Arial" w:eastAsia="Arial" w:hAnsi="Arial"/>
          <w:sz w:val="16"/>
          <w:szCs w:val="16"/>
          <w:color w:val="auto"/>
        </w:rPr>
      </w:pPr>
    </w:p>
    <w:p>
      <w:pPr>
        <w:ind w:left="460" w:right="220" w:hanging="452"/>
        <w:spacing w:after="0" w:line="250"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Continued health benefits for remainder of term or until covered by another plan. Amounts shown reflect an estimated cost including tax equalization for providing such benefits through the remainder of the term.</w:t>
      </w: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Bonus amount includes annual bonus for the 2009 bonus period, paid in 2010.</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following table summarizes, as of December 31, 2009, compensation plans under which our equity securities are authorized for issuance, aggregated as to: (i) all compensation plans previously approved by stockholders; and (ii) all compensation plans not previously approved by stockholders.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Remaining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for 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1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5"/>
              </w:rPr>
              <w:t>Number of Securities to be</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1140" w:type="dxa"/>
            <w:vAlign w:val="bottom"/>
          </w:tcPr>
          <w:p>
            <w:pPr>
              <w:spacing w:after="0"/>
              <w:rPr>
                <w:sz w:val="12"/>
                <w:szCs w:val="12"/>
                <w:color w:val="auto"/>
              </w:rPr>
            </w:pPr>
          </w:p>
        </w:tc>
        <w:tc>
          <w:tcPr>
            <w:tcW w:w="13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1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4"/>
              </w:rPr>
              <w:t>Issued Upon Exercise of</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140" w:type="dxa"/>
            <w:vAlign w:val="bottom"/>
          </w:tcPr>
          <w:p>
            <w:pPr>
              <w:spacing w:after="0"/>
              <w:rPr>
                <w:sz w:val="12"/>
                <w:szCs w:val="12"/>
                <w:color w:val="auto"/>
              </w:rPr>
            </w:pPr>
          </w:p>
        </w:tc>
        <w:tc>
          <w:tcPr>
            <w:tcW w:w="13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1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560" w:type="dxa"/>
            <w:vAlign w:val="bottom"/>
          </w:tcPr>
          <w:p>
            <w:pPr>
              <w:spacing w:after="0"/>
              <w:rPr>
                <w:sz w:val="12"/>
                <w:szCs w:val="12"/>
                <w:color w:val="auto"/>
              </w:rPr>
            </w:pP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1140" w:type="dxa"/>
            <w:vAlign w:val="bottom"/>
          </w:tcPr>
          <w:p>
            <w:pPr>
              <w:spacing w:after="0"/>
              <w:rPr>
                <w:sz w:val="12"/>
                <w:szCs w:val="12"/>
                <w:color w:val="auto"/>
              </w:rPr>
            </w:pPr>
          </w:p>
        </w:tc>
        <w:tc>
          <w:tcPr>
            <w:tcW w:w="13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(excluding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1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Warrants and Rights(1)</w:t>
            </w:r>
          </w:p>
        </w:tc>
        <w:tc>
          <w:tcPr>
            <w:tcW w:w="560" w:type="dxa"/>
            <w:vAlign w:val="bottom"/>
          </w:tcPr>
          <w:p>
            <w:pPr>
              <w:spacing w:after="0"/>
              <w:rPr>
                <w:sz w:val="12"/>
                <w:szCs w:val="12"/>
                <w:color w:val="auto"/>
              </w:rPr>
            </w:pP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Warrants and Rights</w:t>
            </w:r>
          </w:p>
        </w:tc>
        <w:tc>
          <w:tcPr>
            <w:tcW w:w="1140" w:type="dxa"/>
            <w:vAlign w:val="bottom"/>
          </w:tcPr>
          <w:p>
            <w:pPr>
              <w:spacing w:after="0"/>
              <w:rPr>
                <w:sz w:val="12"/>
                <w:szCs w:val="12"/>
                <w:color w:val="auto"/>
              </w:rPr>
            </w:pPr>
          </w:p>
        </w:tc>
        <w:tc>
          <w:tcPr>
            <w:tcW w:w="13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reflected in column(a))</w:t>
            </w:r>
          </w:p>
        </w:tc>
        <w:tc>
          <w:tcPr>
            <w:tcW w:w="0" w:type="dxa"/>
            <w:vAlign w:val="bottom"/>
          </w:tcPr>
          <w:p>
            <w:pPr>
              <w:spacing w:after="0"/>
              <w:rPr>
                <w:sz w:val="1"/>
                <w:szCs w:val="1"/>
                <w:color w:val="auto"/>
              </w:rPr>
            </w:pPr>
          </w:p>
        </w:tc>
      </w:tr>
      <w:tr>
        <w:trPr>
          <w:trHeight w:val="161"/>
        </w:trPr>
        <w:tc>
          <w:tcPr>
            <w:tcW w:w="5040" w:type="dxa"/>
            <w:vAlign w:val="bottom"/>
            <w:gridSpan w:val="4"/>
          </w:tcPr>
          <w:p>
            <w:pPr>
              <w:spacing w:after="0"/>
              <w:rPr>
                <w:sz w:val="20"/>
                <w:szCs w:val="20"/>
                <w:color w:val="auto"/>
              </w:rPr>
            </w:pPr>
            <w:r>
              <w:rPr>
                <w:rFonts w:ascii="Arial" w:cs="Arial" w:eastAsia="Arial" w:hAnsi="Arial"/>
                <w:sz w:val="14"/>
                <w:szCs w:val="14"/>
                <w:b w:val="1"/>
                <w:bCs w:val="1"/>
                <w:color w:val="auto"/>
              </w:rPr>
              <w:t>Plan Category</w:t>
            </w:r>
          </w:p>
        </w:tc>
        <w:tc>
          <w:tcPr>
            <w:tcW w:w="21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3"/>
              </w:rPr>
              <w:t>(a)</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right="2"/>
              <w:spacing w:after="0"/>
              <w:rPr>
                <w:sz w:val="20"/>
                <w:szCs w:val="20"/>
                <w:color w:val="auto"/>
              </w:rPr>
            </w:pPr>
            <w:r>
              <w:rPr>
                <w:rFonts w:ascii="Arial" w:cs="Arial" w:eastAsia="Arial" w:hAnsi="Arial"/>
                <w:sz w:val="14"/>
                <w:szCs w:val="14"/>
                <w:b w:val="1"/>
                <w:bCs w:val="1"/>
                <w:color w:val="auto"/>
                <w:w w:val="89"/>
              </w:rPr>
              <w:t>(b)</w:t>
            </w:r>
          </w:p>
        </w:tc>
        <w:tc>
          <w:tcPr>
            <w:tcW w:w="1140" w:type="dxa"/>
            <w:vAlign w:val="bottom"/>
          </w:tcPr>
          <w:p>
            <w:pPr>
              <w:spacing w:after="0"/>
              <w:rPr>
                <w:sz w:val="14"/>
                <w:szCs w:val="14"/>
                <w:color w:val="auto"/>
              </w:rPr>
            </w:pPr>
          </w:p>
        </w:tc>
        <w:tc>
          <w:tcPr>
            <w:tcW w:w="13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50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Equity compensation plans approved by security</w:t>
            </w:r>
          </w:p>
        </w:tc>
        <w:tc>
          <w:tcPr>
            <w:tcW w:w="1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holders</w:t>
            </w:r>
          </w:p>
        </w:tc>
        <w:tc>
          <w:tcPr>
            <w:tcW w:w="2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5,246,593</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58.43</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419,545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20" w:type="dxa"/>
            <w:vAlign w:val="bottom"/>
            <w:gridSpan w:val="3"/>
          </w:tcPr>
          <w:p>
            <w:pPr>
              <w:spacing w:after="0"/>
              <w:rPr>
                <w:sz w:val="20"/>
                <w:szCs w:val="20"/>
                <w:color w:val="auto"/>
              </w:rPr>
            </w:pPr>
            <w:r>
              <w:rPr>
                <w:rFonts w:ascii="Arial" w:cs="Arial" w:eastAsia="Arial" w:hAnsi="Arial"/>
                <w:sz w:val="18"/>
                <w:szCs w:val="18"/>
                <w:color w:val="auto"/>
              </w:rPr>
              <w:t>Equity compensation plans not approved by security</w:t>
            </w:r>
          </w:p>
        </w:tc>
        <w:tc>
          <w:tcPr>
            <w:tcW w:w="1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020" w:type="dxa"/>
            <w:vAlign w:val="bottom"/>
            <w:gridSpan w:val="3"/>
          </w:tcPr>
          <w:p>
            <w:pPr>
              <w:ind w:left="200"/>
              <w:spacing w:after="0"/>
              <w:rPr>
                <w:sz w:val="20"/>
                <w:szCs w:val="20"/>
                <w:color w:val="auto"/>
              </w:rPr>
            </w:pPr>
            <w:r>
              <w:rPr>
                <w:rFonts w:ascii="Arial" w:cs="Arial" w:eastAsia="Arial" w:hAnsi="Arial"/>
                <w:sz w:val="18"/>
                <w:szCs w:val="18"/>
                <w:color w:val="auto"/>
              </w:rPr>
              <w:t>holders</w:t>
            </w:r>
          </w:p>
        </w:tc>
        <w:tc>
          <w:tcPr>
            <w:tcW w:w="1540" w:type="dxa"/>
            <w:vAlign w:val="bottom"/>
            <w:tcBorders>
              <w:bottom w:val="single" w:sz="8" w:color="auto"/>
            </w:tcBorders>
          </w:tcPr>
          <w:p>
            <w:pPr>
              <w:jc w:val="right"/>
              <w:ind w:right="25"/>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0"/>
                <w:szCs w:val="20"/>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2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5,246,593</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58.43</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419,545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8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360" w:hanging="452"/>
        <w:spacing w:after="0" w:line="268"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This amount excludes restricted stock awards issued. In addition to the above, there are 889,000 shares of unvested restricted stock awards outstanding under a stockholder-approved plan.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We own all of the issued and outstanding capital stock of Wynn Capital. Each of the other additional registrants is a wholly owned subsidiary of ours.</w:t>
      </w:r>
    </w:p>
    <w:p>
      <w:pPr>
        <w:spacing w:after="0" w:line="194"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are a wholly owned subsidiary of Wynn Holdings. Wynn Holdings is a wholly owned subsidiary of Wynn Resorts. The following table sets forth, as of April 30, 2010, (unless otherwise indicated), certain information regarding the shares of Wynn Resorts’ common stock beneficially owned by: (i) each director and nominee for director; (ii) each stockholder who is known by Wynn Resorts to beneficially own in excess of 5% of the outstanding shares of Wynn Resorts’ common stock based on information reported on Schedule 13D or 13G filed with the SEC; (iii) each of the executive officers of Wynn Resorts named in the Summary Compensation Table; and (iv) all executive officers of Wynn Resorts, directors of Wynn Resorts and director nominees as a group. There were 123,311,373 shares outstanding as of April 30, 2010.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 Beneficial Owner(2)</w:t>
            </w:r>
          </w:p>
        </w:tc>
        <w:tc>
          <w:tcPr>
            <w:tcW w:w="720" w:type="dxa"/>
            <w:vAlign w:val="bottom"/>
          </w:tcPr>
          <w:p>
            <w:pPr>
              <w:spacing w:after="0"/>
              <w:rPr>
                <w:sz w:val="14"/>
                <w:szCs w:val="14"/>
                <w:color w:val="auto"/>
              </w:rPr>
            </w:pPr>
          </w:p>
        </w:tc>
        <w:tc>
          <w:tcPr>
            <w:tcW w:w="28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Beneficial Ownership Of Shares(1)</w:t>
            </w:r>
          </w:p>
        </w:tc>
        <w:tc>
          <w:tcPr>
            <w:tcW w:w="0" w:type="dxa"/>
            <w:vAlign w:val="bottom"/>
          </w:tcPr>
          <w:p>
            <w:pPr>
              <w:spacing w:after="0"/>
              <w:rPr>
                <w:sz w:val="1"/>
                <w:szCs w:val="1"/>
                <w:color w:val="auto"/>
              </w:rPr>
            </w:pPr>
          </w:p>
        </w:tc>
      </w:tr>
      <w:tr>
        <w:trPr>
          <w:trHeight w:val="142"/>
        </w:trPr>
        <w:tc>
          <w:tcPr>
            <w:tcW w:w="7820" w:type="dxa"/>
            <w:vAlign w:val="bottom"/>
            <w:gridSpan w:val="3"/>
            <w:vMerge w:val="continue"/>
          </w:tcPr>
          <w:p>
            <w:pPr>
              <w:spacing w:after="0"/>
              <w:rPr>
                <w:sz w:val="12"/>
                <w:szCs w:val="12"/>
                <w:color w:val="auto"/>
              </w:rPr>
            </w:pPr>
          </w:p>
        </w:tc>
        <w:tc>
          <w:tcPr>
            <w:tcW w:w="720" w:type="dxa"/>
            <w:vAlign w:val="bottom"/>
          </w:tcPr>
          <w:p>
            <w:pPr>
              <w:spacing w:after="0"/>
              <w:rPr>
                <w:sz w:val="12"/>
                <w:szCs w:val="12"/>
                <w:color w:val="auto"/>
              </w:rPr>
            </w:pPr>
          </w:p>
        </w:tc>
        <w:tc>
          <w:tcPr>
            <w:tcW w:w="1620" w:type="dxa"/>
            <w:vAlign w:val="bottom"/>
            <w:tcBorders>
              <w:top w:val="single" w:sz="8" w:color="auto"/>
            </w:tcBorders>
            <w:gridSpan w:val="2"/>
          </w:tcPr>
          <w:p>
            <w:pPr>
              <w:ind w:left="220"/>
              <w:spacing w:after="0" w:line="142" w:lineRule="exact"/>
              <w:rPr>
                <w:sz w:val="20"/>
                <w:szCs w:val="20"/>
                <w:color w:val="auto"/>
              </w:rPr>
            </w:pPr>
            <w:r>
              <w:rPr>
                <w:rFonts w:ascii="Arial" w:cs="Arial" w:eastAsia="Arial" w:hAnsi="Arial"/>
                <w:sz w:val="14"/>
                <w:szCs w:val="14"/>
                <w:b w:val="1"/>
                <w:bCs w:val="1"/>
                <w:color w:val="auto"/>
              </w:rPr>
              <w:t>Number</w:t>
            </w:r>
          </w:p>
        </w:tc>
        <w:tc>
          <w:tcPr>
            <w:tcW w:w="106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Percentage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Stephen A. Wynn(3)</w:t>
            </w:r>
          </w:p>
        </w:tc>
        <w:tc>
          <w:tcPr>
            <w:tcW w:w="5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11,026,708</w:t>
            </w:r>
          </w:p>
        </w:tc>
        <w:tc>
          <w:tcPr>
            <w:tcW w:w="7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Elaine P. Wynn(3)</w:t>
            </w:r>
          </w:p>
        </w:tc>
        <w:tc>
          <w:tcPr>
            <w:tcW w:w="2340" w:type="dxa"/>
            <w:vAlign w:val="bottom"/>
            <w:gridSpan w:val="3"/>
          </w:tcPr>
          <w:p>
            <w:pPr>
              <w:jc w:val="right"/>
              <w:ind w:right="720"/>
              <w:spacing w:after="0"/>
              <w:rPr>
                <w:sz w:val="20"/>
                <w:szCs w:val="20"/>
                <w:color w:val="auto"/>
              </w:rPr>
            </w:pPr>
            <w:r>
              <w:rPr>
                <w:rFonts w:ascii="Arial" w:cs="Arial" w:eastAsia="Arial" w:hAnsi="Arial"/>
                <w:sz w:val="18"/>
                <w:szCs w:val="18"/>
                <w:color w:val="auto"/>
              </w:rPr>
              <w:t>11,041,709</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Kazuo Okada/Aruze USA, Inc.(3)(4)</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24,549,222</w:t>
            </w:r>
          </w:p>
        </w:tc>
        <w:tc>
          <w:tcPr>
            <w:tcW w:w="7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19.82%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745 Grier Drive</w:t>
            </w: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Las Vegas, NV 89119</w:t>
            </w:r>
          </w:p>
        </w:tc>
        <w:tc>
          <w:tcPr>
            <w:tcW w:w="7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Waddell &amp; Reed Financial, Inc.(5)</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17,647,556</w:t>
            </w:r>
          </w:p>
        </w:tc>
        <w:tc>
          <w:tcPr>
            <w:tcW w:w="7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ind w:left="200"/>
              <w:spacing w:after="0"/>
              <w:rPr>
                <w:sz w:val="20"/>
                <w:szCs w:val="20"/>
                <w:color w:val="auto"/>
              </w:rPr>
            </w:pPr>
            <w:r>
              <w:rPr>
                <w:rFonts w:ascii="Arial" w:cs="Arial" w:eastAsia="Arial" w:hAnsi="Arial"/>
                <w:sz w:val="18"/>
                <w:szCs w:val="18"/>
                <w:color w:val="auto"/>
              </w:rPr>
              <w:t>6300 Lamar Avenue</w:t>
            </w: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0" w:type="dxa"/>
            <w:vAlign w:val="bottom"/>
            <w:gridSpan w:val="2"/>
          </w:tcPr>
          <w:p>
            <w:pPr>
              <w:ind w:left="200"/>
              <w:spacing w:after="0"/>
              <w:rPr>
                <w:sz w:val="20"/>
                <w:szCs w:val="20"/>
                <w:color w:val="auto"/>
              </w:rPr>
            </w:pPr>
            <w:r>
              <w:rPr>
                <w:rFonts w:ascii="Arial" w:cs="Arial" w:eastAsia="Arial" w:hAnsi="Arial"/>
                <w:sz w:val="18"/>
                <w:szCs w:val="18"/>
                <w:color w:val="auto"/>
              </w:rPr>
              <w:t>Overland Park, KS 66202</w:t>
            </w:r>
          </w:p>
        </w:tc>
        <w:tc>
          <w:tcPr>
            <w:tcW w:w="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Stanley(6)</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8,902,269</w:t>
            </w:r>
          </w:p>
        </w:tc>
        <w:tc>
          <w:tcPr>
            <w:tcW w:w="7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1585 Broadway</w:t>
            </w: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New York, NY 10036</w:t>
            </w:r>
          </w:p>
        </w:tc>
        <w:tc>
          <w:tcPr>
            <w:tcW w:w="7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Marsico Capital Management, LLC(7)</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6,227,417</w:t>
            </w:r>
          </w:p>
        </w:tc>
        <w:tc>
          <w:tcPr>
            <w:tcW w:w="7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ind w:left="200"/>
              <w:spacing w:after="0"/>
              <w:rPr>
                <w:sz w:val="20"/>
                <w:szCs w:val="20"/>
                <w:color w:val="auto"/>
              </w:rPr>
            </w:pPr>
            <w:r>
              <w:rPr>
                <w:rFonts w:ascii="Arial" w:cs="Arial" w:eastAsia="Arial" w:hAnsi="Arial"/>
                <w:sz w:val="18"/>
                <w:szCs w:val="18"/>
                <w:color w:val="auto"/>
              </w:rPr>
              <w:t>1200 17</w:t>
            </w:r>
            <w:r>
              <w:rPr>
                <w:rFonts w:ascii="Arial" w:cs="Arial" w:eastAsia="Arial" w:hAnsi="Arial"/>
                <w:sz w:val="11"/>
                <w:szCs w:val="11"/>
                <w:color w:val="auto"/>
              </w:rPr>
              <w:t>th</w:t>
            </w:r>
            <w:r>
              <w:rPr>
                <w:rFonts w:ascii="Arial" w:cs="Arial" w:eastAsia="Arial" w:hAnsi="Arial"/>
                <w:sz w:val="18"/>
                <w:szCs w:val="18"/>
                <w:color w:val="auto"/>
              </w:rPr>
              <w:t xml:space="preserve"> Street, Suite 1600</w:t>
            </w: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0" w:type="dxa"/>
            <w:vAlign w:val="bottom"/>
            <w:gridSpan w:val="2"/>
          </w:tcPr>
          <w:p>
            <w:pPr>
              <w:ind w:left="200"/>
              <w:spacing w:after="0"/>
              <w:rPr>
                <w:sz w:val="20"/>
                <w:szCs w:val="20"/>
                <w:color w:val="auto"/>
              </w:rPr>
            </w:pPr>
            <w:r>
              <w:rPr>
                <w:rFonts w:ascii="Arial" w:cs="Arial" w:eastAsia="Arial" w:hAnsi="Arial"/>
                <w:sz w:val="18"/>
                <w:szCs w:val="18"/>
                <w:color w:val="auto"/>
              </w:rPr>
              <w:t>Denver, Colorado 80202</w:t>
            </w:r>
          </w:p>
        </w:tc>
        <w:tc>
          <w:tcPr>
            <w:tcW w:w="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Linda Chen(8)</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371,667</w:t>
            </w:r>
          </w:p>
        </w:tc>
        <w:tc>
          <w:tcPr>
            <w:tcW w:w="7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Russell Goldsmith(9)</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38,000</w:t>
            </w:r>
          </w:p>
        </w:tc>
        <w:tc>
          <w:tcPr>
            <w:tcW w:w="7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 R. Irani(10)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7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Robert J. Miller(11)</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38,500</w:t>
            </w:r>
          </w:p>
        </w:tc>
        <w:tc>
          <w:tcPr>
            <w:tcW w:w="7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A. Moran(11)(12)</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188,500</w:t>
            </w:r>
          </w:p>
        </w:tc>
        <w:tc>
          <w:tcPr>
            <w:tcW w:w="7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Alvin V. Shoemaker(11)</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48,500</w:t>
            </w:r>
          </w:p>
        </w:tc>
        <w:tc>
          <w:tcPr>
            <w:tcW w:w="7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 Boone Wayson(11)</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88,500</w:t>
            </w:r>
          </w:p>
        </w:tc>
        <w:tc>
          <w:tcPr>
            <w:tcW w:w="7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Allan Zeman(11)</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38,500</w:t>
            </w:r>
          </w:p>
        </w:tc>
        <w:tc>
          <w:tcPr>
            <w:tcW w:w="7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 Maddox(13)</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193,333</w:t>
            </w:r>
          </w:p>
        </w:tc>
        <w:tc>
          <w:tcPr>
            <w:tcW w:w="7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Marc D. Schorr(14)</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365,800</w:t>
            </w:r>
          </w:p>
        </w:tc>
        <w:tc>
          <w:tcPr>
            <w:tcW w:w="7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Strzemp(15)</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260,500</w:t>
            </w:r>
          </w:p>
        </w:tc>
        <w:tc>
          <w:tcPr>
            <w:tcW w:w="7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Kim Sinatra (16)</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75,000</w:t>
            </w:r>
          </w:p>
        </w:tc>
        <w:tc>
          <w:tcPr>
            <w:tcW w:w="7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Director Nominees, and Executive Officers as a Group (15 persons)(17)</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48,340,439</w:t>
            </w:r>
          </w:p>
        </w:tc>
        <w:tc>
          <w:tcPr>
            <w:tcW w:w="7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580" w:hanging="528"/>
        <w:spacing w:after="0"/>
        <w:tabs>
          <w:tab w:leader="none" w:pos="5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15" w:lineRule="exact"/>
        <w:rPr>
          <w:sz w:val="20"/>
          <w:szCs w:val="20"/>
          <w:color w:val="auto"/>
        </w:rPr>
      </w:pPr>
    </w:p>
    <w:p>
      <w:pPr>
        <w:ind w:left="580" w:hanging="572"/>
        <w:spacing w:after="0" w:line="253" w:lineRule="auto"/>
        <w:tabs>
          <w:tab w:leader="none" w:pos="5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This table is based upon information supplied by officers, directors, nominees for director, principal stockholders and Wynn Resorts’ transfer agent, and contained in Schedules 13D and 13G filed with the SEC. Unless otherwise indicated in the footnotes to this table and subject to community property laws, where applicable, Wynn Resorts believes each of the stockholders named in this table has sole voting and investment power with respect to the shares indicated as beneficially owned. Executives and directors have voting power over shares of Restricted Stock, but cannot transfer such shares unless and until they vest.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right="260" w:hanging="572"/>
        <w:spacing w:after="0" w:line="254" w:lineRule="auto"/>
        <w:tabs>
          <w:tab w:leader="none" w:pos="5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Unless otherwise indicated, the address of each of the named parties in this table is: c/o Wynn Resorts, Limited, 3131 Las Vegas Boulevard South, Las Vegas, Nevada 89109.</w:t>
      </w:r>
    </w:p>
    <w:p>
      <w:pPr>
        <w:ind w:left="580" w:right="500" w:hanging="572"/>
        <w:spacing w:after="0" w:line="281" w:lineRule="auto"/>
        <w:tabs>
          <w:tab w:leader="none" w:pos="5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Does not include shares that may be deemed to be beneficially owned by virtue of the Amended and Restated Stockholders Agreement, dated as of January 6, 2010 (the “Stockholders Agreement”), by and among Mr. Wynn, Elaine P. Wynn and Aruze USA, Inc.</w:t>
      </w:r>
    </w:p>
    <w:p>
      <w:pPr>
        <w:spacing w:after="0" w:line="1" w:lineRule="exact"/>
        <w:rPr>
          <w:rFonts w:ascii="Arial" w:cs="Arial" w:eastAsia="Arial" w:hAnsi="Arial"/>
          <w:sz w:val="16"/>
          <w:szCs w:val="16"/>
          <w:color w:val="auto"/>
        </w:rPr>
      </w:pPr>
    </w:p>
    <w:p>
      <w:pPr>
        <w:ind w:left="580" w:right="120" w:hanging="572"/>
        <w:spacing w:after="0" w:line="281" w:lineRule="auto"/>
        <w:tabs>
          <w:tab w:leader="none" w:pos="5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Aruze USA, Inc. is a wholly owned subsidiary of Universal Entertainment Corporation of which Mr. Kazuo Okada owns a controlling interest and is the Chairman. The subject securities were acquired and are owned by Aruze USA, Inc. but Universal and Mr. Okada may also be considered beneficial owners of the shares because Aruze USA, Universal and Mr. Okada may be deemed to have shared voting and dispositive power over the shares. The information provided is based upon a Schedule 13D/A filed on January 6, 2010.</w:t>
      </w:r>
    </w:p>
    <w:p>
      <w:pPr>
        <w:spacing w:after="0" w:line="2" w:lineRule="exact"/>
        <w:rPr>
          <w:rFonts w:ascii="Arial" w:cs="Arial" w:eastAsia="Arial" w:hAnsi="Arial"/>
          <w:sz w:val="16"/>
          <w:szCs w:val="16"/>
          <w:color w:val="auto"/>
        </w:rPr>
      </w:pPr>
    </w:p>
    <w:p>
      <w:pPr>
        <w:ind w:left="580" w:right="60" w:hanging="572"/>
        <w:spacing w:after="0" w:line="250" w:lineRule="auto"/>
        <w:tabs>
          <w:tab w:leader="none" w:pos="5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Waddell &amp; Reed Financial Inc. (“Waddell”) has beneficial ownership of these shares as of December 31, 2009. The information provided is based upon a Schedule 13G/A dated February 12, 2010, filed by Waddell.</w:t>
      </w:r>
    </w:p>
    <w:p>
      <w:pPr>
        <w:ind w:left="580" w:right="120" w:hanging="572"/>
        <w:spacing w:after="0" w:line="300" w:lineRule="auto"/>
        <w:tabs>
          <w:tab w:leader="none" w:pos="580" w:val="left"/>
        </w:tabs>
        <w:numPr>
          <w:ilvl w:val="0"/>
          <w:numId w:val="71"/>
        </w:numPr>
        <w:rPr>
          <w:rFonts w:ascii="Arial" w:cs="Arial" w:eastAsia="Arial" w:hAnsi="Arial"/>
          <w:sz w:val="15"/>
          <w:szCs w:val="15"/>
          <w:color w:val="auto"/>
        </w:rPr>
      </w:pPr>
      <w:r>
        <w:rPr>
          <w:rFonts w:ascii="Arial" w:cs="Arial" w:eastAsia="Arial" w:hAnsi="Arial"/>
          <w:sz w:val="15"/>
          <w:szCs w:val="15"/>
          <w:color w:val="auto"/>
        </w:rPr>
        <w:t>Reflects, as of December 31, 2009, the securities beneficially owned by certain operating units (collectively, the “MS Reporting Units”) of Morgan Stanley and its subsidiaries and affiliates (collectively, “MS”) and does not reflect securities, if any, beneficially owned by any operating units of MS whose ownership of securities is disaggregated from that of the MS Reporting Units. Morgan Stanley has sole dispositive power over these shares and sole voting power over 8,736,508 shares. The information provided is based upon a Schedule 13G/A, dated February 12, 2010, filed by Morgan Stanley.</w:t>
      </w:r>
    </w:p>
    <w:p>
      <w:pPr>
        <w:spacing w:after="0" w:line="1" w:lineRule="exact"/>
        <w:rPr>
          <w:rFonts w:ascii="Arial" w:cs="Arial" w:eastAsia="Arial" w:hAnsi="Arial"/>
          <w:sz w:val="15"/>
          <w:szCs w:val="15"/>
          <w:color w:val="auto"/>
        </w:rPr>
      </w:pPr>
    </w:p>
    <w:p>
      <w:pPr>
        <w:ind w:left="580" w:hanging="572"/>
        <w:spacing w:after="0" w:line="250" w:lineRule="auto"/>
        <w:tabs>
          <w:tab w:leader="none" w:pos="5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Marsico Capital Management LLC (“Marsico”) has beneficial ownership of these shares as of December 31, 2009. Marsico has sole dispositive power over these shares and sole voting power over 5,584,510 shares. The information provided is based upon a Schedule 13G/A, dated February 12, 2010, filed by Marsico.</w:t>
      </w:r>
    </w:p>
    <w:p>
      <w:pPr>
        <w:spacing w:after="0" w:line="1" w:lineRule="exact"/>
        <w:rPr>
          <w:rFonts w:ascii="Arial" w:cs="Arial" w:eastAsia="Arial" w:hAnsi="Arial"/>
          <w:sz w:val="18"/>
          <w:szCs w:val="18"/>
          <w:color w:val="auto"/>
        </w:rPr>
      </w:pPr>
    </w:p>
    <w:p>
      <w:pPr>
        <w:ind w:left="580" w:right="20" w:hanging="572"/>
        <w:spacing w:after="0" w:line="281" w:lineRule="auto"/>
        <w:tabs>
          <w:tab w:leader="none" w:pos="5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Includes: (i) 100,000 shares of restricted stock granted pursuant to Wynn Resorts’ 2002 Stock Plan and subject to a Restricted Stock Agreement which provides such grant will vest on July 31, 2012; (ii) 100,000 shares of restricted stock granted pursuant to Wynn Resorts’ 2002 Stock Plan and subject to a Restricted Stock Agreement which provides such grant will vest on December 5, 2016; (iii) 66,667 shares subject to an immediately exercisable option to purchase Wynn Resorts common stock granted pursuant to Wynn Resorts’ 2002 Stock Incentive Plan; (iv) 26,250 shares owned by Linda Chen, as trustee; and (v) 30,000 shares that vest on May 6, 2010.</w:t>
      </w:r>
    </w:p>
    <w:p>
      <w:pPr>
        <w:spacing w:after="0" w:line="3" w:lineRule="exact"/>
        <w:rPr>
          <w:rFonts w:ascii="Arial" w:cs="Arial" w:eastAsia="Arial" w:hAnsi="Arial"/>
          <w:sz w:val="16"/>
          <w:szCs w:val="16"/>
          <w:color w:val="auto"/>
        </w:rPr>
      </w:pPr>
    </w:p>
    <w:p>
      <w:pPr>
        <w:ind w:left="580" w:right="20" w:hanging="572"/>
        <w:spacing w:after="0" w:line="250" w:lineRule="auto"/>
        <w:tabs>
          <w:tab w:leader="none" w:pos="5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Includes: (i) 10,000 shares subject to an immediately exercisable option to purchase Wynn Resorts’ common stock granted pursuant to Wynn Resorts’ 2002 Stock Incentive Plan; (ii) 2,500 unvested shares of restricted stock of Wynn Resorts’ common stock granted pursuant to Wynn Resorts’ 2002 Stock Plan; (iii) 3,800 shares owned by family members through trusts and companies for which Mr. Goldsmith disclaims beneficial ownership of 2,300 shares; and (iv) 1,000 shares that vest on May 6, 2010.</w:t>
      </w:r>
    </w:p>
    <w:p>
      <w:pPr>
        <w:spacing w:after="0" w:line="1" w:lineRule="exact"/>
        <w:rPr>
          <w:rFonts w:ascii="Arial" w:cs="Arial" w:eastAsia="Arial" w:hAnsi="Arial"/>
          <w:sz w:val="18"/>
          <w:szCs w:val="18"/>
          <w:color w:val="auto"/>
        </w:rPr>
      </w:pPr>
    </w:p>
    <w:p>
      <w:pPr>
        <w:ind w:left="580" w:right="100" w:hanging="572"/>
        <w:spacing w:after="0" w:line="250" w:lineRule="auto"/>
        <w:tabs>
          <w:tab w:leader="none" w:pos="5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Includes: (i) 10,000 shares subject to an immediately exercisable option to purchase Wynn Resorts’ common stock granted pursuant to Wynn Resorts’ 2002 Stock Incentive Plan; (ii) 5,000 unvested shares of restricted stock of Wynn Resorts’ common stock granted pursuant to Wynn Resorts’ 2002 Stock Plan; and (iii) 1,000 shares that vest on May 6, 2010.</w:t>
      </w:r>
    </w:p>
    <w:p>
      <w:pPr>
        <w:spacing w:after="0" w:line="1" w:lineRule="exact"/>
        <w:rPr>
          <w:rFonts w:ascii="Arial" w:cs="Arial" w:eastAsia="Arial" w:hAnsi="Arial"/>
          <w:sz w:val="18"/>
          <w:szCs w:val="18"/>
          <w:color w:val="auto"/>
        </w:rPr>
      </w:pPr>
    </w:p>
    <w:p>
      <w:pPr>
        <w:jc w:val="both"/>
        <w:ind w:left="580" w:right="20" w:hanging="572"/>
        <w:spacing w:after="0" w:line="250" w:lineRule="auto"/>
        <w:tabs>
          <w:tab w:leader="none" w:pos="5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Includes: (i) 30,000 shares subject to immediately exercisable options to purchase Wynn Resorts’ common stock granted pursuant to Wynn Resorts’ 2002 Stock Incentive Plan; (ii) 7,500 unvested shares of restricted stock of Wynn Resorts’ common stock granted pursuant to Wynn Resorts’s 2002 Stock Plan; and (iii) 1,000 shares that vest on May 6, 2010.</w:t>
      </w:r>
    </w:p>
    <w:p>
      <w:pPr>
        <w:spacing w:after="0" w:line="1" w:lineRule="exact"/>
        <w:rPr>
          <w:rFonts w:ascii="Arial" w:cs="Arial" w:eastAsia="Arial" w:hAnsi="Arial"/>
          <w:sz w:val="18"/>
          <w:szCs w:val="18"/>
          <w:color w:val="auto"/>
        </w:rPr>
      </w:pPr>
    </w:p>
    <w:p>
      <w:pPr>
        <w:ind w:left="580" w:hanging="572"/>
        <w:spacing w:after="0"/>
        <w:tabs>
          <w:tab w:leader="none" w:pos="5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Includes: 150,000 shares of the Wynn Resorts’ common stock held by John A. Moran, as Trustee.</w:t>
      </w:r>
    </w:p>
    <w:p>
      <w:pPr>
        <w:spacing w:after="0" w:line="9" w:lineRule="exact"/>
        <w:rPr>
          <w:rFonts w:ascii="Arial" w:cs="Arial" w:eastAsia="Arial" w:hAnsi="Arial"/>
          <w:sz w:val="18"/>
          <w:szCs w:val="18"/>
          <w:color w:val="auto"/>
        </w:rPr>
      </w:pPr>
    </w:p>
    <w:p>
      <w:pPr>
        <w:ind w:left="580" w:right="20" w:hanging="572"/>
        <w:spacing w:after="0" w:line="253" w:lineRule="auto"/>
        <w:tabs>
          <w:tab w:leader="none" w:pos="5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Includes: (i) 83,333 shares subject to immediately exercisable options to purchase Wynn Resorts common stock pursuant to Wynn Resorts’ 2002 Stock Incentive Plan; (ii) 50,000 shares of restricted stock granted pursuant to Wynn Resorts’ 2002 Stock Purchase Plan and subject to a Restricted Stock Agreement which provides such grant will vest on December 5, 2016; (iii) 10,000 shares of restricted stock granted pursuant to Wynn Resorts’ 2002 Stock Purchase Plan and subject to a Restricted Stock Agreement which provides such grant will vest on May 7, 2012; and (iv) 30,000 shares that vest on May 6, 2010.</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right="160" w:hanging="572"/>
        <w:spacing w:after="0" w:line="284" w:lineRule="auto"/>
        <w:tabs>
          <w:tab w:leader="none" w:pos="5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Includes: (i) 250,000 shares of restricted stock granted pursuant to Wynn Resorts’ 2002 Stock Plan and subject to a Restricted Stock Agreement which provides such grant will vest on December 5, 2016; (ii) 50,000 shares subject to an immediately exercisable option to purchase Wynn Resorts’ common stock granted pursuant to Wynn Resorts 2002 Stock Incentive Plan; and 50,000 shares that vest on May 6, 2010.</w:t>
      </w:r>
    </w:p>
    <w:p>
      <w:pPr>
        <w:spacing w:after="0" w:line="1" w:lineRule="exact"/>
        <w:rPr>
          <w:rFonts w:ascii="Arial" w:cs="Arial" w:eastAsia="Arial" w:hAnsi="Arial"/>
          <w:sz w:val="16"/>
          <w:szCs w:val="16"/>
          <w:color w:val="auto"/>
        </w:rPr>
      </w:pPr>
    </w:p>
    <w:p>
      <w:pPr>
        <w:ind w:left="580" w:hanging="572"/>
        <w:spacing w:after="0" w:line="250" w:lineRule="auto"/>
        <w:tabs>
          <w:tab w:leader="none" w:pos="5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Includes (i) 500 shares of Wynn Resorts’ common stock held by Mr. Strzemp’s mother, for which Mr. Strzemp disclaims beneficial ownership; (ii) 60,000 shares subject to immediately exercisable options to purchase Wynn Resorts common stock pursuant to Wynn Resorts’ 2002 Stock Incentive Plan; and (iii) 5,000 shares that vest on May 6, 2010.</w:t>
      </w:r>
    </w:p>
    <w:p>
      <w:pPr>
        <w:spacing w:after="0" w:line="1" w:lineRule="exact"/>
        <w:rPr>
          <w:rFonts w:ascii="Arial" w:cs="Arial" w:eastAsia="Arial" w:hAnsi="Arial"/>
          <w:sz w:val="18"/>
          <w:szCs w:val="18"/>
          <w:color w:val="auto"/>
        </w:rPr>
      </w:pPr>
    </w:p>
    <w:p>
      <w:pPr>
        <w:ind w:left="580" w:right="100" w:hanging="572"/>
        <w:spacing w:after="0" w:line="281" w:lineRule="auto"/>
        <w:tabs>
          <w:tab w:leader="none" w:pos="5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Includes: (i) 25,000 shares of restricted stock granted pursuant to Wynn Resorts’ 2002 Stock Plan and subject to a Restricted Stock Agreement which provides such grant will vest on December 5, 2016; (ii) 25,000 shares of restricted stock granted pursuant to Wynn Resorts’ 2002 Stock Plan and subject to a Restricted Stock Agreement which provides such grant will vest on July 31, 2011; and (iii) 25,000 shares that vest on May 6, 2010.</w:t>
      </w:r>
    </w:p>
    <w:p>
      <w:pPr>
        <w:spacing w:after="0" w:line="2" w:lineRule="exact"/>
        <w:rPr>
          <w:rFonts w:ascii="Arial" w:cs="Arial" w:eastAsia="Arial" w:hAnsi="Arial"/>
          <w:sz w:val="16"/>
          <w:szCs w:val="16"/>
          <w:color w:val="auto"/>
        </w:rPr>
      </w:pPr>
    </w:p>
    <w:p>
      <w:pPr>
        <w:ind w:left="580" w:hanging="572"/>
        <w:spacing w:after="0"/>
        <w:tabs>
          <w:tab w:leader="none" w:pos="5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Includes 430,000 shares subject to immediately exercisable stock options and 147,000 shares that will vest in the next 60 days.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77"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Historically, the Audit Committee of the Board of Directors has reviewed for approval or ratification all transactions between Wynn Resorts and any related person, regardless of amount. In February, 2007, the Audit Committee adopted a written policy codifying its prior practice. The policy applies to transactions with any related person, which SEC rules define to include directors, director nominees, executive officers, beneficial owners of in excess of 5% of the outstanding shares of Wynn Resorts’ common stock, and their respective immediate family members. The policy classifies as pre-approved (a) employment of executive officers and director compensation if the compensation is required to be reported under Item 402 of the SEC’s compensation disclosure requirements;</w:t>
      </w:r>
    </w:p>
    <w:p>
      <w:pPr>
        <w:spacing w:after="0" w:line="2" w:lineRule="exact"/>
        <w:rPr>
          <w:sz w:val="20"/>
          <w:szCs w:val="20"/>
          <w:color w:val="auto"/>
        </w:rPr>
      </w:pPr>
    </w:p>
    <w:p>
      <w:pPr>
        <w:ind w:right="20" w:firstLine="8"/>
        <w:spacing w:after="0" w:line="287" w:lineRule="auto"/>
        <w:tabs>
          <w:tab w:leader="none" w:pos="249" w:val="left"/>
        </w:tabs>
        <w:numPr>
          <w:ilvl w:val="0"/>
          <w:numId w:val="73"/>
        </w:numPr>
        <w:rPr>
          <w:rFonts w:ascii="Arial" w:cs="Arial" w:eastAsia="Arial" w:hAnsi="Arial"/>
          <w:sz w:val="16"/>
          <w:szCs w:val="16"/>
          <w:color w:val="auto"/>
        </w:rPr>
      </w:pPr>
      <w:r>
        <w:rPr>
          <w:rFonts w:ascii="Arial" w:cs="Arial" w:eastAsia="Arial" w:hAnsi="Arial"/>
          <w:sz w:val="16"/>
          <w:szCs w:val="16"/>
          <w:color w:val="auto"/>
        </w:rPr>
        <w:t>transactions with another company or charitable contributions if the related person’s only relationship is as an employee (other than executive officer), director or beneficial owner of less than 10% of that company’s or donee’s shares if the aggregate amount does not exceed the greater of $100,000 or 2% of that company’s or donee’s total annual revenues; (c) transactions where the related person’s interest arises solely from the ownership of Wynn Resorts’ stock and all stockholders benefit on a pro rata basis; (d) transactions involving competitive bids; (e) regulated transactions involving services as a common carrier or public utility at rates fixed in conformity with law or governmental authority; and (f) transactions with related parties involving a bank as depositary of funds, transfer agent, registrar, trustee under a trust indenture or similar services. The Committee receives notice of the occurrence of all pre-approved transactions. All other transactions with related persons are subject to approval or ratification by the Committee. In determining whether to approve or ratify a transaction, the Committee will take into account, among other factors it deems appropriate, whether the transaction is on terms no less favorable than terms generally available to an unaffiliated third-party under the same or similar circumstances and the extent of the related person’s interest in the transaction.</w:t>
      </w:r>
    </w:p>
    <w:p>
      <w:pPr>
        <w:spacing w:after="0" w:line="12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are the material transactions or agreements between Wynn Resorts and related persons. The Audit Committee has approved or ratified all of these transactions that occurred after the date of the adoption of the policy.</w:t>
      </w:r>
    </w:p>
    <w:p>
      <w:pPr>
        <w:spacing w:after="0" w:line="12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b w:val="1"/>
          <w:bCs w:val="1"/>
          <w:color w:val="auto"/>
        </w:rPr>
        <w:t xml:space="preserve">Stockholders Agreement. </w:t>
      </w:r>
      <w:r>
        <w:rPr>
          <w:rFonts w:ascii="Arial" w:cs="Arial" w:eastAsia="Arial" w:hAnsi="Arial"/>
          <w:sz w:val="16"/>
          <w:szCs w:val="16"/>
          <w:color w:val="auto"/>
        </w:rPr>
        <w:t>On January 6, 2010, Mr. Wynn, the Chairman of the Board and Chief Executive Officer of Wynn Resorts, Elaine P. Wynn, a</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of Wynn Resorts, and Aruze USA, a greater than 5% stockholder of Wynn Resorts, entered into an Amended and Restated Stockholders Agreement (the “Amended and Restated Stockholders Agreement”) whereby that certain Stockholders Agreement, entered into as of April 11, 2002, between Mr. Wynn and Aruze USA, as amended by that certain Amendment to Stockholders Agreement, entered into as of November 8, 2006, between Mr. Wynn and Aruze USA, the Waiver and Consent, dated July 31, 2009, and the Waiver and Consent, dated August 13, 2009, was amended and restated in its entirety. Pursuant to the Amended and Restated Stockholders Agreement, Elaine P. Wynn (a) became a party to the Amended and Restated Stockholders Agreement in connection with her ownership of 11,076,709 shares of Wynn Resorts’ common stock that were transferred to Elaine P. Wynn by Mr. Wynn and (b) became subject to the covenants and provisions thereof, including with respect to voting agreements, preemptive rights, rights of first refusal, tag-along rights and certain other restrictions on transfer of such shares subject to release of $10 million of such shares on January 6, 2010 and on each of the following nine anniversaries thereof. In addition, the Amended and Restated Stockholders Agreement amended the voting agreement provision to provide that each of Mr. Wynn, Elaine P. Wynn and Aruze agree to vote all shares of Wynn Resorts held by them and subject to the terms of the Amended and Restated Stockholders Agreement in a manner so as to elect to the Wynn Resorts’ Board of Directors each of the nominees contained on each and every slate of directors endorsed by Mr. Wynn, which slate will include, subject to certain conditions, Elaine P. Wynn and, so long as such slate results in a majority of directors at all times being candidates endorsed by Mr. Wynn, nominees approved by Aruze.</w:t>
      </w:r>
    </w:p>
    <w:p>
      <w:pPr>
        <w:spacing w:after="0" w:line="118" w:lineRule="exact"/>
        <w:rPr>
          <w:sz w:val="20"/>
          <w:szCs w:val="20"/>
          <w:color w:val="auto"/>
        </w:rPr>
      </w:pPr>
    </w:p>
    <w:p>
      <w:pPr>
        <w:jc w:val="both"/>
        <w:ind w:right="320" w:firstLine="456"/>
        <w:spacing w:after="0" w:line="262" w:lineRule="auto"/>
        <w:rPr>
          <w:sz w:val="20"/>
          <w:szCs w:val="20"/>
          <w:color w:val="auto"/>
        </w:rPr>
      </w:pPr>
      <w:r>
        <w:rPr>
          <w:rFonts w:ascii="Arial" w:cs="Arial" w:eastAsia="Arial" w:hAnsi="Arial"/>
          <w:sz w:val="18"/>
          <w:szCs w:val="18"/>
          <w:b w:val="1"/>
          <w:bCs w:val="1"/>
          <w:color w:val="auto"/>
        </w:rPr>
        <w:t xml:space="preserve">Art Gallery. </w:t>
      </w:r>
      <w:r>
        <w:rPr>
          <w:rFonts w:ascii="Arial" w:cs="Arial" w:eastAsia="Arial" w:hAnsi="Arial"/>
          <w:sz w:val="18"/>
          <w:szCs w:val="18"/>
          <w:color w:val="auto"/>
        </w:rPr>
        <w:t>Since June 2006, Wynn Resorts has leased a portion of The Wynn Collection from Mr. Wynn and Elaine P. Wynn for an annual fee of one</w:t>
      </w:r>
      <w:r>
        <w:rPr>
          <w:rFonts w:ascii="Arial" w:cs="Arial" w:eastAsia="Arial" w:hAnsi="Arial"/>
          <w:sz w:val="18"/>
          <w:szCs w:val="18"/>
          <w:b w:val="1"/>
          <w:bCs w:val="1"/>
          <w:color w:val="auto"/>
        </w:rPr>
        <w:t xml:space="preserve"> </w:t>
      </w:r>
      <w:r>
        <w:rPr>
          <w:rFonts w:ascii="Arial" w:cs="Arial" w:eastAsia="Arial" w:hAnsi="Arial"/>
          <w:sz w:val="18"/>
          <w:szCs w:val="18"/>
          <w:color w:val="auto"/>
        </w:rPr>
        <w:t>dollar ($1). Wynn Resorts is responsible for all expenses incurred in exhibiting and safeguarding those works from The Wynn Collection that it exhibits in its properties, including the cost of insurance (including terrorism insurance) and taxes.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b w:val="1"/>
          <w:bCs w:val="1"/>
          <w:color w:val="auto"/>
        </w:rPr>
        <w:t xml:space="preserve">Surname and Rights of Publicity Agreements. </w:t>
      </w:r>
      <w:r>
        <w:rPr>
          <w:rFonts w:ascii="Arial" w:cs="Arial" w:eastAsia="Arial" w:hAnsi="Arial"/>
          <w:sz w:val="18"/>
          <w:szCs w:val="18"/>
          <w:color w:val="auto"/>
        </w:rPr>
        <w:t>On August 6, 2004, Wynn Holdings entered into agreements with Mr. Wynn that confirm and clarify</w:t>
      </w:r>
      <w:r>
        <w:rPr>
          <w:rFonts w:ascii="Arial" w:cs="Arial" w:eastAsia="Arial" w:hAnsi="Arial"/>
          <w:sz w:val="18"/>
          <w:szCs w:val="18"/>
          <w:b w:val="1"/>
          <w:bCs w:val="1"/>
          <w:color w:val="auto"/>
        </w:rPr>
        <w:t xml:space="preserve"> </w:t>
      </w:r>
      <w:r>
        <w:rPr>
          <w:rFonts w:ascii="Arial" w:cs="Arial" w:eastAsia="Arial" w:hAnsi="Arial"/>
          <w:sz w:val="18"/>
          <w:szCs w:val="18"/>
          <w:color w:val="auto"/>
        </w:rPr>
        <w:t>Wynn Holdings’ rights to use the “Wynn” name and Mr. Wynn’s persona in connection with its casino resorts. Under the parties’ Surname Rights Agreement, Mr. Wynn granted Wynn Holdings an exclusive, royalty-free, fully paid,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Wynn Holdings the exclusive, royalty-free, worldwide right to use his full name, persona and related rights of publicity for casino resorts and related businesses, together with the ability to sublicense the persona and publicity rights to its affiliates, until October 24, 2017.</w:t>
      </w:r>
    </w:p>
    <w:p>
      <w:pPr>
        <w:spacing w:after="0" w:line="141" w:lineRule="exact"/>
        <w:rPr>
          <w:sz w:val="20"/>
          <w:szCs w:val="20"/>
          <w:color w:val="auto"/>
        </w:rPr>
      </w:pPr>
    </w:p>
    <w:p>
      <w:pPr>
        <w:ind w:right="140" w:firstLine="456"/>
        <w:spacing w:after="0" w:line="262" w:lineRule="auto"/>
        <w:rPr>
          <w:sz w:val="20"/>
          <w:szCs w:val="20"/>
          <w:color w:val="auto"/>
        </w:rPr>
      </w:pPr>
      <w:r>
        <w:rPr>
          <w:rFonts w:ascii="Arial" w:cs="Arial" w:eastAsia="Arial" w:hAnsi="Arial"/>
          <w:sz w:val="18"/>
          <w:szCs w:val="18"/>
          <w:b w:val="1"/>
          <w:bCs w:val="1"/>
          <w:color w:val="auto"/>
        </w:rPr>
        <w:t xml:space="preserve">Villa Lease. </w:t>
      </w:r>
      <w:r>
        <w:rPr>
          <w:rFonts w:ascii="Arial" w:cs="Arial" w:eastAsia="Arial" w:hAnsi="Arial"/>
          <w:sz w:val="18"/>
          <w:szCs w:val="18"/>
          <w:color w:val="auto"/>
        </w:rPr>
        <w:t>Mr. Wynn and Elaine P. Wynn each lease from year to year a villa suite in the Wynn Las Vegas resort. Pursuant to a lease agreement that was</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commencing July 1, 2008, the rent was $520,000 per year for a villa suite. In March 2009, the lease was amended to add an additional unit with no change in rent due to the significant deterioration in the rental market in Las Vegas.</w:t>
      </w:r>
    </w:p>
    <w:p>
      <w:pPr>
        <w:spacing w:after="0" w:line="13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March 17, 2010, Elaine P. Wynn and Wynn Las Vegas entered into an Agreement of Lease (the “New EW Lease”) for the lease of a villa suite as Elaine P. Wynn’s personal residence. The New EW Lease was approved by the Audit Committee of the Board of Directors of Wynn Resorts. The term of the lease commenced as of March 1, 2010 and terminates December 31, 2010. Pursuant to the terms of the New EW Lease, Elaine P. Wynn will pay annual rent equal to $350,000, which amount was determined based on a third-party appraisal. Certain services for, and maintenance of, the villa suite are included in the rental. The New EW Lease superceded the terms of the prior agreement.</w:t>
      </w:r>
    </w:p>
    <w:p>
      <w:pPr>
        <w:spacing w:after="0" w:line="143"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On March 18, 2010, Mr. Wynn and Wynn Las Vegas entered into an Amended and Restated Agreement of Lease (the “New SW Lease”) for two fairway villas to serve as Mr. Wynn’s personal residence. The New SW Lease amends and restates the prior lease. The New SW Lease was approved by the Audit Committee of the Board of Directors of Wynn Resorts. The term of the lease commenced as of March 1, 2010 and runs concurrent with Mr. Wynn’s employment agreement with Wynn Resorts; provided that either party may terminate on 90 days notice. Pursuant to the New SW Lease, the rental value of the fairway villas will be treated as imputed income to Mr. Wynn, and will be equal to the fair market value of the accommodations provided. Effective March 1, 2010, and for the first two years of the term of the New SW Lease, the rental value will be $503,831 per year, which amount was determined based on a third-party appraisal. The rental value for the fairway villas will be re-determined every two years during the term of the lease based upon an independent third-party appraisal. Certain services for, and maintenance of, the fairway villas are included in the rental.</w:t>
      </w:r>
    </w:p>
    <w:p>
      <w:pPr>
        <w:spacing w:after="0" w:line="112"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 xml:space="preserve">Aircraft Arrangements. </w:t>
      </w:r>
      <w:r>
        <w:rPr>
          <w:rFonts w:ascii="Arial" w:cs="Arial" w:eastAsia="Arial" w:hAnsi="Arial"/>
          <w:sz w:val="16"/>
          <w:szCs w:val="16"/>
          <w:color w:val="auto"/>
        </w:rPr>
        <w:t>Messrs. Wynn and Schorr, the Wynn Resorts’ Chief Operating Officer, have time-sharing agreements with Las Vegas Jet, LLC, a</w:t>
      </w:r>
      <w:r>
        <w:rPr>
          <w:rFonts w:ascii="Arial" w:cs="Arial" w:eastAsia="Arial" w:hAnsi="Arial"/>
          <w:sz w:val="16"/>
          <w:szCs w:val="16"/>
          <w:b w:val="1"/>
          <w:bCs w:val="1"/>
          <w:color w:val="auto"/>
        </w:rPr>
        <w:t xml:space="preserve"> </w:t>
      </w:r>
      <w:r>
        <w:rPr>
          <w:rFonts w:ascii="Arial" w:cs="Arial" w:eastAsia="Arial" w:hAnsi="Arial"/>
          <w:sz w:val="16"/>
          <w:szCs w:val="16"/>
          <w:color w:val="auto"/>
        </w:rPr>
        <w:t>wholly owned indirect subsidiary of Wynn Resorts, covering their personal use of Wynn Resorts-owned aircraft. These time-share agreements require Wynn Resorts to include as taxable compensation of such executive, his and his family’s share of the direct costs that Wynn Resorts incurs in operating the aircraft, up to an amount determined by using the Internal Revenue Service Standard Industry Fare Level (SIFL) tables. During 2009, the following amounts were included in the executives’ taxable compensation pursuant to these timesharing arrangements: Mr. Wynn $461,730 and Mr. Schorr $103,748. In the event that direct costs in operating the aircraft exceed the amounts determined by using the SIFL method, such additional costs are paid for by Wynn Resorts.</w:t>
      </w:r>
    </w:p>
    <w:p>
      <w:pPr>
        <w:spacing w:after="0" w:line="111" w:lineRule="exact"/>
        <w:rPr>
          <w:sz w:val="20"/>
          <w:szCs w:val="20"/>
          <w:color w:val="auto"/>
        </w:rPr>
      </w:pPr>
    </w:p>
    <w:p>
      <w:pPr>
        <w:ind w:right="60" w:firstLine="456"/>
        <w:spacing w:after="0" w:line="301" w:lineRule="auto"/>
        <w:rPr>
          <w:sz w:val="20"/>
          <w:szCs w:val="20"/>
          <w:color w:val="auto"/>
        </w:rPr>
      </w:pPr>
      <w:r>
        <w:rPr>
          <w:rFonts w:ascii="Arial" w:cs="Arial" w:eastAsia="Arial" w:hAnsi="Arial"/>
          <w:sz w:val="16"/>
          <w:szCs w:val="16"/>
          <w:b w:val="1"/>
          <w:bCs w:val="1"/>
          <w:color w:val="auto"/>
        </w:rPr>
        <w:t xml:space="preserve">Reimbursable Costs. </w:t>
      </w:r>
      <w:r>
        <w:rPr>
          <w:rFonts w:ascii="Arial" w:cs="Arial" w:eastAsia="Arial" w:hAnsi="Arial"/>
          <w:sz w:val="16"/>
          <w:szCs w:val="16"/>
          <w:color w:val="auto"/>
        </w:rPr>
        <w:t>Wynn Resorts periodically incurs costs on Mr. Wynn’s, Elaine P. Wynn’s and Mr. Schorr’s behalf, including costs with respect to</w:t>
      </w:r>
      <w:r>
        <w:rPr>
          <w:rFonts w:ascii="Arial" w:cs="Arial" w:eastAsia="Arial" w:hAnsi="Arial"/>
          <w:sz w:val="16"/>
          <w:szCs w:val="16"/>
          <w:b w:val="1"/>
          <w:bCs w:val="1"/>
          <w:color w:val="auto"/>
        </w:rPr>
        <w:t xml:space="preserve"> </w:t>
      </w:r>
      <w:r>
        <w:rPr>
          <w:rFonts w:ascii="Arial" w:cs="Arial" w:eastAsia="Arial" w:hAnsi="Arial"/>
          <w:sz w:val="16"/>
          <w:szCs w:val="16"/>
          <w:color w:val="auto"/>
        </w:rPr>
        <w:t>personal use of the corporate aircraft, household employees, construction work and other personal purchases and services. Mr. Wynn and other officers have deposits with Wynn Resorts to prepay any such items. These deposits are replenished on an ongoing basis as needed. At December 31, 2009, Mr. Wynn, Elaine P. Wynn and Mr. Schorr had credit balances with Wynn Resorts of $478,401, $162,449 and $26,531 respectively.</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b w:val="1"/>
          <w:bCs w:val="1"/>
          <w:color w:val="auto"/>
        </w:rPr>
        <w:t xml:space="preserve">Aruze Slot Purchase. </w:t>
      </w:r>
      <w:r>
        <w:rPr>
          <w:rFonts w:ascii="Arial" w:cs="Arial" w:eastAsia="Arial" w:hAnsi="Arial"/>
          <w:sz w:val="18"/>
          <w:szCs w:val="18"/>
          <w:color w:val="auto"/>
        </w:rPr>
        <w:t>In 2009, Wynn Macau purchased 10 slot machines, along with related parts and services, from Aruze USA, a corporation for which</w:t>
      </w:r>
      <w:r>
        <w:rPr>
          <w:rFonts w:ascii="Arial" w:cs="Arial" w:eastAsia="Arial" w:hAnsi="Arial"/>
          <w:sz w:val="18"/>
          <w:szCs w:val="18"/>
          <w:b w:val="1"/>
          <w:bCs w:val="1"/>
          <w:color w:val="auto"/>
        </w:rPr>
        <w:t xml:space="preserve"> </w:t>
      </w:r>
      <w:r>
        <w:rPr>
          <w:rFonts w:ascii="Arial" w:cs="Arial" w:eastAsia="Arial" w:hAnsi="Arial"/>
          <w:sz w:val="18"/>
          <w:szCs w:val="18"/>
          <w:color w:val="auto"/>
        </w:rPr>
        <w:t>one of Wynn Resorts’ directors, Mr. Okada, currently serves as Chairman and Treasurer, for use at Wynn Macau. The Aruze machines were purchased in an arm’s length transaction at market prices for a total purchase price of approximately $165,000.</w:t>
      </w:r>
    </w:p>
    <w:p>
      <w:pPr>
        <w:spacing w:after="0" w:line="132" w:lineRule="exact"/>
        <w:rPr>
          <w:sz w:val="20"/>
          <w:szCs w:val="20"/>
          <w:color w:val="auto"/>
        </w:rPr>
      </w:pPr>
    </w:p>
    <w:p>
      <w:pPr>
        <w:ind w:right="60" w:firstLine="456"/>
        <w:spacing w:after="0" w:line="301" w:lineRule="auto"/>
        <w:rPr>
          <w:sz w:val="20"/>
          <w:szCs w:val="20"/>
          <w:color w:val="auto"/>
        </w:rPr>
      </w:pPr>
      <w:r>
        <w:rPr>
          <w:rFonts w:ascii="Arial" w:cs="Arial" w:eastAsia="Arial" w:hAnsi="Arial"/>
          <w:sz w:val="16"/>
          <w:szCs w:val="16"/>
          <w:b w:val="1"/>
          <w:bCs w:val="1"/>
          <w:color w:val="auto"/>
        </w:rPr>
        <w:t xml:space="preserve">TransOrbit. </w:t>
      </w:r>
      <w:r>
        <w:rPr>
          <w:rFonts w:ascii="Arial" w:cs="Arial" w:eastAsia="Arial" w:hAnsi="Arial"/>
          <w:sz w:val="16"/>
          <w:szCs w:val="16"/>
          <w:color w:val="auto"/>
        </w:rPr>
        <w:t>Each of Wynn Las Vegas and Wynn Macau has entered into agreements with TransOrbit, a travel agency affiliated with Universal for the sale</w:t>
      </w:r>
      <w:r>
        <w:rPr>
          <w:rFonts w:ascii="Arial" w:cs="Arial" w:eastAsia="Arial" w:hAnsi="Arial"/>
          <w:sz w:val="16"/>
          <w:szCs w:val="16"/>
          <w:b w:val="1"/>
          <w:bCs w:val="1"/>
          <w:color w:val="auto"/>
        </w:rPr>
        <w:t xml:space="preserve"> </w:t>
      </w:r>
      <w:r>
        <w:rPr>
          <w:rFonts w:ascii="Arial" w:cs="Arial" w:eastAsia="Arial" w:hAnsi="Arial"/>
          <w:sz w:val="16"/>
          <w:szCs w:val="16"/>
          <w:color w:val="auto"/>
        </w:rPr>
        <w:t>of rooms in their hotel. Wynn Las Vegas and Wynn Macau provide a certain number of hotel rooms to TransOrbit at a wholesale net rate in which TransOrbit can sell the rooms to tour operators and travel agents as part of a travel package. The agreement with TransOrbit is at arms length and similar to other agreements with tour operators. One of Wynn Resorts’ directors, Mr. Okada, currently serves as Chairman of Universal.</w:t>
      </w:r>
    </w:p>
    <w:p>
      <w:pPr>
        <w:spacing w:after="0" w:line="10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b w:val="1"/>
          <w:bCs w:val="1"/>
          <w:color w:val="auto"/>
        </w:rPr>
        <w:t xml:space="preserve">Tax Indemnification Agreement. </w:t>
      </w:r>
      <w:r>
        <w:rPr>
          <w:rFonts w:ascii="Arial" w:cs="Arial" w:eastAsia="Arial" w:hAnsi="Arial"/>
          <w:sz w:val="18"/>
          <w:szCs w:val="18"/>
          <w:color w:val="auto"/>
        </w:rPr>
        <w:t>In 2002, Stephen A. Wynn, Aruze USA, Baron Asset Fund, and the Kenneth R. Wynn Family Trust (referred to</w:t>
      </w:r>
      <w:r>
        <w:rPr>
          <w:rFonts w:ascii="Arial" w:cs="Arial" w:eastAsia="Arial" w:hAnsi="Arial"/>
          <w:sz w:val="18"/>
          <w:szCs w:val="18"/>
          <w:b w:val="1"/>
          <w:bCs w:val="1"/>
          <w:color w:val="auto"/>
        </w:rPr>
        <w:t xml:space="preserve"> </w:t>
      </w:r>
      <w:r>
        <w:rPr>
          <w:rFonts w:ascii="Arial" w:cs="Arial" w:eastAsia="Arial" w:hAnsi="Arial"/>
          <w:sz w:val="18"/>
          <w:szCs w:val="18"/>
          <w:color w:val="auto"/>
        </w:rPr>
        <w:t>collectively as the “Valvino members”), Valvino and Wynn Resorts entered into a tax indemnification agreement relating to their respective income tax liabilities from the contribution of their Valvino membership interests to Wynn Resorts. The tax indemnification agreement generally provides that the Valvino members will be indemnified by Wynn Resorts and its subsidiaries for additional tax costs (including interest and penalties) caused by reallocations of income or deductions that increase the taxable income or decrease the tax loss of the Valvino members for the period prior to the contribution of the Valvino membership interests. Any payment made pursuant to the agreement by Wynn Resorts or any of its subsidiaries to the Valvino members may be non-deductible for income tax purposes.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the above, Wynn Resorts (or its subsidiaries) employs (a) Andrew Pascal, the nephew of Elaine P. Wynn, as President of Wynn Las Vegas;</w:t>
      </w:r>
    </w:p>
    <w:p>
      <w:pPr>
        <w:spacing w:after="0" w:line="38" w:lineRule="exact"/>
        <w:rPr>
          <w:sz w:val="20"/>
          <w:szCs w:val="20"/>
          <w:color w:val="auto"/>
        </w:rPr>
      </w:pPr>
    </w:p>
    <w:p>
      <w:pPr>
        <w:ind w:right="60" w:firstLine="8"/>
        <w:spacing w:after="0" w:line="287" w:lineRule="auto"/>
        <w:tabs>
          <w:tab w:leader="none" w:pos="249" w:val="left"/>
        </w:tabs>
        <w:numPr>
          <w:ilvl w:val="0"/>
          <w:numId w:val="74"/>
        </w:numPr>
        <w:rPr>
          <w:rFonts w:ascii="Arial" w:cs="Arial" w:eastAsia="Arial" w:hAnsi="Arial"/>
          <w:sz w:val="16"/>
          <w:szCs w:val="16"/>
          <w:color w:val="auto"/>
        </w:rPr>
      </w:pPr>
      <w:r>
        <w:rPr>
          <w:rFonts w:ascii="Arial" w:cs="Arial" w:eastAsia="Arial" w:hAnsi="Arial"/>
          <w:sz w:val="16"/>
          <w:szCs w:val="16"/>
          <w:color w:val="auto"/>
        </w:rPr>
        <w:t>Eddie Tseng, the spouse of Ms. Chen, President of Wynn International Marketing and a director of Wynn Resorts, as Senior Vice President of Customer Development of Worldwide Wynn, LLC; (c) Michael Pascal, the father of Andrew Pascal, President of Wynn Las Vegas, LLC., and brother of Elaine P. Wynn, as a Senior Executive Host of Wynn Las Vegas, and (d) Mr. Michael Pascal’s wife, Mary Ann Pascal, as a Host at Wynn Las Vegas. The Audit Committee of Wynn Resorts approved each such employment arrangement in advance and determined that compensation was at (or below) levels paid to non-family members. 2009 total compensation paid to the above named individuals included the following amounts calculated in the same manner as the Summary Compensation Table values presented for named executive officers: (a) to Andrew Pascal, base salary and bonus of $908,654, grant-date fair value of equity based compensation of $8,348,244, and other compensation of $4,547, (b) to Eddie Tseng, base salary and bonus of $548,722, and other compensation of $7,678, (c) to Michael Pascal, base salary and bonus of $126,130, and other compensation of $2,486, and (d) to Mary Ann Pascal, base salary and bonus of $181,731, and other compensation of $342. Wynn Resorts anticipates that these individuals will continue to serve in their respective positions during 2010.</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EXCHANGE OFFER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the Exchange Offer; Period for Tendering Old Notes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Subject to terms and conditions detailed in this prospectus, we will accept for exchange old notes that are properly tendered prior to the expiration date and</w:t>
      </w:r>
    </w:p>
    <w:p>
      <w:pPr>
        <w:spacing w:after="0" w:line="50" w:lineRule="exact"/>
        <w:rPr>
          <w:sz w:val="20"/>
          <w:szCs w:val="20"/>
          <w:color w:val="auto"/>
        </w:rPr>
      </w:pPr>
    </w:p>
    <w:p>
      <w:pPr>
        <w:jc w:val="both"/>
        <w:ind w:right="320"/>
        <w:spacing w:after="0" w:line="255" w:lineRule="auto"/>
        <w:rPr>
          <w:sz w:val="20"/>
          <w:szCs w:val="20"/>
          <w:color w:val="auto"/>
        </w:rPr>
      </w:pPr>
      <w:r>
        <w:rPr>
          <w:rFonts w:ascii="Arial" w:cs="Arial" w:eastAsia="Arial" w:hAnsi="Arial"/>
          <w:sz w:val="18"/>
          <w:szCs w:val="18"/>
          <w:color w:val="auto"/>
        </w:rPr>
        <w:t>not withdrawn as permitted below. When we refer to the term expiration date, we mean 5:00 p.m., New York City time, , 2010. We may, however, extend the period of time that the exchange offer is open. In such event, the term expiration date means the latest time and date to which the exchange offer is extended.</w:t>
      </w:r>
    </w:p>
    <w:p>
      <w:pPr>
        <w:spacing w:after="0" w:line="144"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As of the date of this prospectus, $500,000,000 aggregate principal amount of old 2017 notes and $382,010,000 aggregate principal amount of old 2020 notes are outstanding. We are sending this prospectus, together with the letter of transmittal, to all holders of old notes that we are aware of on the date of this prospectus.</w:t>
      </w:r>
    </w:p>
    <w:p>
      <w:pPr>
        <w:spacing w:after="0" w:line="14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expressly reserve the right, at any time, to extend the period of time that the exchange offer is open, and delay acceptance for exchange of any old notes, by giving oral or written notice of an extension to the holders of the old notes as described below. During any extension, all old notes previously tendered will remain subject to the exchange offer and may be accepted for exchange by us. Any old notes not accepted for exchange for any reason will be returned without expense to the tendering holder as promptly as practicable after the expiration or termination of the exchange offer.</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Old notes tendered in the exchange offer must be in denominations of principal amount of $2,000 and integral multiples of $1,000 in excess of $2,000.</w:t>
      </w:r>
    </w:p>
    <w:p>
      <w:pPr>
        <w:spacing w:after="0" w:line="19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expressly reserve the right to amend or terminate the exchange offer, and not to exchange any old notes, upon the occurrence of any of the conditions to the exchange offer specified under “—Conditions to the Exchange Offer.” We will give oral or written notice of any extension, amendment, non-acceptance or termination to the holders of the old notes as promptly as practicable. In the case of any extension, we will issue a notice by means of a press release or other public announcement no later than 9:00 a.m., New York City time, on the next business day after the previously scheduled expiration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Tendering Old Notes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Your tender to us of old notes as set forth below and our acceptance of old notes will constitute a binding agreement between us and you on the terms and subject to the conditions detailed in this prospectus and in the accompanying letter of transmittal. Except as set forth below, to tender old notes for exchange in the exchange offer, you must transmit a properly completed and duly executed letter of transmittal, including all other documents required by the letter of transmittal or, in the case of a book-entry transfer, an agent’s message in place of the letter of transmittal, to U.S. Bank National Association, as exchange agent, at the address set forth below under “—Exchange Agent” prior to the expiration date. In addition:</w:t>
      </w:r>
    </w:p>
    <w:p>
      <w:pPr>
        <w:spacing w:after="0" w:line="35" w:lineRule="exact"/>
        <w:rPr>
          <w:sz w:val="20"/>
          <w:szCs w:val="20"/>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certificates for old notes must be received by the exchange agent prior to the expiration date, along with the letter of transmittal, or</w:t>
      </w:r>
    </w:p>
    <w:p>
      <w:pPr>
        <w:spacing w:after="0" w:line="90" w:lineRule="exact"/>
        <w:rPr>
          <w:rFonts w:ascii="Arial" w:cs="Arial" w:eastAsia="Arial" w:hAnsi="Arial"/>
          <w:sz w:val="18"/>
          <w:szCs w:val="18"/>
          <w:color w:val="auto"/>
        </w:rPr>
      </w:pPr>
    </w:p>
    <w:p>
      <w:pPr>
        <w:ind w:left="900" w:right="100" w:hanging="446"/>
        <w:spacing w:after="0" w:line="335" w:lineRule="auto"/>
        <w:tabs>
          <w:tab w:leader="none" w:pos="900" w:val="left"/>
        </w:tabs>
        <w:numPr>
          <w:ilvl w:val="0"/>
          <w:numId w:val="75"/>
        </w:numPr>
        <w:rPr>
          <w:rFonts w:ascii="Arial" w:cs="Arial" w:eastAsia="Arial" w:hAnsi="Arial"/>
          <w:sz w:val="15"/>
          <w:szCs w:val="15"/>
          <w:color w:val="auto"/>
        </w:rPr>
      </w:pPr>
      <w:r>
        <w:rPr>
          <w:rFonts w:ascii="Arial" w:cs="Arial" w:eastAsia="Arial" w:hAnsi="Arial"/>
          <w:sz w:val="15"/>
          <w:szCs w:val="15"/>
          <w:color w:val="auto"/>
        </w:rPr>
        <w:t>a timely confirmation of a book-entry transfer, which we refer to in this prospectus as a book-entry confirmation, of old notes, if this procedure is available, into the exchange agent’s account at DTC pursuant to the procedure for book-entry transfer described beginning on page 97 must be received by the exchange agent prior to the expiration date, with the letter of transmittal or an agent’s message in place of the letter of transmittal, or</w:t>
      </w:r>
    </w:p>
    <w:p>
      <w:pPr>
        <w:spacing w:after="0" w:line="7" w:lineRule="exact"/>
        <w:rPr>
          <w:rFonts w:ascii="Arial" w:cs="Arial" w:eastAsia="Arial" w:hAnsi="Arial"/>
          <w:sz w:val="15"/>
          <w:szCs w:val="15"/>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holder must comply with the guaranteed delivery procedures described below.</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term “agent’s message” means a message, transmitted by DTC to and received by the exchange agent and forming a part of a book-entry confirmation, which states that DTC has received an express acknowledgment from the tendering participant stating that such participant has received and agrees to be bound by the letter of transmittal and that we may enforce such letter of transmittal against such participant.</w:t>
      </w:r>
    </w:p>
    <w:p>
      <w:pPr>
        <w:spacing w:after="0" w:line="10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method of delivery of old notes, letters of transmittal and all other required documents is at your election and risk. If such delivery is by mail, it is recommended that you use registered mail, properly insured, with return receipt requested. In all cases, you should allow sufficient time to assure timely delivery. No letter of transmittal or old notes should be sent to us.</w:t>
      </w:r>
    </w:p>
    <w:p>
      <w:pPr>
        <w:spacing w:after="0" w:line="14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Signatures on a letter of transmittal or a notice of withdrawal, as the case may be, must be guaranteed unless the old notes surrendered for exchange are tendered:</w:t>
      </w:r>
    </w:p>
    <w:p>
      <w:pPr>
        <w:spacing w:after="0" w:line="51" w:lineRule="exact"/>
        <w:rPr>
          <w:sz w:val="20"/>
          <w:szCs w:val="20"/>
          <w:color w:val="auto"/>
        </w:rPr>
      </w:pPr>
    </w:p>
    <w:p>
      <w:pPr>
        <w:ind w:left="900" w:right="20" w:hanging="446"/>
        <w:spacing w:after="0" w:line="268"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by a holder of the old notes who has not completed the box entitled “Special Issuance Instructions” or “Special Delivery Instructions” on the letter of transmittal,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for the account of an Eligible Institution (as defined below).</w:t>
      </w:r>
    </w:p>
    <w:p>
      <w:pPr>
        <w:spacing w:after="0" w:line="171"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In the event that signatures on a letter of transmittal or a notice of withdrawal are required to be guaranteed, such guarantees must be by a firm which is a member of the Securities Transfer Agent Medallion Program, the Stock Exchanges Medallion Program or the New York Stock Exchange Medallion Program (we refer to each such entity as an “Eligible Institution” in this prospectus). If old notes are registered in the name of a person other than the signer of the letter of transmittal, the old notes surrendered for exchange must be endorsed by, or be accompanied by a written instrument or instruments of transfer or exchange, in satisfactory form as we or the exchange agent determine, duly executed by the registered holders with the signature thereon guaranteed by an Eligible Institution.</w:t>
      </w:r>
    </w:p>
    <w:p>
      <w:pPr>
        <w:spacing w:after="0" w:line="10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or the exchange agent will make a final and binding determination on all questions as to the validity, form, eligibility, including time of receipt, and acceptance of old notes tendered for exchange. We reserve the absolute right to reject any and all tenders of any particular old note not properly tendered or to not accept any particular old note which acceptance might, in our or our counsel’s judgment, be unlawful. We also reserve the absolute right to waive any defects or irregularities or conditions of the exchange offer as to any particular old note either before or after the expiration date, including the right to waive the ineligibility of any holder who seeks to tender old notes in the exchange offer. Our or the exchange agent’s interpretation of the terms and conditions of the exchange offer as to any particular old note either before or after the expiration date, including the letter of transmittal and the instructions thereto, will be final and binding on all parties. Unless waived, any defects or irregularities in connection with tenders of old notes for exchange must be cured within a reasonable period of time, as we determine. We are not, nor is the exchange agent or any other person, under any duty to notify you of any defect or irregularity with respect to your tender of old notes for exchange, and no one will be liable for failing to provide such notification.</w:t>
      </w:r>
    </w:p>
    <w:p>
      <w:pPr>
        <w:spacing w:after="0" w:line="120"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If the letter of transmittal is signed by a person or persons other than the registered holder or holders of old notes, such old notes must be endorsed or accompanied by powers of attorney signed exactly as the name(s) of the registered holder(s) that appear on the old notes.</w:t>
      </w:r>
    </w:p>
    <w:p>
      <w:pPr>
        <w:spacing w:after="0" w:line="85"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If the letter of transmittal or any old notes or powers of attorneys are signed by trustees, executors, administrators, guardians, attorneys-in-fact, officers of corporations or others acting in a fiduciary or representative capacity, such persons should so indicate when signing. Unless waived by us or the exchange agent, proper evidence satisfactory to us of their authority to so act must be submitted with the letter of transmittal.</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By tendering old notes, you represent to us that, among other things:</w:t>
      </w:r>
    </w:p>
    <w:p>
      <w:pPr>
        <w:spacing w:after="0" w:line="90" w:lineRule="exact"/>
        <w:rPr>
          <w:sz w:val="20"/>
          <w:szCs w:val="20"/>
          <w:color w:val="auto"/>
        </w:rPr>
      </w:pPr>
    </w:p>
    <w:p>
      <w:pPr>
        <w:ind w:left="5620" w:right="4900" w:hanging="5166"/>
        <w:spacing w:after="0" w:line="525" w:lineRule="auto"/>
        <w:tabs>
          <w:tab w:leader="none" w:pos="893"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holder is not our “affiliate,” as defined in Rule 405 under the Securities Act; 95</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60" w:hanging="446"/>
        <w:spacing w:after="0" w:line="268"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new notes acquired pursuant to the exchange offer are being obtained in the ordinary course of business of the person receiving such new notes, whether or not such person is the holder;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neither the holder nor such other person has any arrangement or understanding with any person to participate in the distribution of the new notes.</w:t>
      </w:r>
    </w:p>
    <w:p>
      <w:pPr>
        <w:spacing w:after="0" w:line="19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the case of a holder that is not a broker-dealer, that holder, by tendering, will also represent to us that such holder is not engaged in and does not intend to engage in a distribution of the new notes.</w:t>
      </w:r>
    </w:p>
    <w:p>
      <w:pPr>
        <w:spacing w:after="0" w:line="13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If you are our “affiliate,” as defined under Rule 405 under the Securities Act, and engage in or intend to engage in or have an arrangement or understanding with any person to participate in a distribution of such new notes to be acquired pursuant to the exchange offer, you or any such other person:</w:t>
      </w:r>
    </w:p>
    <w:p>
      <w:pPr>
        <w:spacing w:after="0" w:line="4" w:lineRule="exact"/>
        <w:rPr>
          <w:sz w:val="20"/>
          <w:szCs w:val="20"/>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may not rely on the applicable interpretations of the staff of the SEC;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must comply with the registration and prospectus delivery requirements of the Securities Act in connection with any resale transaction.</w:t>
      </w:r>
    </w:p>
    <w:p>
      <w:pPr>
        <w:spacing w:after="0" w:line="19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Each broker-dealer that receives new notes for its own account in exchange for old notes, where the old notes were acquired by the broker-dealer as a result of market-making activities or other trading activities, must acknowledge that it will deliver a prospectus in connection with any offer, resale or other transfer of the new notes issued in the exchange offer, including information with respect to any selling holder required by the Securities Act in connection with any resale of the new notes.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Furthermore, any broker-dealer that acquired any of its old notes directly from us:</w:t>
      </w:r>
    </w:p>
    <w:p>
      <w:pPr>
        <w:spacing w:after="0" w:line="90" w:lineRule="exact"/>
        <w:rPr>
          <w:sz w:val="20"/>
          <w:szCs w:val="20"/>
          <w:color w:val="auto"/>
        </w:rPr>
      </w:pPr>
    </w:p>
    <w:p>
      <w:pPr>
        <w:jc w:val="both"/>
        <w:ind w:left="900" w:right="400" w:hanging="446"/>
        <w:spacing w:after="0" w:line="259"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may not rely on the applicable interpretation of the staff of the SEC’s position contained in Exxon Capital Holdings Corp., SEC no-action letter (publicly available May 13, 1988), Morgan Stanley &amp; Co. Incorporated, SEC no-action letter (publicly available June 5, 1991) and Shearman &amp; Sterling, SEC no-action letter (publicly available July 2, 1993); and</w:t>
      </w:r>
    </w:p>
    <w:p>
      <w:pPr>
        <w:spacing w:after="0" w:line="59"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must also be named as a selling noteholder in connection with the registration and prospectus delivery requirements of the Securities Act relating to any resale transaction.</w:t>
      </w:r>
    </w:p>
    <w:p>
      <w:pPr>
        <w:spacing w:after="0" w:line="13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Each broker-dealer that receives new notes for its own account pursuant to the exchange offer must acknowledge that it will deliver a prospectus in connection with any resale of such new notes. The letter of transmittal states that by so acknowledging and delivering a prospectus, a broker-dealer will not be deemed to admit that it is an “underwriter” within the meaning of the Securities Act. This prospectus, as it may be amended or supplemented from time to time, may be used by a broker-dealer in connection with resales of new notes received in exchange for old notes which were received by the broker-dealer as a result of market-making or other trading activities. Under the registration rights agreements, we have agreed that for a period of up to the later of (i) 180 days following the 30</w:t>
      </w:r>
      <w:r>
        <w:rPr>
          <w:rFonts w:ascii="Arial" w:cs="Arial" w:eastAsia="Arial" w:hAnsi="Arial"/>
          <w:sz w:val="10"/>
          <w:szCs w:val="10"/>
          <w:color w:val="auto"/>
        </w:rPr>
        <w:t>th</w:t>
      </w:r>
      <w:r>
        <w:rPr>
          <w:rFonts w:ascii="Arial" w:cs="Arial" w:eastAsia="Arial" w:hAnsi="Arial"/>
          <w:sz w:val="16"/>
          <w:szCs w:val="16"/>
          <w:color w:val="auto"/>
        </w:rPr>
        <w:t xml:space="preserve"> business day after the registration statement containing this prospectus is declared effective, and (ii) 180 days following the 10</w:t>
      </w:r>
      <w:r>
        <w:rPr>
          <w:rFonts w:ascii="Arial" w:cs="Arial" w:eastAsia="Arial" w:hAnsi="Arial"/>
          <w:sz w:val="10"/>
          <w:szCs w:val="10"/>
          <w:color w:val="auto"/>
        </w:rPr>
        <w:t>th</w:t>
      </w:r>
      <w:r>
        <w:rPr>
          <w:rFonts w:ascii="Arial" w:cs="Arial" w:eastAsia="Arial" w:hAnsi="Arial"/>
          <w:sz w:val="16"/>
          <w:szCs w:val="16"/>
          <w:color w:val="auto"/>
        </w:rPr>
        <w:t xml:space="preserve"> business day after the exchange offer expires, we will make this prospectus available to any broker-dealer for use in connection with any such resale. See “Plan of Distribution.”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Acceptance of Old Notes for Exchange; Delivery of New Notes</w:t>
      </w:r>
    </w:p>
    <w:p>
      <w:pPr>
        <w:spacing w:after="0" w:line="96"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Upon satisfaction or waiver of all of the conditions to the exchange offer, we will accept, promptly after the expiration date, all old notes properly tendered and will issue the new notes promptly after acceptance of the old notes. See “—Conditions to the Exchange Offer.” For purposes of the exchange offer, we will be deemed to have accepted properly tendered old notes for exchange if and when we give oral (confirmed in writing) or written notice to the exchange agent.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The holder of each old note accepted for exchange will receive a new note in the amount equal to the surrendered old notes. Accordingly, holders of new notes on the record date for the first interest payment date following the consummation of the exchange offer will receive interest accruing from the most recent date that interest has been paid on the old notes. Holders of new notes will not receive any payment in respect of accrued interest on old notes otherwise payable on any interest payment date, the record date for which occurs on or after the consummation of the exchange offer.</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all cases, issuance of new notes for old notes that are accepted for exchange will only be made after timely receipt by the exchange agent of:</w:t>
      </w:r>
    </w:p>
    <w:p>
      <w:pPr>
        <w:spacing w:after="0" w:line="113" w:lineRule="exact"/>
        <w:rPr>
          <w:sz w:val="20"/>
          <w:szCs w:val="20"/>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certificates for such old notes or a timely book-entry confirmation of such old notes into the exchange agent’s account at DTC;</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properly completed and duly executed letter of transmittal or an agent’s message in lieu thereof;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all other required documents.</w:t>
      </w:r>
    </w:p>
    <w:p>
      <w:pPr>
        <w:spacing w:after="0" w:line="171"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If any tendered old notes are not accepted for any reason set forth in the terms and conditions of the exchange offer or if old notes are submitted for a greater principal amount than the holder desires to exchange, the unaccepted or non-exchanged old notes will be returned without expense to the tendering holder or, in the case of old notes tendered by book-entry transfer into the exchange agent’s account at DTC pursuant to the book-entry procedures described below, the non-exchanged old notes will be credited to an account maintained with DTC, as promptly as practicable after the expiration or termination of the exchange offer.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Transfers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For purposes of the exchange offer, the exchange agent will request that an account be established with respect to the old notes at DTC within two business days after the date of this prospectus, unless the exchange agent already has established an account with DTC suitable for the exchange offer. Any financial institution that is a participant in DTC may make book-entry delivery of old notes by causing DTC to transfer such old notes into the exchange agent’s account at DTC in accordance with DTC’s procedures for transfer. Although delivery of old notes may be effected through book-entry transfer at DTC, the letter of transmittal or facsimile thereof or an agent’s message in lieu thereof, with any required signature guarantees and any other required documents, must, in any case, be transmitted to and received by the exchange agent at the address set forth under “—Exchange Agent” prior to the expiration date or the guaranteed delivery procedures described below must be complied with.</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Guaranteed Delivery Procedures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If you desire to tender your old notes and your old notes are not immediately available, or time will not permit your old notes or other required documents to reach the exchange agent before the expiration date, a tender may be effected if:</w:t>
      </w:r>
    </w:p>
    <w:p>
      <w:pPr>
        <w:spacing w:after="0" w:line="51" w:lineRule="exact"/>
        <w:rPr>
          <w:sz w:val="20"/>
          <w:szCs w:val="20"/>
          <w:color w:val="auto"/>
        </w:rPr>
      </w:pPr>
    </w:p>
    <w:p>
      <w:pPr>
        <w:ind w:left="900" w:hanging="446"/>
        <w:spacing w:after="0" w:line="290" w:lineRule="auto"/>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prior to the expiration date, the exchange agent receives from such Eligible Institution a notice of guaranteed delivery, substantially in the form we provide, by telegram, telex, facsimile transmission, mail or hand delivery, setting forth your name and address, the amount of old notes tendered, stating that the tender is being made thereby and guaranteeing that within three New York Stock Exchange (“NYSE”) trading days after the date of execution of the notice of guaranteed delivery, the certificates for all physically tendered old notes, in proper form for transfer, or a book-entry confirmation, as the case may be, together with a properly completed and duly executed appropriate letter of transmittal or facsimile thereof or agent’s message in lieu thereof, with any required signature guarantees and any other documents required by the letter of transmittal will be deposited by such Eligible Institution with the exchange agent; and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line="256"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certificates for all physically tendered old notes, in proper form for transfer, or a book-entry confirmation, as the case may be, together with a properly completed and duly executed appropriate letter of transmittal or facsimile thereof or agent’s message in lieu thereof, with any required signature guarantees and all other documents required by the letter of transmittal, are received by the exchange agent within three NYSE trading days after the date of execution of the notice of guaranteed delivery.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Rights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You may withdraw your tender of old notes at any time prior to the expiration date. To be effective, a written notice of withdrawal must be received by the exchange agent at the address set forth under “—Exchange Agent.” This notice must specify:</w:t>
      </w:r>
    </w:p>
    <w:p>
      <w:pPr>
        <w:spacing w:after="0" w:line="51" w:lineRule="exact"/>
        <w:rPr>
          <w:sz w:val="20"/>
          <w:szCs w:val="20"/>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name of the person having tendered the old notes to be withdrawn;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old notes to be withdrawn, including the principal amount of such old notes; and</w:t>
      </w:r>
    </w:p>
    <w:p>
      <w:pPr>
        <w:spacing w:after="0" w:line="90"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where certificates for old notes have been transmitted, the name in which such old notes are registered, if different from that of the withdrawing holder.</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certificates for old notes have been delivered or otherwise identified to the exchange agent, then, prior to the release of the certificates, the withdrawing holder must also submit the serial numbers of the particular certificates to be withdrawn and a signed notice of withdrawal with signatures guaranteed by an Eligible Institution, unless such holder is an Eligible Institution. If old notes have been tendered pursuant to the procedure for book-entry transfer described above, any notice of withdrawal must specify the name and number of the account at DTC to be credited with the withdrawn old notes and otherwise comply with the procedures of DTC.</w:t>
      </w:r>
    </w:p>
    <w:p>
      <w:pPr>
        <w:spacing w:after="0" w:line="143"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We or the exchange agent will make a final and binding determination on all questions as to the validity, form and eligibility, including time of receipt, of such notices. Any old notes so withdrawn will be deemed not to have been validly tendered for exchange for purposes of the exchange offer. Any old notes tendered for exchange but not exchanged for any reason will be returned to the holder without cost to the holder, or, in the case of old notes tendered by book-entry transfer into the exchange agent’s account at DTC pursuant to the book-entry transfer procedures described above, the old notes will be credited to an account maintained with DTC for the old notes as soon as practicable after withdrawal, rejection of tender or termination of the exchange offer. Properly withdrawn old notes may be re-tendered by following one of the procedures described under “—Procedures for Tendering Old Notes” above at any time prior to the expiration date.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the Exchange Offer</w:t>
      </w:r>
    </w:p>
    <w:p>
      <w:pPr>
        <w:spacing w:after="0" w:line="9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Notwithstanding any other provision of the exchange offer, we are not required to accept for exchange, or to issue new notes in exchange for, any old notes and may terminate or amend the exchange offer, if any of the following events occur prior to acceptance of such old notes:</w:t>
      </w:r>
    </w:p>
    <w:p>
      <w:pPr>
        <w:spacing w:after="0" w:line="4" w:lineRule="exact"/>
        <w:rPr>
          <w:sz w:val="20"/>
          <w:szCs w:val="20"/>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exchange offer violates any applicable law or applicable interpretation of the staff of the SEC;</w:t>
      </w:r>
    </w:p>
    <w:p>
      <w:pPr>
        <w:spacing w:after="0" w:line="9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 action or proceeding shall have been instituted or threatened in any court or by any governmental agency that might materially impair our ability to proceed with the exchange offer;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we shall not have received all governmental approvals that we deem necessary to consummate the exchange offer; or</w:t>
      </w:r>
    </w:p>
    <w:p>
      <w:pPr>
        <w:spacing w:after="0" w:line="90"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there has been proposed, adopted, or enacted any law, statute, rule or regulation that, in our reasonable judgment, would materially impair our ability to consummate the exchange offer.</w:t>
      </w:r>
    </w:p>
    <w:p>
      <w:pPr>
        <w:spacing w:after="0" w:line="132" w:lineRule="exact"/>
        <w:rPr>
          <w:sz w:val="20"/>
          <w:szCs w:val="20"/>
          <w:color w:val="auto"/>
        </w:rPr>
      </w:pPr>
    </w:p>
    <w:p>
      <w:pPr>
        <w:jc w:val="both"/>
        <w:ind w:right="400" w:firstLine="456"/>
        <w:spacing w:after="0" w:line="306" w:lineRule="auto"/>
        <w:rPr>
          <w:sz w:val="20"/>
          <w:szCs w:val="20"/>
          <w:color w:val="auto"/>
        </w:rPr>
      </w:pPr>
      <w:r>
        <w:rPr>
          <w:rFonts w:ascii="Arial" w:cs="Arial" w:eastAsia="Arial" w:hAnsi="Arial"/>
          <w:sz w:val="16"/>
          <w:szCs w:val="16"/>
          <w:color w:val="auto"/>
        </w:rPr>
        <w:t>The conditions stated above are for our sole benefit and may be asserted by us regardless of the circumstances giving rise to any condition or may be waived by us in whole or in part at any time in our reasonable discretion. Our failure at any time to exercise any of the foregoing rights will not be deemed a waiver of any such right and each such right will be deemed an ongoing right which may be asserted at any time.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addition, we will not accept for exchange any old notes tendered, and we will not issue new notes in exchange for any such old notes, if at such time any stop order by the SEC is threatened or in effect with respect to the registration statement of which this prospectus constitutes a part, or the applicable indenture is no longer qualified under the Trust Indenture Act.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Agent</w:t>
      </w:r>
    </w:p>
    <w:p>
      <w:pPr>
        <w:spacing w:after="0" w:line="96"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U.S. Bank National Association has been appointed as the exchange agent for the exchange offer. All executed letters of transmittal should be directed to the exchange agent at the address set forth below. Questions and requests for assistance, requests for additional copies of this prospectus or of the letter of transmittal and requests for notices of guaranteed delivery should be directed to the exchange agent addressed as follows: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U.S. Bank National Association, Exchange Agent</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By Hand, Overnight Delivery or by Mail:</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 Livingston Avenue</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St. Paul, Minnesota 55107</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Attention: Specialized Finance Dept.</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By Facsimile Transmission:</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651-495-8158</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Confirm by Telephone:</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800-934-6802</w:t>
      </w:r>
    </w:p>
    <w:p>
      <w:pPr>
        <w:spacing w:after="0" w:line="171"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DELIVERY OF THE LETTER OF TRANSMITTAL TO AN ADDRESS OTHER THAN AS SET FORTH ABOVE OR TRANSMISSION OF SUCH LETTER OF TRANSMITTAL VIA FACSIMILE OTHER THAN AS SET FORTH ABOVE DOES NOT CONSTITUTE A VALID DELIVERY OF THE LETTER OF TRANSMITTAL.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principal solicitation is being made by mail by U.S. Bank National Association, as exchange agent. We will pay the exchange agent customary fees for its services, reimburse the exchange agent for its reasonable out-of-pocket expenses incurred in connection with the provision of these services and pay other registration expenses, including fees and expenses of the trustee under the indentures relating to the 2017 notes and the 2020 notes, filing fees, blue sky fees and printing and distribution expenses. We will not make any payment to brokers, dealers or others soliciting acceptances of the exchange offer.</w:t>
      </w:r>
    </w:p>
    <w:p>
      <w:pPr>
        <w:spacing w:after="0" w:line="11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Additional solicitation may be made by telephone, facsimile or in person by our and our affiliates’ officers and regular employees and by persons so engaged by the exchange agent.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will record the new notes at the same carrying value as the old notes, as reflected in our accounting records on the date of the exchange. Accordingly, we will not recognize any gain or loss for accounting purposes.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Taxes</w:t>
      </w:r>
    </w:p>
    <w:p>
      <w:pPr>
        <w:spacing w:after="0" w:line="96"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You will not be obligated to pay any transfer taxes in connection with the tender of old notes in the exchange offer unless you instruct us to register new notes in the name of, or request that old notes not tendered or not accepted in the exchange offer be returned to, a person other than the registered tendering holder. In those cases, you will be responsible for the payment of any potentially applicable transfer tax.</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380"/>
          </w:cols>
          <w:pgMar w:left="240" w:top="459" w:right="2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of Exchanging or Failing to Exchange Old Notes</w:t>
      </w:r>
    </w:p>
    <w:p>
      <w:pPr>
        <w:spacing w:after="0" w:line="96"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If you do not exchange your old notes for new notes in the exchange offer, your old notes will continue to be subject to the provisions of the applicable indenture relating to the notes regarding transfer and exchange of the old notes and the restrictions on transfer of the old notes described in the legend on your certificates. These transfer restrictions are required because the old notes were issued under an exemption from, or in transactions not subject to, the registration requirements of the Securities Act and applicable state securities laws. In general, the old notes may not be offered or sold unless registered under the Securities Act, except under an exemption from, or in a transaction not subject to, the Securities Act and applicable state securities laws. We do not plan to register the old notes under the Securities Act.</w:t>
      </w:r>
    </w:p>
    <w:p>
      <w:pPr>
        <w:spacing w:after="0" w:line="14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Under existing interpretations of the Securities Act by the SEC’s staff contained in several no-action letters to third parties, and subject to the immediately following sentence, we believe that the new notes would generally be freely transferable by holders after the exchange offer without further registration under the Securities Act, subject to certain representations required to be made by each holder of new notes, as set forth below. However, any purchaser of new notes who is one of our “affiliates” as defined in Rule 405 under the Securities Act or who intends to participate in the exchange offer for the purpose of distributing the new notes:</w:t>
      </w:r>
    </w:p>
    <w:p>
      <w:pPr>
        <w:spacing w:after="0" w:line="62" w:lineRule="exact"/>
        <w:rPr>
          <w:sz w:val="20"/>
          <w:szCs w:val="20"/>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will not be able to rely on the interpretation of the SEC’s staff;</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will not be able to tender its old notes in the exchange offer; and</w:t>
      </w:r>
    </w:p>
    <w:p>
      <w:pPr>
        <w:spacing w:after="0" w:line="9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must comply with the registration and prospectus delivery requirements of the Securities Act in connection with any sale or transfer of the new notes unless such sale or transfer is made pursuant to an exemption from such requirements. See “Plan of Distribution.”</w:t>
      </w:r>
    </w:p>
    <w:p>
      <w:pPr>
        <w:spacing w:after="0" w:line="132"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We do not intend to seek our own interpretation regarding the exchange offer, and there can be no assurance that the SEC’s staff would make a similar determination with respect to the new notes as it has in other interpretations to other parties, although we have no reason to believe otherwise.</w:t>
      </w:r>
    </w:p>
    <w:p>
      <w:pPr>
        <w:spacing w:after="0" w:line="8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Each broker-dealer that receives new notes for its own account in exchange for old notes, where the old notes were acquired by it as a result of market-making activities or other trading activities, must acknowledge that it will deliver a prospectus that meets the requirements of the Securities Act in connection with any resale of the new notes. The letter of transmittal states that by so acknowledging and by delivering a prospectus, a broker-dealer will not be deemed to admit that it is an “underwriter” within the meaning of the Securities Act. This prospectus, as it may be amended or supplemented from time to time, may be used by a broker-dealer in connection with resales of new notes received in exchange for old notes which were received by the broker-dealer as a result of market-making or other trading activities. Under the registration rights agreements, we have agreed that for a period of up to the later of (i) 180 days following the 30</w:t>
      </w:r>
      <w:r>
        <w:rPr>
          <w:rFonts w:ascii="Arial" w:cs="Arial" w:eastAsia="Arial" w:hAnsi="Arial"/>
          <w:sz w:val="10"/>
          <w:szCs w:val="10"/>
          <w:color w:val="auto"/>
        </w:rPr>
        <w:t>th</w:t>
      </w:r>
      <w:r>
        <w:rPr>
          <w:rFonts w:ascii="Arial" w:cs="Arial" w:eastAsia="Arial" w:hAnsi="Arial"/>
          <w:sz w:val="16"/>
          <w:szCs w:val="16"/>
          <w:color w:val="auto"/>
        </w:rPr>
        <w:t xml:space="preserve"> business day after the registration statement containing this prospectus is declared effective, and (ii) 180 days following the 10</w:t>
      </w:r>
      <w:r>
        <w:rPr>
          <w:rFonts w:ascii="Arial" w:cs="Arial" w:eastAsia="Arial" w:hAnsi="Arial"/>
          <w:sz w:val="10"/>
          <w:szCs w:val="10"/>
          <w:color w:val="auto"/>
        </w:rPr>
        <w:t>th</w:t>
      </w:r>
      <w:r>
        <w:rPr>
          <w:rFonts w:ascii="Arial" w:cs="Arial" w:eastAsia="Arial" w:hAnsi="Arial"/>
          <w:sz w:val="16"/>
          <w:szCs w:val="16"/>
          <w:color w:val="auto"/>
        </w:rPr>
        <w:t xml:space="preserve"> business day after the exchange offer expires, we will make this prospectus available to any broker-dealer for use in connection with any such resale.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NEW 2017 NOTES</w:t>
      </w:r>
    </w:p>
    <w:p>
      <w:pPr>
        <w:spacing w:after="0" w:line="17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this description: (1) the words “Wynn Las Vegas” refer to Wynn Las Vegas, LLC and not to any of its subsidiaries, (2) the words “Wynn Capital” refer to Wynn Las Vegas Capital Corp. and not to any of its subsidiaries, (3) the word “Issuers” refers collectively to Wynn Las Vegas and Wynn Capital and not to any of their respective subsidiaries, and (4) the words “we,” “us” and “our” refer to Wynn Las Vegas and its subsidiaries. You can find the definitions of certain terms used in this description under the subheading “—Certain Definitions.” The Issuers will issue the new 2017 notes under an indenture (the “Indenture”), dated as of October 19, 2009, among the Issuers, as joint and several obligors, the Guarantors and U.S. Bank National Association, as trustee (the “trustee”). This is the same indenture under which the old 2017 notes were issued. The terms of the new 2017 notes will include those stated in the Indenture and those made part of the Indenture by reference to the Trust Indenture Act of 1939, as amended. The Collateral Documents referred to under the caption “—Security” define the terms of the collateral that will secure the 2017 notes and the Note Guarantees. The term “2017 Notes” shall also include the new 2017 notes and the old 2017 notes and the term “Note Guarantees” shall include the guarantees of the new 2017 notes and the guarantees of the old 2017 notes.</w:t>
      </w:r>
    </w:p>
    <w:p>
      <w:pPr>
        <w:spacing w:after="0" w:line="120"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The following description is a summary of the material provisions of the Indenture and the Collateral Documents. It does not restate those agreements in their entirety. We urge you to read the Indenture and the Collateral Documents because they, and not this description, define your rights as holders of the notes. Copies of the Indenture and the Collateral Documents are available as set forth below under “—Additional Information.” Certain defined terms used in this description but not defined below under “—Certain Definitions” have the meanings assigned to them in the Indenture.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registered holder of a 2017 Note will be treated as the owner of it for all purposes. Only registered holders will have rights under the Indenture.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New 2017 Notes Versus the Old 2017 Notes</w:t>
      </w:r>
    </w:p>
    <w:p>
      <w:pPr>
        <w:spacing w:after="0" w:line="96"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The new 2017 notes are substantially identical to the old 2017 notes except that the transfer restrictions, registration rights and liquidated damages provisions relating to the old 2017 notes do not apply to the new 2017 notes.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Brief Description of the New 2017 Notes and the Note Guarantees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The Issuers</w:t>
      </w:r>
      <w:r>
        <w:rPr>
          <w:rFonts w:ascii="Arial" w:cs="Arial" w:eastAsia="Arial" w:hAnsi="Arial"/>
          <w:sz w:val="16"/>
          <w:szCs w:val="16"/>
          <w:color w:val="auto"/>
        </w:rPr>
        <w:t>. Wynn Las Vegas owns and operates the Wynn Las Vegas hotel and casino resort. Wynn Capital is a Wholly Owned Subsidiary of Wynn Las</w:t>
      </w:r>
      <w:r>
        <w:rPr>
          <w:rFonts w:ascii="Arial" w:cs="Arial" w:eastAsia="Arial" w:hAnsi="Arial"/>
          <w:sz w:val="16"/>
          <w:szCs w:val="16"/>
          <w:i w:val="1"/>
          <w:iCs w:val="1"/>
          <w:color w:val="auto"/>
        </w:rPr>
        <w:t xml:space="preserve"> </w:t>
      </w:r>
      <w:r>
        <w:rPr>
          <w:rFonts w:ascii="Arial" w:cs="Arial" w:eastAsia="Arial" w:hAnsi="Arial"/>
          <w:sz w:val="16"/>
          <w:szCs w:val="16"/>
          <w:color w:val="auto"/>
        </w:rPr>
        <w:t>Vegas, and will serve as a corporate co-issuer of the 2017 Notes in order to facilitate the exchange offer. We believe that certain prospective investors in the new 2017 notes may be restricted in their ability to purchase debt securities of limited liability companies, such as Wynn Las Vegas, unless the debt securities are jointly issued by a corporation. Wynn Capital does not have any operations or material assets and does not have any revenues. As a result, prospective investors in the new 2017 notes should not expect Wynn Capital to participate in servicing principal, interest or other amounts required to be paid on the new 2017 notes.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Terms</w:t>
      </w:r>
      <w:r>
        <w:rPr>
          <w:rFonts w:ascii="Arial" w:cs="Arial" w:eastAsia="Arial" w:hAnsi="Arial"/>
          <w:sz w:val="18"/>
          <w:szCs w:val="18"/>
          <w:color w:val="auto"/>
        </w:rPr>
        <w:t>. The new 2017 notes:</w:t>
      </w:r>
    </w:p>
    <w:p>
      <w:pPr>
        <w:spacing w:after="0" w:line="90" w:lineRule="exact"/>
        <w:rPr>
          <w:sz w:val="20"/>
          <w:szCs w:val="20"/>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will be first mortgage notes, issued in an original aggregate principal amount of up to $500,000,000;</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will mature on November 1, 2017;</w:t>
      </w:r>
    </w:p>
    <w:p>
      <w:pPr>
        <w:spacing w:after="0" w:line="90"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will bear interest at the rate of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per annum (based on a 360-day year of twelve 30-day months) which will accrue from the issue date of the notes offered hereby, payable in arrears each May 1 and November 1;</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will be redeemable at our option, in whole or in part, commencing November 1, 2013, at a premium declining ratably to par;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 w:hanging="446"/>
        <w:spacing w:after="0" w:line="259"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will not be redeemable at the option of the holder, except pursuant to a repurchase offer upon the occurrence of a Change of Control or pursuant to a repurchase offer to the extent of specified net proceeds upon the occurrence of an Asset Sale or Event of Loss, and will not have any provision for sinking funds; and</w:t>
      </w:r>
    </w:p>
    <w:p>
      <w:pPr>
        <w:spacing w:after="0" w:line="59" w:lineRule="exact"/>
        <w:rPr>
          <w:rFonts w:ascii="Arial" w:cs="Arial" w:eastAsia="Arial" w:hAnsi="Arial"/>
          <w:sz w:val="18"/>
          <w:szCs w:val="18"/>
          <w:color w:val="auto"/>
        </w:rPr>
      </w:pPr>
    </w:p>
    <w:p>
      <w:pPr>
        <w:ind w:left="900" w:right="180" w:hanging="446"/>
        <w:spacing w:after="0" w:line="306" w:lineRule="auto"/>
        <w:tabs>
          <w:tab w:leader="none" w:pos="9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will contain covenants limiting our ability to incur additional debt, make distributions, investments and restricted payments, create liens, enter into transactions with affiliates, sell assets, enter into sale-leaseback transactions, and restricting dividend and other payments affecting subsidiaries, mergers, consolidations or sales of substantially all assets, sales of subsidiary stock and other specified types of transactions.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The Guarantors</w:t>
      </w:r>
      <w:r>
        <w:rPr>
          <w:rFonts w:ascii="Arial" w:cs="Arial" w:eastAsia="Arial" w:hAnsi="Arial"/>
          <w:sz w:val="18"/>
          <w:szCs w:val="18"/>
          <w:color w:val="auto"/>
        </w:rPr>
        <w:t>. The new 2017 notes will be guaranteed by certain of Wynn Las Vegas’ direct subsidiaries. These subsidiaries are:</w:t>
      </w:r>
    </w:p>
    <w:p>
      <w:pPr>
        <w:spacing w:after="0" w:line="90" w:lineRule="exact"/>
        <w:rPr>
          <w:sz w:val="20"/>
          <w:szCs w:val="20"/>
          <w:color w:val="auto"/>
        </w:rPr>
      </w:pPr>
    </w:p>
    <w:p>
      <w:pPr>
        <w:ind w:left="900" w:hanging="446"/>
        <w:spacing w:after="0"/>
        <w:tabs>
          <w:tab w:leader="none" w:pos="9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Las Vegas Jet, LLC, which leases a corporate aircraft from World Travel, LLC, and operates the aircraft under federal aviation regulations, Part 91;</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World Travel, LLC, which holds the beneficial interest in a trust that owns the corporate aircraft and leases it to Las Vegas Jet, LLC;</w:t>
      </w:r>
    </w:p>
    <w:p>
      <w:pPr>
        <w:spacing w:after="0" w:line="9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Wynn Sunrise, LLC, which owns the Koval Land, which consists of approximately 18 acres of land located across from the Projects on Koval Lane and Sands Avenue which we currently use for employee parking and other ancillary uses;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Wynn Show Performers, LLC, which has contracts with show performers who will perform at the Entertainment Facility;</w:t>
      </w:r>
    </w:p>
    <w:p>
      <w:pPr>
        <w:spacing w:after="0" w:line="9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Wynn Golf, LLC, which owns the Golf Course Land, the Water Rights related to the Golf Course Land and sixty-five residential lots adjacent to the Golf Course Land; and</w:t>
      </w:r>
    </w:p>
    <w:p>
      <w:pPr>
        <w:spacing w:after="0" w:line="5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Kevyn, LLC, which owns a 50% interest in PW Automotive, LLC, which operates the Ferrari and Maserati automotive dealership inside the Wynn Las Vegas hotel and casino resort.</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of the date of this prospectus, Wynn Las Vegas’ only subsidiary (other than Wynn Capital) that is not a Guarantor is the Completion Guarantor, which is an Unrestricted Subsidiary of Wynn Las Vegas.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Security and Ranking</w:t>
      </w:r>
      <w:r>
        <w:rPr>
          <w:rFonts w:ascii="Arial" w:cs="Arial" w:eastAsia="Arial" w:hAnsi="Arial"/>
          <w:sz w:val="18"/>
          <w:szCs w:val="18"/>
          <w:color w:val="auto"/>
        </w:rPr>
        <w:t>. The new 2017 notes and the Guarantees offered hereby:</w:t>
      </w:r>
    </w:p>
    <w:p>
      <w:pPr>
        <w:spacing w:after="0" w:line="90" w:lineRule="exact"/>
        <w:rPr>
          <w:sz w:val="20"/>
          <w:szCs w:val="20"/>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will be general obligations of the Issuers and the Guarantors, respectively;</w:t>
      </w:r>
    </w:p>
    <w:p>
      <w:pPr>
        <w:spacing w:after="0" w:line="90" w:lineRule="exact"/>
        <w:rPr>
          <w:rFonts w:ascii="Arial" w:cs="Arial" w:eastAsia="Arial" w:hAnsi="Arial"/>
          <w:sz w:val="18"/>
          <w:szCs w:val="18"/>
          <w:color w:val="auto"/>
        </w:rPr>
      </w:pPr>
    </w:p>
    <w:p>
      <w:pPr>
        <w:ind w:left="900" w:hanging="446"/>
        <w:spacing w:after="0" w:line="291" w:lineRule="auto"/>
        <w:tabs>
          <w:tab w:leader="none" w:pos="9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will be secured, in the case of the 2017 Notes, by a perfected first priority lien on (1) substantially all of the existing and future assets of Wynn Las Vegas including the Projects, the pledged Equity Interests in our Restricted Subsidiaries, all other real property held by Wynn Las Vegas and certain personal property, including items of furniture, fixture and equipment located within the Projects, but excluding gaming and liquor licenses and other assets in which the grant of a security interest is restricted by their terms or by law and any proceeds held in a secured account at Wynn Las Vegas drawn or incurred under the Credit Agreement from time to time, and (2) subject to the prior approval of the Nevada Gaming Authorities, the pledged Equity Interests held by Wynn Holdings in Wynn Las Vegas;</w:t>
      </w:r>
    </w:p>
    <w:p>
      <w:pPr>
        <w:spacing w:after="0" w:line="39" w:lineRule="exact"/>
        <w:rPr>
          <w:rFonts w:ascii="Arial" w:cs="Arial" w:eastAsia="Arial" w:hAnsi="Arial"/>
          <w:sz w:val="16"/>
          <w:szCs w:val="16"/>
          <w:color w:val="auto"/>
        </w:rPr>
      </w:pPr>
    </w:p>
    <w:p>
      <w:pPr>
        <w:ind w:left="900" w:right="120" w:hanging="446"/>
        <w:spacing w:after="0" w:line="255"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will be secured, in the case of the Guarantees, by a perfected first priority lien on substantially all of the Guarantors’ existing and future assets, all items of furniture, fixture and equipment owned by the Guarantors, and at least initially, the Golf Course Land, Water Rights for the Golf Course Land, sixty-five residential lots adjacent to the Golf Course Land owned by Wynn Golf, and Wynn Las Vegas’ water entertainment features, but excluding the Aircraft Assets and gaming and liquor licenses and other assets in which the grant of a security interest is prohibited by their terms or by law;</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80"/>
          </w:cols>
          <w:pgMar w:left="240" w:top="459" w:right="2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60" w:hanging="446"/>
        <w:spacing w:after="0" w:line="259"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will be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Wynn Las Vegas’ borrowings under the Credit Agreement, the old 2017 notes, the 2014 Notes and the 2020 Notes, which borrowings, the old 2017 notes, the 2014 Notes and 2020 Notes are secured by a perfected first priority lien on the same assets as are subject to the lien securing the 2017 Notes and the Guarantees (subject to certain exceptions); and</w:t>
      </w:r>
    </w:p>
    <w:p>
      <w:pPr>
        <w:spacing w:after="0" w:line="59"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will be effectively senior in right of payment to the obligations of the Issuers and the Guarantors with respect to any subordinated Indebtedness and the related guarantees thereon.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Intercreditor Agreement</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trustee has entered into the Intercreditor Agreement to govern the relations between the 2017 noteholders, the lenders under the Credit Agreement, the holders of the 2014 notes, the holders of the 2020 notes, and the holders of future permitted senior and junior indebtedness with respect to the Collateral. The Intercreditor Agreement imposes restrictions on the enforcement of remedies with respect to the Collateral securing the notes and the Guarantees under specified circumstances. See “Intercreditor Agreement.”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Release of Collateral</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Indenture provides that if (i) the lenders under the Credit Agreement release their first priority security interest in all of the Collateral and (ii) the lenders under all other outstanding secured Indebtedness (other than Indebtedness incurred pursuant to clause (7) of the definition of “Permitted Debt” set forth in the second paragraph of the covenant described below under the caption “—Certain Covenants—Incurrence of Indebtedness and Issuance of Disqualified Stock”) that is secured by any Collateral release their security interest in such Collateral, the 2017 noteholders’ first priority security interest in all of the Collateral will also be released. See “—Security—Release of Collateral.”</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Indenture provides that the 2017 noteholders’ first priority security interest in the Golf Course Land and certain other parcels of real estate may be released under certain circumstances. See “—Security—Release of Golf Course Land,” “—Release of Portions of the Golf Course Land,” and “—Release of Homesite Acreage.” The Indenture also provides that substantially all of the Collateral may be released with the consent of the Holders of 95% of the 2017 Notes then outstanding.</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Principal, Maturity and Interest</w:t>
      </w:r>
    </w:p>
    <w:p>
      <w:pPr>
        <w:spacing w:after="0" w:line="90"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The Issuers will issue up to $500,000,000 in aggregate principal amount of new 2017 notes in this exchange offer. The Issuers may issue additional 2017 Notes under the Indenture from time to time after this exchange offer. Any issuance of additional 2017 Notes is subject to all of the covenants in the Indenture, including the covenant described below under the caption “—Certain Covenants—Incurrence of Indebtedness and Issuance of Disqualified Stock.” The 2017 Notes and any additional 2017 Notes subsequently issued under the Indenture will (subject to the qualifications expressed in the third paragraph of this “Description of the New 2017 Notes”) be treated as a single class for all purposes under the Indenture, including, without limitation, waivers, amendments, redemptions and offers to purchase. It is possible, however, that any such additional 2017 Notes will not be treated as part of the same issue for United States federal income tax purposes. The Issuers will issue new 2017 notes in denominations of $2,000 and integral multiples of $1,000 in excess of $2,000. The new 2017 notes will mature on November 1, 2017.</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Interest on the new 2017 notes will accrue at the rate of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per annum and is payable semi-annually in arrears on May 1 and November 1, with the first interest payment date being November 1, 2010. Interest on overdue principal and interest and Liquidated Damages, if any, will accrue at a rate that is 1% higher than the then applicable interest rate on the new 2017 notes. The Issuers will make each interest payment to the holders of record on the immediately preceding April 15 and October 15.</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80"/>
          </w:cols>
          <w:pgMar w:left="240" w:top="459" w:right="2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Interest on the new 2017 notes accrues from the date of original issuance or, if interest has already been paid, from the date it was most recently paid.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Interest will be computed on the basis of a 360-day year comprised of twelve 30-day months.</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Methods of Receiving Payments on the 2017 Notes</w:t>
      </w:r>
    </w:p>
    <w:p>
      <w:pPr>
        <w:spacing w:after="0" w:line="90"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All payments on the 2017 Notes will be made at the office or agency of the paying agent and registrar within the City and State of New York unless the Issuers elect to make interest payments by check mailed to the 2017 noteholders at their addresses set forth in the register of holders.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Paying Agent and Registrar for the 2017 Notes</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trustee currently acts as the paying agent and registrar. The Issuers may change the paying agent or registrar without prior notice to the holders of the 2017 Notes, and either or both of the Issuers or any of their respective Subsidiaries may act as paying agent or registrar.</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Transfer and Exchange</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 holder may transfer or exchange 2017 Notes in accordance with the provisions of the Indenture. The registrar and the trustee may require a holder, among other things, to furnish appropriate endorsements and transfer documents in connection with a transfer of 2017 Notes. Holders will be required to pay all taxes due on transfer. The Issuers will not be required to transfer or exchange any 2017 Note selected for redemption. Also, the Issuers will not be required to transfer or exchange any 2017 Note for a period of 15 days before a selection of 2017 Notes to be redeemed.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Guarantees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Guarantees are joint and several obligations of the Guarantors. The obligations of each Guarantor under its Note Guarantee are limited as necessary to prevent such Guarantee from constituting a fraudulent conveyance under applicable law. See “Risk Factors—Risks Related to the 2020 Notes and the 2017 Notes.” Federal and state statutes allow courts, under specific circumstances, to void the guarantees, and require 2017 noteholders to return payments received from us or the Guarantors.</w:t>
      </w:r>
    </w:p>
    <w:p>
      <w:pPr>
        <w:spacing w:after="0" w:line="14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Guarantees are secured by substantially all of the assets of the Guarantors (other than the Aircraft Assets) as more fully described below under the caption “—Security—Security for the Note Guarantees.”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Guarantor may not sell or otherwise dispose of all or substantially all of its assets to, or consolidate with or merge with or into (whether or not such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Guarantor is the surviving Person) another Person, other than either of the Issuers or another Guarantor, unless:</w:t>
      </w:r>
    </w:p>
    <w:p>
      <w:pPr>
        <w:spacing w:after="0" w:line="84" w:lineRule="exact"/>
        <w:rPr>
          <w:sz w:val="20"/>
          <w:szCs w:val="20"/>
          <w:color w:val="auto"/>
        </w:rPr>
      </w:pPr>
    </w:p>
    <w:p>
      <w:pPr>
        <w:ind w:left="1160" w:hanging="257"/>
        <w:spacing w:after="0"/>
        <w:tabs>
          <w:tab w:leader="none" w:pos="11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immediately after giving effect to that transaction, no Default or Event of Default exists;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920" w:right="220" w:firstLine="421"/>
        <w:spacing w:after="0" w:line="306" w:lineRule="auto"/>
        <w:tabs>
          <w:tab w:leader="none" w:pos="1579" w:val="left"/>
        </w:tabs>
        <w:numPr>
          <w:ilvl w:val="1"/>
          <w:numId w:val="92"/>
        </w:numPr>
        <w:rPr>
          <w:rFonts w:ascii="Arial" w:cs="Arial" w:eastAsia="Arial" w:hAnsi="Arial"/>
          <w:sz w:val="16"/>
          <w:szCs w:val="16"/>
          <w:color w:val="auto"/>
        </w:rPr>
      </w:pPr>
      <w:r>
        <w:rPr>
          <w:rFonts w:ascii="Arial" w:cs="Arial" w:eastAsia="Arial" w:hAnsi="Arial"/>
          <w:sz w:val="16"/>
          <w:szCs w:val="16"/>
          <w:color w:val="auto"/>
        </w:rPr>
        <w:t>the Person acquiring the property in any such sale or disposition or the Person formed by or surviving any such consolidation or merger assumes all the obligations of that Guarantor under the Indenture, its Note Guarantee and the registration rights agreement pursuant to a supplemental indenture and other appropriate documents satisfactory to the trustee; or</w:t>
      </w:r>
    </w:p>
    <w:p>
      <w:pPr>
        <w:spacing w:after="0" w:line="25" w:lineRule="exact"/>
        <w:rPr>
          <w:rFonts w:ascii="Arial" w:cs="Arial" w:eastAsia="Arial" w:hAnsi="Arial"/>
          <w:sz w:val="16"/>
          <w:szCs w:val="16"/>
          <w:color w:val="auto"/>
        </w:rPr>
      </w:pPr>
    </w:p>
    <w:p>
      <w:pPr>
        <w:ind w:left="1580" w:hanging="239"/>
        <w:spacing w:after="0"/>
        <w:tabs>
          <w:tab w:leader="none" w:pos="1580" w:val="left"/>
        </w:tabs>
        <w:numPr>
          <w:ilvl w:val="1"/>
          <w:numId w:val="92"/>
        </w:numPr>
        <w:rPr>
          <w:rFonts w:ascii="Arial" w:cs="Arial" w:eastAsia="Arial" w:hAnsi="Arial"/>
          <w:sz w:val="16"/>
          <w:szCs w:val="16"/>
          <w:color w:val="auto"/>
        </w:rPr>
      </w:pPr>
      <w:r>
        <w:rPr>
          <w:rFonts w:ascii="Arial" w:cs="Arial" w:eastAsia="Arial" w:hAnsi="Arial"/>
          <w:sz w:val="16"/>
          <w:szCs w:val="16"/>
          <w:color w:val="auto"/>
        </w:rPr>
        <w:t>the Net Proceeds of such sale or other disposition are applied in accordance with the applicable provisions of the Indenture.</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320"/>
          </w:cols>
          <w:pgMar w:left="240" w:top="459" w:right="3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the foregoing, each Guarantor is permitted to reorganize as a corporation pursuant to a Permitted C-Corp. Conversion.</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Release of Guarantees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Subject to compliance with the provisions described above under the caption “—Note Guarantees—General,” the Note Guarantee of a Guarantor and the security interests granted by that Guarantor to secure its Note Guarantee will be released:</w:t>
      </w:r>
    </w:p>
    <w:p>
      <w:pPr>
        <w:spacing w:after="0" w:line="51" w:lineRule="exact"/>
        <w:rPr>
          <w:sz w:val="20"/>
          <w:szCs w:val="20"/>
          <w:color w:val="auto"/>
        </w:rPr>
      </w:pPr>
    </w:p>
    <w:p>
      <w:pPr>
        <w:ind w:left="460" w:firstLine="443"/>
        <w:spacing w:after="0" w:line="291" w:lineRule="auto"/>
        <w:tabs>
          <w:tab w:leader="none" w:pos="1147" w:val="left"/>
        </w:tabs>
        <w:numPr>
          <w:ilvl w:val="0"/>
          <w:numId w:val="93"/>
        </w:numPr>
        <w:rPr>
          <w:rFonts w:ascii="Arial" w:cs="Arial" w:eastAsia="Arial" w:hAnsi="Arial"/>
          <w:sz w:val="16"/>
          <w:szCs w:val="16"/>
          <w:color w:val="auto"/>
        </w:rPr>
      </w:pPr>
      <w:r>
        <w:rPr>
          <w:rFonts w:ascii="Arial" w:cs="Arial" w:eastAsia="Arial" w:hAnsi="Arial"/>
          <w:sz w:val="16"/>
          <w:szCs w:val="16"/>
          <w:color w:val="auto"/>
        </w:rPr>
        <w:t>if the lenders under the Credit Agreement release the guarantees by such Guarantor under the Credit Agreement (provided that it will not be deemed to be a release of the first priority security interest requiring the automatic release by the 2017 noteholders if the release of the first priority lien securing guarantees of the Credit Agreement is the result of an extension, refinancing, renewal, replacement, amendment and restatement, restatement, defeasance or refunding (collectively, a “refinancing”) of the Credit Agreement and as a result of which the first priority liens in favor of the administrative agent (for the benefit of the lenders under the Credit Agreement) are terminated and/or replaced with liens in favor of the lenders or holders of such refinancing Indebtedness (or any agent on their behalf));</w:t>
      </w:r>
    </w:p>
    <w:p>
      <w:pPr>
        <w:spacing w:after="0" w:line="39" w:lineRule="exact"/>
        <w:rPr>
          <w:rFonts w:ascii="Arial" w:cs="Arial" w:eastAsia="Arial" w:hAnsi="Arial"/>
          <w:sz w:val="16"/>
          <w:szCs w:val="16"/>
          <w:color w:val="auto"/>
        </w:rPr>
      </w:pPr>
    </w:p>
    <w:p>
      <w:pPr>
        <w:ind w:left="1160" w:hanging="257"/>
        <w:spacing w:after="0"/>
        <w:tabs>
          <w:tab w:leader="none" w:pos="11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in connection with any sale or other disposition of all or substantially all of the assets of that Guarantor (including by way of merger or</w:t>
      </w:r>
    </w:p>
    <w:p>
      <w:pPr>
        <w:spacing w:after="0" w:line="38" w:lineRule="exact"/>
        <w:rPr>
          <w:rFonts w:ascii="Arial" w:cs="Arial" w:eastAsia="Arial" w:hAnsi="Arial"/>
          <w:sz w:val="16"/>
          <w:szCs w:val="16"/>
          <w:color w:val="auto"/>
        </w:rPr>
      </w:pPr>
    </w:p>
    <w:p>
      <w:pPr>
        <w:ind w:left="460" w:right="20"/>
        <w:spacing w:after="0" w:line="255" w:lineRule="auto"/>
        <w:rPr>
          <w:rFonts w:ascii="Arial" w:cs="Arial" w:eastAsia="Arial" w:hAnsi="Arial"/>
          <w:sz w:val="16"/>
          <w:szCs w:val="16"/>
          <w:color w:val="auto"/>
        </w:rPr>
      </w:pPr>
      <w:r>
        <w:rPr>
          <w:rFonts w:ascii="Arial" w:cs="Arial" w:eastAsia="Arial" w:hAnsi="Arial"/>
          <w:sz w:val="18"/>
          <w:szCs w:val="18"/>
          <w:color w:val="auto"/>
        </w:rPr>
        <w:t>consolidation) to a Person that is not (either before or after giving effect to such transaction) an Issuer or a Restricted Subsidiary of Wynn Las Vegas, if the sale or other disposition is made in compliance with the “Asset Sales” provisions of the Indenture, and if, after giving effect to such sale or other disposition, such Guarantor is an Immaterial Subsidiary;</w:t>
      </w:r>
    </w:p>
    <w:p>
      <w:pPr>
        <w:spacing w:after="0" w:line="63" w:lineRule="exact"/>
        <w:rPr>
          <w:rFonts w:ascii="Arial" w:cs="Arial" w:eastAsia="Arial" w:hAnsi="Arial"/>
          <w:sz w:val="16"/>
          <w:szCs w:val="16"/>
          <w:color w:val="auto"/>
        </w:rPr>
      </w:pPr>
    </w:p>
    <w:p>
      <w:pPr>
        <w:ind w:left="460" w:right="160" w:firstLine="443"/>
        <w:spacing w:after="0" w:line="259" w:lineRule="auto"/>
        <w:tabs>
          <w:tab w:leader="none" w:pos="1147"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 connection with any sale or other disposition of all of the Capital Stock of that Guarantor to a Person that is not (either before or after giving effect to such transaction) an Issuer or a Restricted Subsidiary of Wynn Las Vegas, if the sale or other disposition does not violate the “Asset Sales” provisions of the Indenture;</w:t>
      </w:r>
    </w:p>
    <w:p>
      <w:pPr>
        <w:spacing w:after="0" w:line="59" w:lineRule="exact"/>
        <w:rPr>
          <w:rFonts w:ascii="Arial" w:cs="Arial" w:eastAsia="Arial" w:hAnsi="Arial"/>
          <w:sz w:val="18"/>
          <w:szCs w:val="18"/>
          <w:color w:val="auto"/>
        </w:rPr>
      </w:pPr>
    </w:p>
    <w:p>
      <w:pPr>
        <w:ind w:left="460" w:right="200" w:firstLine="443"/>
        <w:spacing w:after="0" w:line="268" w:lineRule="auto"/>
        <w:tabs>
          <w:tab w:leader="none" w:pos="1147" w:val="left"/>
        </w:tabs>
        <w:numPr>
          <w:ilvl w:val="0"/>
          <w:numId w:val="93"/>
        </w:numPr>
        <w:rPr>
          <w:rFonts w:ascii="Arial" w:cs="Arial" w:eastAsia="Arial" w:hAnsi="Arial"/>
          <w:sz w:val="18"/>
          <w:szCs w:val="18"/>
          <w:color w:val="auto"/>
        </w:rPr>
      </w:pPr>
      <w:r>
        <w:rPr>
          <w:rFonts w:ascii="Arial" w:cs="Arial" w:eastAsia="Arial" w:hAnsi="Arial"/>
          <w:sz w:val="18"/>
          <w:szCs w:val="18"/>
          <w:color w:val="auto"/>
        </w:rPr>
        <w:t>if Wynn Las Vegas designates any Restricted Subsidiary that is a Guarantor to be an Unrestricted Subsidiary in accordance with the applicable provisions of the Indenture; or</w:t>
      </w:r>
    </w:p>
    <w:p>
      <w:pPr>
        <w:spacing w:after="0" w:line="50" w:lineRule="exact"/>
        <w:rPr>
          <w:rFonts w:ascii="Arial" w:cs="Arial" w:eastAsia="Arial" w:hAnsi="Arial"/>
          <w:sz w:val="18"/>
          <w:szCs w:val="18"/>
          <w:color w:val="auto"/>
        </w:rPr>
      </w:pPr>
    </w:p>
    <w:p>
      <w:pPr>
        <w:ind w:left="460" w:right="220" w:firstLine="443"/>
        <w:spacing w:after="0" w:line="268" w:lineRule="auto"/>
        <w:tabs>
          <w:tab w:leader="none" w:pos="1147" w:val="left"/>
        </w:tabs>
        <w:numPr>
          <w:ilvl w:val="0"/>
          <w:numId w:val="93"/>
        </w:numPr>
        <w:rPr>
          <w:rFonts w:ascii="Arial" w:cs="Arial" w:eastAsia="Arial" w:hAnsi="Arial"/>
          <w:sz w:val="18"/>
          <w:szCs w:val="18"/>
          <w:color w:val="auto"/>
        </w:rPr>
      </w:pPr>
      <w:r>
        <w:rPr>
          <w:rFonts w:ascii="Arial" w:cs="Arial" w:eastAsia="Arial" w:hAnsi="Arial"/>
          <w:sz w:val="18"/>
          <w:szCs w:val="18"/>
          <w:color w:val="auto"/>
        </w:rPr>
        <w:t>upon legal defeasance or satisfaction and discharge of the Indenture as provided below under the captions “—Legal Defeasance and Covenant Defeasance” and “—Satisfaction and Discharge.”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“—Repurchase at the Option of Holders—Asset Sales” and “—Certain Covenants—Designation of Restricted and Unrestricted Subsidiaries.”</w:t>
      </w:r>
    </w:p>
    <w:p>
      <w:pPr>
        <w:spacing w:after="0" w:line="19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to the release of any Note Guarantee by the applicable Guarantor as described in the preceding paragraph, the obligations of the Guarantors under the Note Guarantees will be released if all of the Collateral is released under the circumstances described below under the caption “—Security—Release of Collateral.”</w:t>
      </w:r>
    </w:p>
    <w:p>
      <w:pPr>
        <w:spacing w:after="0" w:line="14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In addition to the release of the Guarantee by Wynn Golf pursuant to the provisions described above, the security interests of the 2017 noteholders in the Golf Course Land and certain portions of the Golf Course Land owned by Wynn Golf may be released under the circumstances described below under the captions “—Security—Release of Golf Course Land,” “—Release of Portions of the Golf Course Land,” and “—Release of Homesite Acreage.”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Security for the New 2017 Notes</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Subject to liens permitted by the Collateral Documents and to the extent permitted by Gaming Laws and other applicable laws, the new 2017</w:t>
      </w:r>
      <w:r>
        <w:rPr>
          <w:rFonts w:ascii="Arial" w:cs="Arial" w:eastAsia="Arial" w:hAnsi="Arial"/>
          <w:sz w:val="18"/>
          <w:szCs w:val="18"/>
          <w:i w:val="1"/>
          <w:iCs w:val="1"/>
          <w:color w:val="auto"/>
        </w:rPr>
        <w:t xml:space="preserve"> </w:t>
      </w:r>
      <w:r>
        <w:rPr>
          <w:rFonts w:ascii="Arial" w:cs="Arial" w:eastAsia="Arial" w:hAnsi="Arial"/>
          <w:sz w:val="18"/>
          <w:szCs w:val="18"/>
          <w:color w:val="auto"/>
        </w:rPr>
        <w:t>notes will be secured by, among other things:</w:t>
      </w:r>
    </w:p>
    <w:p>
      <w:pPr>
        <w:spacing w:after="0" w:line="51" w:lineRule="exact"/>
        <w:rPr>
          <w:sz w:val="20"/>
          <w:szCs w:val="20"/>
          <w:color w:val="auto"/>
        </w:rPr>
      </w:pPr>
    </w:p>
    <w:p>
      <w:pPr>
        <w:ind w:left="460" w:right="960" w:firstLine="443"/>
        <w:spacing w:after="0" w:line="268" w:lineRule="auto"/>
        <w:tabs>
          <w:tab w:leader="none" w:pos="1147"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perfected first priority security interest in substantially all of the Issuers’ existing and future assets, including the Phase I Land, all improvements constructed as part of the Wynn Las Vegas Resort, the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60"/>
          </w:cols>
          <w:pgMar w:left="240" w:top="459" w:right="29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00" w:right="60"/>
        <w:spacing w:after="0" w:line="256" w:lineRule="auto"/>
        <w:rPr>
          <w:sz w:val="20"/>
          <w:szCs w:val="20"/>
          <w:color w:val="auto"/>
        </w:rPr>
      </w:pPr>
      <w:r>
        <w:rPr>
          <w:rFonts w:ascii="Arial" w:cs="Arial" w:eastAsia="Arial" w:hAnsi="Arial"/>
          <w:sz w:val="18"/>
          <w:szCs w:val="18"/>
          <w:color w:val="auto"/>
        </w:rPr>
        <w:t>Phase II Land, all improvements constructed as part of the Phase II Project, all other real property held by Wynn Las Vegas, certain personal property, including items of furniture, fixture and equipment located within the Projects, other than gaming and liquor licenses and other assets in which the grant of a security interest is prohibited by their terms or by law and any proceeds held in a secured account at Wynn Las Vegas drawn or incurred under the Credit Agreement from time to time;</w:t>
      </w:r>
    </w:p>
    <w:p>
      <w:pPr>
        <w:spacing w:after="0" w:line="76" w:lineRule="exact"/>
        <w:rPr>
          <w:sz w:val="20"/>
          <w:szCs w:val="20"/>
          <w:color w:val="auto"/>
        </w:rPr>
      </w:pPr>
    </w:p>
    <w:p>
      <w:pPr>
        <w:ind w:left="1160" w:hanging="257"/>
        <w:spacing w:after="0"/>
        <w:tabs>
          <w:tab w:leader="none" w:pos="11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perfected first priority pledge of the Equity Interests held by Wynn Holdings in Wynn Las Vegas; and</w:t>
      </w:r>
    </w:p>
    <w:p>
      <w:pPr>
        <w:spacing w:after="0" w:line="90" w:lineRule="exact"/>
        <w:rPr>
          <w:rFonts w:ascii="Arial" w:cs="Arial" w:eastAsia="Arial" w:hAnsi="Arial"/>
          <w:sz w:val="18"/>
          <w:szCs w:val="18"/>
          <w:color w:val="auto"/>
        </w:rPr>
      </w:pPr>
    </w:p>
    <w:p>
      <w:pPr>
        <w:ind w:left="460" w:right="380" w:firstLine="443"/>
        <w:spacing w:after="0" w:line="259" w:lineRule="auto"/>
        <w:tabs>
          <w:tab w:leader="none" w:pos="1147"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perfected first priority pledge of the Equity Interests held by the Issuers in any of their respective existing or future Restricted Subsidiaries, including the Equity Interests held by Wynn Las Vegas in Wynn Capital, Las Vegas Jet, LLC, World Travel, LLC, Wynn Sunrise, LLC, Wynn Show Performers, LLC, Wynn Golf and Kevyn, LLC.</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Under Nevada Gaming Laws, none of Wynn Las Vegas or the Guarantors may grant a security interest in (1) the gaming, liquor and other licenses issued to them by the Nevada Gaming Authorities or (2) unless consented to in advance by the Nevada Gaming Authorities, the ownership interests of any person that holds any such license. As a result, the new 2017 notes will not be secured by any such gaming or liquor licenses. In addition, we will not receive the consent of the Nevada Gaming Authorities to the pledge of the Equity Interests in Wynn Las Vegas described above prior to closing. Although we expect to have filed an application for such consent prior to or soon after closing, we can provide no assurance as to when such consent will be granted, if at all.</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Security for the Note Guarantees</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Subject to liens permitted by the Collateral Documents, and to the extent permitted by Gaming Laws and other applicable laws, the Note Guarantees are secured by, among other things:</w:t>
      </w:r>
    </w:p>
    <w:p>
      <w:pPr>
        <w:spacing w:after="0" w:line="51" w:lineRule="exact"/>
        <w:rPr>
          <w:sz w:val="20"/>
          <w:szCs w:val="20"/>
          <w:color w:val="auto"/>
        </w:rPr>
      </w:pPr>
    </w:p>
    <w:p>
      <w:pPr>
        <w:jc w:val="both"/>
        <w:ind w:left="460" w:right="140" w:firstLine="443"/>
        <w:spacing w:after="0" w:line="259" w:lineRule="auto"/>
        <w:tabs>
          <w:tab w:leader="none" w:pos="1147"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perfected first priority security interest in the Golf Course Land, the Water Rights related to the Golf Course Land, one parcel of land adjacent to the Golf Course Land owned by Wynn Golf and Wynn Las Vegas’ water entertainment features, subject, in the case of the Golf Course Land, to release as described below under the caption “—Release of Golf Course Land”; and</w:t>
      </w:r>
    </w:p>
    <w:p>
      <w:pPr>
        <w:spacing w:after="0" w:line="59"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perfected first priority security interest in substantially all of the other existing and future assets (other than gaming and liquor licenses) of the Guarantors, provided that the Note Guarantee of World Travel, LLC is not secured by the Aircraft Assets.</w:t>
      </w:r>
    </w:p>
    <w:p>
      <w:pPr>
        <w:spacing w:after="0" w:line="132"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As noted above, under Nevada Gaming Laws, a gaming licensee is not permitted to grant a security interest in any gaming or other license issued by the Nevada Gaming Authorities. As a result, the Note Guarantees by the Guarantors will not be secured by any such gaming or other licenses.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Release of Collateral</w:t>
      </w:r>
    </w:p>
    <w:p>
      <w:pPr>
        <w:spacing w:after="0" w:line="90"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The Holders’ security interests in all of the Collateral, including the Golf Course Land, may be released and the Golf Course Lease and the Access Easement Agreement may be terminated so long as:</w:t>
      </w:r>
    </w:p>
    <w:p>
      <w:pPr>
        <w:spacing w:after="0" w:line="51" w:lineRule="exact"/>
        <w:rPr>
          <w:sz w:val="20"/>
          <w:szCs w:val="20"/>
          <w:color w:val="auto"/>
        </w:rPr>
      </w:pPr>
    </w:p>
    <w:p>
      <w:pPr>
        <w:ind w:left="460" w:firstLine="443"/>
        <w:spacing w:after="0" w:line="255" w:lineRule="auto"/>
        <w:tabs>
          <w:tab w:leader="none" w:pos="1147"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lenders under the Credit Agreement release their first priority security interest in all of the Collateral (provided that it will not be deemed to be a release of the first priority security interest requiring the automatic release by the 2017 noteholders if the release of the first priority lien securing the Credit Agreement is the result of a refinancing of the Credit Agreement and as a result of which the first priority liens in favor of the administrative agent (for the benefit of the lenders under the Credit Agreement) are terminated and/or replaced with liens in favor of the lenders or holders of such refinancing Indebtedness (or any agent on their behalf));</w:t>
      </w:r>
    </w:p>
    <w:p>
      <w:pPr>
        <w:spacing w:after="0" w:line="61" w:lineRule="exact"/>
        <w:rPr>
          <w:rFonts w:ascii="Arial" w:cs="Arial" w:eastAsia="Arial" w:hAnsi="Arial"/>
          <w:sz w:val="18"/>
          <w:szCs w:val="18"/>
          <w:color w:val="auto"/>
        </w:rPr>
      </w:pPr>
    </w:p>
    <w:p>
      <w:pPr>
        <w:ind w:left="1160" w:hanging="257"/>
        <w:spacing w:after="0"/>
        <w:tabs>
          <w:tab w:leader="none" w:pos="11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40" w:firstLine="443"/>
        <w:spacing w:after="0" w:line="306" w:lineRule="auto"/>
        <w:tabs>
          <w:tab w:leader="none" w:pos="1147"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lenders under all other outstanding secured Indebtedness (other than Indebtedness incurred pursuant to clause (7) of the definition of “Permitted Debt” set forth in the second paragraph of the covenant described below under the caption “—Certain Covenants—Incurrence of Indebtedness and Issuance of Disqualified Stock”) that is secured by any Collateral release their security interest in such Collateral; and</w:t>
      </w:r>
    </w:p>
    <w:p>
      <w:pPr>
        <w:spacing w:after="0" w:line="25" w:lineRule="exact"/>
        <w:rPr>
          <w:rFonts w:ascii="Arial" w:cs="Arial" w:eastAsia="Arial" w:hAnsi="Arial"/>
          <w:sz w:val="16"/>
          <w:szCs w:val="16"/>
          <w:color w:val="auto"/>
        </w:rPr>
      </w:pPr>
    </w:p>
    <w:p>
      <w:pPr>
        <w:ind w:left="460" w:right="80" w:firstLine="443"/>
        <w:spacing w:after="0" w:line="259" w:lineRule="auto"/>
        <w:tabs>
          <w:tab w:leader="none" w:pos="1147" w:val="left"/>
        </w:tabs>
        <w:numPr>
          <w:ilvl w:val="0"/>
          <w:numId w:val="98"/>
        </w:numPr>
        <w:rPr>
          <w:rFonts w:ascii="Arial" w:cs="Arial" w:eastAsia="Arial" w:hAnsi="Arial"/>
          <w:sz w:val="18"/>
          <w:szCs w:val="18"/>
          <w:color w:val="auto"/>
        </w:rPr>
      </w:pPr>
      <w:r>
        <w:rPr>
          <w:rFonts w:ascii="Arial" w:cs="Arial" w:eastAsia="Arial" w:hAnsi="Arial"/>
          <w:sz w:val="18"/>
          <w:szCs w:val="18"/>
          <w:color w:val="auto"/>
        </w:rPr>
        <w:t>Wynn Las Vegas delivers an officers’ certificate to the trustee confirming that the conditions in clauses (1), (2) and (3) above have been satisfied. In addition, the Holders’ security interest in all or substantially all of the Collateral may be released at any time with the consent of the Holders of 95% of the aggregate principal amount of 2017 Notes then outstanding.</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Upon any such release of those security interests, the disposition or transfer of such assets will no longer be subject to any of the restrictive covenants in the Indenture.</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the event that the Issuers or the Guarantors grant Liens (other than Liens permitted under clause (25) of the definition of “Permitted Liens”) to secure any other Indebtedness (other than Indebtedness incurred pursuant to clause (7) of the definition of “Permitted Debt” set forth in the second paragraph described below under the caption “—Certain Covenants—Incurrence of Indebtedness and Issuance of Disqualified Stock”) after the Holders’ security interests in all of the Collateral has been released as set forth in the first paragraph above, the Issuers or the Guarantors, as the case may be, will be required to grant security interests on the same assets to secure the Issuers’ obligations under the 2017 Notes and the Guarantors’ obligations under their respective Note Guarantees on an equal and ratable basis with such other Indebtedness, so long as such other Indebtedness is so secured.</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Release of Golf Course Land</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security interests in all of the Golf Course Land (and the related Water Rights) may be released and the Golf Course Lease and the Access Easement Agreement may be terminated, so long as:</w:t>
      </w:r>
    </w:p>
    <w:p>
      <w:pPr>
        <w:spacing w:after="0" w:line="51" w:lineRule="exact"/>
        <w:rPr>
          <w:sz w:val="20"/>
          <w:szCs w:val="20"/>
          <w:color w:val="auto"/>
        </w:rPr>
      </w:pPr>
    </w:p>
    <w:p>
      <w:pPr>
        <w:ind w:left="1160" w:hanging="257"/>
        <w:spacing w:after="0"/>
        <w:tabs>
          <w:tab w:leader="none" w:pos="11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no Default or Event of Default exists or is continuing immediately prior to or after giving effect to such release;</w:t>
      </w:r>
    </w:p>
    <w:p>
      <w:pPr>
        <w:spacing w:after="0" w:line="90" w:lineRule="exact"/>
        <w:rPr>
          <w:rFonts w:ascii="Arial" w:cs="Arial" w:eastAsia="Arial" w:hAnsi="Arial"/>
          <w:sz w:val="18"/>
          <w:szCs w:val="18"/>
          <w:color w:val="auto"/>
        </w:rPr>
      </w:pPr>
    </w:p>
    <w:p>
      <w:pPr>
        <w:ind w:left="460" w:right="100" w:firstLine="443"/>
        <w:spacing w:after="0" w:line="294" w:lineRule="auto"/>
        <w:tabs>
          <w:tab w:leader="none" w:pos="1147"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lenders under the Credit Agreement concurrently release their first priority security interest in the Golf Course Land (provided that it will not be deemed to be a release of the first priority security interest requiring the automatic release by the 2017 noteholders if the release of the first priority lien securing the Credit Agreement is the result of a refinancing of the Credit Agreement and as a result of which the first priority liens in favor of the administrative agent (for the benefit of the lenders under the Credit Agreement) are terminated and/or replaced with liens in favor of the lenders or holders of such refinancing Indebtedness (or any agent on their behalf));</w:t>
      </w:r>
    </w:p>
    <w:p>
      <w:pPr>
        <w:spacing w:after="0" w:line="34" w:lineRule="exact"/>
        <w:rPr>
          <w:rFonts w:ascii="Arial" w:cs="Arial" w:eastAsia="Arial" w:hAnsi="Arial"/>
          <w:sz w:val="16"/>
          <w:szCs w:val="16"/>
          <w:color w:val="auto"/>
        </w:rPr>
      </w:pPr>
    </w:p>
    <w:p>
      <w:pPr>
        <w:ind w:left="460" w:right="380" w:firstLine="443"/>
        <w:spacing w:after="0" w:line="357" w:lineRule="auto"/>
        <w:tabs>
          <w:tab w:leader="none" w:pos="1147" w:val="left"/>
        </w:tabs>
        <w:numPr>
          <w:ilvl w:val="0"/>
          <w:numId w:val="99"/>
        </w:numPr>
        <w:rPr>
          <w:rFonts w:ascii="Arial" w:cs="Arial" w:eastAsia="Arial" w:hAnsi="Arial"/>
          <w:sz w:val="15"/>
          <w:szCs w:val="15"/>
          <w:color w:val="auto"/>
        </w:rPr>
      </w:pPr>
      <w:r>
        <w:rPr>
          <w:rFonts w:ascii="Arial" w:cs="Arial" w:eastAsia="Arial" w:hAnsi="Arial"/>
          <w:sz w:val="15"/>
          <w:szCs w:val="15"/>
          <w:color w:val="auto"/>
        </w:rPr>
        <w:t>immediately prior to the release of the security interest, and after giving pro forma effect to such release, Wynn Las Vegas’ and its Restricted Subsidiaries’ total debt does not exceed 6.5 times Consolidated EBITDA for the four full fiscal quarters immediately preceding such release; and</w:t>
      </w:r>
    </w:p>
    <w:p>
      <w:pPr>
        <w:ind w:left="1160" w:hanging="257"/>
        <w:spacing w:after="0"/>
        <w:tabs>
          <w:tab w:leader="none" w:pos="11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Wynn Las Vegas delivers an officers’ certificate to the trustee confirming that the conditions in clauses (1), (2) and (3) above have been satisfied.</w:t>
      </w:r>
    </w:p>
    <w:p>
      <w:pPr>
        <w:spacing w:after="0" w:line="194"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Notwithstanding the foregoing, if Wynn Las Vegas incurs debt to finance the project costs related to the building of a project on the Golf Course Land (the “Phase III Project”) pursuant to clause (8) of the second paragraph of the covenant described below under the caption “—Certain Covenants—Incurrence of Indebtedness and Issuance of Disqualified Stock,” then the security interest in the Golf Course Land may not be released without first obtaining the consent of 90% of the holders of the 2017 Notes.</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Upon any such release of those security interests, the disposition or transfer of such assets will no longer be subject to any of the restrictive covenants in the Indenture.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Release of Portions of the Golf Course Land</w:t>
      </w:r>
    </w:p>
    <w:p>
      <w:pPr>
        <w:spacing w:after="0" w:line="90"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color w:val="auto"/>
        </w:rPr>
        <w:t xml:space="preserve">The security interests granted by Wynn Golf in approximately 20 acres of the Golf Course Land constituting the Home Site Land will be released and the Golf Course Lease and the Access Easement Agreement may be amended to contemplate the release of the Home Site Land if the lenders under the Credit Agreement concurrently release their first priority security interest in the Home Site Land, so long as no Default or Event of Default exists or is continuing immediately prior to or after giving effect to such release. It will not be deemed to be a release of the first priority security interest in the Home Site Land requiring the automatic release by the 2017 noteholders if the release of the first priority lien securing the Credit Agreement is the result of a refinancing of the Credit Agreement and as a result of which the first priority liens in favor of the administrative agent (for the benefit of the lenders under the Credit Agreement) are terminated and/or replaced with liens in favor of the lenders or holders of such refinancing Indebtedness (or any agent on their behalf). In the event that, following the automatic release of the 2017 noteholders’ security interest in the Home Site Land, Wynn Las Vegas or any of the Restricted Subsidiaries grants a security interest in any or all of the Home Site Land to secure such refinancing Indebtedness or any guarantee thereof, such Person will concurrently grant a first priority security interest on such portions of the Home Site Land in favor of the trustee for the benefit of the 2017 noteholders to secure the 2017 Notes (or, if such Person is a Guarantor, its Note Guarantee of the 2017 Notes). That security interest in favor of the trustee for the benefit of the 2017 noteholders will be a first priority security interest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security interest in favor of the lenders under the Credit Agreement, subject only to other Permitted Liens and the terms of the Intercreditor Agreement.</w:t>
      </w:r>
    </w:p>
    <w:p>
      <w:pPr>
        <w:spacing w:after="0" w:line="121"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Credit Agreement provides that the lenders will release their security interests in the Home Site Land upon satisfaction of certain conditions, including Wynn Las Vegas achieving a specified minimum level of Consolidated EBITDA for four full consecutive fiscal quarters and satisfying certain conditions relating to the water required for the Wynn Las Vegas casino water features and the golf course. The release provision also requires that until the earlier of the disposition of the Golf Course Land or the payment in full of the obligations under the Credit Agreement, development on the Home Site Land shall be limited to residential housing and other non-gaming related developments, and that construction of permitted improvements could not reasonably be expected to materially interfere with the use or operations of the Golf Course and could not otherwise reasonably be expected to materially impair the overall value of the Projects. The lenders under the Credit Agreement may amend or waive any of their conditions to the release of their security interests without the consent of the 2017 noteholders and may determine to release their liens under different circumstances, which would nevertheless result in the automatic release of the first priority liens by the 2017 noteholders.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Release of Homesite Acreage</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security interests in approximately two acres of the Golf Course Land will be released in order to permit the construction of a personal residence for Stephen A. Wynn and the Golf Course Lease and the Access Easement Agreement may be amended to contemplate the release of the Wynn Home Site Land, so long as:</w:t>
      </w:r>
    </w:p>
    <w:p>
      <w:pPr>
        <w:spacing w:after="0" w:line="59" w:lineRule="exact"/>
        <w:rPr>
          <w:sz w:val="20"/>
          <w:szCs w:val="20"/>
          <w:color w:val="auto"/>
        </w:rPr>
      </w:pPr>
    </w:p>
    <w:p>
      <w:pPr>
        <w:ind w:left="1160" w:hanging="257"/>
        <w:spacing w:after="0"/>
        <w:tabs>
          <w:tab w:leader="none" w:pos="11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no Default or Event of Default exists or is continuing immediately prior to or after giving effect to that release;</w:t>
      </w:r>
    </w:p>
    <w:p>
      <w:pPr>
        <w:spacing w:after="0" w:line="90"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cash purchase price paid by Stephen A. Wynn in immediately available funds for the Wynn Home Site Land prior to the release of the security interests shall not be less than the then Fair Market Value of the Wynn Home Site Land;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purchase price is paid directly to Wynn Golf;</w:t>
      </w:r>
    </w:p>
    <w:p>
      <w:pPr>
        <w:spacing w:after="0" w:line="90" w:lineRule="exact"/>
        <w:rPr>
          <w:rFonts w:ascii="Arial" w:cs="Arial" w:eastAsia="Arial" w:hAnsi="Arial"/>
          <w:sz w:val="18"/>
          <w:szCs w:val="18"/>
          <w:color w:val="auto"/>
        </w:rPr>
      </w:pPr>
    </w:p>
    <w:p>
      <w:pPr>
        <w:ind w:left="460" w:right="480" w:firstLine="443"/>
        <w:spacing w:after="0" w:line="332" w:lineRule="auto"/>
        <w:tabs>
          <w:tab w:leader="none" w:pos="1147"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construction of Stephen A. Wynn’s personal residence will not materially interfere with the design, construction, operation or use of the remainder of the Golf Course Land and otherwise could not reasonably be expected to materially impair the overall value of the Projects;</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lenders under the Credit Agreement concurrently release their security interests in the Wynn Home Site Land to be released by the trustee;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firstLine="443"/>
        <w:spacing w:after="0" w:line="302" w:lineRule="auto"/>
        <w:tabs>
          <w:tab w:leader="none" w:pos="1147" w:val="left"/>
        </w:tabs>
        <w:numPr>
          <w:ilvl w:val="1"/>
          <w:numId w:val="101"/>
        </w:numPr>
        <w:rPr>
          <w:rFonts w:ascii="Arial" w:cs="Arial" w:eastAsia="Arial" w:hAnsi="Arial"/>
          <w:sz w:val="15"/>
          <w:szCs w:val="15"/>
          <w:color w:val="auto"/>
        </w:rPr>
      </w:pPr>
      <w:r>
        <w:rPr>
          <w:rFonts w:ascii="Arial" w:cs="Arial" w:eastAsia="Arial" w:hAnsi="Arial"/>
          <w:sz w:val="15"/>
          <w:szCs w:val="15"/>
          <w:color w:val="auto"/>
        </w:rPr>
        <w:t>no Points of Diversion with respect to any water permits held by us or any of our Restricted Subsidiaries or otherwise utilized or expected to be utilized with respect to the Projects, wells associated therewith or rights-of-way necessary for the transportation to the Golf Course Land or the Wynn Las Vegas hotel and casino resort water entertainment features of water drawn or to be drawn pursuant to water permits, are located on the released Golf Course Land, or Wynn Golf shall have otherwise transferred or reserved for the benefit of the Golf Course Land (previously or in connection with such disposition) at no cost to Wynn Las Vegas and its Restricted Subsidiaries such easements as are necessary for Wynn Las Vegas and its Restricted Subsidiaries to</w:t>
      </w:r>
    </w:p>
    <w:p>
      <w:pPr>
        <w:spacing w:after="0" w:line="1" w:lineRule="exact"/>
        <w:rPr>
          <w:rFonts w:ascii="Arial" w:cs="Arial" w:eastAsia="Arial" w:hAnsi="Arial"/>
          <w:sz w:val="15"/>
          <w:szCs w:val="15"/>
          <w:color w:val="auto"/>
        </w:rPr>
      </w:pPr>
    </w:p>
    <w:p>
      <w:pPr>
        <w:ind w:left="460" w:right="520" w:firstLine="4"/>
        <w:spacing w:after="0" w:line="261" w:lineRule="auto"/>
        <w:tabs>
          <w:tab w:leader="none" w:pos="74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access such Points of Diversion, (B) own and operate such wells and (C) transport such water to the water features of the Project and/or the Golf Course;</w:t>
      </w:r>
    </w:p>
    <w:p>
      <w:pPr>
        <w:spacing w:after="0" w:line="56" w:lineRule="exact"/>
        <w:rPr>
          <w:rFonts w:ascii="Arial" w:cs="Arial" w:eastAsia="Arial" w:hAnsi="Arial"/>
          <w:sz w:val="18"/>
          <w:szCs w:val="18"/>
          <w:color w:val="auto"/>
        </w:rPr>
      </w:pPr>
    </w:p>
    <w:p>
      <w:pPr>
        <w:ind w:left="460" w:right="40" w:firstLine="443"/>
        <w:spacing w:after="0" w:line="286" w:lineRule="auto"/>
        <w:tabs>
          <w:tab w:leader="none" w:pos="1147" w:val="left"/>
        </w:tabs>
        <w:numPr>
          <w:ilvl w:val="1"/>
          <w:numId w:val="102"/>
        </w:numPr>
        <w:rPr>
          <w:rFonts w:ascii="Arial" w:cs="Arial" w:eastAsia="Arial" w:hAnsi="Arial"/>
          <w:sz w:val="16"/>
          <w:szCs w:val="16"/>
          <w:color w:val="auto"/>
        </w:rPr>
      </w:pPr>
      <w:r>
        <w:rPr>
          <w:rFonts w:ascii="Arial" w:cs="Arial" w:eastAsia="Arial" w:hAnsi="Arial"/>
          <w:sz w:val="16"/>
          <w:szCs w:val="16"/>
          <w:color w:val="auto"/>
        </w:rPr>
        <w:t>Wynn Las Vegas and Wynn Golf, as the case may be, shall have taken all actions required pursuant to the covenant described below under the caption “—Certain Covenants—Additional Collateral; Acquisition of Assets or Property” with respect to any assets or property acquired pursuant to clause</w:t>
      </w:r>
    </w:p>
    <w:p>
      <w:pPr>
        <w:ind w:left="460"/>
        <w:spacing w:after="0"/>
        <w:rPr>
          <w:rFonts w:ascii="Arial" w:cs="Arial" w:eastAsia="Arial" w:hAnsi="Arial"/>
          <w:sz w:val="16"/>
          <w:szCs w:val="16"/>
          <w:color w:val="auto"/>
        </w:rPr>
      </w:pPr>
      <w:r>
        <w:rPr>
          <w:rFonts w:ascii="Arial" w:cs="Arial" w:eastAsia="Arial" w:hAnsi="Arial"/>
          <w:sz w:val="18"/>
          <w:szCs w:val="18"/>
          <w:color w:val="auto"/>
        </w:rPr>
        <w:t>(6) above; and</w:t>
      </w:r>
    </w:p>
    <w:p>
      <w:pPr>
        <w:spacing w:after="0" w:line="83" w:lineRule="exact"/>
        <w:rPr>
          <w:rFonts w:ascii="Arial" w:cs="Arial" w:eastAsia="Arial" w:hAnsi="Arial"/>
          <w:sz w:val="16"/>
          <w:szCs w:val="16"/>
          <w:color w:val="auto"/>
        </w:rPr>
      </w:pPr>
    </w:p>
    <w:p>
      <w:pPr>
        <w:ind w:left="1160" w:hanging="257"/>
        <w:spacing w:after="0"/>
        <w:tabs>
          <w:tab w:leader="none" w:pos="1160" w:val="left"/>
        </w:tabs>
        <w:numPr>
          <w:ilvl w:val="1"/>
          <w:numId w:val="102"/>
        </w:numPr>
        <w:rPr>
          <w:rFonts w:ascii="Arial" w:cs="Arial" w:eastAsia="Arial" w:hAnsi="Arial"/>
          <w:sz w:val="16"/>
          <w:szCs w:val="16"/>
          <w:color w:val="auto"/>
        </w:rPr>
      </w:pPr>
      <w:r>
        <w:rPr>
          <w:rFonts w:ascii="Arial" w:cs="Arial" w:eastAsia="Arial" w:hAnsi="Arial"/>
          <w:sz w:val="16"/>
          <w:szCs w:val="16"/>
          <w:color w:val="auto"/>
        </w:rPr>
        <w:t>Wynn Las Vegas and/or Wynn Golf delivers an officers’ certificate to the trustee confirming that the conditions in clauses (1), (2), (3), (4), (5),</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(6) and (7) above have been satisfied.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At any time prior to November 1, 2012, the Issuers may, on any one or more occasions, redeem up to 35% of the aggregate principal amount of 2017 Notes issued under the Indenture at a redemption price of 107.875% of the principal amount, plus accrued and unpaid interest and Liquidated Damages, if any, to the redemption date, with the net cash proceeds of one or more Qualified Equity Offerings of Wynn Resorts that are contributed to us;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at least 65% of the aggregate principal amount of 2017 Notes issued under the Indenture remains outstanding immediately after the occurrence of such redemption and that the redemption occurs within 60 days of the date of the closing of such Qualified Equity Offering.</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pursuant to the preceding paragraph, the 2017 Notes will not be redeemable at the Issuers’ option prior to November 1, 2013.</w:t>
      </w:r>
    </w:p>
    <w:p>
      <w:pPr>
        <w:spacing w:after="0" w:line="171"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On or after November 1, 2013, the Issuers may redeem all or a part of the 2017 Notes upon not less than 30 nor more than 60 days’ notice, at the redemption prices (expressed as percentages of principal amount) set forth below plus accrued and unpaid interest and Liquidated Damages, if any, on the 2017 Notes redeemed, to the applicable redemption date, if redeemed during the twelve-month period beginning on November 1 of the years indicated below, subject to the rights of holders of 2017 Notes on the relevant record date to receive interest on the relevant interest payment date:</w:t>
      </w:r>
    </w:p>
    <w:p>
      <w:pPr>
        <w:spacing w:after="0" w:line="14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Year</w:t>
            </w:r>
          </w:p>
        </w:tc>
        <w:tc>
          <w:tcPr>
            <w:tcW w:w="8440" w:type="dxa"/>
            <w:vAlign w:val="bottom"/>
          </w:tcPr>
          <w:p>
            <w:pPr>
              <w:spacing w:after="0"/>
              <w:rPr>
                <w:sz w:val="14"/>
                <w:szCs w:val="14"/>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2"/>
              </w:rPr>
              <w:t>Percentage</w:t>
            </w:r>
          </w:p>
        </w:tc>
        <w:tc>
          <w:tcPr>
            <w:tcW w:w="200" w:type="dxa"/>
            <w:vAlign w:val="bottom"/>
          </w:tcPr>
          <w:p>
            <w:pPr>
              <w:spacing w:after="0"/>
              <w:rPr>
                <w:sz w:val="14"/>
                <w:szCs w:val="14"/>
                <w:color w:val="auto"/>
              </w:rPr>
            </w:pPr>
          </w:p>
        </w:tc>
      </w:tr>
      <w:tr>
        <w:trPr>
          <w:trHeight w:val="210"/>
        </w:trPr>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2013</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103.938%</w:t>
            </w:r>
          </w:p>
        </w:tc>
      </w:tr>
      <w:tr>
        <w:trPr>
          <w:trHeight w:val="216"/>
        </w:trPr>
        <w:tc>
          <w:tcPr>
            <w:tcW w:w="8740" w:type="dxa"/>
            <w:vAlign w:val="bottom"/>
            <w:gridSpan w:val="2"/>
          </w:tcPr>
          <w:p>
            <w:pPr>
              <w:spacing w:after="0"/>
              <w:rPr>
                <w:sz w:val="20"/>
                <w:szCs w:val="20"/>
                <w:color w:val="auto"/>
              </w:rPr>
            </w:pPr>
            <w:r>
              <w:rPr>
                <w:rFonts w:ascii="Arial" w:cs="Arial" w:eastAsia="Arial" w:hAnsi="Arial"/>
                <w:sz w:val="18"/>
                <w:szCs w:val="18"/>
                <w:color w:val="auto"/>
              </w:rPr>
              <w:t>2014</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101.969%</w:t>
            </w:r>
          </w:p>
        </w:tc>
      </w:tr>
      <w:tr>
        <w:trPr>
          <w:trHeight w:val="216"/>
        </w:trPr>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2015 and thereafter</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100.000%</w:t>
            </w:r>
          </w:p>
        </w:tc>
      </w:tr>
    </w:tbl>
    <w:p>
      <w:pPr>
        <w:spacing w:after="0" w:line="15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Unless the Issuers default in the payment of the redemption price, interest will cease to accrue on the 2017 Notes or portions thereof called for redemption on the applicable redemption date.</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connection with a discharge or defeasance of the Issuers’ obligations under the Indenture, the Issuers may deliver a notice of redemption more than 60 days in advance of the date of redemption. See “—Satisfaction and Discharge.”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Gaming Redemption</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Notwithstanding any other provision hereof, if any Gaming Authority requires a holder or beneficial owner of 2017 Notes to be licensed, qualified or found suitable under any applicable Gaming Law and the holder 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beneficial owner (1) fails to apply for a license, qualification or finding of suitability within 30 days after being requested to do so (or such lesser period as required by the Gaming Authority), or (2) is notified by a Gaming Authority that it will not be licensed, qualified or found suitable, the Issuers will have the right, at their option, to:</w:t>
      </w:r>
    </w:p>
    <w:p>
      <w:pPr>
        <w:spacing w:after="0" w:line="59" w:lineRule="exact"/>
        <w:rPr>
          <w:sz w:val="20"/>
          <w:szCs w:val="20"/>
          <w:color w:val="auto"/>
        </w:rPr>
      </w:pPr>
    </w:p>
    <w:p>
      <w:pPr>
        <w:ind w:left="460" w:right="280" w:firstLine="443"/>
        <w:spacing w:after="0" w:line="268" w:lineRule="auto"/>
        <w:tabs>
          <w:tab w:leader="none" w:pos="114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require the holder or beneficial owner to dispose of its 2017 Notes within 30 days (or such lesser period as required by the Gaming Authority) following the earlier of:</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the termination of the period described above for the holder or beneficial owner to apply for a license, qualification or finding of suitability;</w:t>
      </w:r>
    </w:p>
    <w:p>
      <w:pPr>
        <w:spacing w:after="0" w:line="3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or</w:t>
      </w:r>
    </w:p>
    <w:p>
      <w:pPr>
        <w:spacing w:after="0" w:line="83" w:lineRule="exact"/>
        <w:rPr>
          <w:rFonts w:ascii="Arial" w:cs="Arial" w:eastAsia="Arial" w:hAnsi="Arial"/>
          <w:sz w:val="16"/>
          <w:szCs w:val="16"/>
          <w:color w:val="auto"/>
        </w:rPr>
      </w:pPr>
    </w:p>
    <w:p>
      <w:pPr>
        <w:ind w:left="920" w:right="120" w:firstLine="421"/>
        <w:spacing w:after="0" w:line="268" w:lineRule="auto"/>
        <w:tabs>
          <w:tab w:leader="none" w:pos="1588"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receipt of the notice from the Gaming Authority that the holder or beneficial owner will not be licensed, qualified or found suitable by the Gaming Authority; or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redeem the 2017 Notes of the holder or beneficial owner at a redemption price equal to:</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price required by applicable law or by order of any Gaming Authority; or</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lesser of:</w:t>
      </w:r>
    </w:p>
    <w:p>
      <w:pPr>
        <w:spacing w:after="0" w:line="90" w:lineRule="exact"/>
        <w:rPr>
          <w:rFonts w:ascii="Arial" w:cs="Arial" w:eastAsia="Arial" w:hAnsi="Arial"/>
          <w:sz w:val="18"/>
          <w:szCs w:val="18"/>
          <w:color w:val="auto"/>
        </w:rPr>
      </w:pPr>
    </w:p>
    <w:p>
      <w:pPr>
        <w:ind w:left="2100" w:hanging="211"/>
        <w:spacing w:after="0"/>
        <w:tabs>
          <w:tab w:leader="none" w:pos="2100" w:val="left"/>
        </w:tabs>
        <w:numPr>
          <w:ilvl w:val="2"/>
          <w:numId w:val="103"/>
        </w:numPr>
        <w:rPr>
          <w:rFonts w:ascii="Arial" w:cs="Arial" w:eastAsia="Arial" w:hAnsi="Arial"/>
          <w:sz w:val="18"/>
          <w:szCs w:val="18"/>
          <w:color w:val="auto"/>
        </w:rPr>
      </w:pPr>
      <w:r>
        <w:rPr>
          <w:rFonts w:ascii="Arial" w:cs="Arial" w:eastAsia="Arial" w:hAnsi="Arial"/>
          <w:sz w:val="18"/>
          <w:szCs w:val="18"/>
          <w:color w:val="auto"/>
        </w:rPr>
        <w:t>the principal amount of the 2017 Notes; and</w:t>
      </w:r>
    </w:p>
    <w:p>
      <w:pPr>
        <w:spacing w:after="0" w:line="90" w:lineRule="exact"/>
        <w:rPr>
          <w:rFonts w:ascii="Arial" w:cs="Arial" w:eastAsia="Arial" w:hAnsi="Arial"/>
          <w:sz w:val="18"/>
          <w:szCs w:val="18"/>
          <w:color w:val="auto"/>
        </w:rPr>
      </w:pPr>
    </w:p>
    <w:p>
      <w:pPr>
        <w:ind w:left="1500" w:right="140" w:firstLine="389"/>
        <w:spacing w:after="0" w:line="256" w:lineRule="auto"/>
        <w:tabs>
          <w:tab w:leader="none" w:pos="2155" w:val="left"/>
        </w:tabs>
        <w:numPr>
          <w:ilvl w:val="2"/>
          <w:numId w:val="103"/>
        </w:numPr>
        <w:rPr>
          <w:rFonts w:ascii="Arial" w:cs="Arial" w:eastAsia="Arial" w:hAnsi="Arial"/>
          <w:sz w:val="18"/>
          <w:szCs w:val="18"/>
          <w:color w:val="auto"/>
        </w:rPr>
      </w:pPr>
      <w:r>
        <w:rPr>
          <w:rFonts w:ascii="Arial" w:cs="Arial" w:eastAsia="Arial" w:hAnsi="Arial"/>
          <w:sz w:val="18"/>
          <w:szCs w:val="18"/>
          <w:color w:val="auto"/>
        </w:rPr>
        <w:t>the price that the holder or beneficial owner paid for the 2017 Notes in either case, together with accrued and unpaid interest and Liquidated Damages, if any, on the 2017 Notes to the earlier of (1) the date of redemption or such earlier date as is required by the Gaming Authority or (2) the date of the finding of unsuitability by the Gaming Authority, which may be less than 30 days following the notice of redemption.</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Immediately upon a determination by a Gaming Authority that a holder or beneficial owner of 2017 Notes will not be licensed, qualified or found suitable, the holder or beneficial owner will not have any further rights with respect to the 2017 Notes to:</w:t>
      </w:r>
    </w:p>
    <w:p>
      <w:pPr>
        <w:spacing w:after="0" w:line="51" w:lineRule="exact"/>
        <w:rPr>
          <w:sz w:val="20"/>
          <w:szCs w:val="20"/>
          <w:color w:val="auto"/>
        </w:rPr>
      </w:pPr>
    </w:p>
    <w:p>
      <w:pPr>
        <w:ind w:left="1160" w:hanging="257"/>
        <w:spacing w:after="0"/>
        <w:tabs>
          <w:tab w:leader="none" w:pos="11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exercise, directly or indirectly, through any Person, any right conferred by the 2017 Notes; or</w:t>
      </w:r>
    </w:p>
    <w:p>
      <w:pPr>
        <w:spacing w:after="0" w:line="90" w:lineRule="exact"/>
        <w:rPr>
          <w:rFonts w:ascii="Arial" w:cs="Arial" w:eastAsia="Arial" w:hAnsi="Arial"/>
          <w:sz w:val="18"/>
          <w:szCs w:val="18"/>
          <w:color w:val="auto"/>
        </w:rPr>
      </w:pPr>
    </w:p>
    <w:p>
      <w:pPr>
        <w:ind w:left="460" w:right="320" w:firstLine="443"/>
        <w:spacing w:after="0" w:line="268" w:lineRule="auto"/>
        <w:tabs>
          <w:tab w:leader="none" w:pos="1147"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receive any interest or any other distribution or payment with respect to the 2017 Notes, or any remuneration in any form from the Issuers for services rendered or otherwise, except the redemption price of the 2017 Notes described in this section.</w:t>
      </w:r>
    </w:p>
    <w:p>
      <w:pPr>
        <w:spacing w:after="0" w:line="132"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 Issuers are not required to pay or reimburse any holder or beneficial owner of 2017 Notes who is required to apply for such license, qualification or finding of suitability for the costs relating thereto. Those expenses will be the obligation of the holder or beneficial owner.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Mandatory Redemption</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Other than as set forth above under the caption entitled “—Gaming Redemption,” the Issuers are not required to make mandatory redemption or sinking fund payments with respect to the 2017 Notes.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at the Option of Holders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Change of Control</w:t>
      </w:r>
    </w:p>
    <w:p>
      <w:pPr>
        <w:spacing w:after="0" w:line="9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If a Change of Control occurs, each holder of 2017 Notes will have the right to require the Issuers to repurchase all or any part (equal to $2,000 or an integral multiple of $1,000 in excess of $2,000) of that holder’s 2017 Notes pursuant to a Change of Control Offer on the terms set forth in the Indenture. In the Change of Control Offer, the Issuers will offer a payment (the “Change of Control Payment”) in cash equal to 101% of the aggregate principal amount of 2017 Notes repurchased plus accrued and unpaid interest and Liquidated Damages, if any, on the 2017 Notes repurchased to the date of purchase. Within 10 days following any Change of Control, the Issuers will mail a notice to each holder describing the transaction or transactions that constitute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Change of Control and offering to repurchase 2017 Notes on the date (the “Change of Control Payment Date”) specified in the notice, which date will be no earlier than 30 days and no later than 60 days from the date such notice is mailed, pursuant to the procedures required by the Indenture and described in such notice.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the Change of Control Payment Date, the Issuers will, to the extent lawful:</w:t>
      </w:r>
    </w:p>
    <w:p>
      <w:pPr>
        <w:spacing w:after="0" w:line="90" w:lineRule="exact"/>
        <w:rPr>
          <w:sz w:val="20"/>
          <w:szCs w:val="20"/>
          <w:color w:val="auto"/>
        </w:rPr>
      </w:pPr>
    </w:p>
    <w:p>
      <w:pPr>
        <w:ind w:left="1160" w:hanging="257"/>
        <w:spacing w:after="0"/>
        <w:tabs>
          <w:tab w:leader="none" w:pos="11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accept for payment all 2017 Notes or portions of 2017 Notes properly tendered pursuant to the Change of Control Offer;</w:t>
      </w:r>
    </w:p>
    <w:p>
      <w:pPr>
        <w:spacing w:after="0" w:line="90"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2017 Notes or portions of 2017 Notes properly tendered; and</w:t>
      </w:r>
    </w:p>
    <w:p>
      <w:pPr>
        <w:spacing w:after="0" w:line="50" w:lineRule="exact"/>
        <w:rPr>
          <w:rFonts w:ascii="Arial" w:cs="Arial" w:eastAsia="Arial" w:hAnsi="Arial"/>
          <w:sz w:val="18"/>
          <w:szCs w:val="18"/>
          <w:color w:val="auto"/>
        </w:rPr>
      </w:pPr>
    </w:p>
    <w:p>
      <w:pPr>
        <w:ind w:left="460" w:right="660" w:firstLine="443"/>
        <w:spacing w:after="0" w:line="268" w:lineRule="auto"/>
        <w:tabs>
          <w:tab w:leader="none" w:pos="114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2017 Notes properly accepted together with an officers’ certificate stating the aggregate principal amount of 2017 Notes or portions of 2017 Notes being purchased by the Issuers.</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paying agent will promptly mail to each holder of 2017 Notes properly tendered the Change of Control Payment for such 2017 Notes, and the trustee will promptly authenticate and mail (or cause to be transferred by book-entry) to each holder a 2017 Note equal in principal amount to any unpurchased portion of the 2017 Notes surrendered, if any. The Issuers will publicly announce the results of the Change of Control Offer on or as soon as practicable after the Change of Control Payment Date.</w:t>
      </w:r>
    </w:p>
    <w:p>
      <w:pPr>
        <w:spacing w:after="0" w:line="143"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Except as described above with respect to a Change of Control, the Indenture does not contain provisions that permit the holders of the 2017 Notes to require that the Issuers repurchase or redeem the 2017 Notes in the event of a takeover, recapitalization or similar transaction.</w:t>
      </w:r>
    </w:p>
    <w:p>
      <w:pPr>
        <w:spacing w:after="0" w:line="8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Issuers will not be required to make a Change of Control Offer upon a Change of Control if (1) a third party makes the Change of Control Offer in the manner, at the times and otherwise in compliance with the requirements set forth in the Indenture applicable to a Change of Control Offer made by the Issuers and purchases all 2017 Notes properly tendered and not withdrawn under the Change of Control Offer, or (2) a notice of redemption has been given pursuant to the Indenture as described above under the caption “—Optional Redemption,” unless and until there is a default in payment of the applicable redemption price. The definition of “Change of Control” includes a phrase relating to the direct or indirect sale, lease, transfer, conveyance or other disposition of “all or substantially all” of the properties or assets of Wynn Las Vegas and its Restricted Subsidiaries, taken as a whole. Although there is a limited body of case law interpreting the phrase “substantially all,” there is no precise established definition of the phrase under applicable law. Accordingly, the ability of a holder of 2017 Notes to require the Issuers to repurchase its 2017 Notes as a result of a sale, lease, transfer, conveyance or other disposition of less than all of the assets of Wynn Las Vegas and its Restricted Subsidiaries, taken as a whole, to another Person or group may be uncertain.</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Asset Sales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Las Vegas will not, and will not permit any of its Restricted Subsidiaries to, consummate an Asset Sale unless:</w:t>
      </w:r>
    </w:p>
    <w:p>
      <w:pPr>
        <w:spacing w:after="0" w:line="90" w:lineRule="exact"/>
        <w:rPr>
          <w:sz w:val="20"/>
          <w:szCs w:val="20"/>
          <w:color w:val="auto"/>
        </w:rPr>
      </w:pPr>
    </w:p>
    <w:p>
      <w:pPr>
        <w:jc w:val="both"/>
        <w:ind w:left="460" w:right="220" w:firstLine="443"/>
        <w:spacing w:after="0" w:line="259" w:lineRule="auto"/>
        <w:tabs>
          <w:tab w:leader="none" w:pos="1147"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Wynn Las Vegas (or the Restricted Subsidiary, as the case may be) receives consideration at the time of the Asset Sale at least equal to the Fair Market Value of the assets or Equity Interests issued or sold or otherwise disposed of (it being understood that a percentage of the purchase price may be subject to escrow arrangements customary for asset sales);</w:t>
      </w:r>
    </w:p>
    <w:p>
      <w:pPr>
        <w:spacing w:after="0" w:line="59" w:lineRule="exact"/>
        <w:rPr>
          <w:rFonts w:ascii="Arial" w:cs="Arial" w:eastAsia="Arial" w:hAnsi="Arial"/>
          <w:sz w:val="18"/>
          <w:szCs w:val="18"/>
          <w:color w:val="auto"/>
        </w:rPr>
      </w:pPr>
    </w:p>
    <w:p>
      <w:pPr>
        <w:ind w:left="460" w:right="400" w:firstLine="443"/>
        <w:spacing w:after="0" w:line="332" w:lineRule="auto"/>
        <w:tabs>
          <w:tab w:leader="none" w:pos="1147" w:val="left"/>
        </w:tabs>
        <w:numPr>
          <w:ilvl w:val="0"/>
          <w:numId w:val="106"/>
        </w:numPr>
        <w:rPr>
          <w:rFonts w:ascii="Arial" w:cs="Arial" w:eastAsia="Arial" w:hAnsi="Arial"/>
          <w:sz w:val="16"/>
          <w:szCs w:val="16"/>
          <w:color w:val="auto"/>
        </w:rPr>
      </w:pPr>
      <w:r>
        <w:rPr>
          <w:rFonts w:ascii="Arial" w:cs="Arial" w:eastAsia="Arial" w:hAnsi="Arial"/>
          <w:sz w:val="16"/>
          <w:szCs w:val="16"/>
          <w:color w:val="auto"/>
        </w:rPr>
        <w:t>if the aggregate consideration to be received by Wynn Las Vegas or such Restricted Subsidiary is in excess of $10.0 million, the Fair Market Value is evidenced by a certificate of the chief financial officer of Wynn Las Vegas delivered to the trustee; and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40" w:firstLine="443"/>
        <w:spacing w:after="0" w:line="268" w:lineRule="auto"/>
        <w:tabs>
          <w:tab w:leader="none" w:pos="114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at least 75% of the consideration received in the Asset Sale by Wynn Las Vegas or such Restricted Subsidiary is in the form of cash or Cash Equivalents. For purposes of this provision, each of the following will be deemed to be cash:</w:t>
      </w:r>
    </w:p>
    <w:p>
      <w:pPr>
        <w:spacing w:after="0" w:line="50" w:lineRule="exact"/>
        <w:rPr>
          <w:rFonts w:ascii="Arial" w:cs="Arial" w:eastAsia="Arial" w:hAnsi="Arial"/>
          <w:sz w:val="18"/>
          <w:szCs w:val="18"/>
          <w:color w:val="auto"/>
        </w:rPr>
      </w:pPr>
    </w:p>
    <w:p>
      <w:pPr>
        <w:ind w:left="920" w:right="20" w:firstLine="421"/>
        <w:spacing w:after="0" w:line="256" w:lineRule="auto"/>
        <w:tabs>
          <w:tab w:leader="none" w:pos="1579"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any liabilities, as shown on Wynn Las Vegas’ most recent consolidated balance sheet, of Wynn Las Vegas or any Restricted Subsidiary (other than contingent liabilities and liabilities that are by their terms subordinated to the 2017 Notes or any Note Guarantee) that are assumed by the transferee of any such assets pursuant to a customary novation agreement that releases Wynn Las Vegas or such Restricted Subsidiary from further liability; and</w:t>
      </w:r>
    </w:p>
    <w:p>
      <w:pPr>
        <w:spacing w:after="0" w:line="62" w:lineRule="exact"/>
        <w:rPr>
          <w:rFonts w:ascii="Arial" w:cs="Arial" w:eastAsia="Arial" w:hAnsi="Arial"/>
          <w:sz w:val="18"/>
          <w:szCs w:val="18"/>
          <w:color w:val="auto"/>
        </w:rPr>
      </w:pPr>
    </w:p>
    <w:p>
      <w:pPr>
        <w:ind w:left="920" w:firstLine="421"/>
        <w:spacing w:after="0" w:line="370" w:lineRule="auto"/>
        <w:tabs>
          <w:tab w:leader="none" w:pos="1588" w:val="left"/>
        </w:tabs>
        <w:numPr>
          <w:ilvl w:val="1"/>
          <w:numId w:val="107"/>
        </w:numPr>
        <w:rPr>
          <w:rFonts w:ascii="Arial" w:cs="Arial" w:eastAsia="Arial" w:hAnsi="Arial"/>
          <w:sz w:val="15"/>
          <w:szCs w:val="15"/>
          <w:color w:val="auto"/>
        </w:rPr>
      </w:pPr>
      <w:r>
        <w:rPr>
          <w:rFonts w:ascii="Arial" w:cs="Arial" w:eastAsia="Arial" w:hAnsi="Arial"/>
          <w:sz w:val="15"/>
          <w:szCs w:val="15"/>
          <w:color w:val="auto"/>
        </w:rPr>
        <w:t>any securities, 2017 Notes or other obligations received by Wynn Las Vegas or any such Restricted Subsidiary from such transferee that are converted within 30 business days by Wynn Las Vegas or such Restricted Subsidiary into cash, to the extent of the cash received in that conversion.</w:t>
      </w:r>
    </w:p>
    <w:p>
      <w:pPr>
        <w:spacing w:after="0" w:line="62" w:lineRule="exact"/>
        <w:rPr>
          <w:sz w:val="20"/>
          <w:szCs w:val="20"/>
          <w:color w:val="auto"/>
        </w:rPr>
      </w:pPr>
    </w:p>
    <w:p>
      <w:pPr>
        <w:ind w:right="160" w:firstLine="456"/>
        <w:spacing w:after="0" w:line="286" w:lineRule="auto"/>
        <w:rPr>
          <w:sz w:val="20"/>
          <w:szCs w:val="20"/>
          <w:color w:val="auto"/>
        </w:rPr>
      </w:pPr>
      <w:r>
        <w:rPr>
          <w:rFonts w:ascii="Arial" w:cs="Arial" w:eastAsia="Arial" w:hAnsi="Arial"/>
          <w:sz w:val="16"/>
          <w:szCs w:val="16"/>
          <w:color w:val="auto"/>
        </w:rPr>
        <w:t>Within 360 days after the receipt of any Net Proceeds from an Asset Sale, Wynn Las Vegas (or the applicable Restricted Subsidiary, as the case may be) may apply such Net Proceeds to make a capital expenditure, improve real property or acquire long-term assets that are used or useful in a line of business permitted by the covenant described below under the caption “—Certain Covenants—Line of Business.” Wynn Las Vegas (or such Restricted Subsidiary, as the case may be) shall take all necessary action to ensure that the security interest of the trustee, on behalf of the Holders, continues as a perfected first priority security interest (equal and ratable with the security interest securing the Credit Agreement, the 2014 Notes, the 2020 Notes and other Permitted Liens and the terms of the Intercreditor Agreement) on any property or assets acquired or constructed with the Net Proceeds of any Asset Sale on the terms set forth in the Indenture, the Intercreditor Agreement and the other Collateral Documents. Pending the final application of any Net Proceeds, Wynn Las Vegas (or such Restricted Subsidiary, as the case may be) may (1) apply the Net Proceeds to temporarily reduce amounts outstanding under any pari passu secured revolving credit Indebtedness of Wynn Las Vegas or any of its Restricted Subsidiaries, or (2) invest the Net Proceeds in Cash Equivalents which, at any time other than during a Collateral Release Period, will be subject to a perfected first priority security interest (equal and ratable with the security interest securing the Credit Agreement, the 2014 Notes and the 2020 Notes and subject to other Permitted Liens and the terms of the Intercreditor Agreement) in favor of the trustee, on behalf of the holders of 2017 Notes, as security for the 2017 Notes.</w:t>
      </w:r>
    </w:p>
    <w:p>
      <w:pPr>
        <w:spacing w:after="0" w:line="12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Any Net Proceeds from Asset Sales that are not applied or invested as provided in the preceding paragraph will constitute “Excess Net Proceeds.” Within 10 days following the earlier of (i) the date on which the aggregate amount of Excess Net Proceeds exceeds $20.0 million or (ii) the date when the proceeds of any sale of assets are required, pursuant to the Credit Agreement, to be applied to reduce Indebtedness of Wynn Las Vegas (such Excess Net Proceeds and the proceeds described in the preceding clause (ii) shall collectively constitute “Excess Proceeds”), Wynn Las Vegas will allocate a portion of such Excess Proceeds, determined by multiplying the amount of such Excess Proceeds by a fraction, the numerator of which is the total aggregate principal amount of 2017 Notes then outstanding and all Pari Passu Debt then outstanding, and the denominator of which is the total aggregate principal amount of 2017 Notes then outstanding, all Pari Passu Debt then outstanding and all Indebtedness then outstanding under the Credit Agreement (such amount being the “Asset Sale Offer Amount”), to make an offer (an “Asset Sale Offer”) to all holders of 2017 Notes and, to the extent required, the holders of such Pari Passu Debt to repurchase such 2017 Notes and such Pari Passu Debt at an offer price equal to 100% of the principal amount of the 2017 Notes and such Pari Passu Debt to be purchased plus accrued and unpaid interest and Liquidated Damages, if any, on the 2017 Notes and such other Pari Passu Debt to the date of repurchase, which offer price will be payable in cash. The amount of any such Excess Proceeds less the Asset Sale Offer Amount (the “Asset Sale Repayment Amount”) will concurrently be applied to repay any term Indebtedness outstanding under the Credit Agreement in accordance with the requirements of the Credit Agreement; provided, however, that to the extent that the Asset Sale Repayment Amount exceeds the amount of term Indebtedness then outstanding under the Credit Agreement at the time of repayment, such excess amount (after repayment in full of the term Indebtedness under the Credit Agreement) shall be added to the Asset Sale Offer Amount and offered to the holders of 2017 Notes and, to the extent required, the holders of such Pari Passu</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Debt pursuant to the Asset Sale Offer as provided in the preceding sentence. If any Excess Proceeds remain after consummation of an Asset Sale Offer and repayment of any term Indebtedness outstanding under the Credit Agreement, Wynn Las Vegas (or such Restricted Subsidiary, as the case may be) may use those Excess Proceeds for any general corporate purpose not prohibited by the Indenture, the Credit Agreement, the 2014 Notes, the 2020 Notes and the Collateral Documents, including, without limitation, to reduce revolving credit Indebtedness (and, if required, commitments) under the Credit Agreement. If the aggregate principal amount of 2017 Notes and such other Pari Passu Debt tendered into such Asset Sale Offer exceeds the Asset Sale Offer Amount that may be applied to the Asset Sale Offer, the trustee will select the 2017 Notes and such other Pari Passu Debt to be purchased as described below under the caption “—Selection and Notice” and in accordance with the Indenture. Upon completion of each Asset Sale Offer, the amount of Excess Proceeds will be reset at zero.</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Events of Loss</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After any Event of Loss with respect to Collateral (other than Events of Loss with respect to Collateral comprising the Phase II Project at any time prior to the completion of the Phase II Project in accordance with the Disbursement Agreement, which will be governed by the Disbursement Agreement), Wynn Las Vegas or the applicable Restricted Subsidiary, as the case may be, may apply the Net Loss Proceeds from the Event of Loss to the rebuilding, repair, replacement or construction of improvements to the damaged Collateral, with no obligation to make any purchase of any 2017 Notes; so long as, in the case of any such Collateral with a Fair Market Value (or replacement cost, if higher) in excess of $30.0 million:</w:t>
      </w:r>
    </w:p>
    <w:p>
      <w:pPr>
        <w:spacing w:after="0" w:line="35" w:lineRule="exact"/>
        <w:rPr>
          <w:sz w:val="20"/>
          <w:szCs w:val="20"/>
          <w:color w:val="auto"/>
        </w:rPr>
      </w:pPr>
    </w:p>
    <w:p>
      <w:pPr>
        <w:ind w:left="460" w:right="420" w:firstLine="443"/>
        <w:spacing w:after="0" w:line="332" w:lineRule="auto"/>
        <w:tabs>
          <w:tab w:leader="none" w:pos="1147" w:val="left"/>
        </w:tabs>
        <w:numPr>
          <w:ilvl w:val="0"/>
          <w:numId w:val="108"/>
        </w:numPr>
        <w:rPr>
          <w:rFonts w:ascii="Arial" w:cs="Arial" w:eastAsia="Arial" w:hAnsi="Arial"/>
          <w:sz w:val="16"/>
          <w:szCs w:val="16"/>
          <w:color w:val="auto"/>
        </w:rPr>
      </w:pPr>
      <w:r>
        <w:rPr>
          <w:rFonts w:ascii="Arial" w:cs="Arial" w:eastAsia="Arial" w:hAnsi="Arial"/>
          <w:sz w:val="16"/>
          <w:szCs w:val="16"/>
          <w:color w:val="auto"/>
        </w:rPr>
        <w:t>Wynn Las Vegas delivers to the trustee within 90 days of the Event of Loss a written opinion from a reputable contractor that the damaged Collateral can be rebuilt, repaired, replaced or constructed and operating within 365 days following the delivery of such written opinion to the trustee;</w:t>
      </w:r>
    </w:p>
    <w:p>
      <w:pPr>
        <w:spacing w:after="0" w:line="4" w:lineRule="exact"/>
        <w:rPr>
          <w:rFonts w:ascii="Arial" w:cs="Arial" w:eastAsia="Arial" w:hAnsi="Arial"/>
          <w:sz w:val="16"/>
          <w:szCs w:val="16"/>
          <w:color w:val="auto"/>
        </w:rPr>
      </w:pPr>
    </w:p>
    <w:p>
      <w:pPr>
        <w:ind w:left="460" w:right="60" w:firstLine="443"/>
        <w:spacing w:after="0" w:line="294" w:lineRule="auto"/>
        <w:tabs>
          <w:tab w:leader="none" w:pos="1147" w:val="left"/>
        </w:tabs>
        <w:numPr>
          <w:ilvl w:val="0"/>
          <w:numId w:val="108"/>
        </w:numPr>
        <w:rPr>
          <w:rFonts w:ascii="Arial" w:cs="Arial" w:eastAsia="Arial" w:hAnsi="Arial"/>
          <w:sz w:val="16"/>
          <w:szCs w:val="16"/>
          <w:color w:val="auto"/>
        </w:rPr>
      </w:pPr>
      <w:r>
        <w:rPr>
          <w:rFonts w:ascii="Arial" w:cs="Arial" w:eastAsia="Arial" w:hAnsi="Arial"/>
          <w:sz w:val="16"/>
          <w:szCs w:val="16"/>
          <w:color w:val="auto"/>
        </w:rPr>
        <w:t>Wynn Las Vegas delivers to the trustee within 120 days of the Event of Loss an officers’ certificate certifying that Wynn Las Vegas or the applicable Restricted Subsidiary has available from Net Loss Proceeds, cash on hand or available borrowings under Indebtedness permitted to be incurred under the covenant described below under the caption “—Certain Covenants—Incurrence of Indebtedness and Issuance of Disqualified Stock” to complete the rebuilding, repair, replacement or construction described in clause (1) above and, together with any anticipated revenues projected to be generated during the repair or restoration period, to pay debt service on its Indebtedness during the repair or restoration period; and</w:t>
      </w:r>
    </w:p>
    <w:p>
      <w:pPr>
        <w:spacing w:after="0" w:line="34" w:lineRule="exact"/>
        <w:rPr>
          <w:rFonts w:ascii="Arial" w:cs="Arial" w:eastAsia="Arial" w:hAnsi="Arial"/>
          <w:sz w:val="16"/>
          <w:szCs w:val="16"/>
          <w:color w:val="auto"/>
        </w:rPr>
      </w:pPr>
    </w:p>
    <w:p>
      <w:pPr>
        <w:ind w:left="460" w:right="240" w:firstLine="443"/>
        <w:spacing w:after="0" w:line="268" w:lineRule="auto"/>
        <w:tabs>
          <w:tab w:leader="none" w:pos="114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damaged Collateral is rebuilt, repaired, replaced or constructed and operating in substantially the manner that it was operating immediately prior to the Event of Loss within 365 days following the delivery of such written opinion to the trustee.</w:t>
      </w:r>
    </w:p>
    <w:p>
      <w:pPr>
        <w:spacing w:after="0" w:line="132"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However, if the damaged Collateral is not necessary for and is not used in the operation of the Wynn Las Vegas Resort or the Phase II Project, as the case may be, Wynn Las Vegas (or the applicable Restricted Subsidiary, as the case may be) may apply the Net Loss Proceeds to make a capital expenditure, improve real property or acquire long-term assets that are used or useful in a line of business permitted by the covenant described below under the caption “—Certain Covenants—Line of Business.”</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Any Net Loss Proceeds that are (1) not reinvested as provided in the first sentence of this covenant or (2) otherwise required, pursuant to the Credit Agreement, to be applied to reduce Indebtedness of Wynn Las Vegas, in each case, will be deemed “Excess Loss Proceeds.” Within 10 days following the earlier of (i) the date on which the aggregate amount of Excess Loss Proceeds exceeds $10.0 million or (ii) the date when, pursuant to the Credit Agreement, Excess Loss Proceeds are required to be applied to reduce Indebtedness of Wynn Las Vegas, Wynn Las Vegas will allocate a portion of such Excess Loss Proceeds, determined by multiplying the amount of such Excess Loss Proceeds by a fraction, the numerator of which is the total aggregate principal amount of 2017 Notes then outstanding and all Pari Passu Debt then outstanding, and the denominator of which is the total aggregate principal amount of 2017 Notes then outstanding, all Pari Passu Debt then outstanding and all Indebtedness then outstanding under the Credit Agreement (such amount being the “Event of Loss Offer Amount”), to make an offer (an “Event of Loss Offer”) to all holders of 2017 Notes and, to the extent required,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5" w:lineRule="auto"/>
        <w:rPr>
          <w:sz w:val="20"/>
          <w:szCs w:val="20"/>
          <w:color w:val="auto"/>
        </w:rPr>
      </w:pPr>
      <w:r>
        <w:rPr>
          <w:rFonts w:ascii="Arial" w:cs="Arial" w:eastAsia="Arial" w:hAnsi="Arial"/>
          <w:sz w:val="15"/>
          <w:szCs w:val="15"/>
          <w:color w:val="auto"/>
        </w:rPr>
        <w:t>the holders of such Pari Passu Debt to repurchase such 2017 Notes and such Pari Passu Debt at an offer price equal to 100% of the principal amount of the 2017 Notes and such Pari Passu Debt to be purchased plus accrued and unpaid interest and Liquidated Damages, if any, on the 2017 Notes and such other Pari Passu Debt to the date of repurchase, which offer price will be payable in cash. The amount of any such Excess Loss Proceeds less the Event of Loss Offer Amount (the “Event of Loss Repayment Amount”) will concurrently be applied to repay any Indebtedness outstanding under the Credit Agreement in accordance with the requirements of the Credit Agreement; provided, however, that to the extent that the Event of Loss Repayment Amount exceeds the amount of term Indebtedness then outstanding under the Credit Agreement at the time of repayment but does not exceed $100.0 million (unless the lenders under the Credit Agreement have waived any requirement of Wynn Las Vegas to prepay revolving credit Indebtedness outstanding under the Credit Agreement and to effect a corresponding permanent reduction of the commitments thereunder), such excess amount (after repayment in full of the term Indebtedness under the Credit Agreement) shall be added to the Event of Loss Offer Amount and offered to the holders of 2017 Notes and, to the extent required, the holders of such Pari Passu Debt pursuant to the Event of Loss Offer as provided in the preceding sentence. If any Excess Loss Proceeds remain after consummation of an Event of Loss Offer and repayment of any term Indebtedness outstanding under the Credit Agreement, Wynn Las Vegas (or such Restricted Subsidiary, as the case may be) may use those Excess Loss Proceeds for any general corporate purpose not prohibited by the Indenture, the Credit Agreement and the Collateral Documents, including, without limitation, to reduce revolving credit Indebtedness (and, if required, commitments) under the Credit Agreement. If the aggregate principal amount of 2017 Notes and such other Pari Passu Debt tendered into such Event of Loss Offer exceeds the Event of Loss Offer Amount that may be applied to the Event of Loss Offer, the trustee will select the 2017 Notes and such other Pari Passu Debt to be purchased as described below under the caption “—Selection and Notice” and in accordance with the Indenture. Upon completion of each Event of Loss Offer, the amount of Excess Loss Proceeds will be reset at zero.</w:t>
      </w:r>
    </w:p>
    <w:p>
      <w:pPr>
        <w:spacing w:after="0" w:line="33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Pending their application, all Net Loss Proceeds will either be (1) applied to temporarily reduce amounts outstanding under any pari passu secured revolving credit Indebtedness under the Credit Agreement, or (2) invested in Cash Equivalents held in an account in which the trustee has a perfected first priority security interest for the benefit of the Holders (equal and ratable with the perfected security interest securing the Credit Agreement and subject to other Permitted Liens and the terms of the Intercreditor Agreement). These funds and securities will be released to Wynn Las Vegas (or the applicable Restricted Subsidiary, as the case may be) to pay for or reimburse Wynn Las Vegas (or the applicable Restricted Subsidiary, as the case may be) for either (1) the actual cost of a permitted use of Net Loss Proceeds as provided above, or (2) the Event of Loss Offer, pursuant to the terms of the Collateral Documents. Wynn Las Vegas (or the applicable Restricted Subsidiary, as the case may be) will grant to the trustee, on behalf of the Holders, a security interest (equal and ratable with the perfected security interest securing the Credit Agreement and subject to other Permitted Liens and the terms of the Intercreditor Agreement), on any property or assets rebuilt, repaired, replaced or constructed with such Net Loss Proceeds on the terms set forth in the Indenture and the Collateral Documents.</w:t>
      </w:r>
    </w:p>
    <w:p>
      <w:pPr>
        <w:spacing w:after="0" w:line="12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the event of an Event of Loss pursuant to clause (3) of the definition of “Event of Loss” with respect to property or assets that have a Fair Market Value (or replacement cost, if greater) in excess of $30.0 million, Wynn Las Vegas (or the applicable Restricted Subsidiary, as the case may be) will be required to receive consideration:</w:t>
      </w:r>
    </w:p>
    <w:p>
      <w:pPr>
        <w:spacing w:after="0" w:line="59" w:lineRule="exact"/>
        <w:rPr>
          <w:sz w:val="20"/>
          <w:szCs w:val="20"/>
          <w:color w:val="auto"/>
        </w:rPr>
      </w:pPr>
    </w:p>
    <w:p>
      <w:pPr>
        <w:ind w:left="460" w:right="620" w:firstLine="443"/>
        <w:spacing w:after="0" w:line="268" w:lineRule="auto"/>
        <w:tabs>
          <w:tab w:leader="none" w:pos="114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at least equal to the Fair Market Value (evidenced by a resolution of Wynn Capital’s Board of Directors set forth in an officers’ certificate delivered to the trustee) of the property or assets subject to the Event of Loss;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at least 80% of which is in the form of cash or Cash Equivalents.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Restrictions on Repurchase of 2017 Notes</w:t>
      </w:r>
    </w:p>
    <w:p>
      <w:pPr>
        <w:spacing w:after="0" w:line="9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agreements governing our other Indebtedness, including the Credit Agreement, may prohibit certain events, including a Change of Control or an Asset Sale, or provide that such events constitute events of default under such agreements. Similarly, those agreements may prohibit or restrict Wynn Las Vegas and its Restricted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Subsidiaries from repairing or restoring the Collateral following an Event of Loss regardless of whether that repair or restoration is permitted under the Indenture. In addition, the exercise by the holders of 2017 Notes of their rights to require Wynn Las Vegas to repurchase the 2017 Notes upon a Change of Control Offer, an Asset Sale Offer or Event of Loss Offer, as the case may be, could cause a default under these other agreements. Finally, Wynn Las Vegas’ ability to pay cash to the holders of 2017 Notes upon a repurchase under a Change of Control Offer, Asset Sale Offer or Event of Loss Offer may be limited by Wynn Las Vegas’ then existing financial resources. See “Risk Factors—Risks Related to the 2020 Notes and the 2017 Notes—We may not be able to fulfill our repurchase obligations with respect to the 2017 Notes upon a change of control.”</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Compliance with Securities Laws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Issuers will comply with the requirements of Rule 14e-1 under the Exchange Act and any other securities laws and regulations thereunder to the extent these laws and regulations are applicable in connection with each repurchase of 2017 Notes pursuant to a Change of Control Offer, an Asset Sale Offer or an Event of Loss Offer. To the extent that the provisions of any securities laws or regulations conflict with the Change of Control, Asset Sale or Event of Loss provisions of the Indenture, the Issuers will comply with the applicable securities laws and regulations and will not be deemed to have breached their obligations under these provisions of the Indenture by virtue of such compliance.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Selection and Notice</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less than all of the 2017 Notes are to be redeemed at any time, the trustee will select 2017 Notes for redemption on a pro rata basis, by lot or by any other method the trustee deems fair and appropriate, unless otherwise required by law or applicable stock exchange requirements. No 2017 Notes of $1,000 or less can be redeemed or purchased in part. However, if all of the 2017 Notes of a Holder are to be redeemed or purchased, the entire outstanding amount of 2017 Notes held by such Holder, even if not a multiple of $1,000, will be redeemed or purchased. Notices of redemption or purchase will be mailed by first class mail at least 30 but not more than 60 days before the redemption or purchase date to each Holder of 2017 Notes to be redeemed or purchased at its registered address, except that redemption or purchase notices may be mailed more than 60 days prior to a redemption or purchase date if the notice is issued in connection with a defeasance of the 2017 Notes or a satisfaction and discharge of the Indenture. Notices of redemption may not be conditional.</w:t>
      </w:r>
    </w:p>
    <w:p>
      <w:pPr>
        <w:spacing w:after="0" w:line="11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If any 2017 Note is to be redeemed in part only, the notice of redemption that relates to that 2017 Note will state the portion of the principal amount of that 2017 Note that is to be redeemed. A 2017 Note in principal amount equal to the unredeemed portion of the original 2017 Note will be issued in the name of the Holder of 2017 Notes upon cancellation of the original 2017 Note. 2017 Notes called for redemption become due on the date fixed for redemption. On and after the redemption date, interest ceases to accrue on 2017 Notes or portions of 2017 Notes called for redemption.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Restricted Payments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Las Vegas will not, and will not permit any of its Restricted Subsidiaries to, directly or indirectly:</w:t>
      </w:r>
    </w:p>
    <w:p>
      <w:pPr>
        <w:spacing w:after="0" w:line="90" w:lineRule="exact"/>
        <w:rPr>
          <w:sz w:val="20"/>
          <w:szCs w:val="20"/>
          <w:color w:val="auto"/>
        </w:rPr>
      </w:pPr>
    </w:p>
    <w:p>
      <w:pPr>
        <w:ind w:left="460" w:right="140" w:firstLine="443"/>
        <w:spacing w:after="0" w:line="284" w:lineRule="auto"/>
        <w:tabs>
          <w:tab w:leader="none" w:pos="1147" w:val="left"/>
        </w:tabs>
        <w:numPr>
          <w:ilvl w:val="1"/>
          <w:numId w:val="110"/>
        </w:numPr>
        <w:rPr>
          <w:rFonts w:ascii="Arial" w:cs="Arial" w:eastAsia="Arial" w:hAnsi="Arial"/>
          <w:sz w:val="16"/>
          <w:szCs w:val="16"/>
          <w:color w:val="auto"/>
        </w:rPr>
      </w:pPr>
      <w:r>
        <w:rPr>
          <w:rFonts w:ascii="Arial" w:cs="Arial" w:eastAsia="Arial" w:hAnsi="Arial"/>
          <w:sz w:val="16"/>
          <w:szCs w:val="16"/>
          <w:color w:val="auto"/>
        </w:rPr>
        <w:t>declare or pay any dividend or make any other payment or distribution on account of any Equity Interests of Wynn Las Vegas or any of its Restricted Subsidiaries or to the direct or indirect holders of any Equity Interests of Wynn Las Vegas or any of its Restricted Subsidiaries in their capacity as such, other than (a) dividends or distributions by Wynn Las Vegas payable in Equity Interests (other than Disqualified Stock) of Wynn Las Vegas, and</w:t>
      </w:r>
    </w:p>
    <w:p>
      <w:pPr>
        <w:spacing w:after="0" w:line="1" w:lineRule="exact"/>
        <w:rPr>
          <w:rFonts w:ascii="Arial" w:cs="Arial" w:eastAsia="Arial" w:hAnsi="Arial"/>
          <w:sz w:val="16"/>
          <w:szCs w:val="16"/>
          <w:color w:val="auto"/>
        </w:rPr>
      </w:pPr>
    </w:p>
    <w:p>
      <w:pPr>
        <w:ind w:left="720" w:hanging="256"/>
        <w:spacing w:after="0"/>
        <w:tabs>
          <w:tab w:leader="none" w:pos="7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dividends or distributions payable to Wynn Las Vegas or any of its Restricted Subsidiaries;</w:t>
      </w:r>
    </w:p>
    <w:p>
      <w:pPr>
        <w:spacing w:after="0" w:line="83" w:lineRule="exact"/>
        <w:rPr>
          <w:rFonts w:ascii="Arial" w:cs="Arial" w:eastAsia="Arial" w:hAnsi="Arial"/>
          <w:sz w:val="18"/>
          <w:szCs w:val="18"/>
          <w:color w:val="auto"/>
        </w:rPr>
      </w:pPr>
    </w:p>
    <w:p>
      <w:pPr>
        <w:ind w:left="460" w:right="420" w:firstLine="443"/>
        <w:spacing w:after="0" w:line="268" w:lineRule="auto"/>
        <w:tabs>
          <w:tab w:leader="none" w:pos="1147" w:val="left"/>
        </w:tabs>
        <w:numPr>
          <w:ilvl w:val="1"/>
          <w:numId w:val="111"/>
        </w:numPr>
        <w:rPr>
          <w:rFonts w:ascii="Arial" w:cs="Arial" w:eastAsia="Arial" w:hAnsi="Arial"/>
          <w:sz w:val="18"/>
          <w:szCs w:val="18"/>
          <w:color w:val="auto"/>
        </w:rPr>
      </w:pPr>
      <w:r>
        <w:rPr>
          <w:rFonts w:ascii="Arial" w:cs="Arial" w:eastAsia="Arial" w:hAnsi="Arial"/>
          <w:sz w:val="18"/>
          <w:szCs w:val="18"/>
          <w:color w:val="auto"/>
        </w:rPr>
        <w:t>purchase, redeem or otherwise acquire or retire for value any Equity Interests of Wynn Las Vegas, any direct or indirect parent of Wynn Las Vegas (including, without limitation, Wynn Resorts) or any other direct or indirect Subsidiary of Wynn Resorts;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00"/>
          </w:cols>
          <w:pgMar w:left="240" w:top="459" w:right="2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firstLine="443"/>
        <w:spacing w:after="0" w:line="298" w:lineRule="auto"/>
        <w:tabs>
          <w:tab w:leader="none" w:pos="1147" w:val="left"/>
        </w:tabs>
        <w:numPr>
          <w:ilvl w:val="0"/>
          <w:numId w:val="112"/>
        </w:numPr>
        <w:rPr>
          <w:rFonts w:ascii="Arial" w:cs="Arial" w:eastAsia="Arial" w:hAnsi="Arial"/>
          <w:sz w:val="16"/>
          <w:szCs w:val="16"/>
          <w:color w:val="auto"/>
        </w:rPr>
      </w:pPr>
      <w:r>
        <w:rPr>
          <w:rFonts w:ascii="Arial" w:cs="Arial" w:eastAsia="Arial" w:hAnsi="Arial"/>
          <w:sz w:val="16"/>
          <w:szCs w:val="16"/>
          <w:color w:val="auto"/>
        </w:rPr>
        <w:t>make any payment on or with respect to, or purchase, redeem, defease or otherwise acquire or retire for value any Indebtedness of Wynn Las Vegas or any Guarantor that is secured by a Lien junior to the Lien securing the 2017 Notes or the Guarantees or that is expressly subordinated in right of payment to the 2017 Notes or the Note Guarantees under the Indenture (excluding any intercompany Indebtedness between or among Wynn Las Vegas and any of its Restricted Subsidiaries), except a payment of interest or principal at the Stated Maturity thereof; or</w:t>
      </w:r>
    </w:p>
    <w:p>
      <w:pPr>
        <w:spacing w:after="0" w:line="31" w:lineRule="exact"/>
        <w:rPr>
          <w:rFonts w:ascii="Arial" w:cs="Arial" w:eastAsia="Arial" w:hAnsi="Arial"/>
          <w:sz w:val="16"/>
          <w:szCs w:val="16"/>
          <w:color w:val="auto"/>
        </w:rPr>
      </w:pPr>
    </w:p>
    <w:p>
      <w:pPr>
        <w:ind w:left="1160" w:hanging="257"/>
        <w:spacing w:after="0"/>
        <w:tabs>
          <w:tab w:leader="none" w:pos="11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make any Restricted Investment,</w:t>
      </w:r>
    </w:p>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(all such payments and other actions set forth in these clauses (1) through (4) above being collectively referred to as “Restricted Payments”), unless, at the time of and after giving effect to such Restricted Payment:</w:t>
      </w:r>
    </w:p>
    <w:p>
      <w:pPr>
        <w:spacing w:after="0" w:line="51" w:lineRule="exact"/>
        <w:rPr>
          <w:sz w:val="20"/>
          <w:szCs w:val="20"/>
          <w:color w:val="auto"/>
        </w:rPr>
      </w:pPr>
    </w:p>
    <w:p>
      <w:pPr>
        <w:ind w:left="1160" w:hanging="257"/>
        <w:spacing w:after="0"/>
        <w:tabs>
          <w:tab w:leader="none" w:pos="11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or would occur as a consequence of such Restricted Payment;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Wynn Las Vegas would, at the time of such Restricted Payment and after giving pro forma effect thereto, have been permitted to incur at least</w:t>
      </w:r>
    </w:p>
    <w:p>
      <w:pPr>
        <w:spacing w:after="0" w:line="38" w:lineRule="exact"/>
        <w:rPr>
          <w:sz w:val="20"/>
          <w:szCs w:val="20"/>
          <w:color w:val="auto"/>
        </w:rPr>
      </w:pPr>
    </w:p>
    <w:p>
      <w:pPr>
        <w:ind w:left="460"/>
        <w:spacing w:after="0" w:line="261" w:lineRule="auto"/>
        <w:rPr>
          <w:sz w:val="20"/>
          <w:szCs w:val="20"/>
          <w:color w:val="auto"/>
        </w:rPr>
      </w:pPr>
      <w:r>
        <w:rPr>
          <w:rFonts w:ascii="Arial" w:cs="Arial" w:eastAsia="Arial" w:hAnsi="Arial"/>
          <w:sz w:val="18"/>
          <w:szCs w:val="18"/>
          <w:color w:val="auto"/>
        </w:rPr>
        <w:t>$1.00 of additional Indebtedness pursuant to the Fixed Charge Coverage Ratio test set forth in the first paragraph of the covenant described below under the caption “—Incurrence of Indebtedness and Issuance of Disqualified Stock;” and</w:t>
      </w:r>
    </w:p>
    <w:p>
      <w:pPr>
        <w:spacing w:after="0" w:line="57" w:lineRule="exact"/>
        <w:rPr>
          <w:sz w:val="20"/>
          <w:szCs w:val="20"/>
          <w:color w:val="auto"/>
        </w:rPr>
      </w:pPr>
    </w:p>
    <w:p>
      <w:pPr>
        <w:ind w:left="460" w:right="60" w:firstLine="443"/>
        <w:spacing w:after="0" w:line="256" w:lineRule="auto"/>
        <w:tabs>
          <w:tab w:leader="none" w:pos="114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such Restricted Payment, together with the aggregate amount of all other Restricted Payments made by Wynn Las Vegas and its Restricted Subsidiaries after the date of the Indenture (excluding Restricted Payments permitted by clauses (2), (3), (5), (7), (8), (9), (10) and (11) below (with respect to clause (5) to the extent such Restricted Payments were already deducted from Consolidated Net Income) of the next succeeding paragraph), is less than the sum, without duplication, of:</w:t>
      </w:r>
    </w:p>
    <w:p>
      <w:pPr>
        <w:spacing w:after="0" w:line="62" w:lineRule="exact"/>
        <w:rPr>
          <w:rFonts w:ascii="Arial" w:cs="Arial" w:eastAsia="Arial" w:hAnsi="Arial"/>
          <w:sz w:val="18"/>
          <w:szCs w:val="18"/>
          <w:color w:val="auto"/>
        </w:rPr>
      </w:pPr>
    </w:p>
    <w:p>
      <w:pPr>
        <w:ind w:left="920" w:right="300" w:firstLine="421"/>
        <w:spacing w:after="0" w:line="335" w:lineRule="auto"/>
        <w:tabs>
          <w:tab w:leader="none" w:pos="1579" w:val="left"/>
        </w:tabs>
        <w:numPr>
          <w:ilvl w:val="2"/>
          <w:numId w:val="114"/>
        </w:numPr>
        <w:rPr>
          <w:rFonts w:ascii="Arial" w:cs="Arial" w:eastAsia="Arial" w:hAnsi="Arial"/>
          <w:sz w:val="15"/>
          <w:szCs w:val="15"/>
          <w:color w:val="auto"/>
        </w:rPr>
      </w:pPr>
      <w:r>
        <w:rPr>
          <w:rFonts w:ascii="Arial" w:cs="Arial" w:eastAsia="Arial" w:hAnsi="Arial"/>
          <w:sz w:val="15"/>
          <w:szCs w:val="15"/>
          <w:color w:val="auto"/>
        </w:rPr>
        <w:t>50% of the Consolidated Net Income of Wynn Las Vegas and its Restricted Subsidiaries for the period (taken as one accounting period) from the beginning of July 1, 2005 to the end of Wynn Las Vegas’ most recently ended fiscal quarter for which internal financial statements are available at the time of such Restricted Payment (or, if such Consolidated Net Income for such period is a deficit, less 100% of such deficit); plus</w:t>
      </w:r>
    </w:p>
    <w:p>
      <w:pPr>
        <w:spacing w:after="0" w:line="7" w:lineRule="exact"/>
        <w:rPr>
          <w:rFonts w:ascii="Arial" w:cs="Arial" w:eastAsia="Arial" w:hAnsi="Arial"/>
          <w:sz w:val="15"/>
          <w:szCs w:val="15"/>
          <w:color w:val="auto"/>
        </w:rPr>
      </w:pPr>
    </w:p>
    <w:p>
      <w:pPr>
        <w:jc w:val="both"/>
        <w:ind w:left="920" w:right="200" w:firstLine="421"/>
        <w:spacing w:after="0" w:line="303" w:lineRule="auto"/>
        <w:tabs>
          <w:tab w:leader="none" w:pos="1588" w:val="left"/>
        </w:tabs>
        <w:numPr>
          <w:ilvl w:val="2"/>
          <w:numId w:val="114"/>
        </w:numPr>
        <w:rPr>
          <w:rFonts w:ascii="Arial" w:cs="Arial" w:eastAsia="Arial" w:hAnsi="Arial"/>
          <w:sz w:val="15"/>
          <w:szCs w:val="15"/>
          <w:color w:val="auto"/>
        </w:rPr>
      </w:pPr>
      <w:r>
        <w:rPr>
          <w:rFonts w:ascii="Arial" w:cs="Arial" w:eastAsia="Arial" w:hAnsi="Arial"/>
          <w:sz w:val="15"/>
          <w:szCs w:val="15"/>
          <w:color w:val="auto"/>
        </w:rPr>
        <w:t>100% of the aggregate net cash proceeds received by Wynn Las Vegas subsequent to December 14, 2004 as a contribution to its common equity capital, excluding (i) any such net cash proceeds received by Wynn Las Vegas subsequent to December 14, 2004 to the extent consisting of capital contributions made to Wynn Las Vegas for the purpose of satisfying the “in-balance” requirements of the Disbursement Agreement and</w:t>
      </w:r>
    </w:p>
    <w:p>
      <w:pPr>
        <w:spacing w:after="0" w:line="1" w:lineRule="exact"/>
        <w:rPr>
          <w:rFonts w:ascii="Arial" w:cs="Arial" w:eastAsia="Arial" w:hAnsi="Arial"/>
          <w:sz w:val="15"/>
          <w:szCs w:val="15"/>
          <w:color w:val="auto"/>
        </w:rPr>
      </w:pPr>
    </w:p>
    <w:p>
      <w:pPr>
        <w:ind w:left="920" w:right="660" w:firstLine="1"/>
        <w:spacing w:after="0" w:line="323" w:lineRule="auto"/>
        <w:tabs>
          <w:tab w:leader="none" w:pos="1178" w:val="left"/>
        </w:tabs>
        <w:numPr>
          <w:ilvl w:val="1"/>
          <w:numId w:val="114"/>
        </w:numPr>
        <w:rPr>
          <w:rFonts w:ascii="Arial" w:cs="Arial" w:eastAsia="Arial" w:hAnsi="Arial"/>
          <w:sz w:val="16"/>
          <w:szCs w:val="16"/>
          <w:color w:val="auto"/>
        </w:rPr>
      </w:pPr>
      <w:r>
        <w:rPr>
          <w:rFonts w:ascii="Arial" w:cs="Arial" w:eastAsia="Arial" w:hAnsi="Arial"/>
          <w:sz w:val="16"/>
          <w:szCs w:val="16"/>
          <w:color w:val="auto"/>
        </w:rPr>
        <w:t>any such net cash proceeds received by Wynn Las Vegas to the extent used to incur Indebtedness pursuant to clause (14) of the covenant described below under the caption “—Incurrence of Indebtedness and Issuance of Disqualified Stock”; plus</w:t>
      </w:r>
    </w:p>
    <w:p>
      <w:pPr>
        <w:spacing w:after="0" w:line="12" w:lineRule="exact"/>
        <w:rPr>
          <w:sz w:val="20"/>
          <w:szCs w:val="20"/>
          <w:color w:val="auto"/>
        </w:rPr>
      </w:pPr>
    </w:p>
    <w:p>
      <w:pPr>
        <w:jc w:val="both"/>
        <w:ind w:left="920" w:right="100" w:firstLine="420"/>
        <w:spacing w:after="0" w:line="303" w:lineRule="auto"/>
        <w:rPr>
          <w:sz w:val="20"/>
          <w:szCs w:val="20"/>
          <w:color w:val="auto"/>
        </w:rPr>
      </w:pPr>
      <w:r>
        <w:rPr>
          <w:rFonts w:ascii="Arial" w:cs="Arial" w:eastAsia="Arial" w:hAnsi="Arial"/>
          <w:sz w:val="15"/>
          <w:szCs w:val="15"/>
          <w:color w:val="auto"/>
        </w:rPr>
        <w:t>(c)(i) to the extent that any Restricted Investment that was made after December 14, 2004 is sold for cash or otherwise liquidated or repaid for cash for an amount in excess of the aggregate amount invested in such Restricted Investment, the sum of (x) 50% of the cash proceeds with respect to such Restricted Investment in excess of the aggregate amount invested in such Restricted Investment (less the cost of disposition, if any) and</w:t>
      </w:r>
    </w:p>
    <w:p>
      <w:pPr>
        <w:spacing w:after="0" w:line="1" w:lineRule="exact"/>
        <w:rPr>
          <w:sz w:val="20"/>
          <w:szCs w:val="20"/>
          <w:color w:val="auto"/>
        </w:rPr>
      </w:pPr>
    </w:p>
    <w:p>
      <w:pPr>
        <w:ind w:left="920" w:right="420" w:firstLine="1"/>
        <w:spacing w:after="0" w:line="302" w:lineRule="auto"/>
        <w:tabs>
          <w:tab w:leader="none" w:pos="1169"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aggregate amount invested in such Restricted Investment, and (ii) to the extent that any such Restricted Investment is sold for cash or otherwise liquidated or repaid in cash for an amount equal to or less than the aggregate amount invested in such Restricted Investment, the cash return of capital with respect to such Restricted Investment (less the cost of disposition, if any); plus</w:t>
      </w:r>
    </w:p>
    <w:p>
      <w:pPr>
        <w:spacing w:after="0" w:line="28" w:lineRule="exact"/>
        <w:rPr>
          <w:rFonts w:ascii="Arial" w:cs="Arial" w:eastAsia="Arial" w:hAnsi="Arial"/>
          <w:sz w:val="16"/>
          <w:szCs w:val="16"/>
          <w:color w:val="auto"/>
        </w:rPr>
      </w:pPr>
    </w:p>
    <w:p>
      <w:pPr>
        <w:ind w:left="920" w:right="80" w:firstLine="421"/>
        <w:spacing w:after="0" w:line="306" w:lineRule="auto"/>
        <w:tabs>
          <w:tab w:leader="none" w:pos="1588" w:val="left"/>
        </w:tabs>
        <w:numPr>
          <w:ilvl w:val="1"/>
          <w:numId w:val="115"/>
        </w:numPr>
        <w:rPr>
          <w:rFonts w:ascii="Arial" w:cs="Arial" w:eastAsia="Arial" w:hAnsi="Arial"/>
          <w:sz w:val="16"/>
          <w:szCs w:val="16"/>
          <w:color w:val="auto"/>
        </w:rPr>
      </w:pPr>
      <w:r>
        <w:rPr>
          <w:rFonts w:ascii="Arial" w:cs="Arial" w:eastAsia="Arial" w:hAnsi="Arial"/>
          <w:sz w:val="16"/>
          <w:szCs w:val="16"/>
          <w:color w:val="auto"/>
        </w:rPr>
        <w:t>100% of any cash dividends or cash distributions received by Wynn Las Vegas or any of its Restricted Subsidiaries after December 14, 2004 from any Restricted Investment (including any Investment in an Unrestricted Subsidiary of Wynn Las Vegas), to the extent that such dividends or distributions were not otherwise included in the Consolidated Net Income of Wynn Las Vegas for such period; plus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40" w:firstLine="421"/>
        <w:spacing w:after="0" w:line="256" w:lineRule="auto"/>
        <w:tabs>
          <w:tab w:leader="none" w:pos="1579"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to the extent that any Unrestricted Subsidiary of Wynn Las Vegas that is so designated after December 14, 2004 (other than the Completion Guarantor) is redesignated as a Restricted Subsidiary after December 14, 2004, the lesser of (i) the Fair Market Value of Wynn Las Vegas’ Investment in such Subsidiary as of the date of such redesignation or (ii) such Fair Market Value as of the date on which such Subsidiary was originally designated as an Unrestricted Subsidiary; plus</w:t>
      </w:r>
    </w:p>
    <w:p>
      <w:pPr>
        <w:spacing w:after="0" w:line="62" w:lineRule="exact"/>
        <w:rPr>
          <w:rFonts w:ascii="Arial" w:cs="Arial" w:eastAsia="Arial" w:hAnsi="Arial"/>
          <w:sz w:val="18"/>
          <w:szCs w:val="18"/>
          <w:color w:val="auto"/>
        </w:rPr>
      </w:pPr>
    </w:p>
    <w:p>
      <w:pPr>
        <w:ind w:left="1560" w:hanging="219"/>
        <w:spacing w:after="0"/>
        <w:tabs>
          <w:tab w:leader="none" w:pos="15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$50.0 million.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With respect to (a) any payments made pursuant to clauses (1), (2), (3), (6), (7), (8), (9) and (10) below, so long as no Default or Event of Default has</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occurred and is continuing or would be caused by the payments, and (b) any payments made pursuant to clauses (4), (5) and (11) below, regardless of whether any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Default or Event of Default has occurred and is continuing or would be caused by the payment, the preceding provisions will not prohibit:</w:t>
      </w:r>
    </w:p>
    <w:p>
      <w:pPr>
        <w:spacing w:after="0" w:line="84" w:lineRule="exact"/>
        <w:rPr>
          <w:sz w:val="20"/>
          <w:szCs w:val="20"/>
          <w:color w:val="auto"/>
        </w:rPr>
      </w:pPr>
    </w:p>
    <w:p>
      <w:pPr>
        <w:ind w:left="460" w:right="80" w:firstLine="443"/>
        <w:spacing w:after="0" w:line="306" w:lineRule="auto"/>
        <w:tabs>
          <w:tab w:leader="none" w:pos="1147"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payment of any dividend or distribution (other than any distribution made under clause (5) below) or the consummation of any irrevocable redemption within 60 days after the date of declaration of the dividend or distribution or giving of the redemption notice, as the case may be, if, at the date of declaration or notice, the dividend, distribution or redemption payment would have complied with the provisions of the Indenture;</w:t>
      </w:r>
    </w:p>
    <w:p>
      <w:pPr>
        <w:spacing w:after="0" w:line="25" w:lineRule="exact"/>
        <w:rPr>
          <w:rFonts w:ascii="Arial" w:cs="Arial" w:eastAsia="Arial" w:hAnsi="Arial"/>
          <w:sz w:val="16"/>
          <w:szCs w:val="16"/>
          <w:color w:val="auto"/>
        </w:rPr>
      </w:pPr>
    </w:p>
    <w:p>
      <w:pPr>
        <w:ind w:left="460" w:right="80" w:firstLine="443"/>
        <w:spacing w:after="0" w:line="259" w:lineRule="auto"/>
        <w:tabs>
          <w:tab w:leader="none" w:pos="114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making of any Restricted Payment in exchange for, or out of the net cash proceeds from the substantially concurrent contribution of common equity capital to Wynn Las Vegas, provided that the amount of any such net cash proceeds that are utilized for any such Restricted Payment will be excluded from clause (3)(b) of the preceding paragraph;</w:t>
      </w:r>
    </w:p>
    <w:p>
      <w:pPr>
        <w:spacing w:after="0" w:line="59" w:lineRule="exact"/>
        <w:rPr>
          <w:rFonts w:ascii="Arial" w:cs="Arial" w:eastAsia="Arial" w:hAnsi="Arial"/>
          <w:sz w:val="18"/>
          <w:szCs w:val="18"/>
          <w:color w:val="auto"/>
        </w:rPr>
      </w:pPr>
    </w:p>
    <w:p>
      <w:pPr>
        <w:jc w:val="both"/>
        <w:ind w:left="460" w:right="140" w:firstLine="443"/>
        <w:spacing w:after="0" w:line="259" w:lineRule="auto"/>
        <w:tabs>
          <w:tab w:leader="none" w:pos="114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repurchase, redemption, defeasance or other acquisition or retirement for value of Indebtedness of Wynn Las Vegas or any Guarantor that is contractually subordinated to the 2017 Notes or to any Note Guarantee with the net cash proceeds from a substantially concurrent incurrence of Permitted Refinancing Indebtedness;</w:t>
      </w:r>
    </w:p>
    <w:p>
      <w:pPr>
        <w:spacing w:after="0" w:line="59" w:lineRule="exact"/>
        <w:rPr>
          <w:rFonts w:ascii="Arial" w:cs="Arial" w:eastAsia="Arial" w:hAnsi="Arial"/>
          <w:sz w:val="18"/>
          <w:szCs w:val="18"/>
          <w:color w:val="auto"/>
        </w:rPr>
      </w:pPr>
    </w:p>
    <w:p>
      <w:pPr>
        <w:ind w:left="460" w:right="40" w:firstLine="443"/>
        <w:spacing w:after="0" w:line="290" w:lineRule="auto"/>
        <w:tabs>
          <w:tab w:leader="none" w:pos="1147"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distribution or loan to Wynn Resorts, directly or through any intermediate Wholly Owned Subsidiaries of Wynn Resorts, of amounts necessary to repurchase Equity Interests or Indebtedness of Wynn Resorts (other than Equity Interests held by or Indebtedness owed to the Existing Stockholders) to the extent required by any Gaming Authority having jurisdiction over Wynn Las Vegas or any of its Restricted Subsidiaries for not more than the Fair Market Value thereof in order to avoid the suspension, revocation or denial of a Gaming License by that Gaming Authority, as long as, if such efforts do not jeopardize any Gaming License, Wynn Resorts and its Subsidiaries shall have diligently attempted to find a third-party purchaser for such Equity Interests or Indebtedness and no third-party purchaser acceptable to the applicable Gaming Authority was willing to purchase such Equity Interests or Indebtedness within a time period acceptable to such Gaming Authority;</w:t>
      </w:r>
    </w:p>
    <w:p>
      <w:pPr>
        <w:spacing w:after="0" w:line="37" w:lineRule="exact"/>
        <w:rPr>
          <w:rFonts w:ascii="Arial" w:cs="Arial" w:eastAsia="Arial" w:hAnsi="Arial"/>
          <w:sz w:val="16"/>
          <w:szCs w:val="16"/>
          <w:color w:val="auto"/>
        </w:rPr>
      </w:pPr>
    </w:p>
    <w:p>
      <w:pPr>
        <w:ind w:left="460" w:right="160" w:firstLine="443"/>
        <w:spacing w:after="0" w:line="259" w:lineRule="auto"/>
        <w:tabs>
          <w:tab w:leader="none" w:pos="114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distributions to the direct or indirect owners of Wynn Las Vegas, the Completion Guarantor or any of the Restricted Subsidiaries with respect to any period during which such entity is a Pass Through Entity or a Consolidated Member, such distributions in an aggregate amount not to exceed such owners’ Tax Amounts for such period;</w:t>
      </w:r>
    </w:p>
    <w:p>
      <w:pPr>
        <w:spacing w:after="0" w:line="59" w:lineRule="exact"/>
        <w:rPr>
          <w:sz w:val="20"/>
          <w:szCs w:val="20"/>
          <w:color w:val="auto"/>
        </w:rPr>
      </w:pPr>
    </w:p>
    <w:p>
      <w:pPr>
        <w:ind w:left="460" w:firstLine="438"/>
        <w:spacing w:after="0" w:line="253" w:lineRule="auto"/>
        <w:rPr>
          <w:sz w:val="20"/>
          <w:szCs w:val="20"/>
          <w:color w:val="auto"/>
        </w:rPr>
      </w:pPr>
      <w:r>
        <w:rPr>
          <w:rFonts w:ascii="Arial" w:cs="Arial" w:eastAsia="Arial" w:hAnsi="Arial"/>
          <w:sz w:val="18"/>
          <w:szCs w:val="18"/>
          <w:color w:val="auto"/>
        </w:rPr>
        <w:t>(6)(a) the repurchase, redemption or other acquisition or retirement for value of any Equity Interests of Wynn Resorts, or (b) the distribution to Wynn Resorts, directly or through any intermediate Wholly Owned Subsidiaries of Wynn Resorts, of amounts necessary to repurchase, redeem or otherwise acquire or retire for value Equity Interests of Wynn Resorts, in each case held by any member of management of Wynn Resorts (or the estate or trust for the benefit of any such member of management) pursuant to the provisions of the operating agreement, or comparable governing documents, or employee benefit plans or employment agreements of any such Person; provided that the aggregate consideration for all such repurchased, redeemed, acquired or retired Equity Interests, together with the aggregate amount of all such distributions made to Wynn Resorts, shall not exceed $4.0 million in any calendar year;</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20" w:firstLine="443"/>
        <w:spacing w:after="0" w:line="332" w:lineRule="auto"/>
        <w:tabs>
          <w:tab w:leader="none" w:pos="1147"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payment of Allocable Overhead to Wynn Resorts or any of its Subsidiaries in respect of each Qualifying Project of Wynn Las Vegas and its Restricted Subsidiaries to the extent then due and payable by Wynn Las Vegas or the applicable Restricted Subsidiary, as the case may be;</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payment of amounts permitted to be paid pursuant to the Disbursement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Restricted Payments consisting of transfers and other dispositions of Released Assets;</w:t>
      </w:r>
    </w:p>
    <w:p>
      <w:pPr>
        <w:spacing w:after="0" w:line="90" w:lineRule="exact"/>
        <w:rPr>
          <w:rFonts w:ascii="Arial" w:cs="Arial" w:eastAsia="Arial" w:hAnsi="Arial"/>
          <w:sz w:val="18"/>
          <w:szCs w:val="18"/>
          <w:color w:val="auto"/>
        </w:rPr>
      </w:pPr>
    </w:p>
    <w:p>
      <w:pPr>
        <w:ind w:left="1240" w:hanging="337"/>
        <w:spacing w:after="0"/>
        <w:tabs>
          <w:tab w:leader="none" w:pos="124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Restricted Payments not otherwise permitted by the foregoing clauses (1) through (9) in an aggregate amount of not more than $10.0 million;</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83" w:lineRule="exact"/>
        <w:rPr>
          <w:rFonts w:ascii="Arial" w:cs="Arial" w:eastAsia="Arial" w:hAnsi="Arial"/>
          <w:sz w:val="16"/>
          <w:szCs w:val="16"/>
          <w:color w:val="auto"/>
        </w:rPr>
      </w:pPr>
    </w:p>
    <w:p>
      <w:pPr>
        <w:ind w:left="460" w:right="540" w:firstLine="443"/>
        <w:spacing w:after="0" w:line="332" w:lineRule="auto"/>
        <w:tabs>
          <w:tab w:leader="none" w:pos="1228" w:val="left"/>
        </w:tabs>
        <w:numPr>
          <w:ilvl w:val="0"/>
          <w:numId w:val="118"/>
        </w:numPr>
        <w:rPr>
          <w:rFonts w:ascii="Arial" w:cs="Arial" w:eastAsia="Arial" w:hAnsi="Arial"/>
          <w:sz w:val="16"/>
          <w:szCs w:val="16"/>
          <w:color w:val="auto"/>
        </w:rPr>
      </w:pPr>
      <w:r>
        <w:rPr>
          <w:rFonts w:ascii="Arial" w:cs="Arial" w:eastAsia="Arial" w:hAnsi="Arial"/>
          <w:sz w:val="16"/>
          <w:szCs w:val="16"/>
          <w:color w:val="auto"/>
        </w:rPr>
        <w:t>dividends or distributions to Wynn Resorts, directly or through any intermediate Wholly Owned Subsidiary of Wynn Resorts, of amounts necessary to pay amounts then due and payable under the Tax Indemnification Agreement, as in effect on the date of the Indenture.</w:t>
      </w:r>
    </w:p>
    <w:p>
      <w:pPr>
        <w:spacing w:after="0" w:line="85"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amount of all Restricted Payments (other than cash) will be the Fair Market Value on the date of the Restricted Payment of the asset(s) or securities proposed to be transferred or issued by Wynn Las Vegas or such Restricted Subsidiary, as the case may be, pursuant to the Restricted Payment.</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Incurrence of Indebtedness and Issuance of Disqualified Stock</w:t>
      </w:r>
    </w:p>
    <w:p>
      <w:pPr>
        <w:spacing w:after="0" w:line="90" w:lineRule="exact"/>
        <w:rPr>
          <w:sz w:val="20"/>
          <w:szCs w:val="20"/>
          <w:color w:val="auto"/>
        </w:rPr>
      </w:pPr>
    </w:p>
    <w:p>
      <w:pPr>
        <w:ind w:right="240" w:firstLine="456"/>
        <w:spacing w:after="0" w:line="286" w:lineRule="auto"/>
        <w:rPr>
          <w:sz w:val="20"/>
          <w:szCs w:val="20"/>
          <w:color w:val="auto"/>
        </w:rPr>
      </w:pPr>
      <w:r>
        <w:rPr>
          <w:rFonts w:ascii="Arial" w:cs="Arial" w:eastAsia="Arial" w:hAnsi="Arial"/>
          <w:sz w:val="16"/>
          <w:szCs w:val="16"/>
          <w:color w:val="auto"/>
        </w:rPr>
        <w:t>Wynn Las Vegas will not, and will not permit any of its Restricted Subsidiaries to, directly or indirectly, (1) create, incur, issue, assume, guarantee or otherwise become directly or indirectly liable, contingently or otherwise, with respect to (collectively, “incur”) any Indebtedness (including Acquired Debt), or</w:t>
      </w:r>
    </w:p>
    <w:p>
      <w:pPr>
        <w:ind w:right="100" w:firstLine="8"/>
        <w:spacing w:after="0" w:line="315" w:lineRule="auto"/>
        <w:tabs>
          <w:tab w:leader="none" w:pos="249" w:val="left"/>
        </w:tabs>
        <w:numPr>
          <w:ilvl w:val="0"/>
          <w:numId w:val="119"/>
        </w:numPr>
        <w:rPr>
          <w:rFonts w:ascii="Arial" w:cs="Arial" w:eastAsia="Arial" w:hAnsi="Arial"/>
          <w:sz w:val="15"/>
          <w:szCs w:val="15"/>
          <w:color w:val="auto"/>
        </w:rPr>
      </w:pPr>
      <w:r>
        <w:rPr>
          <w:rFonts w:ascii="Arial" w:cs="Arial" w:eastAsia="Arial" w:hAnsi="Arial"/>
          <w:sz w:val="15"/>
          <w:szCs w:val="15"/>
          <w:color w:val="auto"/>
        </w:rPr>
        <w:t>issue any Disqualified Stock. Notwithstanding the foregoing, Wynn Las Vegas and its Restricted Subsidiaries may incur Indebtedness (including Acquired Debt), or issue Disqualified Stock, if the Fixed Charge Coverage Ratio of Wynn Las Vegas for Wynn Las Vegas’ most recently ended four full fiscal quarters for which internal financial statements are available immediately preceding the date on which such additional Indebtedness is incurred or such Disqualified Stock is issued, as the case may be, would have been at least 2.0 to 1.0, determined on a pro forma basis, including a pro forma application of the net proceeds therefrom, as if the additional Indebtedness had been incurred or the Disqualified Stock had been issued, as the case may be, at the beginning of such four-quarter period.</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first paragraph of this covenant will not prohibit the incurrence of any of the following items of Indebtedness (collectively, “Permitted Debt”):</w:t>
      </w:r>
    </w:p>
    <w:p>
      <w:pPr>
        <w:spacing w:after="0" w:line="113" w:lineRule="exact"/>
        <w:rPr>
          <w:sz w:val="20"/>
          <w:szCs w:val="20"/>
          <w:color w:val="auto"/>
        </w:rPr>
      </w:pPr>
    </w:p>
    <w:p>
      <w:pPr>
        <w:ind w:left="460" w:right="60" w:firstLine="443"/>
        <w:spacing w:after="0" w:line="303" w:lineRule="auto"/>
        <w:tabs>
          <w:tab w:leader="none" w:pos="1147" w:val="left"/>
        </w:tabs>
        <w:numPr>
          <w:ilvl w:val="1"/>
          <w:numId w:val="120"/>
        </w:numPr>
        <w:rPr>
          <w:rFonts w:ascii="Arial" w:cs="Arial" w:eastAsia="Arial" w:hAnsi="Arial"/>
          <w:sz w:val="15"/>
          <w:szCs w:val="15"/>
          <w:color w:val="auto"/>
        </w:rPr>
      </w:pPr>
      <w:r>
        <w:rPr>
          <w:rFonts w:ascii="Arial" w:cs="Arial" w:eastAsia="Arial" w:hAnsi="Arial"/>
          <w:sz w:val="15"/>
          <w:szCs w:val="15"/>
          <w:color w:val="auto"/>
        </w:rPr>
        <w:t>the incurrence by Wynn Las Vegas or any of its Restricted Subsidiaries of Indebtedness under the Credit Agreement in an aggregate principal amount at any one time outstanding (with letters of credit being deemed to have a principal amount equal to the sum of the face amount thereof and related unpaid reimbursement obligations), to the extent then classified as having been incurred in reliance on this clause (1) not to exceed (i) $1.0 billion less</w:t>
      </w:r>
    </w:p>
    <w:p>
      <w:pPr>
        <w:spacing w:after="0" w:line="1" w:lineRule="exact"/>
        <w:rPr>
          <w:rFonts w:ascii="Arial" w:cs="Arial" w:eastAsia="Arial" w:hAnsi="Arial"/>
          <w:sz w:val="15"/>
          <w:szCs w:val="15"/>
          <w:color w:val="auto"/>
        </w:rPr>
      </w:pPr>
    </w:p>
    <w:p>
      <w:pPr>
        <w:ind w:left="460" w:firstLine="4"/>
        <w:spacing w:after="0" w:line="254" w:lineRule="auto"/>
        <w:tabs>
          <w:tab w:leader="none" w:pos="719"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aggregate amount of all Net Proceeds of Assets Sales applied by Wynn Las Vegas or any of its Restricted Subsidiaries since the date of the Indenture to repay any term Indebtedness under the Credit Agreement or repay any revolving credit Indebtedness under the Credit Agreement and effect a corresponding permanent reduction of commitments thereunder pursuant to the covenant described above under the caption “—Repurchase at the Option of Holders—Asset Sales” or otherwise;</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the incurrence by the Issuers and the Restricted Subsidiaries of Wynn Las Vegas of the Existing Indebtedness;</w:t>
      </w:r>
    </w:p>
    <w:p>
      <w:pPr>
        <w:spacing w:after="0" w:line="90" w:lineRule="exact"/>
        <w:rPr>
          <w:rFonts w:ascii="Arial" w:cs="Arial" w:eastAsia="Arial" w:hAnsi="Arial"/>
          <w:sz w:val="18"/>
          <w:szCs w:val="18"/>
          <w:color w:val="auto"/>
        </w:rPr>
      </w:pPr>
    </w:p>
    <w:p>
      <w:pPr>
        <w:ind w:left="460" w:right="160" w:firstLine="443"/>
        <w:spacing w:after="0" w:line="306" w:lineRule="auto"/>
        <w:tabs>
          <w:tab w:leader="none" w:pos="1147" w:val="left"/>
        </w:tabs>
        <w:numPr>
          <w:ilvl w:val="1"/>
          <w:numId w:val="121"/>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Permitted Refinancing Indebtedness in exchange for, or the net proceeds of which are used to refund, refinance or replace Indebtedness (other than intercompany Indebtedness) that was permitted by the Indenture to be incurred under the first paragraph of this covenant, under clause (2), (7), (8), (9), or (12) of this paragraph or under this clause (3);</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60" w:firstLine="443"/>
        <w:spacing w:after="0" w:line="268" w:lineRule="auto"/>
        <w:tabs>
          <w:tab w:leader="none" w:pos="114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of intercompany Indebtedness between or among Wynn Las Vegas and any of its Restricted Subsidiaries; provided, however, that:</w:t>
      </w:r>
    </w:p>
    <w:p>
      <w:pPr>
        <w:spacing w:after="0" w:line="50" w:lineRule="exact"/>
        <w:rPr>
          <w:rFonts w:ascii="Arial" w:cs="Arial" w:eastAsia="Arial" w:hAnsi="Arial"/>
          <w:sz w:val="18"/>
          <w:szCs w:val="18"/>
          <w:color w:val="auto"/>
        </w:rPr>
      </w:pPr>
    </w:p>
    <w:p>
      <w:pPr>
        <w:ind w:left="920" w:right="120" w:firstLine="421"/>
        <w:spacing w:after="0" w:line="255" w:lineRule="auto"/>
        <w:tabs>
          <w:tab w:leader="none" w:pos="1579" w:val="left"/>
        </w:tabs>
        <w:numPr>
          <w:ilvl w:val="1"/>
          <w:numId w:val="122"/>
        </w:numPr>
        <w:rPr>
          <w:rFonts w:ascii="Arial" w:cs="Arial" w:eastAsia="Arial" w:hAnsi="Arial"/>
          <w:sz w:val="18"/>
          <w:szCs w:val="18"/>
          <w:color w:val="auto"/>
        </w:rPr>
      </w:pPr>
      <w:r>
        <w:rPr>
          <w:rFonts w:ascii="Arial" w:cs="Arial" w:eastAsia="Arial" w:hAnsi="Arial"/>
          <w:sz w:val="18"/>
          <w:szCs w:val="18"/>
          <w:color w:val="auto"/>
        </w:rPr>
        <w:t>if Wynn Las Vegas or any Guarantor is the obligor on such Indebtedness and the payee is not Wynn Las Vegas or a Guarantor, such Indebtedness must be expressly subordinated in right of payment to the prior payment in full in cash of all Obligations then due with respect to the 2017 Notes, in the case of Wynn Las Vegas, or its Note Guarantee under the Indenture, in the case of a Guarantor, except that no Indebtedness of Wynn Las Vegas or any Guarantor will be deemed to be subordinated in right of payment to any other Indebtedness of Wynn Las Vegas or any such Guarantor solely by virtue of being unsecured; and</w:t>
      </w:r>
    </w:p>
    <w:p>
      <w:pPr>
        <w:spacing w:after="0" w:line="62" w:lineRule="exact"/>
        <w:rPr>
          <w:sz w:val="20"/>
          <w:szCs w:val="20"/>
          <w:color w:val="auto"/>
        </w:rPr>
      </w:pPr>
    </w:p>
    <w:p>
      <w:pPr>
        <w:ind w:left="920" w:right="20" w:firstLine="420"/>
        <w:spacing w:after="0" w:line="298" w:lineRule="auto"/>
        <w:rPr>
          <w:sz w:val="20"/>
          <w:szCs w:val="20"/>
          <w:color w:val="auto"/>
        </w:rPr>
      </w:pPr>
      <w:r>
        <w:rPr>
          <w:rFonts w:ascii="Arial" w:cs="Arial" w:eastAsia="Arial" w:hAnsi="Arial"/>
          <w:sz w:val="16"/>
          <w:szCs w:val="16"/>
          <w:color w:val="auto"/>
        </w:rPr>
        <w:t>(b)(i) any subsequent issuance or transfer of Equity Interests that results in any such Indebtedness being held by a Person other than Wynn Las Vegas or a Restricted Subsidiary of Wynn Las Vegas, and (ii) any sale or other transfer of any such Indebtedness to a Person that is not either Wynn Las Vegas or a Restricted Subsidiary of Wynn Las Vegas will be deemed, in each case, to constitute an incurrence of such Indebtedness by Wynn Las Vegas or such Restricted Subsidiary, as the case may be, that was not permitted by this clause (4);</w:t>
      </w:r>
    </w:p>
    <w:p>
      <w:pPr>
        <w:spacing w:after="0" w:line="32" w:lineRule="exact"/>
        <w:rPr>
          <w:sz w:val="20"/>
          <w:szCs w:val="20"/>
          <w:color w:val="auto"/>
        </w:rPr>
      </w:pPr>
    </w:p>
    <w:p>
      <w:pPr>
        <w:ind w:left="1160" w:hanging="257"/>
        <w:spacing w:after="0"/>
        <w:tabs>
          <w:tab w:leader="none" w:pos="116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Hedging Obligations in the ordinary course of business;</w:t>
      </w:r>
    </w:p>
    <w:p>
      <w:pPr>
        <w:spacing w:after="0" w:line="113" w:lineRule="exact"/>
        <w:rPr>
          <w:rFonts w:ascii="Arial" w:cs="Arial" w:eastAsia="Arial" w:hAnsi="Arial"/>
          <w:sz w:val="16"/>
          <w:szCs w:val="16"/>
          <w:color w:val="auto"/>
        </w:rPr>
      </w:pPr>
    </w:p>
    <w:p>
      <w:pPr>
        <w:jc w:val="both"/>
        <w:ind w:left="460" w:right="20" w:firstLine="443"/>
        <w:spacing w:after="0" w:line="306" w:lineRule="auto"/>
        <w:tabs>
          <w:tab w:leader="none" w:pos="1147" w:val="left"/>
        </w:tabs>
        <w:numPr>
          <w:ilvl w:val="1"/>
          <w:numId w:val="123"/>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Indebtedness solely in respect of performance, surety, appeal or similar bonds or commercial or standby letters of credit, so long as such indebtedness is incurred in the ordinary course of business and the aggregate amount of all such bonds and standby letters of credit is not greater than $40.0 million at any time outstanding;</w:t>
      </w:r>
    </w:p>
    <w:p>
      <w:pPr>
        <w:spacing w:after="0" w:line="25" w:lineRule="exact"/>
        <w:rPr>
          <w:rFonts w:ascii="Arial" w:cs="Arial" w:eastAsia="Arial" w:hAnsi="Arial"/>
          <w:sz w:val="16"/>
          <w:szCs w:val="16"/>
          <w:color w:val="auto"/>
        </w:rPr>
      </w:pPr>
    </w:p>
    <w:p>
      <w:pPr>
        <w:ind w:left="460" w:right="160" w:firstLine="443"/>
        <w:spacing w:after="0" w:line="291" w:lineRule="auto"/>
        <w:tabs>
          <w:tab w:leader="none" w:pos="1147" w:val="left"/>
        </w:tabs>
        <w:numPr>
          <w:ilvl w:val="1"/>
          <w:numId w:val="123"/>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Indebtedness represented by Capital Lease Obligations, mortgage financings or purchase money obligations, in each case, incurred for the purpose of financing all or any part of the purchase price or cost of design, construction, installation or improvement of property, plant or equipment (including acquisitions of Capital Stock of a Person that becomes a Restricted Subsidiary to the extent of the Fair Market Value of the property, plant or equipment of such Person) used in the Projects by Wynn Las Vegas or any of its Restricted Subsidiaries, in an aggregate principal amount, including all Permitted Refinancing Indebtedness incurred to renew, refund, refinance, replace, defease or discharge any Indebtedness incurred pursuant to this clause (7), not to exceed $100.0 million at any time outstanding;</w:t>
      </w:r>
    </w:p>
    <w:p>
      <w:pPr>
        <w:spacing w:after="0" w:line="39" w:lineRule="exact"/>
        <w:rPr>
          <w:rFonts w:ascii="Arial" w:cs="Arial" w:eastAsia="Arial" w:hAnsi="Arial"/>
          <w:sz w:val="16"/>
          <w:szCs w:val="16"/>
          <w:color w:val="auto"/>
        </w:rPr>
      </w:pPr>
    </w:p>
    <w:p>
      <w:pPr>
        <w:ind w:left="1160" w:hanging="257"/>
        <w:spacing w:after="0"/>
        <w:tabs>
          <w:tab w:leader="none" w:pos="116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Indebtedness in a principal amount, including all Permitted</w:t>
      </w:r>
    </w:p>
    <w:p>
      <w:pPr>
        <w:spacing w:after="0" w:line="38" w:lineRule="exact"/>
        <w:rPr>
          <w:rFonts w:ascii="Arial" w:cs="Arial" w:eastAsia="Arial" w:hAnsi="Arial"/>
          <w:sz w:val="16"/>
          <w:szCs w:val="16"/>
          <w:color w:val="auto"/>
        </w:rPr>
      </w:pPr>
    </w:p>
    <w:p>
      <w:pPr>
        <w:jc w:val="both"/>
        <w:ind w:left="460" w:right="220"/>
        <w:spacing w:after="0" w:line="255" w:lineRule="auto"/>
        <w:rPr>
          <w:rFonts w:ascii="Arial" w:cs="Arial" w:eastAsia="Arial" w:hAnsi="Arial"/>
          <w:sz w:val="16"/>
          <w:szCs w:val="16"/>
          <w:color w:val="auto"/>
        </w:rPr>
      </w:pPr>
      <w:r>
        <w:rPr>
          <w:rFonts w:ascii="Arial" w:cs="Arial" w:eastAsia="Arial" w:hAnsi="Arial"/>
          <w:sz w:val="18"/>
          <w:szCs w:val="18"/>
          <w:color w:val="auto"/>
        </w:rPr>
        <w:t>Refinancing Indebtedness incurred to renew, refund, refinance, replace, defease or discharge any Indebtedness incurred pursuant to this clause (8), not to exceed, at any time, 75% of the aggregate cost of the Phase III Project to pay the costs and expenses of designing, developing and constructing the Phase III Project, so long as:</w:t>
      </w:r>
    </w:p>
    <w:p>
      <w:pPr>
        <w:spacing w:after="0" w:line="63" w:lineRule="exact"/>
        <w:rPr>
          <w:rFonts w:ascii="Arial" w:cs="Arial" w:eastAsia="Arial" w:hAnsi="Arial"/>
          <w:sz w:val="16"/>
          <w:szCs w:val="16"/>
          <w:color w:val="auto"/>
        </w:rPr>
      </w:pPr>
    </w:p>
    <w:p>
      <w:pPr>
        <w:ind w:left="1580" w:hanging="239"/>
        <w:spacing w:after="0"/>
        <w:tabs>
          <w:tab w:leader="none" w:pos="1580" w:val="left"/>
        </w:tabs>
        <w:numPr>
          <w:ilvl w:val="2"/>
          <w:numId w:val="123"/>
        </w:numPr>
        <w:rPr>
          <w:rFonts w:ascii="Arial" w:cs="Arial" w:eastAsia="Arial" w:hAnsi="Arial"/>
          <w:sz w:val="18"/>
          <w:szCs w:val="18"/>
          <w:color w:val="auto"/>
        </w:rPr>
      </w:pPr>
      <w:r>
        <w:rPr>
          <w:rFonts w:ascii="Arial" w:cs="Arial" w:eastAsia="Arial" w:hAnsi="Arial"/>
          <w:sz w:val="18"/>
          <w:szCs w:val="18"/>
          <w:color w:val="auto"/>
        </w:rPr>
        <w:t>the holders of the 2017 Notes continue to have a perfected first priority security interest in the Golf Course Land; and</w:t>
      </w:r>
    </w:p>
    <w:p>
      <w:pPr>
        <w:spacing w:after="0" w:line="90" w:lineRule="exact"/>
        <w:rPr>
          <w:rFonts w:ascii="Arial" w:cs="Arial" w:eastAsia="Arial" w:hAnsi="Arial"/>
          <w:sz w:val="18"/>
          <w:szCs w:val="18"/>
          <w:color w:val="auto"/>
        </w:rPr>
      </w:pPr>
    </w:p>
    <w:p>
      <w:pPr>
        <w:ind w:left="920" w:right="420" w:firstLine="421"/>
        <w:spacing w:after="0" w:line="268" w:lineRule="auto"/>
        <w:tabs>
          <w:tab w:leader="none" w:pos="1588" w:val="left"/>
        </w:tabs>
        <w:numPr>
          <w:ilvl w:val="2"/>
          <w:numId w:val="123"/>
        </w:numPr>
        <w:rPr>
          <w:rFonts w:ascii="Arial" w:cs="Arial" w:eastAsia="Arial" w:hAnsi="Arial"/>
          <w:sz w:val="18"/>
          <w:szCs w:val="18"/>
          <w:color w:val="auto"/>
        </w:rPr>
      </w:pPr>
      <w:r>
        <w:rPr>
          <w:rFonts w:ascii="Arial" w:cs="Arial" w:eastAsia="Arial" w:hAnsi="Arial"/>
          <w:sz w:val="18"/>
          <w:szCs w:val="18"/>
          <w:color w:val="auto"/>
        </w:rPr>
        <w:t>Wynn Las Vegas’ and its Restricted Subsidiaries’ total Indebtedness does not exceed 6.5 times Consolidated EBITDA for the four full fiscal quarters immediately preceding the date of such incurrence;</w:t>
      </w:r>
    </w:p>
    <w:p>
      <w:pPr>
        <w:spacing w:after="0" w:line="50" w:lineRule="exact"/>
        <w:rPr>
          <w:rFonts w:ascii="Arial" w:cs="Arial" w:eastAsia="Arial" w:hAnsi="Arial"/>
          <w:sz w:val="18"/>
          <w:szCs w:val="18"/>
          <w:color w:val="auto"/>
        </w:rPr>
      </w:pPr>
    </w:p>
    <w:p>
      <w:pPr>
        <w:ind w:left="460" w:firstLine="443"/>
        <w:spacing w:after="0" w:line="259" w:lineRule="auto"/>
        <w:tabs>
          <w:tab w:leader="none" w:pos="1147"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of Indebtedness in connection with the repurchase, redemption or other acquisition or retirement for value of Equity Interests of Wynn Resorts or any Restricted Subsidiary permitted pursuant to the provisions of clause (6) of the covenant described above under the caption “—Restricted Payments;”</w:t>
      </w:r>
    </w:p>
    <w:p>
      <w:pPr>
        <w:spacing w:after="0" w:line="59" w:lineRule="exact"/>
        <w:rPr>
          <w:rFonts w:ascii="Arial" w:cs="Arial" w:eastAsia="Arial" w:hAnsi="Arial"/>
          <w:sz w:val="18"/>
          <w:szCs w:val="18"/>
          <w:color w:val="auto"/>
        </w:rPr>
      </w:pPr>
    </w:p>
    <w:p>
      <w:pPr>
        <w:ind w:left="460" w:right="540" w:firstLine="443"/>
        <w:spacing w:after="0" w:line="268" w:lineRule="auto"/>
        <w:tabs>
          <w:tab w:leader="none" w:pos="1235"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on or prior to the Phase II Final Completion Date of Indebtedness represented by performance bonds, guaranties, trade letters of credit,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60"/>
        <w:spacing w:after="0" w:line="332" w:lineRule="auto"/>
        <w:rPr>
          <w:sz w:val="20"/>
          <w:szCs w:val="20"/>
          <w:color w:val="auto"/>
        </w:rPr>
      </w:pPr>
      <w:r>
        <w:rPr>
          <w:rFonts w:ascii="Arial" w:cs="Arial" w:eastAsia="Arial" w:hAnsi="Arial"/>
          <w:sz w:val="16"/>
          <w:szCs w:val="16"/>
          <w:color w:val="auto"/>
        </w:rPr>
        <w:t>bankers’ acceptances or similar instruments issued by a Person, other than Wynn Resorts or any of its Restricted Subsidiaries, for the benefit of a trade creditor of any such Person, in an aggregate amount not to exceed $20.0 million at any time outstanding so long as:</w:t>
      </w:r>
    </w:p>
    <w:p>
      <w:pPr>
        <w:spacing w:after="0" w:line="4" w:lineRule="exact"/>
        <w:rPr>
          <w:sz w:val="20"/>
          <w:szCs w:val="20"/>
          <w:color w:val="auto"/>
        </w:rPr>
      </w:pPr>
    </w:p>
    <w:p>
      <w:pPr>
        <w:ind w:left="1580" w:hanging="239"/>
        <w:spacing w:after="0"/>
        <w:tabs>
          <w:tab w:leader="none" w:pos="158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such Indebtedness is incurred in the ordinary course of business; and</w:t>
      </w:r>
    </w:p>
    <w:p>
      <w:pPr>
        <w:spacing w:after="0" w:line="90" w:lineRule="exact"/>
        <w:rPr>
          <w:rFonts w:ascii="Arial" w:cs="Arial" w:eastAsia="Arial" w:hAnsi="Arial"/>
          <w:sz w:val="18"/>
          <w:szCs w:val="18"/>
          <w:color w:val="auto"/>
        </w:rPr>
      </w:pPr>
    </w:p>
    <w:p>
      <w:pPr>
        <w:ind w:left="920" w:right="40" w:firstLine="421"/>
        <w:spacing w:after="0" w:line="298" w:lineRule="auto"/>
        <w:tabs>
          <w:tab w:leader="none" w:pos="1588" w:val="left"/>
        </w:tabs>
        <w:numPr>
          <w:ilvl w:val="1"/>
          <w:numId w:val="124"/>
        </w:numPr>
        <w:rPr>
          <w:rFonts w:ascii="Arial" w:cs="Arial" w:eastAsia="Arial" w:hAnsi="Arial"/>
          <w:sz w:val="16"/>
          <w:szCs w:val="16"/>
          <w:color w:val="auto"/>
        </w:rPr>
      </w:pPr>
      <w:r>
        <w:rPr>
          <w:rFonts w:ascii="Arial" w:cs="Arial" w:eastAsia="Arial" w:hAnsi="Arial"/>
          <w:sz w:val="16"/>
          <w:szCs w:val="16"/>
          <w:color w:val="auto"/>
        </w:rPr>
        <w:t>the obligations of Wynn Las Vegas or the applicable Restricted Subsidiary, as the case may be, supported by such performance bonds, guaranties, trade letters of credit, bankers’ acceptances or similar instruments (1) consist solely of payment obligations with respect to costs incurred in accordance with the Phase II Project Budget which would otherwise be permitted to be paid by the applicable entity pursuant to the Disbursement Agreement and (2) if secured, are secured solely by Liens permitted by clause (22) of the definition of “Permitted Liens;”</w:t>
      </w:r>
    </w:p>
    <w:p>
      <w:pPr>
        <w:spacing w:after="0" w:line="31" w:lineRule="exact"/>
        <w:rPr>
          <w:rFonts w:ascii="Arial" w:cs="Arial" w:eastAsia="Arial" w:hAnsi="Arial"/>
          <w:sz w:val="16"/>
          <w:szCs w:val="16"/>
          <w:color w:val="auto"/>
        </w:rPr>
      </w:pPr>
    </w:p>
    <w:p>
      <w:pPr>
        <w:ind w:left="460" w:right="100" w:firstLine="443"/>
        <w:spacing w:after="0" w:line="268" w:lineRule="auto"/>
        <w:tabs>
          <w:tab w:leader="none" w:pos="1228"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of additional Indebtedness in an aggregate principal amount at any time outstanding, not to exceed $40.0 million;</w:t>
      </w:r>
    </w:p>
    <w:p>
      <w:pPr>
        <w:spacing w:after="0" w:line="50" w:lineRule="exact"/>
        <w:rPr>
          <w:rFonts w:ascii="Arial" w:cs="Arial" w:eastAsia="Arial" w:hAnsi="Arial"/>
          <w:sz w:val="18"/>
          <w:szCs w:val="18"/>
          <w:color w:val="auto"/>
        </w:rPr>
      </w:pPr>
    </w:p>
    <w:p>
      <w:pPr>
        <w:ind w:left="1240" w:hanging="337"/>
        <w:spacing w:after="0"/>
        <w:tabs>
          <w:tab w:leader="none" w:pos="12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2014 Notes;</w:t>
      </w:r>
    </w:p>
    <w:p>
      <w:pPr>
        <w:spacing w:after="0" w:line="90" w:lineRule="exact"/>
        <w:rPr>
          <w:rFonts w:ascii="Arial" w:cs="Arial" w:eastAsia="Arial" w:hAnsi="Arial"/>
          <w:sz w:val="18"/>
          <w:szCs w:val="18"/>
          <w:color w:val="auto"/>
        </w:rPr>
      </w:pPr>
    </w:p>
    <w:p>
      <w:pPr>
        <w:ind w:left="460" w:right="440" w:firstLine="443"/>
        <w:spacing w:after="0" w:line="332" w:lineRule="auto"/>
        <w:tabs>
          <w:tab w:leader="none" w:pos="1235"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incurrence of Indebtedness (and the Guarantee of such Indebtedness by Wynn Las Vegas) in an amount not to exceed 100% of the Fair Market Value of the Aircraft, which is secured only by Liens permitted by clause (26) of the definition of “Permitted Liens;”</w:t>
      </w:r>
    </w:p>
    <w:p>
      <w:pPr>
        <w:spacing w:after="0" w:line="4" w:lineRule="exact"/>
        <w:rPr>
          <w:rFonts w:ascii="Arial" w:cs="Arial" w:eastAsia="Arial" w:hAnsi="Arial"/>
          <w:sz w:val="16"/>
          <w:szCs w:val="16"/>
          <w:color w:val="auto"/>
        </w:rPr>
      </w:pPr>
    </w:p>
    <w:p>
      <w:pPr>
        <w:ind w:left="460" w:right="120" w:firstLine="443"/>
        <w:spacing w:after="0" w:line="289" w:lineRule="auto"/>
        <w:tabs>
          <w:tab w:leader="none" w:pos="1235" w:val="left"/>
        </w:tabs>
        <w:numPr>
          <w:ilvl w:val="0"/>
          <w:numId w:val="125"/>
        </w:numPr>
        <w:rPr>
          <w:rFonts w:ascii="Arial" w:cs="Arial" w:eastAsia="Arial" w:hAnsi="Arial"/>
          <w:sz w:val="16"/>
          <w:szCs w:val="16"/>
          <w:color w:val="auto"/>
        </w:rPr>
      </w:pPr>
      <w:r>
        <w:rPr>
          <w:rFonts w:ascii="Arial" w:cs="Arial" w:eastAsia="Arial" w:hAnsi="Arial"/>
          <w:sz w:val="16"/>
          <w:szCs w:val="16"/>
          <w:color w:val="auto"/>
        </w:rPr>
        <w:t xml:space="preserve">the incurrence by Wynn Las Vegas or any of its Restricted Subsidiaries of additional Indebtedness (so long as such Indebtedness is incurred under the Credit Agreement, through the issuance of additional 2017 Notes under the Indenture, is unsecured Indebtedness or is Permitted Junior Debt) to be used to develop and construct an Additional Entertainment Facility and/or a Retail Facility on land included in the Projects in an aggregate principal amount (or original accreted value, as applicable) at any time not to exceed 66 </w:t>
      </w:r>
      <w:r>
        <w:rPr>
          <w:rFonts w:ascii="Arial" w:cs="Arial" w:eastAsia="Arial" w:hAnsi="Arial"/>
          <w:sz w:val="10"/>
          <w:szCs w:val="10"/>
          <w:color w:val="auto"/>
        </w:rPr>
        <w:t>2</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xml:space="preserve">% of the aggregate cost of such Additional Entertainment Facility and/or Retail Facility; provided that, subsequent to the date of the Indenture and on or prior to the date of the incurrence of such Indebtedness, net cash proceeds have been received by Wynn Las Vegas as a contribution to its common equity capital in an amount equal to at least 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of the aggregate cost of such Additional Entertainment Facility and/or Retail Facility, which proceeds have been irrevocably committed at the time of such contribution for use in the development and construction of such Additional Entertainment Facility and/or a Retail Facility; and</w:t>
      </w:r>
    </w:p>
    <w:p>
      <w:pPr>
        <w:spacing w:after="0" w:line="37" w:lineRule="exact"/>
        <w:rPr>
          <w:rFonts w:ascii="Arial" w:cs="Arial" w:eastAsia="Arial" w:hAnsi="Arial"/>
          <w:sz w:val="16"/>
          <w:szCs w:val="16"/>
          <w:color w:val="auto"/>
        </w:rPr>
      </w:pPr>
    </w:p>
    <w:p>
      <w:pPr>
        <w:ind w:left="460" w:right="460" w:firstLine="443"/>
        <w:spacing w:after="0" w:line="268" w:lineRule="auto"/>
        <w:tabs>
          <w:tab w:leader="none" w:pos="123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incurrence by Wynn Capital, as co-obligor, of any Indebtedness which Wynn Las Vegas is permitted to incur pursuant to the foregoing provisions.</w:t>
      </w:r>
    </w:p>
    <w:p>
      <w:pPr>
        <w:spacing w:after="0" w:line="1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For purposes of determining compliance with this “Incurrence of Indebtedness and Issuance of Disqualified Stock” covenant, in the event that an item of proposed Indebtedness meets the criteria of more than one of the categories of Permitted Debt described in clauses (1) through (14) above, or is entitled to be incurred pursuant to the first paragraph of this covenant, the Issuers will be permitted to classify such item of Indebtedness on the date of its incurrence, or later reclassify all or a portion of such item of Indebtedness, in any manner that complies with this covenant as of the date of such classification or reclassification. Indebtedness under the Credit Agreement outstanding on the date on which the 2017 Notes are first issued and authenticated under the Indenture will initially be deemed to have been incurred on such date in reliance on the exception provided by clause (1) of the definition of “Permitted Debt.” The accrual of interest, the accretion or amortization of original issue discount, the payment of interest on any Indebtedness in the form of additional Indebtedness with the same terms, the reclassification of preferred stock as Indebtedness due to a change in accounting principles, and the payment of dividends on Disqualified Stock in the form of additional shares of the same class of Disqualified Stock will not be deemed to be an incurrence of Indebtedness or an issuance of Disqualified Stock for purposes of this covenant. Notwithstanding any other provision of this covenant, the maximum amount of Indebtedness that Wynn Las Vegas or any of its Restricted Subsidiaries may incur pursuant to this covenant shall not be exceeded solely as a result of fluctuations in exchange rates or currency values. In addition, any Indebtedness which is permitted to be incurred by Wynn Las Vegas or any of its Restricted Subsidiaries under clause (7) set forth above may be incurred under the Credit Agreement or through the issuance of Additional 2017 Notes under the Indenture.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00"/>
          </w:cols>
          <w:pgMar w:left="240" w:top="459" w:right="2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90" w:lineRule="exact"/>
        <w:rPr>
          <w:sz w:val="20"/>
          <w:szCs w:val="20"/>
          <w:color w:val="auto"/>
        </w:rPr>
      </w:pPr>
    </w:p>
    <w:p>
      <w:pPr>
        <w:ind w:left="1160" w:hanging="257"/>
        <w:spacing w:after="0"/>
        <w:tabs>
          <w:tab w:leader="none" w:pos="11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accreted value of the Indebtedness, in the case of any Indebtedness issued with original issue discount;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principal amount of the Indebtedness, in the case of any other Indebtedness;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in respect of Indebtedness of another Person secured by a Lien on the assets of the specified Person, the lesser of:</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the Fair Market Value of such assets at the date of determination; and</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the amount of the Indebtedness of the other Person.</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Liens</w:t>
      </w:r>
    </w:p>
    <w:p>
      <w:pPr>
        <w:spacing w:after="0" w:line="9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Wynn Las Vegas will not, and will not permit any of its Restricted Subsidiaries to, directly or indirectly, create, incur, assume or suffer to exist any Lien of any kind on any asset owned on the date of the Indenture or thereafter acquired, or on any proceeds, income or profits therefrom or assign or convey any right to receive income therefrom, except Permitted Liens.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Dividend and Other Payment Restrictions Affecting Subsidiaries of Wynn Las Vegas</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Wynn Las Vegas will not, and will not permit any of its Restricted Subsidiaries to, directly or indirectly, create or permit to exist or become effective any consensual encumbrance or restriction on the ability of any Restricted Subsidiary to:</w:t>
      </w:r>
    </w:p>
    <w:p>
      <w:pPr>
        <w:spacing w:after="0" w:line="51" w:lineRule="exact"/>
        <w:rPr>
          <w:sz w:val="20"/>
          <w:szCs w:val="20"/>
          <w:color w:val="auto"/>
        </w:rPr>
      </w:pPr>
    </w:p>
    <w:p>
      <w:pPr>
        <w:ind w:left="460" w:right="60" w:firstLine="443"/>
        <w:spacing w:after="0" w:line="332" w:lineRule="auto"/>
        <w:tabs>
          <w:tab w:leader="none" w:pos="1147" w:val="left"/>
        </w:tabs>
        <w:numPr>
          <w:ilvl w:val="0"/>
          <w:numId w:val="127"/>
        </w:numPr>
        <w:rPr>
          <w:rFonts w:ascii="Arial" w:cs="Arial" w:eastAsia="Arial" w:hAnsi="Arial"/>
          <w:sz w:val="16"/>
          <w:szCs w:val="16"/>
          <w:color w:val="auto"/>
        </w:rPr>
      </w:pPr>
      <w:r>
        <w:rPr>
          <w:rFonts w:ascii="Arial" w:cs="Arial" w:eastAsia="Arial" w:hAnsi="Arial"/>
          <w:sz w:val="16"/>
          <w:szCs w:val="16"/>
          <w:color w:val="auto"/>
        </w:rPr>
        <w:t>pay dividends or make any other distributions on its Capital Stock to Wynn Las Vegas or any of its Restricted Subsidiaries, or with respect to any other interest or participation in, or measured by, its profits, or pay any indebtedness owed to Wynn Las Vegas or any of its Restricted Subsidiaries;</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make loans or advances to Wynn Las Vegas or any of its Restricted Subsidiaries;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sell, lease or transfer any of its properties or assets to Wynn Las Vegas or any of its Restricted Subsidiaries.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the preceding restrictions will not apply to encumbrances or restrictions existing under or by reason of:</w:t>
      </w:r>
    </w:p>
    <w:p>
      <w:pPr>
        <w:spacing w:after="0" w:line="90" w:lineRule="exact"/>
        <w:rPr>
          <w:sz w:val="20"/>
          <w:szCs w:val="20"/>
          <w:color w:val="auto"/>
        </w:rPr>
      </w:pPr>
    </w:p>
    <w:p>
      <w:pPr>
        <w:ind w:left="460" w:right="180" w:firstLine="443"/>
        <w:spacing w:after="0" w:line="268" w:lineRule="auto"/>
        <w:tabs>
          <w:tab w:leader="none" w:pos="1147"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2017 Notes, the Indenture, the 2014 Notes, the 2014 Notes Indenture, the 2020 Notes, the 2020 Notes Indenture, the Note Guarantees or the Collateral Documents;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applicable law, including rules, regulations and orders issued by any Gaming Authority;</w:t>
      </w:r>
    </w:p>
    <w:p>
      <w:pPr>
        <w:spacing w:after="0" w:line="90" w:lineRule="exact"/>
        <w:rPr>
          <w:rFonts w:ascii="Arial" w:cs="Arial" w:eastAsia="Arial" w:hAnsi="Arial"/>
          <w:sz w:val="18"/>
          <w:szCs w:val="18"/>
          <w:color w:val="auto"/>
        </w:rPr>
      </w:pPr>
    </w:p>
    <w:p>
      <w:pPr>
        <w:ind w:left="460" w:right="100" w:firstLine="443"/>
        <w:spacing w:after="0" w:line="268" w:lineRule="auto"/>
        <w:tabs>
          <w:tab w:leader="none" w:pos="1147" w:val="left"/>
        </w:tabs>
        <w:numPr>
          <w:ilvl w:val="0"/>
          <w:numId w:val="128"/>
        </w:numPr>
        <w:rPr>
          <w:rFonts w:ascii="Arial" w:cs="Arial" w:eastAsia="Arial" w:hAnsi="Arial"/>
          <w:sz w:val="18"/>
          <w:szCs w:val="18"/>
          <w:color w:val="auto"/>
        </w:rPr>
      </w:pPr>
      <w:r>
        <w:rPr>
          <w:rFonts w:ascii="Arial" w:cs="Arial" w:eastAsia="Arial" w:hAnsi="Arial"/>
          <w:sz w:val="18"/>
          <w:szCs w:val="18"/>
          <w:color w:val="auto"/>
        </w:rPr>
        <w:t>customary non-assignment provisions in contracts, licenses or leases entered into in the ordinary course of business and consistent with practices that are customary in the gaming, lodging or entertainment industry;</w:t>
      </w:r>
    </w:p>
    <w:p>
      <w:pPr>
        <w:spacing w:after="0" w:line="50" w:lineRule="exact"/>
        <w:rPr>
          <w:rFonts w:ascii="Arial" w:cs="Arial" w:eastAsia="Arial" w:hAnsi="Arial"/>
          <w:sz w:val="18"/>
          <w:szCs w:val="18"/>
          <w:color w:val="auto"/>
        </w:rPr>
      </w:pPr>
    </w:p>
    <w:p>
      <w:pPr>
        <w:ind w:left="460" w:firstLine="443"/>
        <w:spacing w:after="0" w:line="294" w:lineRule="auto"/>
        <w:tabs>
          <w:tab w:leader="none" w:pos="1147"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Credit Agreement as in effect on the date of the Indenture and any other Indebtedness permitted to be incurred by the Indenture and any amendments, modifications, restatements, renewals, increases, supplements, refundings, replacements or refinancings of those agreements, so long as the applicable provisions of amendments, modifications, restatements, renewals, increases, supplements, refundings, replacements, refinancings or agreements governing other Indebtedness are no more restrictive, taken as a whole, with respect to such dividend and other payment restrictions than those contained in the Credit Agreement as in effect on the date of the Indenture;</w:t>
      </w:r>
    </w:p>
    <w:p>
      <w:pPr>
        <w:spacing w:after="0" w:line="34" w:lineRule="exact"/>
        <w:rPr>
          <w:rFonts w:ascii="Arial" w:cs="Arial" w:eastAsia="Arial" w:hAnsi="Arial"/>
          <w:sz w:val="16"/>
          <w:szCs w:val="16"/>
          <w:color w:val="auto"/>
        </w:rPr>
      </w:pPr>
    </w:p>
    <w:p>
      <w:pPr>
        <w:ind w:left="460" w:right="80" w:firstLine="443"/>
        <w:spacing w:after="0" w:line="259" w:lineRule="auto"/>
        <w:tabs>
          <w:tab w:leader="none" w:pos="1147"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acquisition of the Capital Stock of any Person, or property or assets of any Person by Wynn Las Vegas or any of its Restricted Subsidiaries, if the encumbrances or restrictions (a) existed at the time of the acquisition and were not incurred in contemplation thereof and (b) are not applicable to and are not spread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cover any Person or the property or assets of any Person other than the Person acquired or the property or assets of the Person acquired;</w:t>
      </w:r>
    </w:p>
    <w:p>
      <w:pPr>
        <w:spacing w:after="0" w:line="113" w:lineRule="exact"/>
        <w:rPr>
          <w:sz w:val="20"/>
          <w:szCs w:val="20"/>
          <w:color w:val="auto"/>
        </w:rPr>
      </w:pPr>
    </w:p>
    <w:p>
      <w:pPr>
        <w:ind w:left="460" w:right="280" w:firstLine="443"/>
        <w:spacing w:after="0" w:line="259" w:lineRule="auto"/>
        <w:tabs>
          <w:tab w:leader="none" w:pos="114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purchase money obligations or Capital Lease Obligations for Indebtedness permitted under clause (7) of the second paragraph of the covenant described above under the caption “—Incurrence of Indebtedness and Issuance of Disqualified Stock” that impose restrictions of the type described in clause (3) of the first paragraph of this covenant on the assets so acquired;</w:t>
      </w:r>
    </w:p>
    <w:p>
      <w:pPr>
        <w:spacing w:after="0" w:line="59"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any agreement for the sale or other disposition of a Restricted Subsidiary permitted hereby that restricts distributions by that Restricted Subsidiary pending its sale or other disposition;</w:t>
      </w:r>
    </w:p>
    <w:p>
      <w:pPr>
        <w:spacing w:after="0" w:line="50" w:lineRule="exact"/>
        <w:rPr>
          <w:rFonts w:ascii="Arial" w:cs="Arial" w:eastAsia="Arial" w:hAnsi="Arial"/>
          <w:sz w:val="18"/>
          <w:szCs w:val="18"/>
          <w:color w:val="auto"/>
        </w:rPr>
      </w:pPr>
    </w:p>
    <w:p>
      <w:pPr>
        <w:ind w:left="460" w:right="500" w:firstLine="443"/>
        <w:spacing w:after="0" w:line="306" w:lineRule="auto"/>
        <w:tabs>
          <w:tab w:leader="none" w:pos="1147" w:val="left"/>
        </w:tabs>
        <w:numPr>
          <w:ilvl w:val="0"/>
          <w:numId w:val="129"/>
        </w:numPr>
        <w:rPr>
          <w:rFonts w:ascii="Arial" w:cs="Arial" w:eastAsia="Arial" w:hAnsi="Arial"/>
          <w:sz w:val="16"/>
          <w:szCs w:val="16"/>
          <w:color w:val="auto"/>
        </w:rPr>
      </w:pPr>
      <w:r>
        <w:rPr>
          <w:rFonts w:ascii="Arial" w:cs="Arial" w:eastAsia="Arial" w:hAnsi="Arial"/>
          <w:sz w:val="16"/>
          <w:szCs w:val="16"/>
          <w:color w:val="auto"/>
        </w:rPr>
        <w:t>Liens permitted to be incurred under the provisions of the covenant described above under the caption “—Liens,” securing Indebtedness otherwise permitted to be incurred under the second paragraph of the covenant described above under the caption “—Incurrence of Indebtedness and Issuance of Disqualified Stock,” that limit the right of the debtor to dispose of the assets subject to such Liens; or</w:t>
      </w:r>
    </w:p>
    <w:p>
      <w:pPr>
        <w:spacing w:after="0" w:line="25" w:lineRule="exact"/>
        <w:rPr>
          <w:rFonts w:ascii="Arial" w:cs="Arial" w:eastAsia="Arial" w:hAnsi="Arial"/>
          <w:sz w:val="16"/>
          <w:szCs w:val="16"/>
          <w:color w:val="auto"/>
        </w:rPr>
      </w:pPr>
    </w:p>
    <w:p>
      <w:pPr>
        <w:ind w:left="460" w:right="360" w:firstLine="443"/>
        <w:spacing w:after="0" w:line="332" w:lineRule="auto"/>
        <w:tabs>
          <w:tab w:leader="none" w:pos="1147" w:val="left"/>
        </w:tabs>
        <w:numPr>
          <w:ilvl w:val="0"/>
          <w:numId w:val="129"/>
        </w:numPr>
        <w:rPr>
          <w:rFonts w:ascii="Arial" w:cs="Arial" w:eastAsia="Arial" w:hAnsi="Arial"/>
          <w:sz w:val="16"/>
          <w:szCs w:val="16"/>
          <w:color w:val="auto"/>
        </w:rPr>
      </w:pPr>
      <w:r>
        <w:rPr>
          <w:rFonts w:ascii="Arial" w:cs="Arial" w:eastAsia="Arial" w:hAnsi="Arial"/>
          <w:sz w:val="16"/>
          <w:szCs w:val="16"/>
          <w:color w:val="auto"/>
        </w:rPr>
        <w:t>customary provisions with respect to the disposition or distribution of assets or property in partnership or joint venture agreements, asset sale agreements, stock sale agreements and other similar agreements entered into in the ordinary course of business.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Merger, Consolidation or Sale of Assets</w:t>
      </w:r>
    </w:p>
    <w:p>
      <w:pPr>
        <w:spacing w:after="0" w:line="9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Neither Issuer will, directly or indirectly, (1) consolidate or merge with or into another Person (whether or not such Issuer is the surviving entity) or (2) sell, assign, transfer, convey or otherwise dispose of all or substantially all of its properties or assets, in one or more related transactions, to another Person, unless:</w:t>
      </w:r>
    </w:p>
    <w:p>
      <w:pPr>
        <w:spacing w:after="0" w:line="4" w:lineRule="exact"/>
        <w:rPr>
          <w:sz w:val="20"/>
          <w:szCs w:val="20"/>
          <w:color w:val="auto"/>
        </w:rPr>
      </w:pPr>
    </w:p>
    <w:p>
      <w:pPr>
        <w:ind w:left="460" w:right="120" w:firstLine="443"/>
        <w:spacing w:after="0" w:line="259" w:lineRule="auto"/>
        <w:tabs>
          <w:tab w:leader="none" w:pos="1147"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either (a) such Issuer is the surviving entity or (b) the Person formed by or surviving any such consolidation or merger (if other than such Issuer) or to which such sale, assignment, transfer, conveyance or other disposition shall have been made is a corporation organized or existing under the laws of the United States, any state of the United States or the District of Columbia;</w:t>
      </w:r>
    </w:p>
    <w:p>
      <w:pPr>
        <w:spacing w:after="0" w:line="59" w:lineRule="exact"/>
        <w:rPr>
          <w:rFonts w:ascii="Arial" w:cs="Arial" w:eastAsia="Arial" w:hAnsi="Arial"/>
          <w:sz w:val="18"/>
          <w:szCs w:val="18"/>
          <w:color w:val="auto"/>
        </w:rPr>
      </w:pPr>
    </w:p>
    <w:p>
      <w:pPr>
        <w:ind w:left="460" w:right="400" w:firstLine="443"/>
        <w:spacing w:after="0" w:line="306" w:lineRule="auto"/>
        <w:tabs>
          <w:tab w:leader="none" w:pos="1147"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Person formed by or surviving any such consolidation or merger (if other than such Issuer) or the Person to which such sale, assignment, transfer, conveyance or other disposition shall have been made assumes all the obligations of such Issuer under the 2017 Notes, the Indenture, the registration rights agreement and the Collateral Documents pursuant to agreements reasonably satisfactory to the trustee;</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immediately after such transaction, no Default or Event of Default exists;</w:t>
      </w:r>
    </w:p>
    <w:p>
      <w:pPr>
        <w:spacing w:after="0" w:line="90" w:lineRule="exact"/>
        <w:rPr>
          <w:rFonts w:ascii="Arial" w:cs="Arial" w:eastAsia="Arial" w:hAnsi="Arial"/>
          <w:sz w:val="18"/>
          <w:szCs w:val="18"/>
          <w:color w:val="auto"/>
        </w:rPr>
      </w:pPr>
    </w:p>
    <w:p>
      <w:pPr>
        <w:ind w:left="460" w:right="420" w:firstLine="443"/>
        <w:spacing w:after="0" w:line="268" w:lineRule="auto"/>
        <w:tabs>
          <w:tab w:leader="none" w:pos="1147"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such transaction would not result in the loss or suspension or material impairment of any Gaming License unless a comparable new Gaming License is effective prior to or simultaneously with such loss, suspension or material impairment;</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such Issuer or the Person formed by or surviving any such consolidation or merger (if other than such Issuer), or to which such sale, assignment, transfer, conveyance or other disposition shall have been made;</w:t>
      </w:r>
    </w:p>
    <w:p>
      <w:pPr>
        <w:spacing w:after="0" w:line="50" w:lineRule="exact"/>
        <w:rPr>
          <w:rFonts w:ascii="Arial" w:cs="Arial" w:eastAsia="Arial" w:hAnsi="Arial"/>
          <w:sz w:val="18"/>
          <w:szCs w:val="18"/>
          <w:color w:val="auto"/>
        </w:rPr>
      </w:pPr>
    </w:p>
    <w:p>
      <w:pPr>
        <w:ind w:left="920" w:right="400" w:firstLine="421"/>
        <w:spacing w:after="0" w:line="259" w:lineRule="auto"/>
        <w:tabs>
          <w:tab w:leader="none" w:pos="1579" w:val="left"/>
        </w:tabs>
        <w:numPr>
          <w:ilvl w:val="1"/>
          <w:numId w:val="130"/>
        </w:numPr>
        <w:rPr>
          <w:rFonts w:ascii="Arial" w:cs="Arial" w:eastAsia="Arial" w:hAnsi="Arial"/>
          <w:sz w:val="18"/>
          <w:szCs w:val="18"/>
          <w:color w:val="auto"/>
        </w:rPr>
      </w:pPr>
      <w:r>
        <w:rPr>
          <w:rFonts w:ascii="Arial" w:cs="Arial" w:eastAsia="Arial" w:hAnsi="Arial"/>
          <w:sz w:val="18"/>
          <w:szCs w:val="18"/>
          <w:color w:val="auto"/>
        </w:rPr>
        <w:t>will have Consolidated Net Worth immediately after the transaction equal to or greater than the Consolidated Net Worth of such Issuer immediately preceding the transaction (excluding the effect of the related professional fees, commissions, sales and other taxes, and other transactional costs that would otherwise reduce Consolidated Net Worth); and</w:t>
      </w:r>
    </w:p>
    <w:p>
      <w:pPr>
        <w:spacing w:after="0" w:line="59" w:lineRule="exact"/>
        <w:rPr>
          <w:rFonts w:ascii="Arial" w:cs="Arial" w:eastAsia="Arial" w:hAnsi="Arial"/>
          <w:sz w:val="18"/>
          <w:szCs w:val="18"/>
          <w:color w:val="auto"/>
        </w:rPr>
      </w:pPr>
    </w:p>
    <w:p>
      <w:pPr>
        <w:ind w:left="920" w:right="80" w:firstLine="421"/>
        <w:spacing w:after="0" w:line="256" w:lineRule="auto"/>
        <w:tabs>
          <w:tab w:leader="none" w:pos="1588" w:val="left"/>
        </w:tabs>
        <w:numPr>
          <w:ilvl w:val="1"/>
          <w:numId w:val="130"/>
        </w:numPr>
        <w:rPr>
          <w:rFonts w:ascii="Arial" w:cs="Arial" w:eastAsia="Arial" w:hAnsi="Arial"/>
          <w:sz w:val="18"/>
          <w:szCs w:val="18"/>
          <w:color w:val="auto"/>
        </w:rPr>
      </w:pPr>
      <w:r>
        <w:rPr>
          <w:rFonts w:ascii="Arial" w:cs="Arial" w:eastAsia="Arial" w:hAnsi="Arial"/>
          <w:sz w:val="18"/>
          <w:szCs w:val="18"/>
          <w:color w:val="auto"/>
        </w:rPr>
        <w:t>will, on the date of such transaction after giving pro forma effect thereto and any related financing transactions as if the same had occurred at the beginning of the applicable four-quarter period, be permitted to incur at least $1.00 of additional Indebtedness pursuant to the Fixed Charge Coverage Ratio test set forth in the first paragraph of the covenant described above under the caption “—Incurrence of Indebtedness and Issuance of Disqualified Stock”; and</w:t>
      </w:r>
    </w:p>
    <w:p>
      <w:pPr>
        <w:spacing w:after="0" w:line="62" w:lineRule="exact"/>
        <w:rPr>
          <w:rFonts w:ascii="Arial" w:cs="Arial" w:eastAsia="Arial" w:hAnsi="Arial"/>
          <w:sz w:val="18"/>
          <w:szCs w:val="18"/>
          <w:color w:val="auto"/>
        </w:rPr>
      </w:pPr>
    </w:p>
    <w:p>
      <w:pPr>
        <w:ind w:left="460" w:right="220" w:firstLine="443"/>
        <w:spacing w:after="0" w:line="268" w:lineRule="auto"/>
        <w:tabs>
          <w:tab w:leader="none" w:pos="1147"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such transaction, at the time it is undertaken, would not require any holder or beneficial owner of 2017 Notes to obtain a Gaming License or be qualified or found suitable under the law of any applicable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60"/>
        <w:spacing w:after="0" w:line="268" w:lineRule="auto"/>
        <w:rPr>
          <w:sz w:val="20"/>
          <w:szCs w:val="20"/>
          <w:color w:val="auto"/>
        </w:rPr>
      </w:pPr>
      <w:r>
        <w:rPr>
          <w:rFonts w:ascii="Arial" w:cs="Arial" w:eastAsia="Arial" w:hAnsi="Arial"/>
          <w:sz w:val="18"/>
          <w:szCs w:val="18"/>
          <w:color w:val="auto"/>
        </w:rPr>
        <w:t>gaming jurisdiction; provided that such holder or beneficial owner would not have been required to obtain a Gaming License or be qualified or found suitable under the laws of any applicable gaming jurisdiction in the absence of such transaction.</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no Issuer may, directly or indirectly, lease all or substantially all of its properties or assets, taken as a whole, in one or more related transactions, to any other Person.</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Notwithstanding the foregoing, Wynn Las Vegas or any of its Restricted Subsidiaries that is not a subchapter “C” corporation is permitted to convert into a corporation pursuant to a Permitted C-Corp. Conversion.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Designation of Restricted and Unrestricted Subsidiaries</w:t>
      </w:r>
    </w:p>
    <w:p>
      <w:pPr>
        <w:spacing w:after="0" w:line="9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Board of Directors of Wynn Capital may designate any Restricted Subsidiary, other than Wynn Capital, to be an Unrestricted Subsidiary of Wynn Las Vegas if that designation would not cause a Default or an Event of Default. If a Restricted Subsidiary of Wynn Las Vegas is designated as an Unrestricted Subsidiary, the aggregate Fair Market Value of all outstanding Investments owned by Wynn Las Vegas and its Restricted Subsidiaries in the Subsidiary properly designated will be deemed to be an Investment made in an Unrestricted Subsidiary as of the time of the designation and will reduce the amount available for Restricted Payments under the covenant described above under the caption “—Restricted Payments” or under one or more clauses of the definition of “Permitted Investments,” as determined by Wynn Las Vegas. That designation will only be permitted if the Investment would be permitted at that time and if the Restricted Subsidiary of Wynn Las Vegas otherwise meets the definition of an “Unrestricted Subsidiary.” The Board of Directors of Wynn Capital may redesignate any Unrestricted Subsidiary of Wynn Las Vegas to be a Restricted Subsidiary of Wynn Las Vegas if the redesignation would not cause a Default or an Event of Default.</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Any designation of a Subsidiary of Wynn Las Vegas as an Unrestricted Subsidiary will be evidenced to the trustee by filing with the trustee a certified copy of a resolution of the Board of Directors giving effect to such designation and an officers’ certificate certifying that such designation complied with the preceding conditions and was permitted by the covenant described above under the caption “—Restricted Payments.” If, at any time, any Unrestricted Subsidiary would fail to meet the preceding requirements as an Unrestricted Subsidiary, it will thereafter cease to be an Unrestricted Subsidiary for purposes of the Indenture and any Indebtedness of such Subsidiary will be deemed to be incurred by a Restricted Subsidiary of Wynn Las Vegas as of such date and, if such Indebtedness is not permitted to be incurred as of such date under the covenant described above under the caption “—Incurrence of Indebtedness and Issuance of Disqualified Stock,” Wynn Las Vegas will be in default of such covenant. The Board of Directors of Wynn Capital may at any time redesignate any Unrestricted Subsidiary of Wynn Las Vegas to be a Restricted Subsidiary of Wynn Las Vegas; provided that such designation will be deemed to be an incurrence of Indebtedness by a Restricted Subsidiary of Wynn Las Vegas of any outstanding Indebtedness of such Unrestricted Subsidiary, and such designation will only be permitted if (1) such Indebtedness is permitted under the covenant described above under the caption “—Incurrence of Indebtedness and Issuance of Disqualified Stock,” calculated on a pro forma basis as if such designation had occurred at the beginning of the four-quarter reference period; and (2) no Default or Event of Default would be in existence following such designation.</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Transactions with Affiliates</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Wynn Las Vegas will not, and will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of Wynn Las Vegas (each, an “Affiliate Transaction”), unless:</w:t>
      </w:r>
    </w:p>
    <w:p>
      <w:pPr>
        <w:spacing w:after="0" w:line="26" w:lineRule="exact"/>
        <w:rPr>
          <w:sz w:val="20"/>
          <w:szCs w:val="20"/>
          <w:color w:val="auto"/>
        </w:rPr>
      </w:pPr>
    </w:p>
    <w:p>
      <w:pPr>
        <w:ind w:left="460" w:right="420" w:firstLine="443"/>
        <w:spacing w:after="0" w:line="268" w:lineRule="auto"/>
        <w:tabs>
          <w:tab w:leader="none" w:pos="1147"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Affiliate Transaction is on terms that are no less favorable to Wynn Las Vegas than those that would have been obtained in a comparable transaction by Wynn Las Vegas or such Restricted Subsidiary with an unrelated Person;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Wynn Las Vegas or the applicable Restricted Subsidiary delivers to the trustee:</w:t>
      </w:r>
    </w:p>
    <w:p>
      <w:pPr>
        <w:spacing w:after="0" w:line="90" w:lineRule="exact"/>
        <w:rPr>
          <w:rFonts w:ascii="Arial" w:cs="Arial" w:eastAsia="Arial" w:hAnsi="Arial"/>
          <w:sz w:val="18"/>
          <w:szCs w:val="18"/>
          <w:color w:val="auto"/>
        </w:rPr>
      </w:pPr>
    </w:p>
    <w:p>
      <w:pPr>
        <w:ind w:left="920" w:right="80" w:firstLine="421"/>
        <w:spacing w:after="0" w:line="298" w:lineRule="auto"/>
        <w:tabs>
          <w:tab w:leader="none" w:pos="1579" w:val="left"/>
        </w:tabs>
        <w:numPr>
          <w:ilvl w:val="1"/>
          <w:numId w:val="132"/>
        </w:numPr>
        <w:rPr>
          <w:rFonts w:ascii="Arial" w:cs="Arial" w:eastAsia="Arial" w:hAnsi="Arial"/>
          <w:sz w:val="16"/>
          <w:szCs w:val="16"/>
          <w:color w:val="auto"/>
        </w:rPr>
      </w:pPr>
      <w:r>
        <w:rPr>
          <w:rFonts w:ascii="Arial" w:cs="Arial" w:eastAsia="Arial" w:hAnsi="Arial"/>
          <w:sz w:val="16"/>
          <w:szCs w:val="16"/>
          <w:color w:val="auto"/>
        </w:rPr>
        <w:t>with respect to any Affiliate Transaction or series of related Affiliate Transactions involving aggregate consideration in excess of $10.0 million, a resolution of the Board of Directors of Wynn Capital set forth in an officers’ certificate certifying that such Affiliate Transaction complies with this covenant and that such Affiliate Transaction has been approved by a majority of the disinterested members of the Board of Directors of Wynn Capital, to the extent that there are any such disinterested members of such Board of Directors; and</w:t>
      </w:r>
    </w:p>
    <w:p>
      <w:pPr>
        <w:spacing w:after="0" w:line="31" w:lineRule="exact"/>
        <w:rPr>
          <w:rFonts w:ascii="Arial" w:cs="Arial" w:eastAsia="Arial" w:hAnsi="Arial"/>
          <w:sz w:val="16"/>
          <w:szCs w:val="16"/>
          <w:color w:val="auto"/>
        </w:rPr>
      </w:pPr>
    </w:p>
    <w:p>
      <w:pPr>
        <w:ind w:left="920" w:right="200" w:firstLine="421"/>
        <w:spacing w:after="0" w:line="306" w:lineRule="auto"/>
        <w:tabs>
          <w:tab w:leader="none" w:pos="1588" w:val="left"/>
        </w:tabs>
        <w:numPr>
          <w:ilvl w:val="1"/>
          <w:numId w:val="132"/>
        </w:numPr>
        <w:rPr>
          <w:rFonts w:ascii="Arial" w:cs="Arial" w:eastAsia="Arial" w:hAnsi="Arial"/>
          <w:sz w:val="16"/>
          <w:szCs w:val="16"/>
          <w:color w:val="auto"/>
        </w:rPr>
      </w:pPr>
      <w:r>
        <w:rPr>
          <w:rFonts w:ascii="Arial" w:cs="Arial" w:eastAsia="Arial" w:hAnsi="Arial"/>
          <w:sz w:val="16"/>
          <w:szCs w:val="16"/>
          <w:color w:val="auto"/>
        </w:rPr>
        <w:t>with respect to any Affiliate Transaction or series of related Affiliate Transactions involving aggregate consideration in excess of $25.0 million, an opinion as to the fairness to Wynn Las Vegas or such Restricted Subsidiary of such Affiliate Transaction from a financial point of view issued by an accounting, appraisal or investment banking firm of national standing prior to the consummation of such Affiliate Transaction; and</w:t>
      </w:r>
    </w:p>
    <w:p>
      <w:pPr>
        <w:spacing w:after="0" w:line="25" w:lineRule="exact"/>
        <w:rPr>
          <w:rFonts w:ascii="Arial" w:cs="Arial" w:eastAsia="Arial" w:hAnsi="Arial"/>
          <w:sz w:val="16"/>
          <w:szCs w:val="16"/>
          <w:color w:val="auto"/>
        </w:rPr>
      </w:pPr>
    </w:p>
    <w:p>
      <w:pPr>
        <w:ind w:left="460" w:right="180" w:firstLine="443"/>
        <w:spacing w:after="0" w:line="256" w:lineRule="auto"/>
        <w:tabs>
          <w:tab w:leader="none" w:pos="114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 the case of any Affiliate Transaction involving the use of the Aircraft (if such aircraft is owned by Wynn Las Vegas or any Restricted Subsidiary) for any purpose not reasonably related to the Projects or the Permitted Businesses of Wynn Las Vegas or the applicable Restricted Subsidiary relating to or in connection with the Projects, Wynn Las Vegas or the applicable Restricted Subsidiary, as the case may be, is reimbursed promptly for actual costs and expenses incurred by such Person in connection with such use.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items will not be deemed to be Affiliate Transactions and, therefore, will not be subject to the provisions of the prior paragraph:</w:t>
      </w:r>
    </w:p>
    <w:p>
      <w:pPr>
        <w:spacing w:after="0" w:line="113" w:lineRule="exact"/>
        <w:rPr>
          <w:sz w:val="20"/>
          <w:szCs w:val="20"/>
          <w:color w:val="auto"/>
        </w:rPr>
      </w:pPr>
    </w:p>
    <w:p>
      <w:pPr>
        <w:ind w:left="460" w:right="20" w:firstLine="443"/>
        <w:spacing w:after="0" w:line="268" w:lineRule="auto"/>
        <w:tabs>
          <w:tab w:leader="none" w:pos="114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any employment agreement entered into by Wynn Las Vegas or any of its Restricted Subsidiaries with any Person (other than the Principal) in the ordinary course of business;</w:t>
      </w:r>
    </w:p>
    <w:p>
      <w:pPr>
        <w:spacing w:after="0" w:line="50" w:lineRule="exact"/>
        <w:rPr>
          <w:rFonts w:ascii="Arial" w:cs="Arial" w:eastAsia="Arial" w:hAnsi="Arial"/>
          <w:sz w:val="18"/>
          <w:szCs w:val="18"/>
          <w:color w:val="auto"/>
        </w:rPr>
      </w:pPr>
    </w:p>
    <w:p>
      <w:pPr>
        <w:ind w:left="460" w:firstLine="443"/>
        <w:spacing w:after="0" w:line="332" w:lineRule="auto"/>
        <w:tabs>
          <w:tab w:leader="none" w:pos="1147"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payment of reasonable directors’/managers’ fees to directors or managers of Wynn Las Vegas, Wynn Capital or any Guarantor, and customary indemnification and insurance arrangements in favor of such directors or managers, in each case in the ordinary course of business;</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transactions between or among Wynn Las Vegas and/or its Restricted Subsidiaries;</w:t>
      </w:r>
    </w:p>
    <w:p>
      <w:pPr>
        <w:spacing w:after="0" w:line="90" w:lineRule="exact"/>
        <w:rPr>
          <w:rFonts w:ascii="Arial" w:cs="Arial" w:eastAsia="Arial" w:hAnsi="Arial"/>
          <w:sz w:val="18"/>
          <w:szCs w:val="18"/>
          <w:color w:val="auto"/>
        </w:rPr>
      </w:pPr>
    </w:p>
    <w:p>
      <w:pPr>
        <w:ind w:left="460" w:right="780" w:firstLine="443"/>
        <w:spacing w:after="0" w:line="268" w:lineRule="auto"/>
        <w:tabs>
          <w:tab w:leader="none" w:pos="114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Restricted Payments that are made in compliance with the provisions of the Indenture described above under the caption “—Restricted Payments;”</w:t>
      </w:r>
    </w:p>
    <w:p>
      <w:pPr>
        <w:spacing w:after="0" w:line="50" w:lineRule="exact"/>
        <w:rPr>
          <w:rFonts w:ascii="Arial" w:cs="Arial" w:eastAsia="Arial" w:hAnsi="Arial"/>
          <w:sz w:val="18"/>
          <w:szCs w:val="18"/>
          <w:color w:val="auto"/>
        </w:rPr>
      </w:pPr>
    </w:p>
    <w:p>
      <w:pPr>
        <w:ind w:left="460" w:right="60" w:firstLine="443"/>
        <w:spacing w:after="0" w:line="259" w:lineRule="auto"/>
        <w:tabs>
          <w:tab w:leader="none" w:pos="114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leases by Wynn Las Vegas to one or more of its Affiliates of space at the Wynn Las Vegas Resort, at market rental rates, for the development and operation of a Ferrari and Maserati automobile dealership pursuant to the Dealership Lease Agreement, to the extent permitted under the Collateral Documents;</w:t>
      </w:r>
    </w:p>
    <w:p>
      <w:pPr>
        <w:spacing w:after="0" w:line="59" w:lineRule="exact"/>
        <w:rPr>
          <w:sz w:val="20"/>
          <w:szCs w:val="20"/>
          <w:color w:val="auto"/>
        </w:rPr>
      </w:pPr>
    </w:p>
    <w:p>
      <w:pPr>
        <w:ind w:left="460" w:right="20" w:firstLine="438"/>
        <w:spacing w:after="0" w:line="256" w:lineRule="auto"/>
        <w:rPr>
          <w:sz w:val="20"/>
          <w:szCs w:val="20"/>
          <w:color w:val="auto"/>
        </w:rPr>
      </w:pPr>
      <w:r>
        <w:rPr>
          <w:rFonts w:ascii="Arial" w:cs="Arial" w:eastAsia="Arial" w:hAnsi="Arial"/>
          <w:sz w:val="18"/>
          <w:szCs w:val="18"/>
          <w:color w:val="auto"/>
        </w:rPr>
        <w:t>(6)(i) the payment of Allocable Overhead to Wynn Resorts in respect of each Qualifying Project of Wynn Las Vegas and its Restricted Subsidiaries and (ii) other payments made pursuant to the Affiliate Agreements, in each case, as in effect on the date of the Indenture or as such Affiliate Agreements may be amended, modified or supplemented in any manner that is not in contravention of the covenant described below under the caption “—Amendments to Certain Agreements;”</w:t>
      </w:r>
    </w:p>
    <w:p>
      <w:pPr>
        <w:spacing w:after="0" w:line="62" w:lineRule="exact"/>
        <w:rPr>
          <w:sz w:val="20"/>
          <w:szCs w:val="20"/>
          <w:color w:val="auto"/>
        </w:rPr>
      </w:pPr>
    </w:p>
    <w:p>
      <w:pPr>
        <w:ind w:left="1160" w:hanging="257"/>
        <w:spacing w:after="0"/>
        <w:tabs>
          <w:tab w:leader="none" w:pos="11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any Permitted Investment made pursuant to clause (10), (12), (13) or (14) of the definition thereof; and</w:t>
      </w:r>
    </w:p>
    <w:p>
      <w:pPr>
        <w:spacing w:after="0" w:line="90" w:lineRule="exact"/>
        <w:rPr>
          <w:rFonts w:ascii="Arial" w:cs="Arial" w:eastAsia="Arial" w:hAnsi="Arial"/>
          <w:sz w:val="18"/>
          <w:szCs w:val="18"/>
          <w:color w:val="auto"/>
        </w:rPr>
      </w:pPr>
    </w:p>
    <w:p>
      <w:pPr>
        <w:ind w:left="460" w:right="480" w:firstLine="443"/>
        <w:spacing w:after="0" w:line="268" w:lineRule="auto"/>
        <w:tabs>
          <w:tab w:leader="none" w:pos="1147"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issuance by Wynn Las Vegas of any Equity Interests (other than Disqualified Stock) to any Affiliate if such issuance is otherwise not in contravention of the terms of the Indenture.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Additional 2017 Note Guarantees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If Wynn Las Vegas or any of its Restricted Subsidiaries acquires or creates another Domestic Subsidiary after the date of the Indenture, then that newly acquired or created Domestic Subsidiary will become a Guarantor and execute a supplemental indenture within 10 business days of the date on which it was acquired or created; provided that any Domestic Subsidiary that constitutes an Immaterial Subsidiary need not become a Guarantor until such time as it ceases to be an Immaterial Subsidiary.</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00"/>
          </w:cols>
          <w:pgMar w:left="240" w:top="459" w:right="2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Limitation on Status as Investment Company</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Issuers and Guarantors will not be or become required to register as an “investment company” (as that term is defined in the Investment Company Act of 1940, as amended), or otherwise become subject to regulation under the Investment Company Act of 1940.</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Limitation on Sale and Leaseback Transactions</w:t>
      </w:r>
    </w:p>
    <w:p>
      <w:pPr>
        <w:spacing w:after="0" w:line="9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Wynn Las Vegas will not, and will not permit any of its Restricted Subsidiaries to, enter into any sale and leaseback transaction (except with respect to the Aircraft Assets so long as, and to the extent that, such Aircraft Assets are not Collateral); provided that Wynn Las Vegas or any Restricted Subsidiary may enter into a sale and leaseback transaction if:</w:t>
      </w:r>
    </w:p>
    <w:p>
      <w:pPr>
        <w:spacing w:after="0" w:line="59" w:lineRule="exact"/>
        <w:rPr>
          <w:sz w:val="20"/>
          <w:szCs w:val="20"/>
          <w:color w:val="auto"/>
        </w:rPr>
      </w:pPr>
    </w:p>
    <w:p>
      <w:pPr>
        <w:ind w:left="460" w:right="140" w:firstLine="443"/>
        <w:spacing w:after="0" w:line="298" w:lineRule="auto"/>
        <w:tabs>
          <w:tab w:leader="none" w:pos="1147" w:val="left"/>
        </w:tabs>
        <w:numPr>
          <w:ilvl w:val="0"/>
          <w:numId w:val="135"/>
        </w:numPr>
        <w:rPr>
          <w:rFonts w:ascii="Arial" w:cs="Arial" w:eastAsia="Arial" w:hAnsi="Arial"/>
          <w:sz w:val="16"/>
          <w:szCs w:val="16"/>
          <w:color w:val="auto"/>
        </w:rPr>
      </w:pPr>
      <w:r>
        <w:rPr>
          <w:rFonts w:ascii="Arial" w:cs="Arial" w:eastAsia="Arial" w:hAnsi="Arial"/>
          <w:sz w:val="16"/>
          <w:szCs w:val="16"/>
          <w:color w:val="auto"/>
        </w:rPr>
        <w:t>Wynn Las Vegas or that Restricted Subsidiary, as applicable, could have (a) incurred Indebtedness in an amount equal to the Attributable Debt relating to such sale and leaseback transaction under the Fixed Charge Coverage Ratio test set forth in the first paragraph of the covenant described above under the caption “—Incurrence of Indebtedness and Issuance of Disqualified Stock” and (b) incurred a Lien to secure such Indebtedness in an amount equal to the Attributable Debt pursuant to the covenant described above under the caption “—Liens;”</w:t>
      </w:r>
    </w:p>
    <w:p>
      <w:pPr>
        <w:spacing w:after="0" w:line="31"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gross cash proceeds of that sale and leaseback transaction are at least equal to the Fair Market Value, as determined in good faith by the Board of Directors of Wynn Capital or that Restricted Subsidiary, as the case may be, and set forth in an officers’ certificate delivered to the trustee, of the property that is the subject of that sale and leaseback transaction; and</w:t>
      </w:r>
    </w:p>
    <w:p>
      <w:pPr>
        <w:spacing w:after="0" w:line="59" w:lineRule="exact"/>
        <w:rPr>
          <w:rFonts w:ascii="Arial" w:cs="Arial" w:eastAsia="Arial" w:hAnsi="Arial"/>
          <w:sz w:val="18"/>
          <w:szCs w:val="18"/>
          <w:color w:val="auto"/>
        </w:rPr>
      </w:pPr>
    </w:p>
    <w:p>
      <w:pPr>
        <w:ind w:left="460" w:right="160" w:firstLine="443"/>
        <w:spacing w:after="0" w:line="370" w:lineRule="auto"/>
        <w:tabs>
          <w:tab w:leader="none" w:pos="1147" w:val="left"/>
        </w:tabs>
        <w:numPr>
          <w:ilvl w:val="0"/>
          <w:numId w:val="135"/>
        </w:numPr>
        <w:rPr>
          <w:rFonts w:ascii="Arial" w:cs="Arial" w:eastAsia="Arial" w:hAnsi="Arial"/>
          <w:sz w:val="15"/>
          <w:szCs w:val="15"/>
          <w:color w:val="auto"/>
        </w:rPr>
      </w:pPr>
      <w:r>
        <w:rPr>
          <w:rFonts w:ascii="Arial" w:cs="Arial" w:eastAsia="Arial" w:hAnsi="Arial"/>
          <w:sz w:val="15"/>
          <w:szCs w:val="15"/>
          <w:color w:val="auto"/>
        </w:rPr>
        <w:t>the transfer of assets in that sale and leaseback transaction is permitted by, and Wynn Las Vegas or such Restricted Subsidiary applies the proceeds of such transaction in compliance with, the covenant described above under the caption “—Repurchase at the Option of Holders—Asset Sales.”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Line of Business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Wynn Las Vegas will not, and will not permit any of its Restricted Subsidiaries to, engage in any business or investment activities other than the Permitted Business. Wynn Las Vegas will not, and will not permit any of its Subsidiaries to, conduct a Permitted Business in any gaming jurisdiction in which such entity is not licensed on the date of the Indenture if the holders of the 2017 Notes would be required to be licensed as a result thereof, except that this sentence will not prohibit any entity from conducting a Permitted Business in any jurisdiction that does not require the licensing or qualification of all the holders of 2017 Notes, but reserves the discretionary right to require the licensing or qualification of any holders of 2017 Notes.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Limitation on Development of Golf Course Land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Wynn Las Vegas will not, and will not permit any of its Restricted Subsidiaries to, at any time prior to the date on which the security interests in all of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Golf Course Land are released in accordance with the covenant described above under the caption “—Security—Release of Golf Course Land”:</w:t>
      </w:r>
    </w:p>
    <w:p>
      <w:pPr>
        <w:spacing w:after="0" w:line="107" w:lineRule="exact"/>
        <w:rPr>
          <w:sz w:val="20"/>
          <w:szCs w:val="20"/>
          <w:color w:val="auto"/>
        </w:rPr>
      </w:pPr>
    </w:p>
    <w:p>
      <w:pPr>
        <w:ind w:left="460" w:right="240" w:firstLine="443"/>
        <w:spacing w:after="0" w:line="268" w:lineRule="auto"/>
        <w:tabs>
          <w:tab w:leader="none" w:pos="114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develop or improve in any material respect or at any material cost the Golf Course Land or construct any improvements or any building on the Golf Course Land, including any excavation or site work on the Golf Course Land,</w:t>
      </w:r>
    </w:p>
    <w:p>
      <w:pPr>
        <w:spacing w:after="0" w:line="50" w:lineRule="exact"/>
        <w:rPr>
          <w:rFonts w:ascii="Arial" w:cs="Arial" w:eastAsia="Arial" w:hAnsi="Arial"/>
          <w:sz w:val="18"/>
          <w:szCs w:val="18"/>
          <w:color w:val="auto"/>
        </w:rPr>
      </w:pPr>
    </w:p>
    <w:p>
      <w:pPr>
        <w:ind w:left="460" w:right="420" w:firstLine="443"/>
        <w:spacing w:after="0" w:line="259" w:lineRule="auto"/>
        <w:tabs>
          <w:tab w:leader="none" w:pos="114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enter into any contract or agreement for such construction, development or improvement or for any materials, supplies or labor necessary in connection with such construction, development or improvement (other than a contract or agreement that is conditional upon the release of the 2017 noteholders’ security interests in the Golf Course Land), or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00"/>
          </w:cols>
          <w:pgMar w:left="240" w:top="459" w:right="2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306" w:lineRule="auto"/>
        <w:tabs>
          <w:tab w:leader="none" w:pos="1147" w:val="left"/>
        </w:tabs>
        <w:numPr>
          <w:ilvl w:val="0"/>
          <w:numId w:val="137"/>
        </w:numPr>
        <w:rPr>
          <w:rFonts w:ascii="Arial" w:cs="Arial" w:eastAsia="Arial" w:hAnsi="Arial"/>
          <w:sz w:val="16"/>
          <w:szCs w:val="16"/>
          <w:color w:val="auto"/>
        </w:rPr>
      </w:pPr>
      <w:r>
        <w:rPr>
          <w:rFonts w:ascii="Arial" w:cs="Arial" w:eastAsia="Arial" w:hAnsi="Arial"/>
          <w:sz w:val="16"/>
          <w:szCs w:val="16"/>
          <w:color w:val="auto"/>
        </w:rPr>
        <w:t>incur any Indebtedness, the proceeds of which are expected to be used, or are used, for the construction, development or improvement of the Golf Course Land; provided, however, Wynn Las Vegas or any of its Restricted Subsidiaries may incur such Indebtedness pursuant to clause (8) of the second paragraph of the covenant described above under the caption “—Incurrence of Additional Indebtedness and Issuance of Disqualified Stock.”</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anything herein or above, Wynn Las Vegas, and its Restricted Subsidiaries may:</w:t>
      </w:r>
    </w:p>
    <w:p>
      <w:pPr>
        <w:spacing w:after="0" w:line="90" w:lineRule="exact"/>
        <w:rPr>
          <w:sz w:val="20"/>
          <w:szCs w:val="20"/>
          <w:color w:val="auto"/>
        </w:rPr>
      </w:pPr>
    </w:p>
    <w:p>
      <w:pPr>
        <w:ind w:left="1160" w:hanging="257"/>
        <w:spacing w:after="0"/>
        <w:tabs>
          <w:tab w:leader="none" w:pos="11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maintain or repair the Golf Course on the Golf Course Land,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make improvements to the Golf Course that enhance its use as a golf course for the benefit of the Projects,</w:t>
      </w:r>
    </w:p>
    <w:p>
      <w:pPr>
        <w:spacing w:after="0" w:line="90" w:lineRule="exact"/>
        <w:rPr>
          <w:rFonts w:ascii="Arial" w:cs="Arial" w:eastAsia="Arial" w:hAnsi="Arial"/>
          <w:sz w:val="18"/>
          <w:szCs w:val="18"/>
          <w:color w:val="auto"/>
        </w:rPr>
      </w:pPr>
    </w:p>
    <w:p>
      <w:pPr>
        <w:ind w:left="460" w:right="120" w:firstLine="443"/>
        <w:spacing w:after="0" w:line="259" w:lineRule="auto"/>
        <w:tabs>
          <w:tab w:leader="none" w:pos="1147" w:val="left"/>
        </w:tabs>
        <w:numPr>
          <w:ilvl w:val="0"/>
          <w:numId w:val="138"/>
        </w:numPr>
        <w:rPr>
          <w:rFonts w:ascii="Arial" w:cs="Arial" w:eastAsia="Arial" w:hAnsi="Arial"/>
          <w:sz w:val="18"/>
          <w:szCs w:val="18"/>
          <w:color w:val="auto"/>
        </w:rPr>
      </w:pPr>
      <w:r>
        <w:rPr>
          <w:rFonts w:ascii="Arial" w:cs="Arial" w:eastAsia="Arial" w:hAnsi="Arial"/>
          <w:sz w:val="18"/>
          <w:szCs w:val="18"/>
          <w:color w:val="auto"/>
        </w:rPr>
        <w:t>reconfigure certain portions of the Golf Course in connection with the release of the Home Site Land in accordance with the provisions set forth under the captions “—Security—Release of Collateral,” “—Security—Release of Golf Course Land,” “—Security Interests—Release of Homesite Acreage” and “—Security Interests—Release of Portions of the Golf Course Land,”</w:t>
      </w:r>
    </w:p>
    <w:p>
      <w:pPr>
        <w:spacing w:after="0" w:line="59" w:lineRule="exact"/>
        <w:rPr>
          <w:rFonts w:ascii="Arial" w:cs="Arial" w:eastAsia="Arial" w:hAnsi="Arial"/>
          <w:sz w:val="18"/>
          <w:szCs w:val="18"/>
          <w:color w:val="auto"/>
        </w:rPr>
      </w:pPr>
    </w:p>
    <w:p>
      <w:pPr>
        <w:ind w:left="460" w:right="480" w:firstLine="443"/>
        <w:spacing w:after="0" w:line="357" w:lineRule="auto"/>
        <w:tabs>
          <w:tab w:leader="none" w:pos="1147" w:val="left"/>
        </w:tabs>
        <w:numPr>
          <w:ilvl w:val="0"/>
          <w:numId w:val="138"/>
        </w:numPr>
        <w:rPr>
          <w:rFonts w:ascii="Arial" w:cs="Arial" w:eastAsia="Arial" w:hAnsi="Arial"/>
          <w:sz w:val="15"/>
          <w:szCs w:val="15"/>
          <w:color w:val="auto"/>
        </w:rPr>
      </w:pPr>
      <w:r>
        <w:rPr>
          <w:rFonts w:ascii="Arial" w:cs="Arial" w:eastAsia="Arial" w:hAnsi="Arial"/>
          <w:sz w:val="15"/>
          <w:szCs w:val="15"/>
          <w:color w:val="auto"/>
        </w:rPr>
        <w:t>in the event of loss or damage to the Phase II Land or the improvements thereon, rebuild or repair the Phase II Land and the improvements thereon to the extent permitted by the provisions described above under the caption “—Repurchase at the Option of Holders—Events of Loss,”</w:t>
      </w:r>
    </w:p>
    <w:p>
      <w:pPr>
        <w:ind w:left="1160" w:hanging="257"/>
        <w:spacing w:after="0"/>
        <w:tabs>
          <w:tab w:leader="none" w:pos="11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undertake Government Transfers,</w:t>
      </w:r>
    </w:p>
    <w:p>
      <w:pPr>
        <w:spacing w:after="0" w:line="90" w:lineRule="exact"/>
        <w:rPr>
          <w:rFonts w:ascii="Arial" w:cs="Arial" w:eastAsia="Arial" w:hAnsi="Arial"/>
          <w:sz w:val="18"/>
          <w:szCs w:val="18"/>
          <w:color w:val="auto"/>
        </w:rPr>
      </w:pPr>
    </w:p>
    <w:p>
      <w:pPr>
        <w:jc w:val="both"/>
        <w:ind w:left="460" w:right="100" w:firstLine="443"/>
        <w:spacing w:after="0" w:line="256" w:lineRule="auto"/>
        <w:tabs>
          <w:tab w:leader="none" w:pos="1147" w:val="left"/>
        </w:tabs>
        <w:numPr>
          <w:ilvl w:val="0"/>
          <w:numId w:val="138"/>
        </w:numPr>
        <w:rPr>
          <w:rFonts w:ascii="Arial" w:cs="Arial" w:eastAsia="Arial" w:hAnsi="Arial"/>
          <w:sz w:val="18"/>
          <w:szCs w:val="18"/>
          <w:color w:val="auto"/>
        </w:rPr>
      </w:pPr>
      <w:r>
        <w:rPr>
          <w:rFonts w:ascii="Arial" w:cs="Arial" w:eastAsia="Arial" w:hAnsi="Arial"/>
          <w:sz w:val="18"/>
          <w:szCs w:val="18"/>
          <w:color w:val="auto"/>
        </w:rPr>
        <w:t>develop the Phase III Project on the Golf Course Land in the event that (a) the Golf Course Land has not been released as described under the caption “—Security—Release of Golf Course Land” and (b) Wynn Las Vegas or any of its Restricted Subsidiaries incurs the Permitted Debt of the type described in clause (8) of the second paragraph of the covenant described above under the caption “—Incurrence of Additional Indebtedness and Issuance of Disqualified Stock,” and</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have Permitted Liens of the type described in clause (12) of the definition of “Permitted Liens.”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Restrictions on Payments of Management Fees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Las Vegas will not, and will not permit any of its Restricted Subsidiaries to, directly or indirectly:</w:t>
      </w:r>
    </w:p>
    <w:p>
      <w:pPr>
        <w:spacing w:after="0" w:line="90" w:lineRule="exact"/>
        <w:rPr>
          <w:sz w:val="20"/>
          <w:szCs w:val="20"/>
          <w:color w:val="auto"/>
        </w:rPr>
      </w:pPr>
    </w:p>
    <w:p>
      <w:pPr>
        <w:ind w:left="1160" w:hanging="257"/>
        <w:spacing w:after="0"/>
        <w:tabs>
          <w:tab w:leader="none" w:pos="11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pay Management Fees:</w:t>
      </w:r>
    </w:p>
    <w:p>
      <w:pPr>
        <w:spacing w:after="0" w:line="90" w:lineRule="exact"/>
        <w:rPr>
          <w:rFonts w:ascii="Arial" w:cs="Arial" w:eastAsia="Arial" w:hAnsi="Arial"/>
          <w:sz w:val="18"/>
          <w:szCs w:val="18"/>
          <w:color w:val="auto"/>
        </w:rPr>
      </w:pPr>
    </w:p>
    <w:p>
      <w:pPr>
        <w:ind w:left="920" w:right="40" w:firstLine="421"/>
        <w:spacing w:after="0" w:line="298" w:lineRule="auto"/>
        <w:tabs>
          <w:tab w:leader="none" w:pos="1579" w:val="left"/>
        </w:tabs>
        <w:numPr>
          <w:ilvl w:val="1"/>
          <w:numId w:val="139"/>
        </w:numPr>
        <w:rPr>
          <w:rFonts w:ascii="Arial" w:cs="Arial" w:eastAsia="Arial" w:hAnsi="Arial"/>
          <w:sz w:val="16"/>
          <w:szCs w:val="16"/>
          <w:color w:val="auto"/>
        </w:rPr>
      </w:pPr>
      <w:r>
        <w:rPr>
          <w:rFonts w:ascii="Arial" w:cs="Arial" w:eastAsia="Arial" w:hAnsi="Arial"/>
          <w:sz w:val="16"/>
          <w:szCs w:val="16"/>
          <w:color w:val="auto"/>
        </w:rPr>
        <w:t>to the extent such payment would cause the Consolidated Leverage Ratio of the Issuers and the Restricted Subsidiaries for the most recently ended four full fiscal quarters of Wynn Las Vegas for which internal financial statements are available immediately preceding the date on which such Management Fee is proposed to be paid to be greater than 3.5 to 1.0 (calculated on a pro forma basis, giving effect to the payment of the Management Fees proposed to be paid and any Indebtedness proposed to be incurred to finance the payment of such Management Fees); or</w:t>
      </w:r>
    </w:p>
    <w:p>
      <w:pPr>
        <w:spacing w:after="0" w:line="31" w:lineRule="exact"/>
        <w:rPr>
          <w:rFonts w:ascii="Arial" w:cs="Arial" w:eastAsia="Arial" w:hAnsi="Arial"/>
          <w:sz w:val="16"/>
          <w:szCs w:val="16"/>
          <w:color w:val="auto"/>
        </w:rPr>
      </w:pPr>
    </w:p>
    <w:p>
      <w:pPr>
        <w:ind w:left="920" w:right="280" w:firstLine="421"/>
        <w:spacing w:after="0" w:line="268" w:lineRule="auto"/>
        <w:tabs>
          <w:tab w:leader="none" w:pos="1588" w:val="left"/>
        </w:tabs>
        <w:numPr>
          <w:ilvl w:val="1"/>
          <w:numId w:val="139"/>
        </w:numPr>
        <w:rPr>
          <w:rFonts w:ascii="Arial" w:cs="Arial" w:eastAsia="Arial" w:hAnsi="Arial"/>
          <w:sz w:val="18"/>
          <w:szCs w:val="18"/>
          <w:color w:val="auto"/>
        </w:rPr>
      </w:pPr>
      <w:r>
        <w:rPr>
          <w:rFonts w:ascii="Arial" w:cs="Arial" w:eastAsia="Arial" w:hAnsi="Arial"/>
          <w:sz w:val="18"/>
          <w:szCs w:val="18"/>
          <w:color w:val="auto"/>
        </w:rPr>
        <w:t>if, at the time of payment of such Management Fees, a Default or an Event of Default has occurred and is continuing or shall occur as a result thereof; or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prepay any Management Fees.</w:t>
      </w:r>
    </w:p>
    <w:p>
      <w:pPr>
        <w:spacing w:after="0" w:line="17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Any Management Fees not permitted to be paid during a particular 12-month period pursuant to this covenant shall be deferred and shall accrue. Such accrued and unpaid Management Fees may be paid in any subsequent 12-month period to the extent such payment would be permitted under this covenant and the Management Fees Subordination Agreement.</w:t>
      </w:r>
    </w:p>
    <w:p>
      <w:pPr>
        <w:spacing w:after="0" w:line="14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Under the Management Fees Subordination Agreement, the right to receive payment of the Management Fees will be subordinated in right of payment to the right of the holders of 2017 Notes to receive payments pursuant to the 2017 Notes and the Guarantees. Under this agreement, Management Fees will be payable semi-</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380"/>
          </w:cols>
          <w:pgMar w:left="240" w:top="459" w:right="27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annually in arrears on the tenth business day following the date on which interest payments are payable on the 2017 Notes. Management Fees may be paid only if, among other things, the interest payable on the 2017 Notes through the applicable interest payment date and the interest payable on the loans under the Credit Agreement through such interest payment date has been paid in full.</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Limitation on Issuances and Sales of Equity Interests in Wholly Owned Restricted Subsidiaries</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Wynn Las Vegas will not, and will not permit any of its Restricted Subsidiaries to, transfer, convey, sell, lease or otherwise dispose of any Equity Interests in any Wholly Owned Restricted Subsidiary of Wynn Las Vegas to any Person (other than Wynn Las Vegas or a Wholly Owned Restricted Subsidiary of Wynn Las Vegas that is a Guarantor), unless:</w:t>
      </w:r>
    </w:p>
    <w:p>
      <w:pPr>
        <w:spacing w:after="0" w:line="59" w:lineRule="exact"/>
        <w:rPr>
          <w:sz w:val="20"/>
          <w:szCs w:val="20"/>
          <w:color w:val="auto"/>
        </w:rPr>
      </w:pPr>
    </w:p>
    <w:p>
      <w:pPr>
        <w:ind w:left="1160" w:hanging="257"/>
        <w:spacing w:after="0"/>
        <w:tabs>
          <w:tab w:leader="none" w:pos="116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such transfer, conveyance, sale, lease or other disposition is of all the Equity Interests in such Wholly Owned Restricted Subsidiary; and</w:t>
      </w:r>
    </w:p>
    <w:p>
      <w:pPr>
        <w:spacing w:after="0" w:line="113" w:lineRule="exact"/>
        <w:rPr>
          <w:rFonts w:ascii="Arial" w:cs="Arial" w:eastAsia="Arial" w:hAnsi="Arial"/>
          <w:sz w:val="16"/>
          <w:szCs w:val="16"/>
          <w:color w:val="auto"/>
        </w:rPr>
      </w:pPr>
    </w:p>
    <w:p>
      <w:pPr>
        <w:ind w:left="460" w:right="320" w:firstLine="443"/>
        <w:spacing w:after="0" w:line="268" w:lineRule="auto"/>
        <w:tabs>
          <w:tab w:leader="none" w:pos="1147"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Net Proceeds from such transfer, conveyance, sale, lease or other disposition are applied in accordance with the covenant described above under the caption “—Repurchase at the Option of Holders—Asset Sales.”</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Wynn Las Vegas will not permit any Wholly Owned Restricted Subsidiary of Wynn Las Vegas to issue any of its Equity Interests (other than, if necessary, shares of its Capital Stock constituting directors’ qualifying shares) to any Person other than to Wynn Las Vegas or a Wholly Owned Restricted Subsidiary of Wynn Las Vegas that is a Guarantor.</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Amendments to Certain Agreements</w:t>
      </w:r>
    </w:p>
    <w:p>
      <w:pPr>
        <w:spacing w:after="0" w:line="90" w:lineRule="exact"/>
        <w:rPr>
          <w:sz w:val="20"/>
          <w:szCs w:val="20"/>
          <w:color w:val="auto"/>
        </w:rPr>
      </w:pPr>
    </w:p>
    <w:p>
      <w:pPr>
        <w:jc w:val="both"/>
        <w:ind w:right="220" w:firstLine="456"/>
        <w:spacing w:after="0" w:line="298" w:lineRule="auto"/>
        <w:rPr>
          <w:sz w:val="20"/>
          <w:szCs w:val="20"/>
          <w:color w:val="auto"/>
        </w:rPr>
      </w:pPr>
      <w:r>
        <w:rPr>
          <w:rFonts w:ascii="Arial" w:cs="Arial" w:eastAsia="Arial" w:hAnsi="Arial"/>
          <w:sz w:val="16"/>
          <w:szCs w:val="16"/>
          <w:color w:val="auto"/>
        </w:rPr>
        <w:t>Wynn Las Vegas will not, and will not permit any of its Restricted Subsidiaries to, amend, modify, waive or otherwise change, or consent or agree to any amendment, modification, waiver or other change to, or otherwise fail to enforce, or terminate or abandon, any of the provisions of any Affiliate Agreement if such amendment, modification, waiver or other change, failure to enforce, termination or abandonment (individually or collectively with all such amendments, modifications, waivers and other changes, failures to enforce, terminations or abandonments taken as a whole) would:</w:t>
      </w:r>
    </w:p>
    <w:p>
      <w:pPr>
        <w:spacing w:after="0" w:line="32" w:lineRule="exact"/>
        <w:rPr>
          <w:sz w:val="20"/>
          <w:szCs w:val="20"/>
          <w:color w:val="auto"/>
        </w:rPr>
      </w:pPr>
    </w:p>
    <w:p>
      <w:pPr>
        <w:ind w:left="460" w:right="180" w:firstLine="443"/>
        <w:spacing w:after="0" w:line="268" w:lineRule="auto"/>
        <w:tabs>
          <w:tab w:leader="none" w:pos="1147"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increase the amounts payable to Persons other than Wynn Las Vegas and its Restricted Subsidiaries thereunder by Wynn Las Vegas or any of its Restricted Subsidiaries,</w:t>
      </w:r>
    </w:p>
    <w:p>
      <w:pPr>
        <w:spacing w:after="0" w:line="50" w:lineRule="exact"/>
        <w:rPr>
          <w:rFonts w:ascii="Arial" w:cs="Arial" w:eastAsia="Arial" w:hAnsi="Arial"/>
          <w:sz w:val="18"/>
          <w:szCs w:val="18"/>
          <w:color w:val="auto"/>
        </w:rPr>
      </w:pPr>
    </w:p>
    <w:p>
      <w:pPr>
        <w:ind w:left="460" w:right="520" w:firstLine="443"/>
        <w:spacing w:after="0" w:line="268" w:lineRule="auto"/>
        <w:tabs>
          <w:tab w:leader="none" w:pos="1147" w:val="left"/>
        </w:tabs>
        <w:numPr>
          <w:ilvl w:val="0"/>
          <w:numId w:val="141"/>
        </w:numPr>
        <w:rPr>
          <w:rFonts w:ascii="Arial" w:cs="Arial" w:eastAsia="Arial" w:hAnsi="Arial"/>
          <w:sz w:val="18"/>
          <w:szCs w:val="18"/>
          <w:color w:val="auto"/>
        </w:rPr>
      </w:pPr>
      <w:r>
        <w:rPr>
          <w:rFonts w:ascii="Arial" w:cs="Arial" w:eastAsia="Arial" w:hAnsi="Arial"/>
          <w:sz w:val="18"/>
          <w:szCs w:val="18"/>
          <w:color w:val="auto"/>
        </w:rPr>
        <w:t>change the dates on which such amounts are to be paid to dates earlier than those set forth in such agreement, as in effect on the date of the Indenture,</w:t>
      </w:r>
    </w:p>
    <w:p>
      <w:pPr>
        <w:spacing w:after="0" w:line="50" w:lineRule="exact"/>
        <w:rPr>
          <w:rFonts w:ascii="Arial" w:cs="Arial" w:eastAsia="Arial" w:hAnsi="Arial"/>
          <w:sz w:val="18"/>
          <w:szCs w:val="18"/>
          <w:color w:val="auto"/>
        </w:rPr>
      </w:pPr>
    </w:p>
    <w:p>
      <w:pPr>
        <w:ind w:left="460" w:right="40" w:firstLine="443"/>
        <w:spacing w:after="0" w:line="268" w:lineRule="auto"/>
        <w:tabs>
          <w:tab w:leader="none" w:pos="1147" w:val="left"/>
        </w:tabs>
        <w:numPr>
          <w:ilvl w:val="0"/>
          <w:numId w:val="141"/>
        </w:numPr>
        <w:rPr>
          <w:rFonts w:ascii="Arial" w:cs="Arial" w:eastAsia="Arial" w:hAnsi="Arial"/>
          <w:sz w:val="18"/>
          <w:szCs w:val="18"/>
          <w:color w:val="auto"/>
        </w:rPr>
      </w:pPr>
      <w:r>
        <w:rPr>
          <w:rFonts w:ascii="Arial" w:cs="Arial" w:eastAsia="Arial" w:hAnsi="Arial"/>
          <w:sz w:val="18"/>
          <w:szCs w:val="18"/>
          <w:color w:val="auto"/>
        </w:rPr>
        <w:t>reduce the services provided thereunder to Wynn Las Vegas or any of its Restricted Subsidiaries unless accompanied by a corresponding decrease in the amounts payable by Wynn Las Vegas or any of its Restricted Subsidiaries thereunder,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materially impair the rights or remedies of the holders of the 2017 Notes under the Indenture or the Collateral Documents,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materially impair the development, use or operation of the Projects.</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Any other amendment, modification, waiver or other change to, or any failure to enforce, or termination or abandonment of the provisions of any Affiliate Agreement shall be made in accordance with the requirements of the first paragraph of the covenant described above under the caption “—Transactions with Affiliates.”</w:t>
      </w:r>
    </w:p>
    <w:p>
      <w:pPr>
        <w:spacing w:after="0" w:line="140"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Notwithstanding the foregoing, in connection with any development, improvement or construction of the Golf Course Land as provided in clause (7) of the second paragraph of the covenant described above under the caption “—Limitation on Development of Golf Course Land,” or any release of all or any portion of the Golf Course Land as provided above under the captions “—Security—Release of Collateral,” “—Security—Release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of Golf Course Land,” “—Security—Release of Homesite Acreage” or “—Release of Portions of the Golf Course Land,” Wynn Las Vegas and its Restricted Subsidiaries may terminate or amend the Golf Course Lease, the Access Easement Agreement or any other agreement with respect to the Golf Course Land or any other related assets or property.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Amendments to Operating Agreements and Charter Documents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Except in connection with a Permitted C-Corp. Conversion, Wynn Las Vegas will not, and will not permit any of its Restricted Subsidiaries to:</w:t>
      </w:r>
    </w:p>
    <w:p>
      <w:pPr>
        <w:spacing w:after="0" w:line="113" w:lineRule="exact"/>
        <w:rPr>
          <w:sz w:val="20"/>
          <w:szCs w:val="20"/>
          <w:color w:val="auto"/>
        </w:rPr>
      </w:pPr>
    </w:p>
    <w:p>
      <w:pPr>
        <w:ind w:left="1160" w:hanging="257"/>
        <w:spacing w:after="0"/>
        <w:tabs>
          <w:tab w:leader="none" w:pos="11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dissolve,</w:t>
      </w:r>
    </w:p>
    <w:p>
      <w:pPr>
        <w:spacing w:after="0" w:line="90" w:lineRule="exact"/>
        <w:rPr>
          <w:rFonts w:ascii="Arial" w:cs="Arial" w:eastAsia="Arial" w:hAnsi="Arial"/>
          <w:sz w:val="18"/>
          <w:szCs w:val="18"/>
          <w:color w:val="auto"/>
        </w:rPr>
      </w:pPr>
    </w:p>
    <w:p>
      <w:pPr>
        <w:ind w:left="460" w:right="220" w:firstLine="443"/>
        <w:spacing w:after="0" w:line="298" w:lineRule="auto"/>
        <w:tabs>
          <w:tab w:leader="none" w:pos="1147" w:val="left"/>
        </w:tabs>
        <w:numPr>
          <w:ilvl w:val="0"/>
          <w:numId w:val="142"/>
        </w:numPr>
        <w:rPr>
          <w:rFonts w:ascii="Arial" w:cs="Arial" w:eastAsia="Arial" w:hAnsi="Arial"/>
          <w:sz w:val="16"/>
          <w:szCs w:val="16"/>
          <w:color w:val="auto"/>
        </w:rPr>
      </w:pPr>
      <w:r>
        <w:rPr>
          <w:rFonts w:ascii="Arial" w:cs="Arial" w:eastAsia="Arial" w:hAnsi="Arial"/>
          <w:sz w:val="16"/>
          <w:szCs w:val="16"/>
          <w:color w:val="auto"/>
        </w:rPr>
        <w:t>with respect to any entity that is a limited liability company, amend, modify or otherwise change, its operating agreement or other charter documents, or otherwise permit any such agreement or document, to provide that the death, retirement, resignation, expulsion, bankruptcy, dissolution or dissociation of a member of that limited liability company or any other event affecting a member of that limited liability company either terminates the status of that Person as a member of the limited liability company or causes the limited liability company to be dissolved or its affairs wound up, or</w:t>
      </w:r>
    </w:p>
    <w:p>
      <w:pPr>
        <w:spacing w:after="0" w:line="31" w:lineRule="exact"/>
        <w:rPr>
          <w:rFonts w:ascii="Arial" w:cs="Arial" w:eastAsia="Arial" w:hAnsi="Arial"/>
          <w:sz w:val="16"/>
          <w:szCs w:val="16"/>
          <w:color w:val="auto"/>
        </w:rPr>
      </w:pPr>
    </w:p>
    <w:p>
      <w:pPr>
        <w:ind w:left="460" w:right="140" w:firstLine="443"/>
        <w:spacing w:after="0" w:line="259" w:lineRule="auto"/>
        <w:tabs>
          <w:tab w:leader="none" w:pos="1147"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amend, modify or otherwise change the separateness covenants and company restrictions in its operating agreement relating to conduct, or any comparable provisions contained in its other charter documents, or fail to include similar provisions in the operating agreement or other applicable charter documents of any future Restricted Subsidiary.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Insurance</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Wynn Las Vegas will, and will cause its Restricted Subsidiaries to, maintain insurance with reputable and financially sound carriers against such risks and in such amounts as are customarily carried by similarly situated businesses, including, without limitation, property and casualty insurance, so long as such insurance coverage (including deductibles, retentions and self-insurance amounts) at all times complies with the insurance coverage required under the Disbursement Agreement.</w:t>
      </w:r>
    </w:p>
    <w:p>
      <w:pPr>
        <w:spacing w:after="0" w:line="224" w:lineRule="exact"/>
        <w:rPr>
          <w:sz w:val="20"/>
          <w:szCs w:val="20"/>
          <w:color w:val="auto"/>
        </w:rPr>
      </w:pPr>
    </w:p>
    <w:p>
      <w:pPr>
        <w:ind w:left="240" w:right="140"/>
        <w:spacing w:after="0" w:line="268" w:lineRule="auto"/>
        <w:rPr>
          <w:sz w:val="20"/>
          <w:szCs w:val="20"/>
          <w:color w:val="auto"/>
        </w:rPr>
      </w:pPr>
      <w:r>
        <w:rPr>
          <w:rFonts w:ascii="Arial" w:cs="Arial" w:eastAsia="Arial" w:hAnsi="Arial"/>
          <w:sz w:val="18"/>
          <w:szCs w:val="18"/>
          <w:i w:val="1"/>
          <w:iCs w:val="1"/>
          <w:color w:val="auto"/>
        </w:rPr>
        <w:t>Additional Collateral; Formation or Acquisition of Restricted Subsidiaries; Designation of Unrestricted Subsidiaries as Restricted Subsidiaries or Permitted C-Corp. Conversion</w:t>
      </w:r>
    </w:p>
    <w:p>
      <w:pPr>
        <w:spacing w:after="0" w:line="5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Concurrently with (1) the formation or acquisition of any Restricted Subsidiary of Wynn Las Vegas that becomes or is required under the Credit Agreement to become a Guarantor of any of the obligations under the Credit Agreement, (2) the designation of an Unrestricted Subsidiary of Wynn Las Vegas as a Restricted Subsidiary, or (3) the conversion by Wynn Las Vegas or any of its Restricted Subsidiaries into a subchapter “C” corporation in a Permitted C-Corp. Conversion, Wynn Las Vegas shall, to the extent not prohibited by Gaming Authorities or applicable Gaming Laws and subject to the Intercreditor Agreement:</w:t>
      </w:r>
    </w:p>
    <w:p>
      <w:pPr>
        <w:spacing w:after="0" w:line="32" w:lineRule="exact"/>
        <w:rPr>
          <w:sz w:val="20"/>
          <w:szCs w:val="20"/>
          <w:color w:val="auto"/>
        </w:rPr>
      </w:pPr>
    </w:p>
    <w:p>
      <w:pPr>
        <w:ind w:left="460" w:right="380" w:firstLine="443"/>
        <w:spacing w:after="0" w:line="259" w:lineRule="auto"/>
        <w:tabs>
          <w:tab w:leader="none" w:pos="1147"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 cause such Restricted Subsidiary or subchapter “C” corporation (if such subchapter “C” corporation is not an Issuer) to guarantee all obligations of the Issuers under the Indenture and the 2017 Notes by executing and delivering to the trustee a supplemental indenture in the form of an exhibit to the Indenture; or</w:t>
      </w:r>
    </w:p>
    <w:p>
      <w:pPr>
        <w:spacing w:after="0" w:line="59" w:lineRule="exact"/>
        <w:rPr>
          <w:rFonts w:ascii="Arial" w:cs="Arial" w:eastAsia="Arial" w:hAnsi="Arial"/>
          <w:sz w:val="18"/>
          <w:szCs w:val="18"/>
          <w:color w:val="auto"/>
        </w:rPr>
      </w:pPr>
    </w:p>
    <w:p>
      <w:pPr>
        <w:ind w:left="920" w:firstLine="421"/>
        <w:spacing w:after="0" w:line="254" w:lineRule="auto"/>
        <w:tabs>
          <w:tab w:leader="none" w:pos="1588" w:val="left"/>
        </w:tabs>
        <w:numPr>
          <w:ilvl w:val="1"/>
          <w:numId w:val="143"/>
        </w:numPr>
        <w:rPr>
          <w:rFonts w:ascii="Arial" w:cs="Arial" w:eastAsia="Arial" w:hAnsi="Arial"/>
          <w:sz w:val="18"/>
          <w:szCs w:val="18"/>
          <w:color w:val="auto"/>
        </w:rPr>
      </w:pPr>
      <w:r>
        <w:rPr>
          <w:rFonts w:ascii="Arial" w:cs="Arial" w:eastAsia="Arial" w:hAnsi="Arial"/>
          <w:sz w:val="18"/>
          <w:szCs w:val="18"/>
          <w:color w:val="auto"/>
        </w:rPr>
        <w:t>if such subchapter “C” corporation is an Issuer, cause such subchapter “C” corporation to execute and deliver to the trustee (i) a supplemental indenture substantially in the form of an exhibit to the Indenture, (ii) an assumption agreement unconditionally and irrevocably assuming all of the right, title and interest of the Issuer that was so reorganized as a subchapter “C” corporation in, to and under the Indenture and the 2017 Notes, and (iii) replacement 2017 Notes for the 2017 Notes previously issued by the Issuer that was so reorganized as a subchapter “C” corporation to be issued to the holders upon request and the concurrent return by such holders of the 2017 Notes previously issued to them by such Issuer that was so reorganized as a “C” corporation;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cause such Restricted Subsidiary or subchapter “C” corporation to execute and deliver to the trustee,</w:t>
      </w:r>
    </w:p>
    <w:p>
      <w:pPr>
        <w:spacing w:after="0" w:line="90" w:lineRule="exact"/>
        <w:rPr>
          <w:rFonts w:ascii="Arial" w:cs="Arial" w:eastAsia="Arial" w:hAnsi="Arial"/>
          <w:sz w:val="18"/>
          <w:szCs w:val="18"/>
          <w:color w:val="auto"/>
        </w:rPr>
      </w:pPr>
    </w:p>
    <w:p>
      <w:pPr>
        <w:ind w:left="920" w:right="220" w:firstLine="421"/>
        <w:spacing w:after="0" w:line="332" w:lineRule="auto"/>
        <w:tabs>
          <w:tab w:leader="none" w:pos="1579" w:val="left"/>
        </w:tabs>
        <w:numPr>
          <w:ilvl w:val="1"/>
          <w:numId w:val="144"/>
        </w:numPr>
        <w:rPr>
          <w:rFonts w:ascii="Arial" w:cs="Arial" w:eastAsia="Arial" w:hAnsi="Arial"/>
          <w:sz w:val="16"/>
          <w:szCs w:val="16"/>
          <w:color w:val="auto"/>
        </w:rPr>
      </w:pPr>
      <w:r>
        <w:rPr>
          <w:rFonts w:ascii="Arial" w:cs="Arial" w:eastAsia="Arial" w:hAnsi="Arial"/>
          <w:sz w:val="16"/>
          <w:szCs w:val="16"/>
          <w:color w:val="auto"/>
        </w:rPr>
        <w:t>an assumption agreement in the form of an exhibit to the Security Agreement (under which such Restricted Subsidiary or subchapter “C” corporation will grant a security interest to the trustee in those of its assets described in the Security Agreement), and</w:t>
      </w:r>
    </w:p>
    <w:p>
      <w:pPr>
        <w:spacing w:after="0" w:line="4" w:lineRule="exact"/>
        <w:rPr>
          <w:rFonts w:ascii="Arial" w:cs="Arial" w:eastAsia="Arial" w:hAnsi="Arial"/>
          <w:sz w:val="16"/>
          <w:szCs w:val="16"/>
          <w:color w:val="auto"/>
        </w:rPr>
      </w:pPr>
    </w:p>
    <w:p>
      <w:pPr>
        <w:ind w:left="1580" w:hanging="239"/>
        <w:spacing w:after="0"/>
        <w:tabs>
          <w:tab w:leader="none" w:pos="1580" w:val="left"/>
        </w:tabs>
        <w:numPr>
          <w:ilvl w:val="1"/>
          <w:numId w:val="144"/>
        </w:numPr>
        <w:rPr>
          <w:rFonts w:ascii="Arial" w:cs="Arial" w:eastAsia="Arial" w:hAnsi="Arial"/>
          <w:sz w:val="16"/>
          <w:szCs w:val="16"/>
          <w:color w:val="auto"/>
        </w:rPr>
      </w:pPr>
      <w:r>
        <w:rPr>
          <w:rFonts w:ascii="Arial" w:cs="Arial" w:eastAsia="Arial" w:hAnsi="Arial"/>
          <w:sz w:val="16"/>
          <w:szCs w:val="16"/>
          <w:color w:val="auto"/>
        </w:rPr>
        <w:t>such Uniform Commercial Code financing statements as are necessary to perfect the trustee’s security interest in such assets;</w:t>
      </w:r>
    </w:p>
    <w:p>
      <w:pPr>
        <w:spacing w:after="0" w:line="113"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in the event such Restricted Subsidiary or subchapter “C” corporation owns real property that (i) is contiguous to any real property included in the Collateral or (ii) has a Fair Market Value in excess of $5.0 million in the aggregate or $2.5 million individually, cause such Restricted Subsidiary or subchapter “C” corporation to execute and deliver to the trustee:</w:t>
      </w:r>
    </w:p>
    <w:p>
      <w:pPr>
        <w:spacing w:after="0" w:line="59" w:lineRule="exact"/>
        <w:rPr>
          <w:rFonts w:ascii="Arial" w:cs="Arial" w:eastAsia="Arial" w:hAnsi="Arial"/>
          <w:sz w:val="18"/>
          <w:szCs w:val="18"/>
          <w:color w:val="auto"/>
        </w:rPr>
      </w:pPr>
    </w:p>
    <w:p>
      <w:pPr>
        <w:ind w:left="920" w:right="320" w:firstLine="421"/>
        <w:spacing w:after="0" w:line="259" w:lineRule="auto"/>
        <w:tabs>
          <w:tab w:leader="none" w:pos="1579" w:val="left"/>
        </w:tabs>
        <w:numPr>
          <w:ilvl w:val="1"/>
          <w:numId w:val="144"/>
        </w:numPr>
        <w:rPr>
          <w:rFonts w:ascii="Arial" w:cs="Arial" w:eastAsia="Arial" w:hAnsi="Arial"/>
          <w:sz w:val="18"/>
          <w:szCs w:val="18"/>
          <w:color w:val="auto"/>
        </w:rPr>
      </w:pPr>
      <w:r>
        <w:rPr>
          <w:rFonts w:ascii="Arial" w:cs="Arial" w:eastAsia="Arial" w:hAnsi="Arial"/>
          <w:sz w:val="18"/>
          <w:szCs w:val="18"/>
          <w:color w:val="auto"/>
        </w:rPr>
        <w:t>a deed of trust, substantially in the form of the Deeds of Trust (with such modifications as are necessary to comply with applicable law) (under which such Restricted Subsidiary or subchapter “C” corporation will grant a security interest to the trustee in such real property and any related fixtures);</w:t>
      </w:r>
    </w:p>
    <w:p>
      <w:pPr>
        <w:spacing w:after="0" w:line="59" w:lineRule="exact"/>
        <w:rPr>
          <w:rFonts w:ascii="Arial" w:cs="Arial" w:eastAsia="Arial" w:hAnsi="Arial"/>
          <w:sz w:val="18"/>
          <w:szCs w:val="18"/>
          <w:color w:val="auto"/>
        </w:rPr>
      </w:pPr>
    </w:p>
    <w:p>
      <w:pPr>
        <w:ind w:left="920" w:right="80" w:firstLine="421"/>
        <w:spacing w:after="0" w:line="268" w:lineRule="auto"/>
        <w:tabs>
          <w:tab w:leader="none" w:pos="1588" w:val="left"/>
        </w:tabs>
        <w:numPr>
          <w:ilvl w:val="1"/>
          <w:numId w:val="144"/>
        </w:numPr>
        <w:rPr>
          <w:rFonts w:ascii="Arial" w:cs="Arial" w:eastAsia="Arial" w:hAnsi="Arial"/>
          <w:sz w:val="18"/>
          <w:szCs w:val="18"/>
          <w:color w:val="auto"/>
        </w:rPr>
      </w:pPr>
      <w:r>
        <w:rPr>
          <w:rFonts w:ascii="Arial" w:cs="Arial" w:eastAsia="Arial" w:hAnsi="Arial"/>
          <w:sz w:val="18"/>
          <w:szCs w:val="18"/>
          <w:color w:val="auto"/>
        </w:rPr>
        <w:t>in the case of any such Restricted Subsidiary, title and extended coverage insurance covering such real property in an amount at least equal to the purchase price of such real property; and</w:t>
      </w:r>
    </w:p>
    <w:p>
      <w:pPr>
        <w:spacing w:after="0" w:line="50" w:lineRule="exact"/>
        <w:rPr>
          <w:rFonts w:ascii="Arial" w:cs="Arial" w:eastAsia="Arial" w:hAnsi="Arial"/>
          <w:sz w:val="18"/>
          <w:szCs w:val="18"/>
          <w:color w:val="auto"/>
        </w:rPr>
      </w:pPr>
    </w:p>
    <w:p>
      <w:pPr>
        <w:ind w:left="920" w:right="220" w:firstLine="421"/>
        <w:spacing w:after="0" w:line="259" w:lineRule="auto"/>
        <w:tabs>
          <w:tab w:leader="none" w:pos="1579" w:val="left"/>
        </w:tabs>
        <w:numPr>
          <w:ilvl w:val="1"/>
          <w:numId w:val="144"/>
        </w:numPr>
        <w:rPr>
          <w:rFonts w:ascii="Arial" w:cs="Arial" w:eastAsia="Arial" w:hAnsi="Arial"/>
          <w:sz w:val="18"/>
          <w:szCs w:val="18"/>
          <w:color w:val="auto"/>
        </w:rPr>
      </w:pPr>
      <w:r>
        <w:rPr>
          <w:rFonts w:ascii="Arial" w:cs="Arial" w:eastAsia="Arial" w:hAnsi="Arial"/>
          <w:sz w:val="18"/>
          <w:szCs w:val="18"/>
          <w:color w:val="auto"/>
        </w:rPr>
        <w:t>in the case of any such subchapter “C” corporation, an agreement executed and delivered by the title company that issued the title and extended coverage insurance covering the real property owned by such subchapter “C” corporation naming such subchapter “C” corporation as an additional insured under such insurance;</w:t>
      </w:r>
    </w:p>
    <w:p>
      <w:pPr>
        <w:spacing w:after="0" w:line="59" w:lineRule="exact"/>
        <w:rPr>
          <w:rFonts w:ascii="Arial" w:cs="Arial" w:eastAsia="Arial" w:hAnsi="Arial"/>
          <w:sz w:val="18"/>
          <w:szCs w:val="18"/>
          <w:color w:val="auto"/>
        </w:rPr>
      </w:pPr>
    </w:p>
    <w:p>
      <w:pPr>
        <w:ind w:left="460" w:right="40" w:firstLine="443"/>
        <w:spacing w:after="0" w:line="256" w:lineRule="auto"/>
        <w:tabs>
          <w:tab w:leader="none" w:pos="1147" w:val="left"/>
        </w:tabs>
        <w:numPr>
          <w:ilvl w:val="0"/>
          <w:numId w:val="144"/>
        </w:numPr>
        <w:rPr>
          <w:rFonts w:ascii="Arial" w:cs="Arial" w:eastAsia="Arial" w:hAnsi="Arial"/>
          <w:sz w:val="18"/>
          <w:szCs w:val="18"/>
          <w:color w:val="auto"/>
        </w:rPr>
      </w:pPr>
      <w:r>
        <w:rPr>
          <w:rFonts w:ascii="Arial" w:cs="Arial" w:eastAsia="Arial" w:hAnsi="Arial"/>
          <w:sz w:val="18"/>
          <w:szCs w:val="18"/>
          <w:color w:val="auto"/>
        </w:rPr>
        <w:t>promptly pledge, or cause to be pledged, to the trustee (i) all of the outstanding Capital Stock of such entity or subchapter “C” corporation owned by Wynn Las Vegas or any of its Restricted Subsidiaries and (ii) all of the outstanding Capital Stock owned by such Restricted Subsidiary or subchapter “C” corporation, to secure Wynn Las Vegas’ obligations under the Indenture and the 2017 Notes or such Restricted Subsidiary’s Guarantee obligations under the applicable Security Agreement, as the case may be;</w:t>
      </w:r>
    </w:p>
    <w:p>
      <w:pPr>
        <w:spacing w:after="0" w:line="62" w:lineRule="exact"/>
        <w:rPr>
          <w:rFonts w:ascii="Arial" w:cs="Arial" w:eastAsia="Arial" w:hAnsi="Arial"/>
          <w:sz w:val="18"/>
          <w:szCs w:val="18"/>
          <w:color w:val="auto"/>
        </w:rPr>
      </w:pPr>
    </w:p>
    <w:p>
      <w:pPr>
        <w:ind w:left="460" w:right="440" w:firstLine="443"/>
        <w:spacing w:after="0" w:line="259" w:lineRule="auto"/>
        <w:tabs>
          <w:tab w:leader="none" w:pos="1147" w:val="left"/>
        </w:tabs>
        <w:numPr>
          <w:ilvl w:val="0"/>
          <w:numId w:val="144"/>
        </w:numPr>
        <w:rPr>
          <w:rFonts w:ascii="Arial" w:cs="Arial" w:eastAsia="Arial" w:hAnsi="Arial"/>
          <w:sz w:val="18"/>
          <w:szCs w:val="18"/>
          <w:color w:val="auto"/>
        </w:rPr>
      </w:pPr>
      <w:r>
        <w:rPr>
          <w:rFonts w:ascii="Arial" w:cs="Arial" w:eastAsia="Arial" w:hAnsi="Arial"/>
          <w:sz w:val="18"/>
          <w:szCs w:val="18"/>
          <w:color w:val="auto"/>
        </w:rPr>
        <w:t>promptly take, and cause such Restricted Subsidiary or subchapter “C” corporation and each other Restricted Subsidiary to take all action necessary or, in the opinion of the trustee, desirable to perfect and protect the security interests intended to be created by the Collateral Documents, as modified under this paragraph; and</w:t>
      </w:r>
    </w:p>
    <w:p>
      <w:pPr>
        <w:spacing w:after="0" w:line="59" w:lineRule="exact"/>
        <w:rPr>
          <w:rFonts w:ascii="Arial" w:cs="Arial" w:eastAsia="Arial" w:hAnsi="Arial"/>
          <w:sz w:val="18"/>
          <w:szCs w:val="18"/>
          <w:color w:val="auto"/>
        </w:rPr>
      </w:pPr>
    </w:p>
    <w:p>
      <w:pPr>
        <w:ind w:left="460" w:right="360" w:firstLine="443"/>
        <w:spacing w:after="0" w:line="268" w:lineRule="auto"/>
        <w:tabs>
          <w:tab w:leader="none" w:pos="1147" w:val="left"/>
        </w:tabs>
        <w:numPr>
          <w:ilvl w:val="0"/>
          <w:numId w:val="144"/>
        </w:numPr>
        <w:rPr>
          <w:rFonts w:ascii="Arial" w:cs="Arial" w:eastAsia="Arial" w:hAnsi="Arial"/>
          <w:sz w:val="18"/>
          <w:szCs w:val="18"/>
          <w:color w:val="auto"/>
        </w:rPr>
      </w:pPr>
      <w:r>
        <w:rPr>
          <w:rFonts w:ascii="Arial" w:cs="Arial" w:eastAsia="Arial" w:hAnsi="Arial"/>
          <w:sz w:val="18"/>
          <w:szCs w:val="18"/>
          <w:color w:val="auto"/>
        </w:rPr>
        <w:t>promptly deliver to the trustee such opinions of counsel, if any, as the trustee may reasonably require with respect to the foregoing (including opinions as to enforceability and perfection of security interests).</w:t>
      </w:r>
    </w:p>
    <w:p>
      <w:pPr>
        <w:spacing w:after="0" w:line="132"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Notwithstanding the foregoing, no Restricted Subsidiary shall be required to take the actions specified in clauses (2) through (6) above during any Collateral Release Period.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Additional Collateral; Acquisition of Assets or Property</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At any time other than during any Collateral Release Period, and concurrently with the acquisition by Wynn Las Vegas or any of its Restricted Subsidiaries of any assets or property (other than a Subsidiary of Wynn Las Vegas) that would constitute Collateral, to the extent not prohibited by Gaming Authorities or applicable Gaming Laws and subject to the Intercreditor Agreement, Wynn Las Vegas will, and will cause its Restricted Subsidiaries to, cause the applicable entity to:</w:t>
      </w:r>
    </w:p>
    <w:p>
      <w:pPr>
        <w:spacing w:after="0" w:line="62" w:lineRule="exact"/>
        <w:rPr>
          <w:sz w:val="20"/>
          <w:szCs w:val="20"/>
          <w:color w:val="auto"/>
        </w:rPr>
      </w:pPr>
    </w:p>
    <w:p>
      <w:pPr>
        <w:ind w:left="460" w:right="180" w:firstLine="443"/>
        <w:spacing w:after="0" w:line="306" w:lineRule="auto"/>
        <w:tabs>
          <w:tab w:leader="none" w:pos="1147" w:val="left"/>
        </w:tabs>
        <w:numPr>
          <w:ilvl w:val="0"/>
          <w:numId w:val="145"/>
        </w:numPr>
        <w:rPr>
          <w:rFonts w:ascii="Arial" w:cs="Arial" w:eastAsia="Arial" w:hAnsi="Arial"/>
          <w:sz w:val="16"/>
          <w:szCs w:val="16"/>
          <w:color w:val="auto"/>
        </w:rPr>
      </w:pPr>
      <w:r>
        <w:rPr>
          <w:rFonts w:ascii="Arial" w:cs="Arial" w:eastAsia="Arial" w:hAnsi="Arial"/>
          <w:sz w:val="16"/>
          <w:szCs w:val="16"/>
          <w:color w:val="auto"/>
        </w:rPr>
        <w:t>in the case of the acquisition of personal property with an aggregate fair market value in excess of $50,000 (other than Aircraft Assets) for all such acquired personal property, execute and deliver to the collateral agent such Uniform Commercial Code financing statements, if any, as are necessary or, in the opinion of the trustee, desirable to perfect and protect the trustee’s security interest in such assets or property;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268" w:lineRule="auto"/>
        <w:tabs>
          <w:tab w:leader="none" w:pos="1147"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in the case of the acquisition of real property, that (i) is contiguous to any real property included in the Collateral or (ii) has a Fair Market Value in excess of $5.0 million in the aggregate or $2.5 million individually, execute and deliver to the trustee:</w:t>
      </w:r>
    </w:p>
    <w:p>
      <w:pPr>
        <w:spacing w:after="0" w:line="50" w:lineRule="exact"/>
        <w:rPr>
          <w:rFonts w:ascii="Arial" w:cs="Arial" w:eastAsia="Arial" w:hAnsi="Arial"/>
          <w:sz w:val="18"/>
          <w:szCs w:val="18"/>
          <w:color w:val="auto"/>
        </w:rPr>
      </w:pPr>
    </w:p>
    <w:p>
      <w:pPr>
        <w:ind w:left="920" w:right="320" w:firstLine="421"/>
        <w:spacing w:after="0" w:line="259" w:lineRule="auto"/>
        <w:tabs>
          <w:tab w:leader="none" w:pos="1579" w:val="left"/>
        </w:tabs>
        <w:numPr>
          <w:ilvl w:val="1"/>
          <w:numId w:val="146"/>
        </w:numPr>
        <w:rPr>
          <w:rFonts w:ascii="Arial" w:cs="Arial" w:eastAsia="Arial" w:hAnsi="Arial"/>
          <w:sz w:val="18"/>
          <w:szCs w:val="18"/>
          <w:color w:val="auto"/>
        </w:rPr>
      </w:pPr>
      <w:r>
        <w:rPr>
          <w:rFonts w:ascii="Arial" w:cs="Arial" w:eastAsia="Arial" w:hAnsi="Arial"/>
          <w:sz w:val="18"/>
          <w:szCs w:val="18"/>
          <w:color w:val="auto"/>
        </w:rPr>
        <w:t>a deed of trust, substantially in the form of the Deeds of Trust (with such modifications as are necessary to comply with applicable law) (under which Wynn Las Vegas or such Restricted Subsidiary will grant a security interest to the trustee in such real property and any related fixtures), and</w:t>
      </w:r>
    </w:p>
    <w:p>
      <w:pPr>
        <w:spacing w:after="0" w:line="59" w:lineRule="exact"/>
        <w:rPr>
          <w:rFonts w:ascii="Arial" w:cs="Arial" w:eastAsia="Arial" w:hAnsi="Arial"/>
          <w:sz w:val="18"/>
          <w:szCs w:val="18"/>
          <w:color w:val="auto"/>
        </w:rPr>
      </w:pPr>
    </w:p>
    <w:p>
      <w:pPr>
        <w:ind w:left="1580" w:hanging="239"/>
        <w:spacing w:after="0"/>
        <w:tabs>
          <w:tab w:leader="none" w:pos="1580" w:val="left"/>
        </w:tabs>
        <w:numPr>
          <w:ilvl w:val="1"/>
          <w:numId w:val="146"/>
        </w:numPr>
        <w:rPr>
          <w:rFonts w:ascii="Arial" w:cs="Arial" w:eastAsia="Arial" w:hAnsi="Arial"/>
          <w:sz w:val="16"/>
          <w:szCs w:val="16"/>
          <w:color w:val="auto"/>
        </w:rPr>
      </w:pPr>
      <w:r>
        <w:rPr>
          <w:rFonts w:ascii="Arial" w:cs="Arial" w:eastAsia="Arial" w:hAnsi="Arial"/>
          <w:sz w:val="16"/>
          <w:szCs w:val="16"/>
          <w:color w:val="auto"/>
        </w:rPr>
        <w:t>title and extended coverage insurance covering such real property in an amount at least equal to the purchase price of such real property;</w:t>
      </w:r>
    </w:p>
    <w:p>
      <w:pPr>
        <w:spacing w:after="0" w:line="3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83" w:lineRule="exact"/>
        <w:rPr>
          <w:rFonts w:ascii="Arial" w:cs="Arial" w:eastAsia="Arial" w:hAnsi="Arial"/>
          <w:sz w:val="16"/>
          <w:szCs w:val="16"/>
          <w:color w:val="auto"/>
        </w:rPr>
      </w:pPr>
    </w:p>
    <w:p>
      <w:pPr>
        <w:ind w:left="460" w:right="80" w:firstLine="443"/>
        <w:spacing w:after="0" w:line="306" w:lineRule="auto"/>
        <w:tabs>
          <w:tab w:leader="none" w:pos="1147" w:val="left"/>
        </w:tabs>
        <w:numPr>
          <w:ilvl w:val="0"/>
          <w:numId w:val="146"/>
        </w:numPr>
        <w:rPr>
          <w:rFonts w:ascii="Arial" w:cs="Arial" w:eastAsia="Arial" w:hAnsi="Arial"/>
          <w:sz w:val="16"/>
          <w:szCs w:val="16"/>
          <w:color w:val="auto"/>
        </w:rPr>
      </w:pPr>
      <w:r>
        <w:rPr>
          <w:rFonts w:ascii="Arial" w:cs="Arial" w:eastAsia="Arial" w:hAnsi="Arial"/>
          <w:sz w:val="16"/>
          <w:szCs w:val="16"/>
          <w:color w:val="auto"/>
        </w:rPr>
        <w:t>in the case of the acquisition of personal property (other than personal property in which the trustee has a perfected security interest (subject only to Permitted Liens)) or real property subject to clauses (1) and (2) above, as applicable, promptly deliver to the trustee such opinions of counsel, if any, as the trustee may reasonably require with respect to the foregoing (including opinions as to enforceability and perfection of security interests).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Further Assurances</w:t>
      </w:r>
    </w:p>
    <w:p>
      <w:pPr>
        <w:spacing w:after="0" w:line="90"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Except during any Collateral Release Period, Wynn Las Vegas will, and will cause its Restricted Subsidiaries to, execute and deliver such additional instruments, certificates or documents, and take all such actions as may be reasonably required from time to time in order to:</w:t>
      </w:r>
    </w:p>
    <w:p>
      <w:pPr>
        <w:spacing w:after="0" w:line="4" w:lineRule="exact"/>
        <w:rPr>
          <w:sz w:val="20"/>
          <w:szCs w:val="20"/>
          <w:color w:val="auto"/>
        </w:rPr>
      </w:pPr>
    </w:p>
    <w:p>
      <w:pPr>
        <w:ind w:left="1160" w:hanging="257"/>
        <w:spacing w:after="0"/>
        <w:tabs>
          <w:tab w:leader="none" w:pos="11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carry out more effectively the purposes of the Collateral Documents;</w:t>
      </w:r>
    </w:p>
    <w:p>
      <w:pPr>
        <w:spacing w:after="0" w:line="90"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147"/>
        </w:numPr>
        <w:rPr>
          <w:rFonts w:ascii="Arial" w:cs="Arial" w:eastAsia="Arial" w:hAnsi="Arial"/>
          <w:sz w:val="18"/>
          <w:szCs w:val="18"/>
          <w:color w:val="auto"/>
        </w:rPr>
      </w:pPr>
      <w:r>
        <w:rPr>
          <w:rFonts w:ascii="Arial" w:cs="Arial" w:eastAsia="Arial" w:hAnsi="Arial"/>
          <w:sz w:val="18"/>
          <w:szCs w:val="18"/>
          <w:color w:val="auto"/>
        </w:rPr>
        <w:t>create, grant, perfect and maintain the validity, effectiveness, perfection and priority of any of the Collateral Documents and the Liens created, or intended to be created, by the Collateral Documents; and</w:t>
      </w:r>
    </w:p>
    <w:p>
      <w:pPr>
        <w:spacing w:after="0" w:line="50" w:lineRule="exact"/>
        <w:rPr>
          <w:rFonts w:ascii="Arial" w:cs="Arial" w:eastAsia="Arial" w:hAnsi="Arial"/>
          <w:sz w:val="18"/>
          <w:szCs w:val="18"/>
          <w:color w:val="auto"/>
        </w:rPr>
      </w:pPr>
    </w:p>
    <w:p>
      <w:pPr>
        <w:ind w:left="460" w:right="200" w:firstLine="443"/>
        <w:spacing w:after="0" w:line="259" w:lineRule="auto"/>
        <w:tabs>
          <w:tab w:leader="none" w:pos="1147" w:val="left"/>
        </w:tabs>
        <w:numPr>
          <w:ilvl w:val="0"/>
          <w:numId w:val="147"/>
        </w:numPr>
        <w:rPr>
          <w:rFonts w:ascii="Arial" w:cs="Arial" w:eastAsia="Arial" w:hAnsi="Arial"/>
          <w:sz w:val="18"/>
          <w:szCs w:val="18"/>
          <w:color w:val="auto"/>
        </w:rPr>
      </w:pPr>
      <w:r>
        <w:rPr>
          <w:rFonts w:ascii="Arial" w:cs="Arial" w:eastAsia="Arial" w:hAnsi="Arial"/>
          <w:sz w:val="18"/>
          <w:szCs w:val="18"/>
          <w:color w:val="auto"/>
        </w:rPr>
        <w:t>ensure that any of the rights granted or intended to be granted to the trustee or any holder under the Collateral Documents or under any other instrument executed in connection therewith or granted to Wynn Las Vegas or any of its Restricted Subsidiaries under the Collateral Documents or under any other instrument executed in connection therewith are protected and enforced.</w:t>
      </w:r>
    </w:p>
    <w:p>
      <w:pPr>
        <w:spacing w:after="0" w:line="14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Upon the exercise by the trustee or any holder of any power, right, privilege or remedy under the Indenture or any of the Collateral Documents which requires any consent, approval, recording, qualification or authorization of any governmental authority (including any Gaming Authority), Wynn Las Vegas will, and will cause its Restricted Subsidiaries to, execute and deliver all applications, certifications, instruments and other documents and papers that may be required from Wynn Resorts, Wynn Las Vegas or any of Wynn Las Vegas’ Restricted Subsidiaries for such governmental consent, approval, recording, qualification or authorization.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Payments for Consent</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Wynn Las Vegas will not, and will not permit any of its Restricted Subsidiaries to, directly or indirectly, pay or cause to be paid any consideration to, or for the benefit of, any Holder of 2017 Notes for or as an inducement to any consent, waiver or amendment of any of the terms or provisions of the Indenture, the 2017 Notes or the Collateral Documents unless such consideration is offered to be paid and is paid to all Holders of 2017 Notes that consent, waive or agree to amend in the time frame set forth in the solicitation documents relating to such consent, waiver or agreement.</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Restrictions on Activities of Wynn Capital</w:t>
      </w:r>
    </w:p>
    <w:p>
      <w:pPr>
        <w:spacing w:after="0" w:line="90"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Wynn Capital will not hold any material assets, hold any Equity Interests, incur any Indebtedness, become liable for any obligations, engage in any business activities or have any Subsidiaries. However, Wynn Capital may incur Indebtedness to the extent that it is a co-obligor with respect to Indebtedness which Wynn Las Vegas is permitted to incur under the Indenture, but only if the Net Proceeds of such Indebtedness are received by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Wynn Las Vegas or one or more of Wynn Las Vegas’ Wholly Owned Restricted Subsidiaries other than Wynn Capital. At all times while 2017 Notes issued under the Indenture remain outstanding, Wynn Capital shall maintain a Board of Directors composed of individuals who serve on the Board of Directors of Wynn Resorts, and such other disinterested or independent members as the Board of Directors deems appropriate from time to time.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Reports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Whether or not required by the rules and regulations of the SEC, so long as any 2017 Notes are outstanding, the Issuers will furnish to the Holders of 2017</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Notes or cause the trustee to furnish to the Holders of 2017 Notes, within the time periods specified in the SEC’s rules and regulations:</w:t>
      </w:r>
    </w:p>
    <w:p>
      <w:pPr>
        <w:spacing w:after="0" w:line="84" w:lineRule="exact"/>
        <w:rPr>
          <w:sz w:val="20"/>
          <w:szCs w:val="20"/>
          <w:color w:val="auto"/>
        </w:rPr>
      </w:pPr>
    </w:p>
    <w:p>
      <w:pPr>
        <w:ind w:left="460" w:right="40" w:firstLine="443"/>
        <w:spacing w:after="0" w:line="259" w:lineRule="auto"/>
        <w:tabs>
          <w:tab w:leader="none" w:pos="1147"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all quarterly and annual reports that would be required to be filed with the SEC on Forms 10-Q and 10-K, including a “Management’s Discussion and Analysis of Financial Condition and Results of Operations” and, with respect to the annual report only, a report on the annual financial statements by Wynn Las Vegas’ and the Restricted Subsidiaries’ certified independent accountants; and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all current reports that would be required to be filed with the SEC on Form 8-K if the Issuers were required to file such reports.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All such reports will be prepared in all material respects in accordance with all of the rules and regulations applicable to such reports. Each annual report on Form 10-K will include a report on Wynn Las Vegas’ and its Restricted Subsidiaries’ consolidated financial statements by Wynn Las Vegas’ certified independent accountants. In addition, Wynn Las Vegas will file a copy of each of the reports referred to in clauses (1) and (2) above with the SEC for public availability within the time periods specified in the rules and regulations applicable to such reports (unless the SEC will not accept such a filing) and will post the reports on its website within those time periods.</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If, at any time Wynn Las Vegas is no longer subject to the periodic reporting requirements of the Exchange Act for any reason, Wynn Las Vegas will nevertheless continue filing the reports specified in the preceding paragraph of this covenant with the SEC within the time periods specified above unless the SEC will not accept such a filing. Wynn Las Vegas will not take any action for the purpose of causing the SEC not to accept any such filings. If, notwithstanding the foregoing, the SEC will not accept Wynn Las Vegas’ filings for any reason, Wynn Las Vegas will post the reports referred to in the preceding paragraphs on its website within the time periods that would apply if Wynn Las Vegas were required to file those reports with the SEC.</w:t>
      </w:r>
    </w:p>
    <w:p>
      <w:pPr>
        <w:spacing w:after="0" w:line="11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 addition, the Issuers and the Guarantors agree that, for so long as any 2017 Notes remain outstanding, if at any time they are not required to file with the SEC the reports required by the preceding paragraphs, they will furnish to the holders of 2017 Notes and to securities analysts and prospective investors, upon their request, the information required to be delivered pursuant to Rule 144A(d)(4) under the Securities Act.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and Remedies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following is an “Event of Default”:</w:t>
      </w:r>
    </w:p>
    <w:p>
      <w:pPr>
        <w:spacing w:after="0" w:line="90" w:lineRule="exact"/>
        <w:rPr>
          <w:sz w:val="20"/>
          <w:szCs w:val="20"/>
          <w:color w:val="auto"/>
        </w:rPr>
      </w:pPr>
    </w:p>
    <w:p>
      <w:pPr>
        <w:ind w:left="1160" w:hanging="257"/>
        <w:spacing w:after="0"/>
        <w:tabs>
          <w:tab w:leader="none" w:pos="11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default for 30 days in the payment when due of interest on, or Liquidated Damages, if any, with respect to the 2017 Notes;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default in the payment when due (at maturity, upon redemption, repurchase or otherwise) of the principal of, or premium, if any, on, the 2017</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Notes;</w:t>
      </w:r>
    </w:p>
    <w:p>
      <w:pPr>
        <w:spacing w:after="0" w:line="83" w:lineRule="exact"/>
        <w:rPr>
          <w:rFonts w:ascii="Arial" w:cs="Arial" w:eastAsia="Arial" w:hAnsi="Arial"/>
          <w:sz w:val="16"/>
          <w:szCs w:val="16"/>
          <w:color w:val="auto"/>
        </w:rPr>
      </w:pPr>
    </w:p>
    <w:p>
      <w:pPr>
        <w:ind w:left="1160" w:hanging="257"/>
        <w:spacing w:after="0"/>
        <w:tabs>
          <w:tab w:leader="none" w:pos="11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failure by Wynn Capital, Wynn Las Vegas or any of its Restricted Subsidiaries:</w:t>
      </w:r>
    </w:p>
    <w:p>
      <w:pPr>
        <w:spacing w:after="0" w:line="90" w:lineRule="exact"/>
        <w:rPr>
          <w:rFonts w:ascii="Arial" w:cs="Arial" w:eastAsia="Arial" w:hAnsi="Arial"/>
          <w:sz w:val="18"/>
          <w:szCs w:val="18"/>
          <w:color w:val="auto"/>
        </w:rPr>
      </w:pPr>
    </w:p>
    <w:p>
      <w:pPr>
        <w:ind w:left="920" w:right="80" w:firstLine="421"/>
        <w:spacing w:after="0" w:line="259" w:lineRule="auto"/>
        <w:tabs>
          <w:tab w:leader="none" w:pos="1579" w:val="left"/>
        </w:tabs>
        <w:numPr>
          <w:ilvl w:val="1"/>
          <w:numId w:val="149"/>
        </w:numPr>
        <w:rPr>
          <w:rFonts w:ascii="Arial" w:cs="Arial" w:eastAsia="Arial" w:hAnsi="Arial"/>
          <w:sz w:val="18"/>
          <w:szCs w:val="18"/>
          <w:color w:val="auto"/>
        </w:rPr>
      </w:pPr>
      <w:r>
        <w:rPr>
          <w:rFonts w:ascii="Arial" w:cs="Arial" w:eastAsia="Arial" w:hAnsi="Arial"/>
          <w:sz w:val="18"/>
          <w:szCs w:val="18"/>
          <w:color w:val="auto"/>
        </w:rPr>
        <w:t>to comply with any payment obligations (including, without limitation, obligations as to the timing or amount of such payments) described under the captions “—Repurchase at the Option of Holders—Change of Control,” “—Repurchase at the Option of Holders—Asset Sales” or “— Repurchase at the Option of Holders—Events of Loss,” or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560" w:firstLine="421"/>
        <w:spacing w:after="0" w:line="332" w:lineRule="auto"/>
        <w:tabs>
          <w:tab w:leader="none" w:pos="1588" w:val="left"/>
        </w:tabs>
        <w:numPr>
          <w:ilvl w:val="1"/>
          <w:numId w:val="150"/>
        </w:numPr>
        <w:rPr>
          <w:rFonts w:ascii="Arial" w:cs="Arial" w:eastAsia="Arial" w:hAnsi="Arial"/>
          <w:sz w:val="16"/>
          <w:szCs w:val="16"/>
          <w:color w:val="auto"/>
        </w:rPr>
      </w:pPr>
      <w:r>
        <w:rPr>
          <w:rFonts w:ascii="Arial" w:cs="Arial" w:eastAsia="Arial" w:hAnsi="Arial"/>
          <w:sz w:val="16"/>
          <w:szCs w:val="16"/>
          <w:color w:val="auto"/>
        </w:rPr>
        <w:t>to comply with the provisions described under the captions “—Certain Covenants—Restricted Payments,” “—Certain Covenants— Incurrence of Indebtedness and Issuance of Disqualified Stock” or “—Certain Covenants—Merger, Consolidation or Sale of Assets;”</w:t>
      </w:r>
    </w:p>
    <w:p>
      <w:pPr>
        <w:spacing w:after="0" w:line="4" w:lineRule="exact"/>
        <w:rPr>
          <w:rFonts w:ascii="Arial" w:cs="Arial" w:eastAsia="Arial" w:hAnsi="Arial"/>
          <w:sz w:val="16"/>
          <w:szCs w:val="16"/>
          <w:color w:val="auto"/>
        </w:rPr>
      </w:pPr>
    </w:p>
    <w:p>
      <w:pPr>
        <w:ind w:left="460" w:right="220" w:firstLine="443"/>
        <w:spacing w:after="0" w:line="259" w:lineRule="auto"/>
        <w:tabs>
          <w:tab w:leader="none" w:pos="1147" w:val="left"/>
        </w:tabs>
        <w:numPr>
          <w:ilvl w:val="0"/>
          <w:numId w:val="151"/>
        </w:numPr>
        <w:rPr>
          <w:rFonts w:ascii="Arial" w:cs="Arial" w:eastAsia="Arial" w:hAnsi="Arial"/>
          <w:sz w:val="18"/>
          <w:szCs w:val="18"/>
          <w:color w:val="auto"/>
        </w:rPr>
      </w:pPr>
      <w:r>
        <w:rPr>
          <w:rFonts w:ascii="Arial" w:cs="Arial" w:eastAsia="Arial" w:hAnsi="Arial"/>
          <w:sz w:val="18"/>
          <w:szCs w:val="18"/>
          <w:color w:val="auto"/>
        </w:rPr>
        <w:t>failure by Wynn Capital, Wynn Las Vegas or any of its Restricted Subsidiaries for 60 days after receipt of written notice from the trustee or the holders of at least 25% in aggregate principal amount of the 2017 Notes then outstanding voting as a single class to comply with any of the other agreements in the Indenture not set forth in clause (3) above;</w:t>
      </w:r>
    </w:p>
    <w:p>
      <w:pPr>
        <w:spacing w:after="0" w:line="59" w:lineRule="exact"/>
        <w:rPr>
          <w:rFonts w:ascii="Arial" w:cs="Arial" w:eastAsia="Arial" w:hAnsi="Arial"/>
          <w:sz w:val="18"/>
          <w:szCs w:val="18"/>
          <w:color w:val="auto"/>
        </w:rPr>
      </w:pPr>
    </w:p>
    <w:p>
      <w:pPr>
        <w:ind w:left="460" w:right="40" w:firstLine="443"/>
        <w:spacing w:after="0" w:line="256" w:lineRule="auto"/>
        <w:tabs>
          <w:tab w:leader="none" w:pos="1147" w:val="left"/>
        </w:tabs>
        <w:numPr>
          <w:ilvl w:val="0"/>
          <w:numId w:val="151"/>
        </w:numPr>
        <w:rPr>
          <w:rFonts w:ascii="Arial" w:cs="Arial" w:eastAsia="Arial" w:hAnsi="Arial"/>
          <w:sz w:val="18"/>
          <w:szCs w:val="18"/>
          <w:color w:val="auto"/>
        </w:rPr>
      </w:pPr>
      <w:r>
        <w:rPr>
          <w:rFonts w:ascii="Arial" w:cs="Arial" w:eastAsia="Arial" w:hAnsi="Arial"/>
          <w:sz w:val="18"/>
          <w:szCs w:val="18"/>
          <w:color w:val="auto"/>
        </w:rPr>
        <w:t>failure by Wynn Capital, Wynn Las Vegas or any of its Restricted Subsidiaries, the Completion Guarantor or any other party to any Collateral Document (other than the trustee or any representative of the lenders under the Credit Agreement or other lenders party thereto) for 60 days after receipt of written notice from the trustee or the holders of at least 25% in aggregate principal amount of the 2017 Notes then outstanding voting as a single class to comply with any of its agreements, as applicable, in any Collateral Document;</w:t>
      </w:r>
    </w:p>
    <w:p>
      <w:pPr>
        <w:spacing w:after="0" w:line="62" w:lineRule="exact"/>
        <w:rPr>
          <w:rFonts w:ascii="Arial" w:cs="Arial" w:eastAsia="Arial" w:hAnsi="Arial"/>
          <w:sz w:val="18"/>
          <w:szCs w:val="18"/>
          <w:color w:val="auto"/>
        </w:rPr>
      </w:pPr>
    </w:p>
    <w:p>
      <w:pPr>
        <w:ind w:left="460" w:right="40" w:firstLine="443"/>
        <w:spacing w:after="0" w:line="256" w:lineRule="auto"/>
        <w:tabs>
          <w:tab w:leader="none" w:pos="1147" w:val="left"/>
        </w:tabs>
        <w:numPr>
          <w:ilvl w:val="0"/>
          <w:numId w:val="151"/>
        </w:numPr>
        <w:rPr>
          <w:rFonts w:ascii="Arial" w:cs="Arial" w:eastAsia="Arial" w:hAnsi="Arial"/>
          <w:sz w:val="18"/>
          <w:szCs w:val="18"/>
          <w:color w:val="auto"/>
        </w:rPr>
      </w:pPr>
      <w:r>
        <w:rPr>
          <w:rFonts w:ascii="Arial" w:cs="Arial" w:eastAsia="Arial" w:hAnsi="Arial"/>
          <w:sz w:val="18"/>
          <w:szCs w:val="18"/>
          <w:color w:val="auto"/>
        </w:rPr>
        <w:t>default under any mortgage, indenture or instrument under which there may be issued or by which there may be secured or evidenced any Indebtedness for money borrowed by Wynn Las Vegas or any of its Restricted Subsidiaries (or the payment of which is guaranteed by Wynn Las Vegas or any of its Restricted Subsidiaries), whether such Indebtedness or guarantee existed on the date of the Indenture, or is created after the date of the Indenture, if that default:</w:t>
      </w:r>
    </w:p>
    <w:p>
      <w:pPr>
        <w:spacing w:after="0" w:line="62" w:lineRule="exact"/>
        <w:rPr>
          <w:rFonts w:ascii="Arial" w:cs="Arial" w:eastAsia="Arial" w:hAnsi="Arial"/>
          <w:sz w:val="18"/>
          <w:szCs w:val="18"/>
          <w:color w:val="auto"/>
        </w:rPr>
      </w:pPr>
    </w:p>
    <w:p>
      <w:pPr>
        <w:ind w:left="920" w:right="280" w:firstLine="421"/>
        <w:spacing w:after="0" w:line="268" w:lineRule="auto"/>
        <w:tabs>
          <w:tab w:leader="none" w:pos="1579" w:val="left"/>
        </w:tabs>
        <w:numPr>
          <w:ilvl w:val="1"/>
          <w:numId w:val="151"/>
        </w:numPr>
        <w:rPr>
          <w:rFonts w:ascii="Arial" w:cs="Arial" w:eastAsia="Arial" w:hAnsi="Arial"/>
          <w:sz w:val="18"/>
          <w:szCs w:val="18"/>
          <w:color w:val="auto"/>
        </w:rPr>
      </w:pPr>
      <w:r>
        <w:rPr>
          <w:rFonts w:ascii="Arial" w:cs="Arial" w:eastAsia="Arial" w:hAnsi="Arial"/>
          <w:sz w:val="18"/>
          <w:szCs w:val="18"/>
          <w:color w:val="auto"/>
        </w:rPr>
        <w:t>is caused by a failure to pay principal of, or interest or premium, if any, on, such Indebtedness prior to the expiration of the grace period provided in such Indebtedness on the date of such default (a “Payment Default”); or</w:t>
      </w:r>
    </w:p>
    <w:p>
      <w:pPr>
        <w:spacing w:after="0" w:line="50" w:lineRule="exact"/>
        <w:rPr>
          <w:rFonts w:ascii="Arial" w:cs="Arial" w:eastAsia="Arial" w:hAnsi="Arial"/>
          <w:sz w:val="18"/>
          <w:szCs w:val="18"/>
          <w:color w:val="auto"/>
        </w:rPr>
      </w:pPr>
    </w:p>
    <w:p>
      <w:pPr>
        <w:ind w:left="920" w:right="240" w:firstLine="421"/>
        <w:spacing w:after="0" w:line="259" w:lineRule="auto"/>
        <w:tabs>
          <w:tab w:leader="none" w:pos="1588" w:val="left"/>
        </w:tabs>
        <w:numPr>
          <w:ilvl w:val="1"/>
          <w:numId w:val="151"/>
        </w:numPr>
        <w:rPr>
          <w:rFonts w:ascii="Arial" w:cs="Arial" w:eastAsia="Arial" w:hAnsi="Arial"/>
          <w:sz w:val="18"/>
          <w:szCs w:val="18"/>
          <w:color w:val="auto"/>
        </w:rPr>
      </w:pPr>
      <w:r>
        <w:rPr>
          <w:rFonts w:ascii="Arial" w:cs="Arial" w:eastAsia="Arial" w:hAnsi="Arial"/>
          <w:sz w:val="18"/>
          <w:szCs w:val="18"/>
          <w:color w:val="auto"/>
        </w:rPr>
        <w:t>results in the acceleration of such Indebtedness prior to its express maturity, and, in each case, the principal amount of any such Indebtedness, together with the principal amount of any other such Indebtedness under which there has been a Payment Default or the maturity of which has been so accelerated, aggregates $20.0 million or more;</w:t>
      </w:r>
    </w:p>
    <w:p>
      <w:pPr>
        <w:spacing w:after="0" w:line="59" w:lineRule="exact"/>
        <w:rPr>
          <w:rFonts w:ascii="Arial" w:cs="Arial" w:eastAsia="Arial" w:hAnsi="Arial"/>
          <w:sz w:val="18"/>
          <w:szCs w:val="18"/>
          <w:color w:val="auto"/>
        </w:rPr>
      </w:pPr>
    </w:p>
    <w:p>
      <w:pPr>
        <w:ind w:left="460" w:right="80" w:firstLine="443"/>
        <w:spacing w:after="0" w:line="259" w:lineRule="auto"/>
        <w:tabs>
          <w:tab w:leader="none" w:pos="1147" w:val="left"/>
        </w:tabs>
        <w:numPr>
          <w:ilvl w:val="0"/>
          <w:numId w:val="151"/>
        </w:numPr>
        <w:rPr>
          <w:rFonts w:ascii="Arial" w:cs="Arial" w:eastAsia="Arial" w:hAnsi="Arial"/>
          <w:sz w:val="18"/>
          <w:szCs w:val="18"/>
          <w:color w:val="auto"/>
        </w:rPr>
      </w:pPr>
      <w:r>
        <w:rPr>
          <w:rFonts w:ascii="Arial" w:cs="Arial" w:eastAsia="Arial" w:hAnsi="Arial"/>
          <w:sz w:val="18"/>
          <w:szCs w:val="18"/>
          <w:color w:val="auto"/>
        </w:rPr>
        <w:t>failure by Wynn Capital, Wynn Las Vegas or any of its Restricted Subsidiaries to pay final non-appealable judgments (not paid or covered by insurance as to which the relevant insurance company has not denied responsibility) aggregating in excess of $20.0 million, which judgments are not paid, bonded, discharged or stayed for a period of 60 days;</w:t>
      </w:r>
    </w:p>
    <w:p>
      <w:pPr>
        <w:spacing w:after="0" w:line="59" w:lineRule="exact"/>
        <w:rPr>
          <w:rFonts w:ascii="Arial" w:cs="Arial" w:eastAsia="Arial" w:hAnsi="Arial"/>
          <w:sz w:val="18"/>
          <w:szCs w:val="18"/>
          <w:color w:val="auto"/>
        </w:rPr>
      </w:pPr>
    </w:p>
    <w:p>
      <w:pPr>
        <w:ind w:left="460" w:firstLine="443"/>
        <w:spacing w:after="0" w:line="255" w:lineRule="auto"/>
        <w:tabs>
          <w:tab w:leader="none" w:pos="1147"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any event of default under any of the Collateral Documents or any of the Collateral Documents shall cease, for any reason (other than pursuant to their terms), to be in full force and effect, or Wynn Capital, Wynn Las Vegas or any of its Restricted Subsidiaries or any Affiliate of any such Person or any Person acting on behalf of any such Person, shall so assert as to any of such Person’s properties or assets, or any security interest created, or purported to be created, by any of the Collateral Documents shall cease to be enforceable and of the same effect and priority purported to be created by the Collateral Documents;</w:t>
      </w:r>
    </w:p>
    <w:p>
      <w:pPr>
        <w:spacing w:after="0" w:line="61" w:lineRule="exact"/>
        <w:rPr>
          <w:rFonts w:ascii="Arial" w:cs="Arial" w:eastAsia="Arial" w:hAnsi="Arial"/>
          <w:sz w:val="18"/>
          <w:szCs w:val="18"/>
          <w:color w:val="auto"/>
        </w:rPr>
      </w:pPr>
    </w:p>
    <w:p>
      <w:pPr>
        <w:ind w:left="460" w:right="40" w:firstLine="443"/>
        <w:spacing w:after="0" w:line="294" w:lineRule="auto"/>
        <w:tabs>
          <w:tab w:leader="none" w:pos="1147" w:val="left"/>
        </w:tabs>
        <w:numPr>
          <w:ilvl w:val="0"/>
          <w:numId w:val="151"/>
        </w:numPr>
        <w:rPr>
          <w:rFonts w:ascii="Arial" w:cs="Arial" w:eastAsia="Arial" w:hAnsi="Arial"/>
          <w:sz w:val="16"/>
          <w:szCs w:val="16"/>
          <w:color w:val="auto"/>
        </w:rPr>
      </w:pPr>
      <w:r>
        <w:rPr>
          <w:rFonts w:ascii="Arial" w:cs="Arial" w:eastAsia="Arial" w:hAnsi="Arial"/>
          <w:sz w:val="16"/>
          <w:szCs w:val="16"/>
          <w:color w:val="auto"/>
        </w:rPr>
        <w:t>any material representation or warranty made or deemed made by Wynn Capital, Wynn Las Vegas or any of its Restricted Subsidiaries in any Collateral Document or that is contained in any certificate, document or financial or other statement furnished by it at any time under or in connection with any such Collateral Document shall prove to have been inaccurate in any material respect on or as of the date made or deemed made, except that the inaccuracy of any representation or warranty contained only in the Disbursement Agreement shall constitute an Event of Default hereunder only to the extent such inaccuracy constitutes an event of default under the Disbursement Agreement;</w:t>
      </w:r>
    </w:p>
    <w:p>
      <w:pPr>
        <w:spacing w:after="0" w:line="34" w:lineRule="exact"/>
        <w:rPr>
          <w:rFonts w:ascii="Arial" w:cs="Arial" w:eastAsia="Arial" w:hAnsi="Arial"/>
          <w:sz w:val="16"/>
          <w:szCs w:val="16"/>
          <w:color w:val="auto"/>
        </w:rPr>
      </w:pPr>
    </w:p>
    <w:p>
      <w:pPr>
        <w:jc w:val="both"/>
        <w:ind w:left="460" w:right="200" w:firstLine="443"/>
        <w:spacing w:after="0" w:line="256" w:lineRule="auto"/>
        <w:tabs>
          <w:tab w:leader="none" w:pos="123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except as expressly permitted therein or by the Indenture, the Completion Guarantee or any Note Guarantee issued by a Significant Restricted Subsidiary of Wynn Las Vegas shall be held in any judicial proceeding to be unenforceable or invalid or shall cease for any reason to be in full force and effect or the Completion Guarantor or any Restricted Subsidiary of Wynn Las Vegas, or any Person acting on behalf of any such Person, shall deny or disaffirm its obligations under its Note Guarantee;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00"/>
          </w:cols>
          <w:pgMar w:left="240" w:top="459" w:right="2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259" w:lineRule="auto"/>
        <w:tabs>
          <w:tab w:leader="none" w:pos="1228" w:val="left"/>
        </w:tabs>
        <w:numPr>
          <w:ilvl w:val="0"/>
          <w:numId w:val="152"/>
        </w:numPr>
        <w:rPr>
          <w:rFonts w:ascii="Arial" w:cs="Arial" w:eastAsia="Arial" w:hAnsi="Arial"/>
          <w:sz w:val="18"/>
          <w:szCs w:val="18"/>
          <w:color w:val="auto"/>
        </w:rPr>
      </w:pPr>
      <w:r>
        <w:rPr>
          <w:rFonts w:ascii="Arial" w:cs="Arial" w:eastAsia="Arial" w:hAnsi="Arial"/>
          <w:sz w:val="18"/>
          <w:szCs w:val="18"/>
          <w:color w:val="auto"/>
        </w:rPr>
        <w:t>certain events of bankruptcy or insolvency described in the Indenture with respect to (a) either Issuer, (b) any Significant Restricted Subsidiary of Wynn Las Vegas or (c) any group of Restricted Subsidiaries of Wynn Las Vegas that, taken together, would constitute a Significant Restricted Subsidiary of Wynn Las Vegas;</w:t>
      </w:r>
    </w:p>
    <w:p>
      <w:pPr>
        <w:spacing w:after="0" w:line="59" w:lineRule="exact"/>
        <w:rPr>
          <w:rFonts w:ascii="Arial" w:cs="Arial" w:eastAsia="Arial" w:hAnsi="Arial"/>
          <w:sz w:val="18"/>
          <w:szCs w:val="18"/>
          <w:color w:val="auto"/>
        </w:rPr>
      </w:pPr>
    </w:p>
    <w:p>
      <w:pPr>
        <w:ind w:left="460" w:firstLine="443"/>
        <w:spacing w:after="0" w:line="268" w:lineRule="auto"/>
        <w:tabs>
          <w:tab w:leader="none" w:pos="123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revocation, termination, suspension or other cessation of effectiveness of any Gaming License which results in the cessation or suspension of gaming operations at any Gaming Facility for a period of more than 90 consecutive days; or</w:t>
      </w:r>
    </w:p>
    <w:p>
      <w:pPr>
        <w:spacing w:after="0" w:line="50" w:lineRule="exact"/>
        <w:rPr>
          <w:rFonts w:ascii="Arial" w:cs="Arial" w:eastAsia="Arial" w:hAnsi="Arial"/>
          <w:sz w:val="18"/>
          <w:szCs w:val="18"/>
          <w:color w:val="auto"/>
        </w:rPr>
      </w:pPr>
    </w:p>
    <w:p>
      <w:pPr>
        <w:ind w:left="1240" w:hanging="337"/>
        <w:spacing w:after="0"/>
        <w:tabs>
          <w:tab w:leader="none" w:pos="12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if Wynn Las Vegas ever fails to own, directly or indirectly, 100% of the issued and outstanding Equity Interests of Wynn Capital.</w:t>
      </w:r>
    </w:p>
    <w:p>
      <w:pPr>
        <w:spacing w:after="0" w:line="171"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In the case of an Event of Default arising from certain events of bankruptcy or insolvency, with respect to either Issuer, any Significant Restricted Subsidiary or any group of Restricted Subsidiaries that, taken together, would constitute a Significant Restricted Subsidiary, all outstanding 2017 Notes will become due and payable immediately without further action or notice. If any other Event of Default occurs and is continuing, the trustee or the holders of at least 25% in aggregate principal amount of the then outstanding 2017 Notes may declare all the 2017 Notes to be due and payable immediately.</w:t>
      </w:r>
    </w:p>
    <w:p>
      <w:pPr>
        <w:spacing w:after="0" w:line="11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Holders of the 2017 Notes may not enforce the Indenture or the 2017 Notes except as provided in the Indenture, the Intercreditor Agreement and the other Collateral Documents. Subject to certain limitations, holders of a majority in aggregate principal amount of the then outstanding 2017 Notes may direct the trustee in its exercise of any trust or power. The trustee may withhold from holders of the 2017 Notes notice of any continuing Default or Event of Default if it determines that withholding notice is in their interest, except a Default or Event of Default relating to the payment of principal, interest or premium, if any, or Liquidated Damages, if any.</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Subject to the provisions of the Indenture relating to the duties of the trustee, in case an Event of Default occurs and is continuing, the trustee will be under no obligation to exercise any of the rights or powers under the Indenture at the request or direction of any holders of 2017 Notes unless such holders have offered to the trustee reasonable indemnity or security against any loss, liability or expense. Except to enforce the right to receive payment of principal, interest or premium, if any, or Liquidated Damages, if any, when due, no holder of a 2017 Note may pursue any remedy with respect to the Indenture or the 2017 Notes unless:</w:t>
      </w:r>
    </w:p>
    <w:p>
      <w:pPr>
        <w:spacing w:after="0" w:line="62" w:lineRule="exact"/>
        <w:rPr>
          <w:sz w:val="20"/>
          <w:szCs w:val="20"/>
          <w:color w:val="auto"/>
        </w:rPr>
      </w:pPr>
    </w:p>
    <w:p>
      <w:pPr>
        <w:ind w:left="1160" w:hanging="257"/>
        <w:spacing w:after="0"/>
        <w:tabs>
          <w:tab w:leader="none" w:pos="11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such holder has previously given the trustee notice that an Event of Default is continuing;</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holders of at least 25% in aggregate principal amount of the then outstanding 2017 Notes have requested the trustee to pursue the remedy;</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such holders have offered the trustee reasonable security or indemnity against any loss, liability or expense;</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trustee has not complied with such request within 60 days after the receipt of the request and the offer of security or indemnity; and</w:t>
      </w:r>
    </w:p>
    <w:p>
      <w:pPr>
        <w:spacing w:after="0" w:line="113" w:lineRule="exact"/>
        <w:rPr>
          <w:rFonts w:ascii="Arial" w:cs="Arial" w:eastAsia="Arial" w:hAnsi="Arial"/>
          <w:sz w:val="16"/>
          <w:szCs w:val="16"/>
          <w:color w:val="auto"/>
        </w:rPr>
      </w:pPr>
    </w:p>
    <w:p>
      <w:pPr>
        <w:ind w:left="460" w:right="260" w:firstLine="443"/>
        <w:spacing w:after="0" w:line="268" w:lineRule="auto"/>
        <w:tabs>
          <w:tab w:leader="none" w:pos="1147" w:val="left"/>
        </w:tabs>
        <w:numPr>
          <w:ilvl w:val="0"/>
          <w:numId w:val="153"/>
        </w:numPr>
        <w:rPr>
          <w:rFonts w:ascii="Arial" w:cs="Arial" w:eastAsia="Arial" w:hAnsi="Arial"/>
          <w:sz w:val="18"/>
          <w:szCs w:val="18"/>
          <w:color w:val="auto"/>
        </w:rPr>
      </w:pPr>
      <w:r>
        <w:rPr>
          <w:rFonts w:ascii="Arial" w:cs="Arial" w:eastAsia="Arial" w:hAnsi="Arial"/>
          <w:sz w:val="18"/>
          <w:szCs w:val="18"/>
          <w:color w:val="auto"/>
        </w:rPr>
        <w:t>holders of a majority in aggregate principal amount of the then outstanding 2017 Notes have not given the trustee a direction inconsistent with such request within such 60-day period.</w:t>
      </w:r>
    </w:p>
    <w:p>
      <w:pPr>
        <w:spacing w:after="0" w:line="132"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The holders of a majority in aggregate principal amount of the then outstanding 2017 Notes by notice to the trustee may, on behalf of the holders of all of the 2017 Notes, rescind an acceleration or waive any existing Default or Event of Default and its consequences under the Indenture, except a continuing Default or Event of Default in the payment of interest or premium, if any, or Liquidated Damages, if any, on, or the principal of, the 2017 Notes.</w:t>
      </w:r>
    </w:p>
    <w:p>
      <w:pPr>
        <w:spacing w:after="0" w:line="107" w:lineRule="exact"/>
        <w:rPr>
          <w:sz w:val="20"/>
          <w:szCs w:val="20"/>
          <w:color w:val="auto"/>
        </w:rPr>
      </w:pPr>
    </w:p>
    <w:p>
      <w:pPr>
        <w:ind w:right="400" w:firstLine="456"/>
        <w:spacing w:after="0" w:line="370" w:lineRule="auto"/>
        <w:rPr>
          <w:sz w:val="20"/>
          <w:szCs w:val="20"/>
          <w:color w:val="auto"/>
        </w:rPr>
      </w:pPr>
      <w:r>
        <w:rPr>
          <w:rFonts w:ascii="Arial" w:cs="Arial" w:eastAsia="Arial" w:hAnsi="Arial"/>
          <w:sz w:val="15"/>
          <w:szCs w:val="15"/>
          <w:color w:val="auto"/>
        </w:rPr>
        <w:t>The Issuers are required to deliver to the trustee annually a statement regarding compliance with the Indenture and the Collateral Documents. Upon becoming aware of any Default or Event of Default, the Issuers are required to deliver to the trustee a statement specifying such Default or Event of Default.</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00"/>
          </w:cols>
          <w:pgMar w:left="240" w:top="459" w:right="2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Remedies upon Default Under the 2017 Notes</w:t>
      </w:r>
    </w:p>
    <w:p>
      <w:pPr>
        <w:spacing w:after="0" w:line="90"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Under certain circumstances, the trustee may initiate a foreclosure against all or a portion of the Collateral if an Event of Default has occurred and is continuing. A foreclosure against the Collateral will be subject to certain notice and other procedural limitations under Gaming Laws and laws applicable to secured creditors generally, and to the provisions of the Intercreditor Agreement.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Enforcement of Collateral Documents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Generally, if an Event of Default occurs, subject to the provisions of the Intercreditor Agreement, the trustee, acting on behalf of the holders, can enforce its rights and remedies under the Indenture and the Collateral Documents. These remedies include (1) commencing a judicial proceeding to seek monetary judgments against either Issuer, any Restricted Subsidiary of Wynn Las Vegas or any Guarantor, (2) foreclosing on and selling the Collateral covered by the Deeds of Trust and perfected Liens on personal property Collateral, and (3) enforcing the assignments of rents and leases. However, legal and procedural restrictions may impair the exercise by the trustee of its rights and remedies. See “—Gaming Law Limitations on Foreclosure,” “—Bankruptcy Limitations on Foreclosure” and “—Real Property Collateral.”</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Rights in the Pledged Collateral</w:t>
      </w:r>
    </w:p>
    <w:p>
      <w:pPr>
        <w:spacing w:after="0" w:line="90" w:lineRule="exact"/>
        <w:rPr>
          <w:sz w:val="20"/>
          <w:szCs w:val="20"/>
          <w:color w:val="auto"/>
        </w:rPr>
      </w:pPr>
    </w:p>
    <w:p>
      <w:pPr>
        <w:ind w:right="240" w:firstLine="456"/>
        <w:spacing w:after="0" w:line="254" w:lineRule="auto"/>
        <w:rPr>
          <w:sz w:val="20"/>
          <w:szCs w:val="20"/>
          <w:color w:val="auto"/>
        </w:rPr>
      </w:pPr>
      <w:r>
        <w:rPr>
          <w:rFonts w:ascii="Arial" w:cs="Arial" w:eastAsia="Arial" w:hAnsi="Arial"/>
          <w:sz w:val="18"/>
          <w:szCs w:val="18"/>
          <w:color w:val="auto"/>
        </w:rPr>
        <w:t>So long as no Event of Default shall have occurred and be continuing, and subject to certain terms and conditions in the Indenture, the Intercreditor Agreement and the other Collateral Documents, Wynn Las Vegas and each Guarantor will be entitled to receive the benefit of all cash dividends, interest and other payments made upon or with respect to the Collateral pledged by that entity and to exercise any voting and other consensual rights pertaining to the Collateral pledged by that entity. Upon the occurrence and during the continuance of an Event of Default and, subject to the terms of the Collateral Documents and the limitations in the Intercreditor Agreement and the exercise by the trustee of its rights under the Collateral Documents and subject to applicable Gaming Laws:</w:t>
      </w:r>
    </w:p>
    <w:p>
      <w:pPr>
        <w:spacing w:after="0" w:line="63" w:lineRule="exact"/>
        <w:rPr>
          <w:sz w:val="20"/>
          <w:szCs w:val="20"/>
          <w:color w:val="auto"/>
        </w:rPr>
      </w:pPr>
    </w:p>
    <w:p>
      <w:pPr>
        <w:ind w:left="460" w:right="120" w:firstLine="443"/>
        <w:spacing w:after="0" w:line="357" w:lineRule="auto"/>
        <w:tabs>
          <w:tab w:leader="none" w:pos="1147" w:val="left"/>
        </w:tabs>
        <w:numPr>
          <w:ilvl w:val="0"/>
          <w:numId w:val="154"/>
        </w:numPr>
        <w:rPr>
          <w:rFonts w:ascii="Arial" w:cs="Arial" w:eastAsia="Arial" w:hAnsi="Arial"/>
          <w:sz w:val="15"/>
          <w:szCs w:val="15"/>
          <w:color w:val="auto"/>
        </w:rPr>
      </w:pPr>
      <w:r>
        <w:rPr>
          <w:rFonts w:ascii="Arial" w:cs="Arial" w:eastAsia="Arial" w:hAnsi="Arial"/>
          <w:sz w:val="15"/>
          <w:szCs w:val="15"/>
          <w:color w:val="auto"/>
        </w:rPr>
        <w:t>upon receipt by the affected entity of notice from the trustee so stating, all rights of such entity to exercise such voting or other consensual rights will cease, and all such rights shall become vested in the trustee which, to the extent permitted by law, will have the sole right to exercise such rights;</w:t>
      </w:r>
    </w:p>
    <w:p>
      <w:pPr>
        <w:ind w:left="460" w:right="120" w:firstLine="443"/>
        <w:spacing w:after="0" w:line="268" w:lineRule="auto"/>
        <w:tabs>
          <w:tab w:leader="none" w:pos="1147"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all rights of the entity to receive all cash dividends, interest and other payments made upon, or with respect to, the Collateral will cease and such cash dividends, interest and other payments will be paid to the trustee; and</w:t>
      </w:r>
    </w:p>
    <w:p>
      <w:pPr>
        <w:spacing w:after="0" w:line="50" w:lineRule="exact"/>
        <w:rPr>
          <w:rFonts w:ascii="Arial" w:cs="Arial" w:eastAsia="Arial" w:hAnsi="Arial"/>
          <w:sz w:val="18"/>
          <w:szCs w:val="18"/>
          <w:color w:val="auto"/>
        </w:rPr>
      </w:pPr>
    </w:p>
    <w:p>
      <w:pPr>
        <w:ind w:left="460" w:right="320" w:firstLine="443"/>
        <w:spacing w:after="0" w:line="332" w:lineRule="auto"/>
        <w:tabs>
          <w:tab w:leader="none" w:pos="1147" w:val="left"/>
        </w:tabs>
        <w:numPr>
          <w:ilvl w:val="0"/>
          <w:numId w:val="154"/>
        </w:numPr>
        <w:rPr>
          <w:rFonts w:ascii="Arial" w:cs="Arial" w:eastAsia="Arial" w:hAnsi="Arial"/>
          <w:sz w:val="16"/>
          <w:szCs w:val="16"/>
          <w:color w:val="auto"/>
        </w:rPr>
      </w:pPr>
      <w:r>
        <w:rPr>
          <w:rFonts w:ascii="Arial" w:cs="Arial" w:eastAsia="Arial" w:hAnsi="Arial"/>
          <w:sz w:val="16"/>
          <w:szCs w:val="16"/>
          <w:color w:val="auto"/>
        </w:rPr>
        <w:t>subject to applicable law, including procedural restraints imposed on sales of collateral by secured creditors generally, the trustee may sell the Collateral or any part thereof in accordance with the terms of the Indenture, the Intercreditor Agreement and the other Collateral Documents.</w:t>
      </w:r>
    </w:p>
    <w:p>
      <w:pPr>
        <w:spacing w:after="0" w:line="85"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Nothing contained in this paragraph shall be deemed to restrict the ability of Wynn Las Vegas to make the Restricted Payments permitted to be made during the occurrence of an Event of Default under the covenant described above under the caption “—Certain Covenants—Restricted Payments.”</w:t>
      </w:r>
    </w:p>
    <w:p>
      <w:pPr>
        <w:spacing w:after="0" w:line="85" w:lineRule="exact"/>
        <w:rPr>
          <w:sz w:val="20"/>
          <w:szCs w:val="20"/>
          <w:color w:val="auto"/>
        </w:rPr>
      </w:pPr>
    </w:p>
    <w:p>
      <w:pPr>
        <w:jc w:val="both"/>
        <w:ind w:right="380" w:firstLine="456"/>
        <w:spacing w:after="0" w:line="335" w:lineRule="auto"/>
        <w:rPr>
          <w:sz w:val="20"/>
          <w:szCs w:val="20"/>
          <w:color w:val="auto"/>
        </w:rPr>
      </w:pPr>
      <w:r>
        <w:rPr>
          <w:rFonts w:ascii="Arial" w:cs="Arial" w:eastAsia="Arial" w:hAnsi="Arial"/>
          <w:sz w:val="15"/>
          <w:szCs w:val="15"/>
          <w:color w:val="auto"/>
        </w:rPr>
        <w:t>The trustee may appoint one or more collateral agents, who may be delegated any one or more of the duties or rights of the trustee under the Collateral Documents, or who may enter into one or more of the Collateral Documents on behalf of the trustee. The initial collateral agent will be Deutsche Bank Trust Company Americas. The same collateral agent may also act on behalf of the lenders under the Credit Agreement and other creditors of Wynn Las Vegas.</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Intercreditor Agreement</w:t>
      </w:r>
    </w:p>
    <w:p>
      <w:pPr>
        <w:spacing w:after="0" w:line="9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The Intercreditor Agreement imposes restrictions on the exercise of rights and remedies by the 2017 noteholders with respect to the Collateral. See “Intercreditor Agreement.”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Gaming Law Limitations on Granting of Security Interests</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ability of Wynn Las Vegas or any Guarantor to grant security interests in the Collateral is limited by Nevada Gaming Laws. Under Nevada Gaming Laws, none of Wynn Las Vegas or the Guarantors may grant a security interest in (1) the gaming, liquor and other licenses issued to them by the Nevada Gaming Authorities or (2) unless consented to in advance by the Nevada Gaming Authorities, the ownership interests of any person that holds any such license.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Gaming Law Limitations on Foreclosure</w:t>
      </w:r>
    </w:p>
    <w:p>
      <w:pPr>
        <w:spacing w:after="0" w:line="90"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The trustee’s ability to foreclose upon the Collateral will be limited by Nevada Gaming Laws. These laws require that persons who own or operate a casino or own or lease gambling equipment or gambling supplies hold a Gaming License. No person can hold a Gaming License in Nevada unless the person is found qualified or suitable by the Nevada Gaming Authorities. During any foreclosure proceeding, the trustee could seek the appointment of a receiver through a petition to the appropriate Nevada state court to take possession of the Collateral. The receiver may be required to obtain the approval of the Nevada Gaming Authorities to continue gaming operations until the foreclosure sale. If the trustee acquired the Collateral in a foreclosure sale, it may contract for the operation of the Collateral by an independent operator who would be required to comply with the licensing requirements and other restrictions imposed by the Nevada Gaming Authorities, pursuant to an arrangement under which the holders of the 2017 Notes would not share in the profits or losses of gaming operations. In addition, if the trustee acquires and operates the Collateral, the trustee and the holders of the 2017 Notes will, if they share in the profits and losses, and may, in any event, be required to comply with the licensing requirements under the Nevada Gaming Laws. In any foreclosure sale, licensing requirements under the Nevada Gaming Control Act may limit the number of potential bidders and may delay the sale of the Collateral, either of which could adversely affect the sale price of the Collateral. See “Risk Factors—Risks Related to the 2020 Notes and the 2017 Notes—Bankruptcy laws may significantly impair your rights to repossess and dispose of collateral securing the 2017 Notes, and otherwise collect on any amounts due thereunder” and “Risk Factors —Risks Related to the 2020 Notes and the 2017 Notes—In the event that a bankruptcy court orders the substantive consolidation of us with certain affiliated parties, payments on the 2017 Notes could be delayed or reduced.”</w:t>
      </w:r>
    </w:p>
    <w:p>
      <w:pPr>
        <w:spacing w:after="0" w:line="21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Bankruptcy Limitations on Foreclosure</w:t>
      </w:r>
    </w:p>
    <w:p>
      <w:pPr>
        <w:spacing w:after="0" w:line="90"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The right of the trustee to repossess and dispose of Collateral upon the occurrence of an Event of Default is likely to be significantly impaired by applicable bankruptcy and insolvency laws if a proceeding under those laws were to be commenced by or against Wynn Resorts or any of its Subsidiaries prior to the trustee having repossessed and disposed of the Collateral. Under the Bankruptcy Code, a secured creditor, such as the trustee, is prohibited from repossessing its security from a debtor in a bankruptcy case, or from disposing of security repossessed from such debtor, without bankruptcy court approval.</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addition, the Bankruptcy Code permits a debtor to continue to retain and to use collateral (and the proceeds, products, offspring, rents or profits of that collateral) even though the debtor is in default under the applicable debt instruments, so long as the secured creditor is given “adequate protection.” The meaning of the term “adequate protection” may vary according to the circumstances, but it is intended in general to protect the value of the secured creditor’s interest in the collateral and may include, if approved by the bankruptcy court, cash payments or the granting of replacement liens or additional security for any diminution in the value of the collateral as a result of the stay of repossession or the disposition or any use of the collateral by the debtor during the pendency of the bankruptcy case. The bankruptcy court has broad discretionary powers in all these matters, including the valuation of the collateral and the nature, accessibility or value of any other collateral that may be substituted for it. Also, since the enforcement of the trustee’s security interest in the Collateral consisting of cash, deposit accounts and cash equivalents may be limited in a bankruptcy proceeding, the holders may not have any consent rights with respect to the use of those funds by Wynn Resorts or any of its Subsidiaries during the pendency of the proceeding.</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view of these considerations, we cannot predict how long payments under the 2017 Notes could be delayed following commencement of a bankruptcy case, whether or when the trustee could repossess or dispose of the Collateral or whether or to what extent holders would be compensated for any delay in payment or loss of value of the Collateral.</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Real Property Collateral</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Before pursuing any foreclosures or otherwise executing on any of the Collateral, the trustee will need to consider the effect of Nevada law, which requires that where a debt is secured by real property, the debtor may require the creditor to exhaust its real property security before pursuing a judicial proceeding to obtain a monetary judgment against the debtor. If a creditor attempts to collect the indebtedness without first exercising its remedies under its deed of trust, the debtor could defend such action by requiring the creditor to first exhaust its rights under the deed of trust through statutory foreclosure proceedings. If, however, the debtor permitted the creditor to obtain a judgment without first exhausting remedies under the deed of trust, assuming such action was not stayed or dismissed before the entry of a final monetary judgment, then under Nevada law the security interest granted by the deed of trust would be released and discharged. This Nevada law is referred to as the “one action” rule.</w:t>
      </w:r>
    </w:p>
    <w:p>
      <w:pPr>
        <w:spacing w:after="0" w:line="118"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Real property pledged as security may be subject to known and unknown environmental risks or liabilities which can adversely affect the property’s value. In addition, under the federal Comprehensive Environmental Response Compensation and Liability Act, as amended, known as CERCLA, for example, a secured lender may be held liable, in certain limited circumstances, for the costs of remediating a release of or preventing a threatened release of hazardous substances at a mortgaged property. There may be similar risks under state laws or common law theories.</w:t>
      </w:r>
    </w:p>
    <w:p>
      <w:pPr>
        <w:spacing w:after="0" w:line="11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Under CERCLA, a person “who, without participating in the management of a facility, holds indicia of ownership primarily to protect his security interest” is not a property owner, and thus not a responsible person under CERCLA. Lenders have seldom been held liable under CERCLA. The lenders who have been found liable have generally been found to have been sufficiently involved in the mortgagor’s operations so that they have “participated in the management of the borrower.” CERCLA does not specify the level of actual participation in management. CERCLA was amended in 1996 to provide certain “safe harbors” for foreclosing lenders. However, the courts have not yet issued any definitive interpretations of the extent of these safe harbors. There is currently no controlling authority on this matter.</w:t>
      </w:r>
    </w:p>
    <w:p>
      <w:pPr>
        <w:spacing w:after="0" w:line="144"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trustee may appoint one or more collateral agents, who may be delegated any one or more of the duties or rights of the trustee under the Collateral Documents or which are specified in any Collateral Documents.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and Stockholders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No past, present or future director, officer, employee, incorporator, organizer, equity holder or member of either Issuer, any Restricted Subsidiary or any Guarantor, as such, will have any liability for any obligations of either Issuer, any Restricted Subsidiary or any Guarantor under the 2017 Notes, the Indenture, the Note Guarantees, the Collateral Documents or for any claim based on, in respect of, or by reason of, such obligations or their creation. Each holder of 2017 Notes by accepting a 2017 Note waives and releases all such liability. The waiver and release are part of the consideration for issuance of the 2017 Notes. The waiver may not be effective to waive liabilities under the federal securities laws.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Issuers may, at their option and at any time, elect to have all of their obligations discharged with respect to the outstanding 2017 Notes, all of the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obligations of the Guarantors discharged with respect to their Note Guarantees, and all obligations of the Issuers and the Guarantors discharged with respect to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Collateral Documents (“Legal Defeasance”) except for:</w:t>
      </w:r>
    </w:p>
    <w:p>
      <w:pPr>
        <w:spacing w:after="0" w:line="84" w:lineRule="exact"/>
        <w:rPr>
          <w:sz w:val="20"/>
          <w:szCs w:val="20"/>
          <w:color w:val="auto"/>
        </w:rPr>
      </w:pPr>
    </w:p>
    <w:p>
      <w:pPr>
        <w:ind w:left="460" w:right="700" w:firstLine="443"/>
        <w:spacing w:after="0" w:line="268" w:lineRule="auto"/>
        <w:tabs>
          <w:tab w:leader="none" w:pos="1147"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rights of holders of outstanding 2017 Notes to receive payments in respect of the principal of, or interest or premium and Liquidated Damages, if any, on, such 2017 Notes when such payments are due from the trust referred to below;</w:t>
      </w:r>
    </w:p>
    <w:p>
      <w:pPr>
        <w:spacing w:after="0" w:line="50" w:lineRule="exact"/>
        <w:rPr>
          <w:rFonts w:ascii="Arial" w:cs="Arial" w:eastAsia="Arial" w:hAnsi="Arial"/>
          <w:sz w:val="18"/>
          <w:szCs w:val="18"/>
          <w:color w:val="auto"/>
        </w:rPr>
      </w:pPr>
    </w:p>
    <w:p>
      <w:pPr>
        <w:ind w:left="460" w:right="340" w:firstLine="443"/>
        <w:spacing w:after="0" w:line="332" w:lineRule="auto"/>
        <w:tabs>
          <w:tab w:leader="none" w:pos="1147"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Issuers’ obligations with respect to the 2017 Notes concerning issuing temporary notes, registration of notes, mutilated, destroyed, lost or stolen notes and the maintenance of an office or agency for payment and money for security payments held in trust;</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rights, powers, trusts, duties and immunities of the trustee, the Issuers’ and the Guarantors’ obligations in connection therewith; and</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Legal Defeasance and Covenant Defeasance provisions of the Indenture.</w:t>
      </w:r>
    </w:p>
    <w:p>
      <w:pPr>
        <w:spacing w:after="0" w:line="17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addition, the Issuers may, at their option and at any time, elect to have the obligations of the Issuers, the Restricted Subsidiaries of Wynn Las Vegas and the Guarantors released with respect to certain covenants (including its obligation to make Change of Control Offers, Asset Sale Offers and Event of Loss Offers) that are described in the Indenture (“Covenant Defeasance”) and thereafter any omission to comply with those covenants will not constitute a Default or Event of Default with respect to the 2017 Notes. In the event Covenant Defeasance occurs, certain events (not including non-payment, bankruptcy, receivership, rehabilitation and insolvency events) described under the caption “—Events of Default and Remedies” will no longer constitute an Event of Default with respect to the 2017 Notes.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exercise either Legal Defeasance or Covenant Defeasance:</w:t>
      </w:r>
    </w:p>
    <w:p>
      <w:pPr>
        <w:spacing w:after="0" w:line="90" w:lineRule="exact"/>
        <w:rPr>
          <w:sz w:val="20"/>
          <w:szCs w:val="20"/>
          <w:color w:val="auto"/>
        </w:rPr>
      </w:pPr>
    </w:p>
    <w:p>
      <w:pPr>
        <w:ind w:left="460" w:right="40" w:firstLine="443"/>
        <w:spacing w:after="0" w:line="294" w:lineRule="auto"/>
        <w:tabs>
          <w:tab w:leader="none" w:pos="1147" w:val="left"/>
        </w:tabs>
        <w:numPr>
          <w:ilvl w:val="1"/>
          <w:numId w:val="156"/>
        </w:numPr>
        <w:rPr>
          <w:rFonts w:ascii="Arial" w:cs="Arial" w:eastAsia="Arial" w:hAnsi="Arial"/>
          <w:sz w:val="16"/>
          <w:szCs w:val="16"/>
          <w:color w:val="auto"/>
        </w:rPr>
      </w:pPr>
      <w:r>
        <w:rPr>
          <w:rFonts w:ascii="Arial" w:cs="Arial" w:eastAsia="Arial" w:hAnsi="Arial"/>
          <w:sz w:val="16"/>
          <w:szCs w:val="16"/>
          <w:color w:val="auto"/>
        </w:rPr>
        <w:t>the Issuers must irrevocably deposit with the trustee, in trust, for the benefit of the holders of the 2017 Notes, cash in U.S. dollars, non-callable Government Securities, or a combination of cash in U.S. dollars and non-callable Government Securities, in amounts as will be sufficient, in the opinion of a nationally recognized investment bank, appraisal firm or firm of independent public accountants, to pay the principal of, or interest and premium and Liquidated Damages, if any, on, the outstanding 2017 Notes on the stated date for payment thereof or on the applicable redemption date, as the case may be, and the Issuers must specify whether the 2017 Notes are being defeased to such stated date for payment or to a particular redemption date;</w:t>
      </w:r>
    </w:p>
    <w:p>
      <w:pPr>
        <w:spacing w:after="0" w:line="34" w:lineRule="exact"/>
        <w:rPr>
          <w:rFonts w:ascii="Arial" w:cs="Arial" w:eastAsia="Arial" w:hAnsi="Arial"/>
          <w:sz w:val="16"/>
          <w:szCs w:val="16"/>
          <w:color w:val="auto"/>
        </w:rPr>
      </w:pPr>
    </w:p>
    <w:p>
      <w:pPr>
        <w:ind w:left="1160" w:hanging="257"/>
        <w:spacing w:after="0"/>
        <w:tabs>
          <w:tab w:leader="none" w:pos="1160" w:val="left"/>
        </w:tabs>
        <w:numPr>
          <w:ilvl w:val="1"/>
          <w:numId w:val="156"/>
        </w:numPr>
        <w:rPr>
          <w:rFonts w:ascii="Arial" w:cs="Arial" w:eastAsia="Arial" w:hAnsi="Arial"/>
          <w:sz w:val="15"/>
          <w:szCs w:val="15"/>
          <w:color w:val="auto"/>
        </w:rPr>
      </w:pPr>
      <w:r>
        <w:rPr>
          <w:rFonts w:ascii="Arial" w:cs="Arial" w:eastAsia="Arial" w:hAnsi="Arial"/>
          <w:sz w:val="15"/>
          <w:szCs w:val="15"/>
          <w:color w:val="auto"/>
        </w:rPr>
        <w:t>in the case of Legal Defeasance, the Issuers must deliver to the trustee an opinion of counsel reasonably acceptable to the trustee confirming that</w:t>
      </w:r>
    </w:p>
    <w:p>
      <w:pPr>
        <w:spacing w:after="0" w:line="49" w:lineRule="exact"/>
        <w:rPr>
          <w:rFonts w:ascii="Arial" w:cs="Arial" w:eastAsia="Arial" w:hAnsi="Arial"/>
          <w:sz w:val="15"/>
          <w:szCs w:val="15"/>
          <w:color w:val="auto"/>
        </w:rPr>
      </w:pPr>
    </w:p>
    <w:p>
      <w:pPr>
        <w:ind w:left="460" w:right="100" w:firstLine="4"/>
        <w:spacing w:after="0" w:line="292" w:lineRule="auto"/>
        <w:tabs>
          <w:tab w:leader="none" w:pos="699"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the Issuers have received from, or there has been published by, the Internal Revenue Service a ruling or (b) since the date of the Indenture, there has been a change in the applicable United States federal income tax law, in either case to the effect that, and based thereon on such opinion of counsel shall confirm that, the holders of the outstanding 2017 Notes will not recognize income, gain or loss for United States federal income tax purposes as a result of such Legal Defeasance and will be subject to United States federal income tax on the same amounts, in the same manner and at the same times as would have been the case if such Legal Defeasance had not occurred;</w:t>
      </w:r>
    </w:p>
    <w:p>
      <w:pPr>
        <w:spacing w:after="0" w:line="35" w:lineRule="exact"/>
        <w:rPr>
          <w:rFonts w:ascii="Arial" w:cs="Arial" w:eastAsia="Arial" w:hAnsi="Arial"/>
          <w:sz w:val="16"/>
          <w:szCs w:val="16"/>
          <w:color w:val="auto"/>
        </w:rPr>
      </w:pPr>
    </w:p>
    <w:p>
      <w:pPr>
        <w:ind w:left="460" w:right="120" w:firstLine="443"/>
        <w:spacing w:after="0" w:line="256" w:lineRule="auto"/>
        <w:tabs>
          <w:tab w:leader="none" w:pos="1147" w:val="left"/>
        </w:tabs>
        <w:numPr>
          <w:ilvl w:val="1"/>
          <w:numId w:val="157"/>
        </w:numPr>
        <w:rPr>
          <w:rFonts w:ascii="Arial" w:cs="Arial" w:eastAsia="Arial" w:hAnsi="Arial"/>
          <w:sz w:val="18"/>
          <w:szCs w:val="18"/>
          <w:color w:val="auto"/>
        </w:rPr>
      </w:pPr>
      <w:r>
        <w:rPr>
          <w:rFonts w:ascii="Arial" w:cs="Arial" w:eastAsia="Arial" w:hAnsi="Arial"/>
          <w:sz w:val="18"/>
          <w:szCs w:val="18"/>
          <w:color w:val="auto"/>
        </w:rPr>
        <w:t>in the case of Covenant Defeasance, the Issuers must deliver to the trustee an opinion of counsel reasonably acceptable to the trustee confirming that the holders of the outstanding 2017 Notes will not recognize income, gain or loss for United States federal income tax purposes as a result of such Covenant Defeasance and will be subject to United States federal income tax on the same amounts, in the same manner and at the same times as would have been the case if such Covenant Defeasance had not occurred;</w:t>
      </w:r>
    </w:p>
    <w:p>
      <w:pPr>
        <w:spacing w:after="0" w:line="62" w:lineRule="exact"/>
        <w:rPr>
          <w:rFonts w:ascii="Arial" w:cs="Arial" w:eastAsia="Arial" w:hAnsi="Arial"/>
          <w:sz w:val="18"/>
          <w:szCs w:val="18"/>
          <w:color w:val="auto"/>
        </w:rPr>
      </w:pPr>
    </w:p>
    <w:p>
      <w:pPr>
        <w:ind w:left="460" w:right="40" w:firstLine="443"/>
        <w:spacing w:after="0" w:line="268" w:lineRule="auto"/>
        <w:tabs>
          <w:tab w:leader="none" w:pos="1147" w:val="left"/>
        </w:tabs>
        <w:numPr>
          <w:ilvl w:val="1"/>
          <w:numId w:val="157"/>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on the date of such deposit (other than a Default or Event of Default resulting from the borrowing of funds to be applied to such deposit)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00"/>
          </w:cols>
          <w:pgMar w:left="240" w:top="459" w:right="2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spacing w:after="0" w:line="268" w:lineRule="auto"/>
        <w:rPr>
          <w:sz w:val="20"/>
          <w:szCs w:val="20"/>
          <w:color w:val="auto"/>
        </w:rPr>
      </w:pPr>
      <w:r>
        <w:rPr>
          <w:rFonts w:ascii="Arial" w:cs="Arial" w:eastAsia="Arial" w:hAnsi="Arial"/>
          <w:sz w:val="18"/>
          <w:szCs w:val="18"/>
          <w:color w:val="auto"/>
        </w:rPr>
        <w:t>the deposit will not result in a breach or violation of, or constitute a default under, any other instrument to which either Issuer, any Restricted Subsidiary or any Guarantor is a party or by which either Issuer, any Restricted Subsidiary or any Guarantor is bound;</w:t>
      </w:r>
    </w:p>
    <w:p>
      <w:pPr>
        <w:spacing w:after="0" w:line="51" w:lineRule="exact"/>
        <w:rPr>
          <w:sz w:val="20"/>
          <w:szCs w:val="20"/>
          <w:color w:val="auto"/>
        </w:rPr>
      </w:pPr>
    </w:p>
    <w:p>
      <w:pPr>
        <w:jc w:val="both"/>
        <w:ind w:left="460" w:firstLine="443"/>
        <w:spacing w:after="0" w:line="259" w:lineRule="auto"/>
        <w:tabs>
          <w:tab w:leader="none" w:pos="1147" w:val="left"/>
        </w:tabs>
        <w:numPr>
          <w:ilvl w:val="0"/>
          <w:numId w:val="158"/>
        </w:numPr>
        <w:rPr>
          <w:rFonts w:ascii="Arial" w:cs="Arial" w:eastAsia="Arial" w:hAnsi="Arial"/>
          <w:sz w:val="18"/>
          <w:szCs w:val="18"/>
          <w:color w:val="auto"/>
        </w:rPr>
      </w:pPr>
      <w:r>
        <w:rPr>
          <w:rFonts w:ascii="Arial" w:cs="Arial" w:eastAsia="Arial" w:hAnsi="Arial"/>
          <w:sz w:val="18"/>
          <w:szCs w:val="18"/>
          <w:color w:val="auto"/>
        </w:rPr>
        <w:t>such Legal Defeasance or Covenant Defeasance will not result in a breach or violation of, or constitute a default under, any material agreement or instrument (other than the Indenture) to which either Issuer, any Restricted Subsidiary of Wynn Las Vegas or any Guarantor is a party or by which any such Person is bound;</w:t>
      </w:r>
    </w:p>
    <w:p>
      <w:pPr>
        <w:spacing w:after="0" w:line="59" w:lineRule="exact"/>
        <w:rPr>
          <w:rFonts w:ascii="Arial" w:cs="Arial" w:eastAsia="Arial" w:hAnsi="Arial"/>
          <w:sz w:val="18"/>
          <w:szCs w:val="18"/>
          <w:color w:val="auto"/>
        </w:rPr>
      </w:pPr>
    </w:p>
    <w:p>
      <w:pPr>
        <w:ind w:left="460" w:firstLine="443"/>
        <w:spacing w:after="0" w:line="298" w:lineRule="auto"/>
        <w:tabs>
          <w:tab w:leader="none" w:pos="1147" w:val="left"/>
        </w:tabs>
        <w:numPr>
          <w:ilvl w:val="0"/>
          <w:numId w:val="158"/>
        </w:numPr>
        <w:rPr>
          <w:rFonts w:ascii="Arial" w:cs="Arial" w:eastAsia="Arial" w:hAnsi="Arial"/>
          <w:sz w:val="16"/>
          <w:szCs w:val="16"/>
          <w:color w:val="auto"/>
        </w:rPr>
      </w:pPr>
      <w:r>
        <w:rPr>
          <w:rFonts w:ascii="Arial" w:cs="Arial" w:eastAsia="Arial" w:hAnsi="Arial"/>
          <w:sz w:val="16"/>
          <w:szCs w:val="16"/>
          <w:color w:val="auto"/>
        </w:rPr>
        <w:t>in the case of Legal Defeasance, the Issuers must deliver to the trustee an opinion of counsel to the effect that, assuming no intervening bankruptcy of the Issuers or any Guarantor between the date of deposit and the 91st day following the deposit and assuming that no holder of 2017 Notes is an “insider” of either Issuer under applicable bankruptcy law, after the 91st day following the deposit, the trust funds will not be subject to the effect of any applicable bankruptcy, insolvency, reorganization or similar laws affecting creditors’ rights generally;</w:t>
      </w:r>
    </w:p>
    <w:p>
      <w:pPr>
        <w:spacing w:after="0" w:line="31" w:lineRule="exact"/>
        <w:rPr>
          <w:rFonts w:ascii="Arial" w:cs="Arial" w:eastAsia="Arial" w:hAnsi="Arial"/>
          <w:sz w:val="16"/>
          <w:szCs w:val="16"/>
          <w:color w:val="auto"/>
        </w:rPr>
      </w:pPr>
    </w:p>
    <w:p>
      <w:pPr>
        <w:jc w:val="both"/>
        <w:ind w:left="460" w:right="140" w:firstLine="443"/>
        <w:spacing w:after="0" w:line="259" w:lineRule="auto"/>
        <w:tabs>
          <w:tab w:leader="none" w:pos="1147"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Issuers must deliver to the trustee an officers’ certificate stating that the deposit was not made by the Issuers with the intent of preferring the holders of 2017 Notes over the other creditors of the Issuers with the intent of defeating, hindering, delaying or defrauding any creditors of the Issuers or others; and</w:t>
      </w:r>
    </w:p>
    <w:p>
      <w:pPr>
        <w:spacing w:after="0" w:line="59" w:lineRule="exact"/>
        <w:rPr>
          <w:rFonts w:ascii="Arial" w:cs="Arial" w:eastAsia="Arial" w:hAnsi="Arial"/>
          <w:sz w:val="18"/>
          <w:szCs w:val="18"/>
          <w:color w:val="auto"/>
        </w:rPr>
      </w:pPr>
    </w:p>
    <w:p>
      <w:pPr>
        <w:ind w:left="460" w:right="220" w:firstLine="443"/>
        <w:spacing w:after="0" w:line="268" w:lineRule="auto"/>
        <w:tabs>
          <w:tab w:leader="none" w:pos="1147"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Issuers must deliver to the trustee an officers’ certificate and an opinion of counsel, each stating that all conditions precedent relating to the Legal Defeasance or the Covenant Defeasance have been complied with.</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 Release Mechanics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the terms of the Collateral Documents but subject to the provisions of the Intercreditor Agreement, the trustee will determine the circumstances and manner in which the Collateral will be disposed of, including the determination of whether to release all of the Collateral from the security interests created by the Collateral Documents and whether to foreclose on the Collateral following an Event of Default. The Collateral may be released from the Liens and the security interests created by the Collateral Documents upon the request of the Issuers pursuant to an officers’ certificate certifying that all terms for release and conditions precedent under the Indenture and under any applicable Collateral Document have been met and specifying (1) the identity of the Collateral to be released and (2) the provisions of the Indenture or the applicable Collateral Document which authorize that release.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Subject to the provisions of the Intercreditor Agreement, the trustee will release the Liens in favor of the trustee (at the sole cost and expense of the Issuers)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on:</w:t>
      </w:r>
    </w:p>
    <w:p>
      <w:pPr>
        <w:spacing w:after="0" w:line="84" w:lineRule="exact"/>
        <w:rPr>
          <w:sz w:val="20"/>
          <w:szCs w:val="20"/>
          <w:color w:val="auto"/>
        </w:rPr>
      </w:pPr>
    </w:p>
    <w:p>
      <w:pPr>
        <w:ind w:left="1160" w:hanging="257"/>
        <w:spacing w:after="0"/>
        <w:tabs>
          <w:tab w:leader="none" w:pos="116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all Collateral that is contributed, sold, leased, conveyed, transferred or otherwise disposed of (a) in an Asset Sale, Permitted Disposition,</w:t>
      </w:r>
    </w:p>
    <w:p>
      <w:pPr>
        <w:spacing w:after="0" w:line="38" w:lineRule="exact"/>
        <w:rPr>
          <w:rFonts w:ascii="Arial" w:cs="Arial" w:eastAsia="Arial" w:hAnsi="Arial"/>
          <w:sz w:val="16"/>
          <w:szCs w:val="16"/>
          <w:color w:val="auto"/>
        </w:rPr>
      </w:pPr>
    </w:p>
    <w:p>
      <w:pPr>
        <w:ind w:left="460"/>
        <w:spacing w:after="0" w:line="323" w:lineRule="auto"/>
        <w:rPr>
          <w:rFonts w:ascii="Arial" w:cs="Arial" w:eastAsia="Arial" w:hAnsi="Arial"/>
          <w:sz w:val="16"/>
          <w:szCs w:val="16"/>
          <w:color w:val="auto"/>
        </w:rPr>
      </w:pPr>
      <w:r>
        <w:rPr>
          <w:rFonts w:ascii="Arial" w:cs="Arial" w:eastAsia="Arial" w:hAnsi="Arial"/>
          <w:sz w:val="16"/>
          <w:szCs w:val="16"/>
          <w:color w:val="auto"/>
        </w:rPr>
        <w:t>Permitted Investment or Restricted Payment in accordance with the Indenture and the Collateral Documents, (b) to an Unrestricted Subsidiary of Wynn Las Vegas in accordance with the Indenture and the Collateral Documents or (c) as expressly permitted by the Collateral Documents;</w:t>
      </w:r>
    </w:p>
    <w:p>
      <w:pPr>
        <w:spacing w:after="0" w:line="11"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all Collateral that is condemned, seized or taken by the power of eminent domain or otherwise confiscated pursuant to an Event of Loss; provided that the Net Loss Proceeds, if any, from the Event of Loss are or will be applied in accordance with the covenant described above under the caption “— Repurchase at the Option of Holders—Events of Loss;”</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147"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all Collateral (except as provided in the discharge and defeasance provisions of the Indenture) upon Legal Defeasance as described under the caption set forth above under “—Legal Defeasance and Covenant Defeasance” or satisfaction and discharge of the Indenture as described under the caption set forth below under “—Satisfaction and Discharge;”</w:t>
      </w:r>
    </w:p>
    <w:p>
      <w:pPr>
        <w:spacing w:after="0" w:line="59" w:lineRule="exact"/>
        <w:rPr>
          <w:rFonts w:ascii="Arial" w:cs="Arial" w:eastAsia="Arial" w:hAnsi="Arial"/>
          <w:sz w:val="18"/>
          <w:szCs w:val="18"/>
          <w:color w:val="auto"/>
        </w:rPr>
      </w:pPr>
    </w:p>
    <w:p>
      <w:pPr>
        <w:ind w:left="460" w:right="140" w:firstLine="443"/>
        <w:spacing w:after="0" w:line="268" w:lineRule="auto"/>
        <w:tabs>
          <w:tab w:leader="none" w:pos="1147"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all Collateral upon the payment in full in cash of all Obligations of the Issuers and the Guarantors under the Indenture, the 2017 Notes, the Note Guarantees and the Collateral Documents;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00"/>
          </w:cols>
          <w:pgMar w:left="240" w:top="459" w:right="2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520" w:firstLine="443"/>
        <w:spacing w:after="0" w:line="268" w:lineRule="auto"/>
        <w:tabs>
          <w:tab w:leader="none" w:pos="1147" w:val="left"/>
        </w:tabs>
        <w:numPr>
          <w:ilvl w:val="0"/>
          <w:numId w:val="160"/>
        </w:numPr>
        <w:rPr>
          <w:rFonts w:ascii="Arial" w:cs="Arial" w:eastAsia="Arial" w:hAnsi="Arial"/>
          <w:sz w:val="18"/>
          <w:szCs w:val="18"/>
          <w:color w:val="auto"/>
        </w:rPr>
      </w:pPr>
      <w:r>
        <w:rPr>
          <w:rFonts w:ascii="Arial" w:cs="Arial" w:eastAsia="Arial" w:hAnsi="Arial"/>
          <w:sz w:val="18"/>
          <w:szCs w:val="18"/>
          <w:color w:val="auto"/>
        </w:rPr>
        <w:t>except as otherwise provided in the Indenture or the Collateral Documents, Collateral of a Guarantor, whose Note Guarantee is released or terminated pursuant to the terms of the Indenture;</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Released Assets;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Government Transfers consisting of transfers of fee interests in real property;</w:t>
      </w:r>
    </w:p>
    <w:p>
      <w:pPr>
        <w:spacing w:after="0" w:line="90" w:lineRule="exact"/>
        <w:rPr>
          <w:rFonts w:ascii="Arial" w:cs="Arial" w:eastAsia="Arial" w:hAnsi="Arial"/>
          <w:sz w:val="18"/>
          <w:szCs w:val="18"/>
          <w:color w:val="auto"/>
        </w:rPr>
      </w:pPr>
    </w:p>
    <w:p>
      <w:pPr>
        <w:ind w:left="460" w:right="280" w:firstLine="443"/>
        <w:spacing w:after="0" w:line="256" w:lineRule="auto"/>
        <w:tabs>
          <w:tab w:leader="none" w:pos="1147"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in connection with any sale, lease or other disposition of any assets in connection with (i) any timeshare, interval ownership or similar development or (ii) any condominium or similar development with respect to the Phase III Project, on any assets or interests in any assets so long as the lenders under the Credit Agreement concurrently release their security interest in such assets, so long as no Default or Event of Default exists or is continuing immediately prior to or after giving effect to such release; and</w:t>
      </w:r>
    </w:p>
    <w:p>
      <w:pPr>
        <w:spacing w:after="0" w:line="62"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any Water Rights covered by or relating to any water permits so long as such Water Rights are covered by or related to other water permits owned by Wynn Las Vegas or any of its Restricted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Supplement and Waiver</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Except as provided in the next three succeeding paragraphs, the Indenture, the 2017 Notes, the Note Guarantees or, subject to the terms of the Intercreditor Agreement, the Collateral Documents may be amended or supplemented with the consent of the holders of at least a majority in aggregate principal amount of the 2017 Notes then outstanding (including, without limitation, consents obtained in connection with a purchase of, or tender offer or exchange offer for, 2017 Notes), and any existing Default or Event of Default or compliance with any provision of the Indenture, the 2017 Notes, the Note Guarantees or, subject to the terms of the Intercreditor Agreement, the Collateral Documents may be waived with the consent of the holders of a majority in aggregate principal amount of the then outstanding 2017 Notes (including, without limitation, consents obtained in connection with a purchase of, or tender offer or exchange offer for, 2017 Notes).</w:t>
      </w:r>
    </w:p>
    <w:p>
      <w:pPr>
        <w:spacing w:after="0" w:line="14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The indenture provides that any amendment or modification to the definition of “Excluded Assets” in the Security Agreements or the definition of “Excluded Property” in the Deeds of Trust shall require the consent of the trustee if as a result of such amendment or modification the 2017 Notes will not be secured by substantially all of our and the guarantors’ assets.</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Under the Intercreditor Agreement, the agent under the Credit Agreement has the right, subject to certain limited exceptions, to direct the collateral agent to enter into amendments of, or waive defaults under, the Collateral Documents that grant Liens on the Collateral without obtaining the consent of the trustee or the holders of the 2017 Notes. In addition, the Indenture authorizes the trustee to enter into amendments, restatements and modifications of the Collateral Documents from time to time in connection with the grant of any Permitted Liens; provided, however, that any such amended, restated or modified Collateral Documents contain terms no less favorable to the trustee or the 2017 noteholders than the terms contained in the Collateral Documents being amended, restated or modified (except as expressly provided for in the Indenture); provided, further, that any such amendment, restatement or modification does not otherwise adversely affect the rights or remedies of the trustee or the 2017 noteholders in any material respect (except as expressly provided for in the Indenture). At any time when at least $100.0 million of Indebtedness remains outstanding under the Credit Agreement, the agent under the Credit Agreement will also have the right to amend the Intercreditor Agreement without the consent of the trustee or the holders of the 2017 Notes, so long as such amendment only affects the subordination provisions in respect of any junior Indebtedness but does not affect the provisions governing the relationship between the lenders under the Credit Agreement and the holders of the 2017 Notes. See “Intercreditor Agreement.”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00"/>
          </w:cols>
          <w:pgMar w:left="240" w:top="459" w:right="2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Without the consent of each holder of 2017 Notes affected or, in the case of clauses (8), (9) and (10) below only, without the consent of the holders of at least 95% in the aggregate principal amount of the 2017 Notes then outstanding, an amendment, supplement or waiver may not (with respect to any 2017 Notes held by a non-consenting holder):</w:t>
      </w:r>
    </w:p>
    <w:p>
      <w:pPr>
        <w:spacing w:after="0" w:line="59" w:lineRule="exact"/>
        <w:rPr>
          <w:sz w:val="20"/>
          <w:szCs w:val="20"/>
          <w:color w:val="auto"/>
        </w:rPr>
      </w:pPr>
    </w:p>
    <w:p>
      <w:pPr>
        <w:ind w:left="1160" w:hanging="257"/>
        <w:spacing w:after="0"/>
        <w:tabs>
          <w:tab w:leader="none" w:pos="116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reduce the principal amount of 2017 Notes whose holders must consent to an amendment, supplement or waiver;</w:t>
      </w:r>
    </w:p>
    <w:p>
      <w:pPr>
        <w:spacing w:after="0" w:line="90" w:lineRule="exact"/>
        <w:rPr>
          <w:rFonts w:ascii="Arial" w:cs="Arial" w:eastAsia="Arial" w:hAnsi="Arial"/>
          <w:sz w:val="18"/>
          <w:szCs w:val="18"/>
          <w:color w:val="auto"/>
        </w:rPr>
      </w:pPr>
    </w:p>
    <w:p>
      <w:pPr>
        <w:ind w:left="460" w:right="300" w:firstLine="443"/>
        <w:spacing w:after="0" w:line="332" w:lineRule="auto"/>
        <w:tabs>
          <w:tab w:leader="none" w:pos="1147" w:val="left"/>
        </w:tabs>
        <w:numPr>
          <w:ilvl w:val="1"/>
          <w:numId w:val="161"/>
        </w:numPr>
        <w:rPr>
          <w:rFonts w:ascii="Arial" w:cs="Arial" w:eastAsia="Arial" w:hAnsi="Arial"/>
          <w:sz w:val="16"/>
          <w:szCs w:val="16"/>
          <w:color w:val="auto"/>
        </w:rPr>
      </w:pPr>
      <w:r>
        <w:rPr>
          <w:rFonts w:ascii="Arial" w:cs="Arial" w:eastAsia="Arial" w:hAnsi="Arial"/>
          <w:sz w:val="16"/>
          <w:szCs w:val="16"/>
          <w:color w:val="auto"/>
        </w:rPr>
        <w:t>reduce the principal of or change the fixed maturity of any 2017 Note or alter the provisions with respect to the redemption of the 2017 Notes (other than provisions relating to the covenants described above under the caption “—Repurchase at the Option of Holders”);</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including default interest, on any 2017 Note;</w:t>
      </w:r>
    </w:p>
    <w:p>
      <w:pPr>
        <w:spacing w:after="0" w:line="90" w:lineRule="exact"/>
        <w:rPr>
          <w:rFonts w:ascii="Arial" w:cs="Arial" w:eastAsia="Arial" w:hAnsi="Arial"/>
          <w:sz w:val="18"/>
          <w:szCs w:val="18"/>
          <w:color w:val="auto"/>
        </w:rPr>
      </w:pPr>
    </w:p>
    <w:p>
      <w:pPr>
        <w:ind w:left="460" w:firstLine="443"/>
        <w:spacing w:after="0" w:line="259" w:lineRule="auto"/>
        <w:tabs>
          <w:tab w:leader="none" w:pos="1147" w:val="left"/>
        </w:tabs>
        <w:numPr>
          <w:ilvl w:val="1"/>
          <w:numId w:val="161"/>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principal of, or interest, premium, or Liquidated Damages, if any, on, the 2017 Notes (except a rescission of acceleration of the 2017 Notes by the holders of at least a majority in aggregate principal amount of the then outstanding 2017 Notes and a waiver of the payment default that resulted from such acceleration);</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make any note payable in money other than that stated in the 2017 Notes;</w:t>
      </w:r>
    </w:p>
    <w:p>
      <w:pPr>
        <w:spacing w:after="0" w:line="90" w:lineRule="exact"/>
        <w:rPr>
          <w:rFonts w:ascii="Arial" w:cs="Arial" w:eastAsia="Arial" w:hAnsi="Arial"/>
          <w:sz w:val="18"/>
          <w:szCs w:val="18"/>
          <w:color w:val="auto"/>
        </w:rPr>
      </w:pPr>
    </w:p>
    <w:p>
      <w:pPr>
        <w:ind w:left="460" w:right="20" w:firstLine="443"/>
        <w:spacing w:after="0" w:line="268" w:lineRule="auto"/>
        <w:tabs>
          <w:tab w:leader="none" w:pos="1147" w:val="left"/>
        </w:tabs>
        <w:numPr>
          <w:ilvl w:val="1"/>
          <w:numId w:val="161"/>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2017 Notes to receive payments of principal of, or interest, premium or Liquidated Damages, if any, on, the 2017 Notes;</w:t>
      </w:r>
    </w:p>
    <w:p>
      <w:pPr>
        <w:spacing w:after="0" w:line="50" w:lineRule="exact"/>
        <w:rPr>
          <w:rFonts w:ascii="Arial" w:cs="Arial" w:eastAsia="Arial" w:hAnsi="Arial"/>
          <w:sz w:val="18"/>
          <w:szCs w:val="18"/>
          <w:color w:val="auto"/>
        </w:rPr>
      </w:pPr>
    </w:p>
    <w:p>
      <w:pPr>
        <w:ind w:left="460" w:right="260" w:firstLine="443"/>
        <w:spacing w:after="0" w:line="268" w:lineRule="auto"/>
        <w:tabs>
          <w:tab w:leader="none" w:pos="1147" w:val="left"/>
        </w:tabs>
        <w:numPr>
          <w:ilvl w:val="1"/>
          <w:numId w:val="161"/>
        </w:numPr>
        <w:rPr>
          <w:rFonts w:ascii="Arial" w:cs="Arial" w:eastAsia="Arial" w:hAnsi="Arial"/>
          <w:sz w:val="18"/>
          <w:szCs w:val="18"/>
          <w:color w:val="auto"/>
        </w:rPr>
      </w:pPr>
      <w:r>
        <w:rPr>
          <w:rFonts w:ascii="Arial" w:cs="Arial" w:eastAsia="Arial" w:hAnsi="Arial"/>
          <w:sz w:val="18"/>
          <w:szCs w:val="18"/>
          <w:color w:val="auto"/>
        </w:rPr>
        <w:t>waive a redemption payment with respect to any 2017 Note (other than a payment required by one of the covenants described above under the caption “—Repurchase at the Option of Holders”);</w:t>
      </w:r>
    </w:p>
    <w:p>
      <w:pPr>
        <w:spacing w:after="0" w:line="50" w:lineRule="exact"/>
        <w:rPr>
          <w:rFonts w:ascii="Arial" w:cs="Arial" w:eastAsia="Arial" w:hAnsi="Arial"/>
          <w:sz w:val="18"/>
          <w:szCs w:val="18"/>
          <w:color w:val="auto"/>
        </w:rPr>
      </w:pPr>
    </w:p>
    <w:p>
      <w:pPr>
        <w:ind w:left="460" w:right="360" w:firstLine="443"/>
        <w:spacing w:after="0" w:line="268" w:lineRule="auto"/>
        <w:tabs>
          <w:tab w:leader="none" w:pos="1147" w:val="left"/>
        </w:tabs>
        <w:numPr>
          <w:ilvl w:val="1"/>
          <w:numId w:val="161"/>
        </w:numPr>
        <w:rPr>
          <w:rFonts w:ascii="Arial" w:cs="Arial" w:eastAsia="Arial" w:hAnsi="Arial"/>
          <w:sz w:val="18"/>
          <w:szCs w:val="18"/>
          <w:color w:val="auto"/>
        </w:rPr>
      </w:pPr>
      <w:r>
        <w:rPr>
          <w:rFonts w:ascii="Arial" w:cs="Arial" w:eastAsia="Arial" w:hAnsi="Arial"/>
          <w:sz w:val="18"/>
          <w:szCs w:val="18"/>
          <w:color w:val="auto"/>
        </w:rPr>
        <w:t>release all or substantially all of the Collateral or any Material Project Assets from the Collateral, in each case, except in accordance with the provisions of the Collateral Documents;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161"/>
        </w:numPr>
        <w:rPr>
          <w:rFonts w:ascii="Arial" w:cs="Arial" w:eastAsia="Arial" w:hAnsi="Arial"/>
          <w:sz w:val="16"/>
          <w:szCs w:val="16"/>
          <w:color w:val="auto"/>
        </w:rPr>
      </w:pPr>
      <w:r>
        <w:rPr>
          <w:rFonts w:ascii="Arial" w:cs="Arial" w:eastAsia="Arial" w:hAnsi="Arial"/>
          <w:sz w:val="16"/>
          <w:szCs w:val="16"/>
          <w:color w:val="auto"/>
        </w:rPr>
        <w:t>release any Guarantor from any of its obligations under its Note Guarantee or the Indenture if the assets or properties of that Guarantor</w:t>
      </w:r>
    </w:p>
    <w:p>
      <w:pPr>
        <w:spacing w:after="0" w:line="38" w:lineRule="exact"/>
        <w:rPr>
          <w:rFonts w:ascii="Arial" w:cs="Arial" w:eastAsia="Arial" w:hAnsi="Arial"/>
          <w:sz w:val="16"/>
          <w:szCs w:val="16"/>
          <w:color w:val="auto"/>
        </w:rPr>
      </w:pPr>
    </w:p>
    <w:p>
      <w:pPr>
        <w:ind w:left="700" w:hanging="236"/>
        <w:spacing w:after="0"/>
        <w:tabs>
          <w:tab w:leader="none" w:pos="70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constitute all or substantially all of the Collateral or (b) include Material Project Assets, except in accordance with the terms of the Indenture;</w:t>
      </w:r>
    </w:p>
    <w:p>
      <w:pPr>
        <w:spacing w:after="0" w:line="106" w:lineRule="exact"/>
        <w:rPr>
          <w:rFonts w:ascii="Arial" w:cs="Arial" w:eastAsia="Arial" w:hAnsi="Arial"/>
          <w:sz w:val="16"/>
          <w:szCs w:val="16"/>
          <w:color w:val="auto"/>
        </w:rPr>
      </w:pPr>
    </w:p>
    <w:p>
      <w:pPr>
        <w:ind w:left="1240" w:hanging="337"/>
        <w:spacing w:after="0"/>
        <w:tabs>
          <w:tab w:leader="none" w:pos="124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amend the provisions of the Indenture described above under the caption “—Security—Release of Collateral;” or</w:t>
      </w:r>
    </w:p>
    <w:p>
      <w:pPr>
        <w:spacing w:after="0" w:line="90" w:lineRule="exact"/>
        <w:rPr>
          <w:rFonts w:ascii="Arial" w:cs="Arial" w:eastAsia="Arial" w:hAnsi="Arial"/>
          <w:sz w:val="18"/>
          <w:szCs w:val="18"/>
          <w:color w:val="auto"/>
        </w:rPr>
      </w:pPr>
    </w:p>
    <w:p>
      <w:pPr>
        <w:ind w:left="1240" w:hanging="337"/>
        <w:spacing w:after="0"/>
        <w:tabs>
          <w:tab w:leader="none" w:pos="124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make any change in the preceding amendment and waiver provisions.</w:t>
      </w:r>
    </w:p>
    <w:p>
      <w:pPr>
        <w:spacing w:after="0" w:line="171"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Notwithstanding the preceding, without the consent of any holder of 2017 Notes, the Issuers, the Restricted Subsidiaries, the Guarantors and the trustee may amend or supplement the Indenture, the 2017 Notes or the Note Guarantees or, subject to the terms of the Intercreditor Agreement, the Collateral Documents:</w:t>
      </w:r>
    </w:p>
    <w:p>
      <w:pPr>
        <w:spacing w:after="0" w:line="59" w:lineRule="exact"/>
        <w:rPr>
          <w:sz w:val="20"/>
          <w:szCs w:val="20"/>
          <w:color w:val="auto"/>
        </w:rPr>
      </w:pPr>
    </w:p>
    <w:p>
      <w:pPr>
        <w:ind w:left="1160" w:hanging="257"/>
        <w:spacing w:after="0"/>
        <w:tabs>
          <w:tab w:leader="none" w:pos="11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90" w:lineRule="exact"/>
        <w:rPr>
          <w:rFonts w:ascii="Arial" w:cs="Arial" w:eastAsia="Arial" w:hAnsi="Arial"/>
          <w:sz w:val="18"/>
          <w:szCs w:val="18"/>
          <w:color w:val="auto"/>
        </w:rPr>
      </w:pPr>
    </w:p>
    <w:p>
      <w:pPr>
        <w:ind w:left="460" w:right="20" w:firstLine="443"/>
        <w:spacing w:after="0" w:line="268" w:lineRule="auto"/>
        <w:tabs>
          <w:tab w:leader="none" w:pos="1147"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to provide for the assumption of either Issuers’ or a Guarantor’s obligations to holders of 2017 Notes and Note Guarantees in the case of a merger or consolidation or sale of all or substantially all of Wynn Las Vegas’ or such Guarantor’s assets, as applicable;</w:t>
      </w:r>
    </w:p>
    <w:p>
      <w:pPr>
        <w:spacing w:after="0" w:line="50" w:lineRule="exact"/>
        <w:rPr>
          <w:rFonts w:ascii="Arial" w:cs="Arial" w:eastAsia="Arial" w:hAnsi="Arial"/>
          <w:sz w:val="18"/>
          <w:szCs w:val="18"/>
          <w:color w:val="auto"/>
        </w:rPr>
      </w:pPr>
    </w:p>
    <w:p>
      <w:pPr>
        <w:ind w:left="460" w:right="240" w:firstLine="443"/>
        <w:spacing w:after="0" w:line="268" w:lineRule="auto"/>
        <w:tabs>
          <w:tab w:leader="none" w:pos="1147"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of 2017 Notes or that does not adversely affect the legal rights under the Indenture of any such holder;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to comply with requirements of the SEC in order to effect or maintain the qualification of the Indenture under the Trust Indenture Act;</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to provide for the issuance of additional 2017 Notes in accordance with the limitations set forth in the Indenture as of the date of the Indenture;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00"/>
          </w:cols>
          <w:pgMar w:left="240" w:top="460" w:right="2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to allow any Guarantor to execute a supplemental indenture and/or a Note Guarantee with respect to the 2017 Notes;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enter into additional or supplemental Collateral Documents or Guarantees or an intercreditor agreement with respect thereto.</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Indenture and the Collateral Documents will be discharged and will cease to be of further effect as to all 2017 Notes issued thereunder, when:</w:t>
      </w:r>
    </w:p>
    <w:p>
      <w:pPr>
        <w:spacing w:after="0" w:line="113" w:lineRule="exact"/>
        <w:rPr>
          <w:sz w:val="20"/>
          <w:szCs w:val="20"/>
          <w:color w:val="auto"/>
        </w:rPr>
      </w:pPr>
    </w:p>
    <w:p>
      <w:pPr>
        <w:ind w:left="1160" w:hanging="257"/>
        <w:spacing w:after="0"/>
        <w:tabs>
          <w:tab w:leader="none" w:pos="11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920" w:right="360" w:firstLine="421"/>
        <w:spacing w:after="0" w:line="332" w:lineRule="auto"/>
        <w:tabs>
          <w:tab w:leader="none" w:pos="1579" w:val="left"/>
        </w:tabs>
        <w:numPr>
          <w:ilvl w:val="1"/>
          <w:numId w:val="165"/>
        </w:numPr>
        <w:rPr>
          <w:rFonts w:ascii="Arial" w:cs="Arial" w:eastAsia="Arial" w:hAnsi="Arial"/>
          <w:sz w:val="16"/>
          <w:szCs w:val="16"/>
          <w:color w:val="auto"/>
        </w:rPr>
      </w:pPr>
      <w:r>
        <w:rPr>
          <w:rFonts w:ascii="Arial" w:cs="Arial" w:eastAsia="Arial" w:hAnsi="Arial"/>
          <w:sz w:val="16"/>
          <w:szCs w:val="16"/>
          <w:color w:val="auto"/>
        </w:rPr>
        <w:t>all 2017 Notes that have been authenticated, except lost, stolen or destroyed notes that have been replaced or paid and notes for whose payment money has been deposited in trust and thereafter repaid to the Issuers, have been delivered to the trustee for cancellation; or</w:t>
      </w:r>
    </w:p>
    <w:p>
      <w:pPr>
        <w:spacing w:after="0" w:line="4" w:lineRule="exact"/>
        <w:rPr>
          <w:rFonts w:ascii="Arial" w:cs="Arial" w:eastAsia="Arial" w:hAnsi="Arial"/>
          <w:sz w:val="16"/>
          <w:szCs w:val="16"/>
          <w:color w:val="auto"/>
        </w:rPr>
      </w:pPr>
    </w:p>
    <w:p>
      <w:pPr>
        <w:ind w:left="920" w:firstLine="421"/>
        <w:spacing w:after="0" w:line="291" w:lineRule="auto"/>
        <w:tabs>
          <w:tab w:leader="none" w:pos="1588" w:val="left"/>
        </w:tabs>
        <w:numPr>
          <w:ilvl w:val="1"/>
          <w:numId w:val="165"/>
        </w:numPr>
        <w:rPr>
          <w:rFonts w:ascii="Arial" w:cs="Arial" w:eastAsia="Arial" w:hAnsi="Arial"/>
          <w:sz w:val="16"/>
          <w:szCs w:val="16"/>
          <w:color w:val="auto"/>
        </w:rPr>
      </w:pPr>
      <w:r>
        <w:rPr>
          <w:rFonts w:ascii="Arial" w:cs="Arial" w:eastAsia="Arial" w:hAnsi="Arial"/>
          <w:sz w:val="16"/>
          <w:szCs w:val="16"/>
          <w:color w:val="auto"/>
        </w:rPr>
        <w:t>all 2017 Notes that have not been delivered to the trustee for cancellation will become due and payable by reason of the mailing of a notice of redemption or otherwise or will become due and payable within one year and the Issuers have or any Guarantor has irrevocably deposited or caused to be deposited with the trustee as trust funds in trust solely for the benefit of the holders, cash in U.S. dollars, non-callable Government Securities, or a combination of cash in U.S. dollars and non-callable Government Securities, in amounts as will be sufficient, without consideration of any reinvestment of interest, to pay and discharge the entire Indebtedness on the 2017 Notes not delivered to the trustee for cancellation for principal, premium and Liquidated Damages, if any, and accrued interest to the date of maturity or redemption;</w:t>
      </w:r>
    </w:p>
    <w:p>
      <w:pPr>
        <w:spacing w:after="0" w:line="39" w:lineRule="exact"/>
        <w:rPr>
          <w:rFonts w:ascii="Arial" w:cs="Arial" w:eastAsia="Arial" w:hAnsi="Arial"/>
          <w:sz w:val="16"/>
          <w:szCs w:val="16"/>
          <w:color w:val="auto"/>
        </w:rPr>
      </w:pPr>
    </w:p>
    <w:p>
      <w:pPr>
        <w:ind w:left="460" w:right="120" w:firstLine="443"/>
        <w:spacing w:after="0" w:line="306" w:lineRule="auto"/>
        <w:tabs>
          <w:tab w:leader="none" w:pos="1147" w:val="left"/>
        </w:tabs>
        <w:numPr>
          <w:ilvl w:val="0"/>
          <w:numId w:val="165"/>
        </w:numPr>
        <w:rPr>
          <w:rFonts w:ascii="Arial" w:cs="Arial" w:eastAsia="Arial" w:hAnsi="Arial"/>
          <w:sz w:val="16"/>
          <w:szCs w:val="16"/>
          <w:color w:val="auto"/>
        </w:rPr>
      </w:pPr>
      <w:r>
        <w:rPr>
          <w:rFonts w:ascii="Arial" w:cs="Arial" w:eastAsia="Arial" w:hAnsi="Arial"/>
          <w:sz w:val="16"/>
          <w:szCs w:val="16"/>
          <w:color w:val="auto"/>
        </w:rPr>
        <w:t>no Default or Event of Default has occurred and is continuing on the date of the deposit or will occur as a result of the deposit (other than a Default or Event of Default resulting from the borrowing of funds to be applied to such deposit) and the deposit will not result in a breach or violation of, or constitute a default under, any other instrument to which either Issuer or any Guarantor is a party or by which either Issuer or any Guarantor is bound;</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Issuers or any Guarantor has paid or caused to be paid all sums payable by the Issuers under the Indenture; and</w:t>
      </w:r>
    </w:p>
    <w:p>
      <w:pPr>
        <w:spacing w:after="0" w:line="90" w:lineRule="exact"/>
        <w:rPr>
          <w:rFonts w:ascii="Arial" w:cs="Arial" w:eastAsia="Arial" w:hAnsi="Arial"/>
          <w:sz w:val="18"/>
          <w:szCs w:val="18"/>
          <w:color w:val="auto"/>
        </w:rPr>
      </w:pPr>
    </w:p>
    <w:p>
      <w:pPr>
        <w:ind w:left="460" w:right="320" w:firstLine="443"/>
        <w:spacing w:after="0" w:line="268" w:lineRule="auto"/>
        <w:tabs>
          <w:tab w:leader="none" w:pos="1147"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Issuers have delivered irrevocable instructions to the trustee under the Indenture to apply the deposited money toward the payment of the 2017 Notes at maturity or on the redemption date, as the case may be.</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addition, the Issuers must deliver an officers’ certificate and an opinion of counsel to the trustee stating that all conditions precedent to satisfaction and discharge have been satisfied.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If the trustee becomes a creditor of either Issuer or any Guarantor, the Indenture limits the right of the trustee to obtain payment of claims in certain cases, or to realize on certain property received in respect of any such claim as security or otherwise. The trustee will be permitted to engage in other transactions. However, if it acquires any conflicting interest it must eliminate such conflict within 90 days, apply to the SEC for permission to continue as trustee (if the Indenture has been qualified under the Trust Indenture Act) or resign.</w:t>
      </w:r>
    </w:p>
    <w:p>
      <w:pPr>
        <w:spacing w:after="0" w:line="143"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The holders of a majority in aggregate principal amount of the then outstanding 2017 Notes will have the right to direct the time, method and place of conducting any proceeding for exercising any remedy available to the trustee, subject to certain exceptions. The Indenture provides that in case an Event of Default occurs and is continuing, the trustee will be required, in the exercise of its power, to use the degree of care of a prudent person</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360"/>
          </w:cols>
          <w:pgMar w:left="240" w:top="459" w:right="29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the conduct of his/her own affairs. Subject to such provisions, the trustee will be under no obligation to exercise any of its rights or powers under the Indenture at the request of any holder of 2017 Notes, unless such holder has offered to the trustee security and indemnity satisfactory to it against any loss, liability or expense.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9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Collateral Documents generally provide for the application of the internal laws of the State of New York, except to the extent that (1) the laws of Nevada are mandatory or (2) the validity or perfection of security interests in respect of certain items of Collateral (such as real property) is governed by the laws of the jurisdiction where that collateral is located. The Indenture, the 2017 Notes, any Guarantees of the 2017 Notes and the Collateral Documents provide, with certain exceptions, for the application of the internal laws of the State of New York. There is no certainty regarding whether New York or Nevada law would be applied by any court with respect to the enforcement of remedies under the 2017 Notes, the Indenture, any Guarantees of the 2017 Notes or the Collateral Documents.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Anyone who receives this prospectus may obtain a copy of the Indenture without charge by writing to Wynn Las Vegas, LLC, 3131 Las Vegas Boulevard South, Las Vegas, NV 89109, Attention: Legal Department.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Delivery and Form</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new 2017 notes will be issued in the form of one or more notes in global form (the “Global Notes”). The new 2017 notes will be issued in minimum denominations of $2,000 and integral multiples of $1,000 in excess thereof. The Global Notes will be deposited upon issuance with the trustee as custodian for DTC, in New York, New York, and registered in the name of DTC or its nominee (such nominee being referred to as the “Global Note Holder”), in each case for credit to an account of a direct or indirect participant in DTC as described below.</w:t>
      </w:r>
    </w:p>
    <w:p>
      <w:pPr>
        <w:spacing w:after="0" w:line="113"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Except as set forth below, the Global Notes may be transferred, in whole and not in part, only to another nominee of DTC or to a successor of DTC or its nominee. Beneficial interests in the Global Notes may not be exchanged for new 2017 notes in certificated form except in the limited circumstances described below. See “—Exchange of Global Notes for Certificated Notes.” Except in the limited circumstances described below, owners of beneficial interests in the Global Notes will not be entitled to receive physical delivery of 2017 Notes in certificated form.</w:t>
      </w:r>
    </w:p>
    <w:p>
      <w:pPr>
        <w:spacing w:after="0" w:line="11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In addition, transfers of beneficial interests in the Global Notes will be subject to the applicable rules and procedures of DTC and its direct or indirect participants (including, if applicable, those of Euroclear and Clearstream), which may change from time to time.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Depository Procedures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following description of the operations and procedures of DTC, Euroclear and Clearstream are provided solely as a matter of convenience. These operations and procedures are solely within the control of the respective settlement systems and are subject to changes by them. The Issuers take no responsibility for these operations and procedures and urge investors to contact the system or their participants directly to discuss these matters.</w:t>
      </w:r>
    </w:p>
    <w:p>
      <w:pPr>
        <w:spacing w:after="0" w:line="10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DTC has advised the Issuers that DTC is a limited-purpose trust company created to hold securities for its participating organizations (collectively, the “Participants”) and to facilitate the clearance and settlement of transactions in those securities between the Participants through electronic book-entry changes in accounts of its Participants. The Participants include securities brokers and dealers, banks, trust companies, clearing corporations and certain other organizations. Access to DTC’s system is also available to other entities such as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380"/>
          </w:cols>
          <w:pgMar w:left="240" w:top="459" w:right="27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banks, brokers, dealers and trust companies that clear through or maintain a custodial relationship with a Participant, either directly or indirectly (collectively, the “Indirect Participants”). Persons who are not Participants may beneficially own securities held by or on behalf of DTC only through the Participants or the Indirect Participants. The ownership interests in, and transfers of ownership interests in, each security held by or on behalf of DTC are recorded on the records of the Participants and Indirect Participants.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DTC has also advised the Issuers that, pursuant to procedures established by it:</w:t>
      </w:r>
    </w:p>
    <w:p>
      <w:pPr>
        <w:spacing w:after="0" w:line="90" w:lineRule="exact"/>
        <w:rPr>
          <w:sz w:val="20"/>
          <w:szCs w:val="20"/>
          <w:color w:val="auto"/>
        </w:rPr>
      </w:pPr>
    </w:p>
    <w:p>
      <w:pPr>
        <w:ind w:left="460" w:right="560" w:firstLine="443"/>
        <w:spacing w:after="0" w:line="268" w:lineRule="auto"/>
        <w:tabs>
          <w:tab w:leader="none" w:pos="1147" w:val="left"/>
        </w:tabs>
        <w:numPr>
          <w:ilvl w:val="0"/>
          <w:numId w:val="166"/>
        </w:numPr>
        <w:rPr>
          <w:rFonts w:ascii="Arial" w:cs="Arial" w:eastAsia="Arial" w:hAnsi="Arial"/>
          <w:sz w:val="18"/>
          <w:szCs w:val="18"/>
          <w:color w:val="auto"/>
        </w:rPr>
      </w:pPr>
      <w:r>
        <w:rPr>
          <w:rFonts w:ascii="Arial" w:cs="Arial" w:eastAsia="Arial" w:hAnsi="Arial"/>
          <w:sz w:val="18"/>
          <w:szCs w:val="18"/>
          <w:color w:val="auto"/>
        </w:rPr>
        <w:t>upon deposit of the Global Notes, DTC will credit the accounts of the Participants designated by the initial purchasers with portions of the principal amount of the Global Notes; and</w:t>
      </w:r>
    </w:p>
    <w:p>
      <w:pPr>
        <w:spacing w:after="0" w:line="50" w:lineRule="exact"/>
        <w:rPr>
          <w:rFonts w:ascii="Arial" w:cs="Arial" w:eastAsia="Arial" w:hAnsi="Arial"/>
          <w:sz w:val="18"/>
          <w:szCs w:val="18"/>
          <w:color w:val="auto"/>
        </w:rPr>
      </w:pPr>
    </w:p>
    <w:p>
      <w:pPr>
        <w:ind w:left="460" w:right="100" w:firstLine="443"/>
        <w:spacing w:after="0" w:line="259" w:lineRule="auto"/>
        <w:tabs>
          <w:tab w:leader="none" w:pos="1147" w:val="left"/>
        </w:tabs>
        <w:numPr>
          <w:ilvl w:val="0"/>
          <w:numId w:val="166"/>
        </w:numPr>
        <w:rPr>
          <w:rFonts w:ascii="Arial" w:cs="Arial" w:eastAsia="Arial" w:hAnsi="Arial"/>
          <w:sz w:val="18"/>
          <w:szCs w:val="18"/>
          <w:color w:val="auto"/>
        </w:rPr>
      </w:pPr>
      <w:r>
        <w:rPr>
          <w:rFonts w:ascii="Arial" w:cs="Arial" w:eastAsia="Arial" w:hAnsi="Arial"/>
          <w:sz w:val="18"/>
          <w:szCs w:val="18"/>
          <w:color w:val="auto"/>
        </w:rPr>
        <w:t>ownership of these interests in the Global Notes will be shown on, and the transfer of ownership of these interests will be effected only through, records maintained by DTC (with respect to the Participants) or by the Participants and the Indirect Participants (with respect to other owners of beneficial interest in the Global Notes).</w:t>
      </w:r>
    </w:p>
    <w:p>
      <w:pPr>
        <w:spacing w:after="0" w:line="140" w:lineRule="exact"/>
        <w:rPr>
          <w:sz w:val="20"/>
          <w:szCs w:val="20"/>
          <w:color w:val="auto"/>
        </w:rPr>
      </w:pPr>
    </w:p>
    <w:p>
      <w:pPr>
        <w:ind w:right="200" w:firstLine="456"/>
        <w:spacing w:after="0" w:line="289" w:lineRule="auto"/>
        <w:rPr>
          <w:sz w:val="20"/>
          <w:szCs w:val="20"/>
          <w:color w:val="auto"/>
        </w:rPr>
      </w:pPr>
      <w:r>
        <w:rPr>
          <w:rFonts w:ascii="Arial" w:cs="Arial" w:eastAsia="Arial" w:hAnsi="Arial"/>
          <w:sz w:val="16"/>
          <w:szCs w:val="16"/>
          <w:color w:val="auto"/>
        </w:rPr>
        <w:t>Investors in the Global Notes who are Participants may hold their interests therein directly through DTC. Investors in the Global Notes who are not Participants may hold their interests therein indirectly through organizations (including Euroclear and Clearstream) which are Participants. All interests in a Global Note, including those held through Euroclear or Clearstream, may be subject to the procedures and requirements of DTC. Those interests held through Euroclear or Clearstream may also be subject to the procedures and requirements of such systems. The laws of some states require that certain Persons take physical delivery in definitive form of securities that they own. Consequently, the ability to transfer beneficial interests in a Global Note to such Persons will be limited to that extent. Because DTC can act only on behalf of the Participants, which in turn act on behalf of the Indirect Participants, the ability of a Person having beneficial interests in a Global Note to pledge such interests to Persons that do not participate in the DTC system, or otherwise take actions in respect of such interests, may be affected by the lack of a physical certificate evidencing such interests.</w:t>
      </w:r>
    </w:p>
    <w:p>
      <w:pPr>
        <w:spacing w:after="0" w:line="112" w:lineRule="exact"/>
        <w:rPr>
          <w:sz w:val="20"/>
          <w:szCs w:val="20"/>
          <w:color w:val="auto"/>
        </w:rPr>
      </w:pPr>
    </w:p>
    <w:p>
      <w:pPr>
        <w:ind w:right="80" w:firstLine="456"/>
        <w:spacing w:after="0" w:line="262" w:lineRule="auto"/>
        <w:rPr>
          <w:sz w:val="20"/>
          <w:szCs w:val="20"/>
          <w:color w:val="auto"/>
        </w:rPr>
      </w:pPr>
      <w:r>
        <w:rPr>
          <w:rFonts w:ascii="Arial" w:cs="Arial" w:eastAsia="Arial" w:hAnsi="Arial"/>
          <w:sz w:val="18"/>
          <w:szCs w:val="18"/>
          <w:b w:val="1"/>
          <w:bCs w:val="1"/>
          <w:color w:val="auto"/>
        </w:rPr>
        <w:t>Except as described below, owners of interests in the Global Notes will not have new 2017 notes registered in their names, will not receive physical delivery of new 2017 notes in certificated form and will not be considered the registered owners or “holders” thereof under the indenture for any purpose.</w:t>
      </w:r>
    </w:p>
    <w:p>
      <w:pPr>
        <w:spacing w:after="0" w:line="13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Payments in respect of the principal of, and interest and premium, if any, and Liquidated Damages, if any, on, a Global Note registered in the name of DTC or its nominee will be payable to DTC in its capacity as the registered holder under the Indenture. Under the terms of the Indenture, the Issuers and the trustee will treat the Persons in whose names the 2017 Notes, including the Global Notes, are registered as the owners of the 2017 Notes for the purpose of receiving payments and for all other purposes. Consequently, neither the Issuers, the trustee nor any agent of the Issuers or the trustee has or will have any responsibility or liability for:</w:t>
      </w:r>
    </w:p>
    <w:p>
      <w:pPr>
        <w:spacing w:after="0" w:line="62" w:lineRule="exact"/>
        <w:rPr>
          <w:sz w:val="20"/>
          <w:szCs w:val="20"/>
          <w:color w:val="auto"/>
        </w:rPr>
      </w:pPr>
    </w:p>
    <w:p>
      <w:pPr>
        <w:ind w:left="460" w:right="420" w:firstLine="443"/>
        <w:spacing w:after="0" w:line="259" w:lineRule="auto"/>
        <w:tabs>
          <w:tab w:leader="none" w:pos="1147"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any aspect of DTC’s records or any Participant’s or Indirect Participant’s records relating to or payments made on account of beneficial ownership interest in the Global Notes or for maintaining, supervising or reviewing any of DTC’s records or any Participant’s or Indirect Participant’s records relating to the beneficial ownership interests in the Global Notes; or</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any other matter relating to the actions and practices of DTC or any of its Participants or Indirect Participants.</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DTC has advised the Issuers that its current practice, upon receipt of any payment in respect of securities such as the 2017 Notes (including principal and interest), is to credit the accounts of the relevant Participants with the payment on the payment date unless DTC has reason to believe that it will not receive payment on such payment date. Each relevant Participant is credited with an amount proportionate to its beneficial ownership of an interest in the principal amount of the relevant security as shown on the records of DTC. Payments by the Participants and the Indirect Participants to the beneficial owners of 2017 Notes will be governed by standing instructions and customary practices and will be the responsibility of the Participants or the Indirect Participants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and will not be the responsibility of DTC, the trustee or the Issuers. Neither the Issuers nor the trustee will be liable for any delay by DTC or any of the Participants or the Indirect Participants in identifying the beneficial owners of the 2017 Notes, and the Issuers and the trustee may conclusively rely on and will be protected in relying on instructions from DTC or its nominee for all purposes.</w:t>
      </w:r>
    </w:p>
    <w:p>
      <w:pPr>
        <w:spacing w:after="0" w:line="140"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Transfers between the Participants will be effected in accordance with DTC’s procedures, and will be settled in same-day funds, and transfers between participants in Euroclear and Clearstream will be effected in accordance with their respective rules and operating procedures.</w:t>
      </w:r>
    </w:p>
    <w:p>
      <w:pPr>
        <w:spacing w:after="0" w:line="8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Subject to compliance with the transfer restrictions applicable to the 2017 Notes described herein, cross-market transfers between the Participants, on the one hand, and Euroclear or Clearstream participants, on the other hand, will be effected through DTC in accordance with DTC’s rules on behalf of Euroclear or Clearstream, as the case may be, by their respective depositaries; however, such cross-market transactions will require delivery of instructions to Euroclear or Clearstream, as the case may be, by the counterparty in such system in accordance with the rules and procedures and within the established deadlines (Brussels time) of such system. Euroclear or Clearstream, as the case may be, will, if the transaction meets its settlement requirements, deliver instructions to its respective depositary to take action to effect final settlement on its behalf by delivering or receiving interests in the relevant Global Note in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DTC has advised the Issuers that it will take any action permitted to be taken by a holder of 2017 Notes only at the direction of one or more Participants to whose account DTC has credited the interests in the Global Notes and only in respect of such portion of the aggregate principal amount of the 2017 Notes as to which such Participant or Participants has or have given such direction. However, if there is an Event of Default under the 2017 Notes, DTC reserves the right to exchange the Global Notes for legended 2017 Notes in certificated form, and to distribute such 2017 Notes to its Participants.</w:t>
      </w:r>
    </w:p>
    <w:p>
      <w:pPr>
        <w:spacing w:after="0" w:line="11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Although DTC, Euroclear and Clearstream have agreed to the foregoing procedures to facilitate transfers of interests in the Global Notes among participants in DTC, Euroclear and Clearstream, they are under no obligation to perform or to continue to perform such procedures, and may discontinue such procedures at any time. None of the Issuers, the trustee and any of their respective agents will have any responsibility for the performance by DTC, Euroclear or Clearstream or their respective participants or indirect participants of their respective obligations under the rules and procedures governing their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Global Notes for Certificated Notes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Global Note is exchangeable for Certificated Notes if:</w:t>
      </w:r>
    </w:p>
    <w:p>
      <w:pPr>
        <w:spacing w:after="0" w:line="90" w:lineRule="exact"/>
        <w:rPr>
          <w:sz w:val="20"/>
          <w:szCs w:val="20"/>
          <w:color w:val="auto"/>
        </w:rPr>
      </w:pPr>
    </w:p>
    <w:p>
      <w:pPr>
        <w:ind w:left="460" w:right="20" w:firstLine="443"/>
        <w:spacing w:after="0" w:line="268" w:lineRule="auto"/>
        <w:tabs>
          <w:tab w:leader="none" w:pos="1147" w:val="left"/>
        </w:tabs>
        <w:numPr>
          <w:ilvl w:val="0"/>
          <w:numId w:val="168"/>
        </w:numPr>
        <w:rPr>
          <w:rFonts w:ascii="Arial" w:cs="Arial" w:eastAsia="Arial" w:hAnsi="Arial"/>
          <w:sz w:val="18"/>
          <w:szCs w:val="18"/>
          <w:color w:val="auto"/>
        </w:rPr>
      </w:pPr>
      <w:r>
        <w:rPr>
          <w:rFonts w:ascii="Arial" w:cs="Arial" w:eastAsia="Arial" w:hAnsi="Arial"/>
          <w:sz w:val="18"/>
          <w:szCs w:val="18"/>
          <w:color w:val="auto"/>
        </w:rPr>
        <w:t>DTC (a) notifies the Issuers that it is unwilling or unable to continue as depositary for the Global Notes or (b) has ceased to be a clearing agency registered under the Exchange Act and, in either case, the Issuers fail to appoint a successor depositary;</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Issuers, at their option, notify the trustee in writing that they elect to cause the issuance of the Certificated Notes;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there has occurred and is continuing a Default or Event of Default with respect to the 2017 Notes.</w:t>
      </w:r>
    </w:p>
    <w:p>
      <w:pPr>
        <w:spacing w:after="0" w:line="171" w:lineRule="exact"/>
        <w:rPr>
          <w:sz w:val="20"/>
          <w:szCs w:val="20"/>
          <w:color w:val="auto"/>
        </w:rPr>
      </w:pPr>
    </w:p>
    <w:p>
      <w:pPr>
        <w:jc w:val="both"/>
        <w:ind w:right="60" w:firstLine="456"/>
        <w:spacing w:after="0" w:line="335" w:lineRule="auto"/>
        <w:rPr>
          <w:sz w:val="20"/>
          <w:szCs w:val="20"/>
          <w:color w:val="auto"/>
        </w:rPr>
      </w:pPr>
      <w:r>
        <w:rPr>
          <w:rFonts w:ascii="Arial" w:cs="Arial" w:eastAsia="Arial" w:hAnsi="Arial"/>
          <w:sz w:val="15"/>
          <w:szCs w:val="15"/>
          <w:color w:val="auto"/>
        </w:rPr>
        <w:t>In addition, beneficial interests in a Global Note may be exchanged for Certificated Notes upon prior written notice given to the trustee by or on behalf of DTC in accordance with the Indenture. In all cases, Certificated Notes delivered in exchange for any Global Note or beneficial interests in Global Notes will be registered in the names, and issued in any approved denominations, requested by or on behalf of the depositary (in accordance with its customary procedures).</w:t>
      </w:r>
    </w:p>
    <w:p>
      <w:pPr>
        <w:spacing w:after="0" w:line="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320"/>
          </w:cols>
          <w:pgMar w:left="240" w:top="459" w:right="3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Certificated Notes for Global Notes</w:t>
      </w:r>
    </w:p>
    <w:p>
      <w:pPr>
        <w:spacing w:after="0" w:line="9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Certificated Notes may not be exchanged for beneficial interests in any Global Note unless the transferor first delivers to the trustee a written certificate (in the form provided in the indenture) to the effect that such transfer will comply with the appropriate transfer restrictions applicable to such notes.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 Day Settlement and Payment</w:t>
      </w:r>
    </w:p>
    <w:p>
      <w:pPr>
        <w:spacing w:after="0" w:line="9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Issuers will make payments in respect of the 2017 Notes represented by the Global Notes (including principal, premium, if any, and interest and Liquidated Damages, if any), by wire transfer of immediately available funds to the accounts specified by DTC or its nominee. The Issuers will make all payments of principal, premium, if any, and interest and Liquidated Damages, if any, with respect to Certificated Notes by wire transfer of immediately available funds to the accounts specified by the holders of the Certificated Notes or, if no such account is specified, by mailing a check to each such holder’s registered address. The 2017 Notes represented by the Global Notes are expected to be eligible to trade in The PORTAL Alliance and to trade in DTC’s Same-Day Funds Settlement System, and any permitted secondary market trading activity in such 2017 Notes will, therefore, be required by DTC to be settled in immediately available funds. The Issuers expect that secondary trading in any Certificated Notes will also be settled in immediately available funds.</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Because of time zone differences, the securities account of a Euroclear or Clearstream participant purchasing an interest in a Global Note from a Participant will be credited, and any such crediting will be reported to the relevant Euroclear or Clearstream participant, during the securities settlement processing day (which must be a business day for Euroclear and Clearstream) immediately following the settlement date of DTC. DTC has advised the Issuers that cash received in Euroclear or Clearstream as a result of sales of interests in a Global Note by or through a Euroclear or Clearstream participant to a Participant will be received with value on the settlement date of DTC but will be available in the relevant Euroclear or Clearstream cash account only as of the business day for Euroclear or Clearstream following DTC’s settlement date.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Set forth below are certain defined terms used in the Indenture. Reference is made to the Indenture for a full disclosure of all defined terms used therein, as well as any other capitalized terms used herein for which no definition is provided.</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Access Easement Agreement</w:t>
      </w:r>
      <w:r>
        <w:rPr>
          <w:rFonts w:ascii="Arial" w:cs="Arial" w:eastAsia="Arial" w:hAnsi="Arial"/>
          <w:sz w:val="18"/>
          <w:szCs w:val="18"/>
          <w:color w:val="auto"/>
        </w:rPr>
        <w:t>” means that certain Access Easement Agreement, dated as of December 14, 2004, by and between Wynn Golf and Wynn Las Vegas, as amended, modified or otherwise supplemented from time to time in any manner that is not in contravention of the covenant described above under the caption “—Certain Covenants—Amendments to Certain Agreements.”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means, with respect to any specified Person:</w:t>
      </w:r>
    </w:p>
    <w:p>
      <w:pPr>
        <w:spacing w:after="0" w:line="90" w:lineRule="exact"/>
        <w:rPr>
          <w:sz w:val="20"/>
          <w:szCs w:val="20"/>
          <w:color w:val="auto"/>
        </w:rPr>
      </w:pPr>
    </w:p>
    <w:p>
      <w:pPr>
        <w:jc w:val="both"/>
        <w:ind w:left="460" w:right="140" w:firstLine="443"/>
        <w:spacing w:after="0" w:line="259" w:lineRule="auto"/>
        <w:tabs>
          <w:tab w:leader="none" w:pos="1147"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Indebtedness of any other Person existing at the time such other Person is merged with or into or became a Subsidiary of such specified Person, whether or not such Indebtedness is incurred in connection with, or in contemplation of, such other Person merging with or into, or becoming a Restricted Subsidiary of, such specified Person; and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Indebtedness secured by a Lien encumbering any asset acquired by such specified Person at the time such asset is acquired by such specified</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Person.</w:t>
      </w:r>
    </w:p>
    <w:p>
      <w:pPr>
        <w:spacing w:after="0" w:line="16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Entertainment Facility</w:t>
      </w:r>
      <w:r>
        <w:rPr>
          <w:rFonts w:ascii="Arial" w:cs="Arial" w:eastAsia="Arial" w:hAnsi="Arial"/>
          <w:sz w:val="18"/>
          <w:szCs w:val="18"/>
          <w:color w:val="auto"/>
        </w:rPr>
        <w:t>” means a showroom or entertainment facility adjoining the Wynn Las Vegas hotel and casino resort on the Project Site other than the Entertainment Facility.</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of any specified Person means any other Person directly or indirectly controlling or controlled by or under direct or indirect common control with such specified Person. For purposes of this definition, “control,”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as used with respect to any Person, means the possession, directly or indirectly, of the power to direct or cause the direction of the management or policies of such Person, whether through the ownership of voting securities, by agreement or otherwise; provided that beneficial ownership of 10% or more of the Voting Stock of a Person will be deemed to be control. For purposes of this definition, the terms “controlling,” “controlled by” and “under common control with” have correlative meanings.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 Agreements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Management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Project Lease and Easement Agreements,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Art Rental and Licensing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Wynn Design Agreement,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Wynn IP Agreement,</w:t>
      </w:r>
    </w:p>
    <w:p>
      <w:pPr>
        <w:spacing w:after="0" w:line="171"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in each case as amended, modified or otherwise supplemented from time to time in any manner that is not in contravention of the covenants described above under the captions “—Certain Covenants—Transactions with Affiliates” and “—Certain Covenants—Amendments to Certain Agreements.”</w:t>
      </w:r>
    </w:p>
    <w:p>
      <w:pPr>
        <w:spacing w:after="0" w:line="85"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Aircraft</w:t>
      </w:r>
      <w:r>
        <w:rPr>
          <w:rFonts w:ascii="Arial" w:cs="Arial" w:eastAsia="Arial" w:hAnsi="Arial"/>
          <w:sz w:val="16"/>
          <w:szCs w:val="16"/>
          <w:color w:val="auto"/>
        </w:rPr>
        <w:t>” means that certain 1999 Boeing 737-79U Business Jet aircraft bearing manufacturer’s serial number 29441 and United States Federal Aviation Administration Number N88WZ, together with engines attached thereto, owned by a trust of which World Travel, LLC is the beneficial interest holder.</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Aircraft Assets</w:t>
      </w:r>
      <w:r>
        <w:rPr>
          <w:rFonts w:ascii="Arial" w:cs="Arial" w:eastAsia="Arial" w:hAnsi="Arial"/>
          <w:sz w:val="18"/>
          <w:szCs w:val="18"/>
          <w:color w:val="auto"/>
        </w:rPr>
        <w:t>” means (1) the Aircraft, together with the products and proceeds thereof, and (2) the Aircraft Note.</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Aircraft Note</w:t>
      </w:r>
      <w:r>
        <w:rPr>
          <w:rFonts w:ascii="Arial" w:cs="Arial" w:eastAsia="Arial" w:hAnsi="Arial"/>
          <w:sz w:val="18"/>
          <w:szCs w:val="18"/>
          <w:color w:val="auto"/>
        </w:rPr>
        <w:t>” means that certain promissory note, dated as of March 30, 2007, issued by World Travel, LLC in favor of Wynn Las Vegas in an aggregate principal amount of $42.0 million.</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Allocable Overhead</w:t>
      </w:r>
      <w:r>
        <w:rPr>
          <w:rFonts w:ascii="Arial" w:cs="Arial" w:eastAsia="Arial" w:hAnsi="Arial"/>
          <w:sz w:val="16"/>
          <w:szCs w:val="16"/>
          <w:color w:val="auto"/>
        </w:rPr>
        <w:t>” means, at any time with respect to each Qualifying Project, an amount equal to (1) the amount of reasonable corporate or other organizational overhead expenses of, and actually incurred by, Wynn Resorts and its Subsidiaries (other than the Issuers) calculated in good faith on a consolidated basis, after the elimination of intercompany transactions, in accordance with GAAP, divided by (2) the number of Qualifying Projects. However, amounts allocated to any Qualifying Project shall be prorated based on the period within such period that such Qualifying Project was in operation or financing therefor was obtained. With respect to any amounts payable pursuant to the Affiliate Agreements or any agreements entered into by and among Wynn Resorts, any of its Subsidiaries and/or any of their respective Affiliates, any payment in respect of Allocable Overhead shall not include any fee, profit or similar component and shall represent only the payment or reimbursement of actual costs and expenses. The amount of Allocable Overhead payable during any 12-month period shall not exceed 2% of Net Revenues of Wynn Las Vegas and its Restricted Subsidiaries for such period of four full consecutive fiscal quarters.</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Art Rental and Licensing Agreement</w:t>
      </w:r>
      <w:r>
        <w:rPr>
          <w:rFonts w:ascii="Arial" w:cs="Arial" w:eastAsia="Arial" w:hAnsi="Arial"/>
          <w:sz w:val="16"/>
          <w:szCs w:val="16"/>
          <w:color w:val="auto"/>
        </w:rPr>
        <w:t>” means the Third Amended and Restated Art Rental and Licensing Agreement, dated as of August 6, 2004, by and between Stephen A. Wynn and Wynn Las Vegas, as amended, modified or otherwise supplemented from time to time in any manner that is not in contravention of the covenant described above under the caption “—Certain Covenants—Amendments to Certain Agreements.”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Aruze USA</w:t>
      </w:r>
      <w:r>
        <w:rPr>
          <w:rFonts w:ascii="Arial" w:cs="Arial" w:eastAsia="Arial" w:hAnsi="Arial"/>
          <w:sz w:val="18"/>
          <w:szCs w:val="18"/>
          <w:color w:val="auto"/>
        </w:rPr>
        <w:t>” means Aruze USA, Inc., a Nevada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w:t>
      </w:r>
      <w:r>
        <w:rPr>
          <w:rFonts w:ascii="Arial" w:cs="Arial" w:eastAsia="Arial" w:hAnsi="Arial"/>
          <w:sz w:val="18"/>
          <w:szCs w:val="18"/>
          <w:color w:val="auto"/>
        </w:rPr>
        <w:t>” means:</w:t>
      </w:r>
    </w:p>
    <w:p>
      <w:pPr>
        <w:spacing w:after="0" w:line="90" w:lineRule="exact"/>
        <w:rPr>
          <w:sz w:val="20"/>
          <w:szCs w:val="20"/>
          <w:color w:val="auto"/>
        </w:rPr>
      </w:pPr>
    </w:p>
    <w:p>
      <w:pPr>
        <w:ind w:left="5580" w:right="5580" w:hanging="4677"/>
        <w:spacing w:after="0" w:line="576" w:lineRule="auto"/>
        <w:tabs>
          <w:tab w:leader="none" w:pos="1149" w:val="left"/>
        </w:tabs>
        <w:numPr>
          <w:ilvl w:val="0"/>
          <w:numId w:val="171"/>
        </w:numPr>
        <w:rPr>
          <w:rFonts w:ascii="Arial" w:cs="Arial" w:eastAsia="Arial" w:hAnsi="Arial"/>
          <w:sz w:val="15"/>
          <w:szCs w:val="15"/>
          <w:color w:val="auto"/>
        </w:rPr>
      </w:pPr>
      <w:r>
        <w:rPr>
          <w:rFonts w:ascii="Arial" w:cs="Arial" w:eastAsia="Arial" w:hAnsi="Arial"/>
          <w:sz w:val="15"/>
          <w:szCs w:val="15"/>
          <w:color w:val="auto"/>
        </w:rPr>
        <w:t>the sale, lease, conveyance or other disposition of any assets; and 146</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268" w:lineRule="auto"/>
        <w:tabs>
          <w:tab w:leader="none" w:pos="1147"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issuance of Equity Interests by Wynn Capital or any of the Restricted Subsidiaries or the sale of Equity Interests in Wynn Capital or any of the Restricted Subsidiaries.</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Notwithstanding the above, the sale, conveyance or other disposition of all or substantially all of the assets of Wynn Las Vegas and its Restricted Subsidiaries, taken as a whole, will be governed by the provisions of the Indenture described above under the caption “—Repurchase at the Option of Holders— Change of Control” and the provisions described above under the caption “—Certain Covenants—Merger, Consolidation or Sale of Assets” and not by the provisions of the Asset Sale covenant.</w:t>
      </w:r>
    </w:p>
    <w:p>
      <w:pPr>
        <w:spacing w:after="0" w:line="14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In addition, none of the following items will be deemed to be an Asset Sale (except for purposes of the definition of “Consolidated Cash Flow”) (such items, “Permitted Dispositions”):</w:t>
      </w:r>
    </w:p>
    <w:p>
      <w:pPr>
        <w:spacing w:after="0" w:line="51" w:lineRule="exact"/>
        <w:rPr>
          <w:sz w:val="20"/>
          <w:szCs w:val="20"/>
          <w:color w:val="auto"/>
        </w:rPr>
      </w:pPr>
    </w:p>
    <w:p>
      <w:pPr>
        <w:ind w:left="1160" w:hanging="257"/>
        <w:spacing w:after="0"/>
        <w:tabs>
          <w:tab w:leader="none" w:pos="116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any single transaction or series of related transactions that involves assets having a Fair Market Value of less than $3.0 million;</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the sale, lease, conveyance or other disposition of any assets:</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2"/>
          <w:numId w:val="173"/>
        </w:numPr>
        <w:rPr>
          <w:rFonts w:ascii="Arial" w:cs="Arial" w:eastAsia="Arial" w:hAnsi="Arial"/>
          <w:sz w:val="18"/>
          <w:szCs w:val="18"/>
          <w:color w:val="auto"/>
        </w:rPr>
      </w:pPr>
      <w:r>
        <w:rPr>
          <w:rFonts w:ascii="Arial" w:cs="Arial" w:eastAsia="Arial" w:hAnsi="Arial"/>
          <w:sz w:val="18"/>
          <w:szCs w:val="18"/>
          <w:color w:val="auto"/>
        </w:rPr>
        <w:t>to Wynn Las Vegas and/or its Restricted Subsidiaries, or</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2"/>
          <w:numId w:val="173"/>
        </w:numPr>
        <w:rPr>
          <w:rFonts w:ascii="Arial" w:cs="Arial" w:eastAsia="Arial" w:hAnsi="Arial"/>
          <w:sz w:val="18"/>
          <w:szCs w:val="18"/>
          <w:color w:val="auto"/>
        </w:rPr>
      </w:pPr>
      <w:r>
        <w:rPr>
          <w:rFonts w:ascii="Arial" w:cs="Arial" w:eastAsia="Arial" w:hAnsi="Arial"/>
          <w:sz w:val="18"/>
          <w:szCs w:val="18"/>
          <w:color w:val="auto"/>
        </w:rPr>
        <w:t>by (i) any Restricted Subsidiary that is not a Guarantor to (ii) any Restricted Subsidiary that is a Guarantor;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173"/>
        </w:numPr>
        <w:rPr>
          <w:rFonts w:ascii="Arial" w:cs="Arial" w:eastAsia="Arial" w:hAnsi="Arial"/>
          <w:sz w:val="15"/>
          <w:szCs w:val="15"/>
          <w:color w:val="auto"/>
        </w:rPr>
      </w:pPr>
      <w:r>
        <w:rPr>
          <w:rFonts w:ascii="Arial" w:cs="Arial" w:eastAsia="Arial" w:hAnsi="Arial"/>
          <w:sz w:val="15"/>
          <w:szCs w:val="15"/>
          <w:color w:val="auto"/>
        </w:rPr>
        <w:t>an issuance of Equity Interests by Wynn Las Vegas or any of the Restricted Subsidiaries to Wynn Las Vegas or any of its Restricted Subsidiaries;</w:t>
      </w:r>
    </w:p>
    <w:p>
      <w:pPr>
        <w:spacing w:after="0" w:line="124" w:lineRule="exact"/>
        <w:rPr>
          <w:rFonts w:ascii="Arial" w:cs="Arial" w:eastAsia="Arial" w:hAnsi="Arial"/>
          <w:sz w:val="15"/>
          <w:szCs w:val="15"/>
          <w:color w:val="auto"/>
        </w:rPr>
      </w:pPr>
    </w:p>
    <w:p>
      <w:pPr>
        <w:ind w:left="1160" w:hanging="257"/>
        <w:spacing w:after="0"/>
        <w:tabs>
          <w:tab w:leader="none" w:pos="116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the sale, lease or exchange of equipment, inventory, accounts receivable or other assets in the ordinary course of business;</w:t>
      </w:r>
    </w:p>
    <w:p>
      <w:pPr>
        <w:spacing w:after="0" w:line="90" w:lineRule="exact"/>
        <w:rPr>
          <w:rFonts w:ascii="Arial" w:cs="Arial" w:eastAsia="Arial" w:hAnsi="Arial"/>
          <w:sz w:val="18"/>
          <w:szCs w:val="18"/>
          <w:color w:val="auto"/>
        </w:rPr>
      </w:pPr>
    </w:p>
    <w:p>
      <w:pPr>
        <w:ind w:left="460" w:right="160" w:firstLine="443"/>
        <w:spacing w:after="0" w:line="268" w:lineRule="auto"/>
        <w:tabs>
          <w:tab w:leader="none" w:pos="1147" w:val="left"/>
        </w:tabs>
        <w:numPr>
          <w:ilvl w:val="1"/>
          <w:numId w:val="173"/>
        </w:numPr>
        <w:rPr>
          <w:rFonts w:ascii="Arial" w:cs="Arial" w:eastAsia="Arial" w:hAnsi="Arial"/>
          <w:sz w:val="18"/>
          <w:szCs w:val="18"/>
          <w:color w:val="auto"/>
        </w:rPr>
      </w:pPr>
      <w:r>
        <w:rPr>
          <w:rFonts w:ascii="Arial" w:cs="Arial" w:eastAsia="Arial" w:hAnsi="Arial"/>
          <w:sz w:val="18"/>
          <w:szCs w:val="18"/>
          <w:color w:val="auto"/>
        </w:rPr>
        <w:t>the disposition of obsolete, damaged or worn-out property that is no longer necessary for the conduct of the business of Wynn Las Vegas or any of the Restricted Subsidiaries;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the sale or other disposition of cash or Cash Equivalents;</w:t>
      </w:r>
    </w:p>
    <w:p>
      <w:pPr>
        <w:spacing w:after="0" w:line="90" w:lineRule="exact"/>
        <w:rPr>
          <w:rFonts w:ascii="Arial" w:cs="Arial" w:eastAsia="Arial" w:hAnsi="Arial"/>
          <w:sz w:val="18"/>
          <w:szCs w:val="18"/>
          <w:color w:val="auto"/>
        </w:rPr>
      </w:pPr>
    </w:p>
    <w:p>
      <w:pPr>
        <w:ind w:left="460" w:right="460" w:firstLine="443"/>
        <w:spacing w:after="0" w:line="268" w:lineRule="auto"/>
        <w:tabs>
          <w:tab w:leader="none" w:pos="1147" w:val="left"/>
        </w:tabs>
        <w:numPr>
          <w:ilvl w:val="1"/>
          <w:numId w:val="173"/>
        </w:numPr>
        <w:rPr>
          <w:rFonts w:ascii="Arial" w:cs="Arial" w:eastAsia="Arial" w:hAnsi="Arial"/>
          <w:sz w:val="18"/>
          <w:szCs w:val="18"/>
          <w:color w:val="auto"/>
        </w:rPr>
      </w:pPr>
      <w:r>
        <w:rPr>
          <w:rFonts w:ascii="Arial" w:cs="Arial" w:eastAsia="Arial" w:hAnsi="Arial"/>
          <w:sz w:val="18"/>
          <w:szCs w:val="18"/>
          <w:color w:val="auto"/>
        </w:rPr>
        <w:t>a Restricted Payment or Permitted Investment that is permitted by the covenant described above under the caption “—Certain Covenants— Restricted Payments;”</w:t>
      </w:r>
    </w:p>
    <w:p>
      <w:pPr>
        <w:spacing w:after="0" w:line="50" w:lineRule="exact"/>
        <w:rPr>
          <w:rFonts w:ascii="Arial" w:cs="Arial" w:eastAsia="Arial" w:hAnsi="Arial"/>
          <w:sz w:val="18"/>
          <w:szCs w:val="18"/>
          <w:color w:val="auto"/>
        </w:rPr>
      </w:pPr>
    </w:p>
    <w:p>
      <w:pPr>
        <w:ind w:left="460" w:right="740" w:firstLine="443"/>
        <w:spacing w:after="0" w:line="332" w:lineRule="auto"/>
        <w:tabs>
          <w:tab w:leader="none" w:pos="1147" w:val="left"/>
        </w:tabs>
        <w:numPr>
          <w:ilvl w:val="1"/>
          <w:numId w:val="173"/>
        </w:numPr>
        <w:rPr>
          <w:rFonts w:ascii="Arial" w:cs="Arial" w:eastAsia="Arial" w:hAnsi="Arial"/>
          <w:sz w:val="16"/>
          <w:szCs w:val="16"/>
          <w:color w:val="auto"/>
        </w:rPr>
      </w:pPr>
      <w:r>
        <w:rPr>
          <w:rFonts w:ascii="Arial" w:cs="Arial" w:eastAsia="Arial" w:hAnsi="Arial"/>
          <w:sz w:val="16"/>
          <w:szCs w:val="16"/>
          <w:color w:val="auto"/>
        </w:rPr>
        <w:t>like-kind exchanges of personal property if the Fair Market Value of the personal property transferred by Wynn Las Vegas or any of the Restricted Subsidiaries in such exchanges does not exceed $20.0 million in the aggregate in any calendar year;</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1"/>
          <w:numId w:val="173"/>
        </w:numPr>
        <w:rPr>
          <w:rFonts w:ascii="Arial" w:cs="Arial" w:eastAsia="Arial" w:hAnsi="Arial"/>
          <w:sz w:val="16"/>
          <w:szCs w:val="16"/>
          <w:color w:val="auto"/>
        </w:rPr>
      </w:pPr>
      <w:r>
        <w:rPr>
          <w:rFonts w:ascii="Arial" w:cs="Arial" w:eastAsia="Arial" w:hAnsi="Arial"/>
          <w:sz w:val="16"/>
          <w:szCs w:val="16"/>
          <w:color w:val="auto"/>
        </w:rPr>
        <w:t>a dedication of space within the Projects as necessary for the development of the Projects and as permitted by the Collateral Documents;</w:t>
      </w:r>
    </w:p>
    <w:p>
      <w:pPr>
        <w:spacing w:after="0" w:line="113" w:lineRule="exact"/>
        <w:rPr>
          <w:rFonts w:ascii="Arial" w:cs="Arial" w:eastAsia="Arial" w:hAnsi="Arial"/>
          <w:sz w:val="16"/>
          <w:szCs w:val="16"/>
          <w:color w:val="auto"/>
        </w:rPr>
      </w:pPr>
    </w:p>
    <w:p>
      <w:pPr>
        <w:ind w:left="460" w:right="360" w:firstLine="443"/>
        <w:spacing w:after="0" w:line="332" w:lineRule="auto"/>
        <w:tabs>
          <w:tab w:leader="none" w:pos="1235" w:val="left"/>
        </w:tabs>
        <w:numPr>
          <w:ilvl w:val="1"/>
          <w:numId w:val="173"/>
        </w:numPr>
        <w:rPr>
          <w:rFonts w:ascii="Arial" w:cs="Arial" w:eastAsia="Arial" w:hAnsi="Arial"/>
          <w:sz w:val="16"/>
          <w:szCs w:val="16"/>
          <w:color w:val="auto"/>
        </w:rPr>
      </w:pPr>
      <w:r>
        <w:rPr>
          <w:rFonts w:ascii="Arial" w:cs="Arial" w:eastAsia="Arial" w:hAnsi="Arial"/>
          <w:sz w:val="16"/>
          <w:szCs w:val="16"/>
          <w:color w:val="auto"/>
        </w:rPr>
        <w:t>licenses of patents, trademarks and other intellectual property rights granted by Wynn Las Vegas or any of the Restricted Subsidiaries in the ordinary course of business and not interfering in any material respect with the ordinary conduct of the business of such Person;</w:t>
      </w:r>
    </w:p>
    <w:p>
      <w:pPr>
        <w:spacing w:after="0" w:line="4" w:lineRule="exact"/>
        <w:rPr>
          <w:rFonts w:ascii="Arial" w:cs="Arial" w:eastAsia="Arial" w:hAnsi="Arial"/>
          <w:sz w:val="16"/>
          <w:szCs w:val="16"/>
          <w:color w:val="auto"/>
        </w:rPr>
      </w:pPr>
    </w:p>
    <w:p>
      <w:pPr>
        <w:ind w:left="460" w:right="100" w:firstLine="443"/>
        <w:spacing w:after="0" w:line="305" w:lineRule="auto"/>
        <w:tabs>
          <w:tab w:leader="none" w:pos="1228" w:val="left"/>
        </w:tabs>
        <w:numPr>
          <w:ilvl w:val="1"/>
          <w:numId w:val="173"/>
        </w:numPr>
        <w:rPr>
          <w:rFonts w:ascii="Arial" w:cs="Arial" w:eastAsia="Arial" w:hAnsi="Arial"/>
          <w:sz w:val="15"/>
          <w:szCs w:val="15"/>
          <w:color w:val="auto"/>
        </w:rPr>
      </w:pPr>
      <w:r>
        <w:rPr>
          <w:rFonts w:ascii="Arial" w:cs="Arial" w:eastAsia="Arial" w:hAnsi="Arial"/>
          <w:sz w:val="15"/>
          <w:szCs w:val="15"/>
          <w:color w:val="auto"/>
        </w:rPr>
        <w:t>the transfer or sale or disposition of any Released Assets or Aircraft Assets; provided that any revenues in excess of $10.0 million (in the aggregate) generated by sales, leases or other dispositions of any assets in connection with (i) any timeshare, interval ownership or similar development or</w:t>
      </w:r>
    </w:p>
    <w:p>
      <w:pPr>
        <w:ind w:left="460" w:right="80" w:firstLine="4"/>
        <w:spacing w:after="0" w:line="261" w:lineRule="auto"/>
        <w:tabs>
          <w:tab w:leader="none" w:pos="719"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any condominium or similar development with respect to the Phase III Project, shall constitute Asset Sales and shall be disposed of in accordance with the covenant described above under the caption “—Repurchase at the Option of Holders—Asset Sales;”</w:t>
      </w:r>
    </w:p>
    <w:p>
      <w:pPr>
        <w:spacing w:after="0" w:line="56" w:lineRule="exact"/>
        <w:rPr>
          <w:rFonts w:ascii="Arial" w:cs="Arial" w:eastAsia="Arial" w:hAnsi="Arial"/>
          <w:sz w:val="18"/>
          <w:szCs w:val="18"/>
          <w:color w:val="auto"/>
        </w:rPr>
      </w:pPr>
    </w:p>
    <w:p>
      <w:pPr>
        <w:ind w:left="1240" w:hanging="337"/>
        <w:spacing w:after="0"/>
        <w:tabs>
          <w:tab w:leader="none" w:pos="124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a transfer of assets between or among Wynn Las Vegas and the Restricted Subsidiaries pursuant to any Affiliate Agreement;</w:t>
      </w:r>
    </w:p>
    <w:p>
      <w:pPr>
        <w:spacing w:after="0" w:line="90" w:lineRule="exact"/>
        <w:rPr>
          <w:rFonts w:ascii="Arial" w:cs="Arial" w:eastAsia="Arial" w:hAnsi="Arial"/>
          <w:sz w:val="18"/>
          <w:szCs w:val="18"/>
          <w:color w:val="auto"/>
        </w:rPr>
      </w:pPr>
    </w:p>
    <w:p>
      <w:pPr>
        <w:ind w:left="460" w:right="520" w:firstLine="443"/>
        <w:spacing w:after="0" w:line="268" w:lineRule="auto"/>
        <w:tabs>
          <w:tab w:leader="none" w:pos="1235" w:val="left"/>
        </w:tabs>
        <w:numPr>
          <w:ilvl w:val="1"/>
          <w:numId w:val="174"/>
        </w:numPr>
        <w:rPr>
          <w:rFonts w:ascii="Arial" w:cs="Arial" w:eastAsia="Arial" w:hAnsi="Arial"/>
          <w:sz w:val="18"/>
          <w:szCs w:val="18"/>
          <w:color w:val="auto"/>
        </w:rPr>
      </w:pPr>
      <w:r>
        <w:rPr>
          <w:rFonts w:ascii="Arial" w:cs="Arial" w:eastAsia="Arial" w:hAnsi="Arial"/>
          <w:sz w:val="18"/>
          <w:szCs w:val="18"/>
          <w:color w:val="auto"/>
        </w:rPr>
        <w:t>the granting, creation or existence of a Permitted Lien and dispositions of assets pursuant to an exercise of remedies, including by way of foreclosure, against the underlying assets subject to such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00"/>
          </w:cols>
          <w:pgMar w:left="240" w:top="459" w:right="2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140"/>
        <w:spacing w:after="0" w:line="306" w:lineRule="auto"/>
        <w:rPr>
          <w:sz w:val="20"/>
          <w:szCs w:val="20"/>
          <w:color w:val="auto"/>
        </w:rPr>
      </w:pPr>
      <w:r>
        <w:rPr>
          <w:rFonts w:ascii="Arial" w:cs="Arial" w:eastAsia="Arial" w:hAnsi="Arial"/>
          <w:sz w:val="16"/>
          <w:szCs w:val="16"/>
          <w:color w:val="auto"/>
        </w:rPr>
        <w:t>Permitted Liens, under circumstances not otherwise resulting in Defaults or Events of Default, so long as the net proceeds, if any, of any such disposition received by Wynn Las Vegas or any of its Restricted Subsidiaries shall be treated as if they were Net Proceeds of an Asset Sale and applied in accordance with the covenant described above under the caption “—Repurchase at the Option of Holders—Asset Sales;”</w:t>
      </w:r>
    </w:p>
    <w:p>
      <w:pPr>
        <w:spacing w:after="0" w:line="26" w:lineRule="exact"/>
        <w:rPr>
          <w:sz w:val="20"/>
          <w:szCs w:val="20"/>
          <w:color w:val="auto"/>
        </w:rPr>
      </w:pPr>
    </w:p>
    <w:p>
      <w:pPr>
        <w:ind w:left="460" w:right="20" w:firstLine="443"/>
        <w:spacing w:after="0" w:line="256" w:lineRule="auto"/>
        <w:tabs>
          <w:tab w:leader="none" w:pos="123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Government Transfers or Permitted Liens of the type described in clause (12) of the definition of “Permitted Liens,” so long as the net proceeds, if any, of any such disposition received by Wynn Las Vegas or any of the Restricted Subsidiaries in respect thereof shall be treated as if they were Net Proceeds of an Asset Sale and applied in accordance with the covenant described above under the caption “—Repurchase at the Option of Holders—Asset Sales;” and</w:t>
      </w:r>
    </w:p>
    <w:p>
      <w:pPr>
        <w:spacing w:after="0" w:line="62" w:lineRule="exact"/>
        <w:rPr>
          <w:rFonts w:ascii="Arial" w:cs="Arial" w:eastAsia="Arial" w:hAnsi="Arial"/>
          <w:sz w:val="18"/>
          <w:szCs w:val="18"/>
          <w:color w:val="auto"/>
        </w:rPr>
      </w:pPr>
    </w:p>
    <w:p>
      <w:pPr>
        <w:ind w:left="1240" w:hanging="337"/>
        <w:spacing w:after="0"/>
        <w:tabs>
          <w:tab w:leader="none" w:pos="12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transfers, leases or other dispositions of the Koval Land or any portion of or interest in the Koval Land.</w:t>
      </w:r>
    </w:p>
    <w:p>
      <w:pPr>
        <w:spacing w:after="0" w:line="171" w:lineRule="exact"/>
        <w:rPr>
          <w:sz w:val="20"/>
          <w:szCs w:val="20"/>
          <w:color w:val="auto"/>
        </w:rPr>
      </w:pPr>
    </w:p>
    <w:p>
      <w:pPr>
        <w:ind w:right="720" w:firstLine="456"/>
        <w:spacing w:after="0" w:line="332" w:lineRule="auto"/>
        <w:rPr>
          <w:sz w:val="20"/>
          <w:szCs w:val="20"/>
          <w:color w:val="auto"/>
        </w:rPr>
      </w:pPr>
      <w:r>
        <w:rPr>
          <w:rFonts w:ascii="Arial" w:cs="Arial" w:eastAsia="Arial" w:hAnsi="Arial"/>
          <w:sz w:val="16"/>
          <w:szCs w:val="16"/>
          <w:color w:val="auto"/>
        </w:rPr>
        <w:t>Notwithstanding the foregoing, any sale of assets which requires a mandatory prepayment of amounts outstanding (or the mandatory reduction of commitments thereunder) under the Credit Agreement shall constitute an Asset Sale for purposes of the Indenture.</w:t>
      </w:r>
    </w:p>
    <w:p>
      <w:pPr>
        <w:spacing w:after="0" w:line="85"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Attributable Debt</w:t>
      </w:r>
      <w:r>
        <w:rPr>
          <w:rFonts w:ascii="Arial" w:cs="Arial" w:eastAsia="Arial" w:hAnsi="Arial"/>
          <w:sz w:val="16"/>
          <w:szCs w:val="16"/>
          <w:color w:val="auto"/>
        </w:rPr>
        <w:t>” in respect of a sale and leaseback transaction means, at the time of determination, the present value of the obligation of the lessee for net rental payments during the remaining term of the lease included in such sale and leaseback transaction including any period for which such lease has been extended or may, at the option of the lessor, be extended. Such present value shall be calculated using a discount rate equal to the rate of interest implicit in such transaction, determined in accordance with GAAP; provided, however, that if such sale and leaseback transaction results in a Capital Lease Obligation, the amount of Indebtedness represented thereby will be determined in accordance with the definition of “Capital Lease Obligation.”</w:t>
      </w:r>
    </w:p>
    <w:p>
      <w:pPr>
        <w:spacing w:after="0" w:line="1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Beneficial Owner</w:t>
      </w:r>
      <w:r>
        <w:rPr>
          <w:rFonts w:ascii="Arial" w:cs="Arial" w:eastAsia="Arial" w:hAnsi="Arial"/>
          <w:sz w:val="16"/>
          <w:szCs w:val="16"/>
          <w:color w:val="auto"/>
        </w:rPr>
        <w:t>” has the meaning assigned to such term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with respect to a corporation, the board of directors of the corporation or any committee thereof duly authorized to act on behalf of such board;</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with respect to a partnership, the board of directors of the general partner of the partnership;</w:t>
      </w:r>
    </w:p>
    <w:p>
      <w:pPr>
        <w:spacing w:after="0" w:line="90" w:lineRule="exact"/>
        <w:rPr>
          <w:rFonts w:ascii="Arial" w:cs="Arial" w:eastAsia="Arial" w:hAnsi="Arial"/>
          <w:sz w:val="18"/>
          <w:szCs w:val="18"/>
          <w:color w:val="auto"/>
        </w:rPr>
      </w:pPr>
    </w:p>
    <w:p>
      <w:pPr>
        <w:ind w:left="460" w:right="540" w:firstLine="443"/>
        <w:spacing w:after="0" w:line="268" w:lineRule="auto"/>
        <w:tabs>
          <w:tab w:leader="none" w:pos="1147" w:val="left"/>
        </w:tabs>
        <w:numPr>
          <w:ilvl w:val="0"/>
          <w:numId w:val="176"/>
        </w:numPr>
        <w:rPr>
          <w:rFonts w:ascii="Arial" w:cs="Arial" w:eastAsia="Arial" w:hAnsi="Arial"/>
          <w:sz w:val="18"/>
          <w:szCs w:val="18"/>
          <w:color w:val="auto"/>
        </w:rPr>
      </w:pPr>
      <w:r>
        <w:rPr>
          <w:rFonts w:ascii="Arial" w:cs="Arial" w:eastAsia="Arial" w:hAnsi="Arial"/>
          <w:sz w:val="18"/>
          <w:szCs w:val="18"/>
          <w:color w:val="auto"/>
        </w:rPr>
        <w:t>with respect to a limited liability company, the Person or Persons who are the managing member, members or managers or any controlling committee or managing members or managers thereof;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with respect to any other Person, the board or committee of such Person serving a similar function.</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Capital Lease Obligation</w:t>
      </w:r>
      <w:r>
        <w:rPr>
          <w:rFonts w:ascii="Arial" w:cs="Arial" w:eastAsia="Arial" w:hAnsi="Arial"/>
          <w:sz w:val="16"/>
          <w:szCs w:val="16"/>
          <w:color w:val="auto"/>
        </w:rPr>
        <w:t>” means, at the time any determination is to be made, the amount of the liability in respect of a capital lease that would at that time be required to be capitalized on a balance sheet in accordance with GAAP, and the Stated Maturity thereof shall be the date of the last payment of rent or any other amount due under such lease prior to the first date upon which such lease may be prepaid by the lessee without payment of a penalty.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90" w:lineRule="exact"/>
        <w:rPr>
          <w:rFonts w:ascii="Arial" w:cs="Arial" w:eastAsia="Arial" w:hAnsi="Arial"/>
          <w:sz w:val="18"/>
          <w:szCs w:val="18"/>
          <w:color w:val="auto"/>
        </w:rPr>
      </w:pPr>
    </w:p>
    <w:p>
      <w:pPr>
        <w:ind w:left="460" w:right="280" w:firstLine="443"/>
        <w:spacing w:after="0" w:line="268" w:lineRule="auto"/>
        <w:tabs>
          <w:tab w:leader="none" w:pos="1147"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00"/>
          </w:cols>
          <w:pgMar w:left="240" w:top="459" w:right="2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60" w:firstLine="443"/>
        <w:spacing w:after="0" w:line="268" w:lineRule="auto"/>
        <w:tabs>
          <w:tab w:leader="none" w:pos="1147"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in the case of a partnership or limited liability company, partnership interests (whether general or limited) or membership interests (whether general or limited); and</w:t>
      </w:r>
    </w:p>
    <w:p>
      <w:pPr>
        <w:spacing w:after="0" w:line="50" w:lineRule="exact"/>
        <w:rPr>
          <w:rFonts w:ascii="Arial" w:cs="Arial" w:eastAsia="Arial" w:hAnsi="Arial"/>
          <w:sz w:val="18"/>
          <w:szCs w:val="18"/>
          <w:color w:val="auto"/>
        </w:rPr>
      </w:pPr>
    </w:p>
    <w:p>
      <w:pPr>
        <w:ind w:left="460" w:right="40" w:firstLine="443"/>
        <w:spacing w:after="0" w:line="259" w:lineRule="auto"/>
        <w:tabs>
          <w:tab w:leader="none" w:pos="1147"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any other interests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Equivalents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United States dollars;</w:t>
      </w:r>
    </w:p>
    <w:p>
      <w:pPr>
        <w:spacing w:after="0" w:line="90" w:lineRule="exact"/>
        <w:rPr>
          <w:rFonts w:ascii="Arial" w:cs="Arial" w:eastAsia="Arial" w:hAnsi="Arial"/>
          <w:sz w:val="18"/>
          <w:szCs w:val="18"/>
          <w:color w:val="auto"/>
        </w:rPr>
      </w:pPr>
    </w:p>
    <w:p>
      <w:pPr>
        <w:ind w:left="460" w:firstLine="443"/>
        <w:spacing w:after="0" w:line="259" w:lineRule="auto"/>
        <w:tabs>
          <w:tab w:leader="none" w:pos="1147" w:val="left"/>
        </w:tabs>
        <w:numPr>
          <w:ilvl w:val="0"/>
          <w:numId w:val="179"/>
        </w:numPr>
        <w:rPr>
          <w:rFonts w:ascii="Arial" w:cs="Arial" w:eastAsia="Arial" w:hAnsi="Arial"/>
          <w:sz w:val="18"/>
          <w:szCs w:val="18"/>
          <w:color w:val="auto"/>
        </w:rPr>
      </w:pPr>
      <w:r>
        <w:rPr>
          <w:rFonts w:ascii="Arial" w:cs="Arial" w:eastAsia="Arial" w:hAnsi="Arial"/>
          <w:sz w:val="18"/>
          <w:szCs w:val="18"/>
          <w:color w:val="auto"/>
        </w:rPr>
        <w:t>securities issued or directly and fully guaranteed or insured by the United States government or any agency or instrumentality of the United States government (provided that the full faith and credit of the United States is pledged in support of those securities) having maturities of not more than six months from the date of acquisition;</w:t>
      </w:r>
    </w:p>
    <w:p>
      <w:pPr>
        <w:spacing w:after="0" w:line="59" w:lineRule="exact"/>
        <w:rPr>
          <w:rFonts w:ascii="Arial" w:cs="Arial" w:eastAsia="Arial" w:hAnsi="Arial"/>
          <w:sz w:val="18"/>
          <w:szCs w:val="18"/>
          <w:color w:val="auto"/>
        </w:rPr>
      </w:pPr>
    </w:p>
    <w:p>
      <w:pPr>
        <w:ind w:left="460" w:right="180" w:firstLine="443"/>
        <w:spacing w:after="0" w:line="306" w:lineRule="auto"/>
        <w:tabs>
          <w:tab w:leader="none" w:pos="1147" w:val="left"/>
        </w:tabs>
        <w:numPr>
          <w:ilvl w:val="0"/>
          <w:numId w:val="179"/>
        </w:numPr>
        <w:rPr>
          <w:rFonts w:ascii="Arial" w:cs="Arial" w:eastAsia="Arial" w:hAnsi="Arial"/>
          <w:sz w:val="16"/>
          <w:szCs w:val="16"/>
          <w:color w:val="auto"/>
        </w:rPr>
      </w:pPr>
      <w:r>
        <w:rPr>
          <w:rFonts w:ascii="Arial" w:cs="Arial" w:eastAsia="Arial" w:hAnsi="Arial"/>
          <w:sz w:val="16"/>
          <w:szCs w:val="16"/>
          <w:color w:val="auto"/>
        </w:rPr>
        <w:t>certificates of deposit and Eurodollar time deposits with maturities of six months or less from the date of acquisition, bankers’ acceptances with maturities not exceeding six months and overnight bank deposits, in each case, with any lender party to the Credit Agreement or with any domestic commercial bank having capital and surplus in excess of $500.0 million and a Thomson Bank Watch Rating of “B” or better;</w:t>
      </w:r>
    </w:p>
    <w:p>
      <w:pPr>
        <w:spacing w:after="0" w:line="25" w:lineRule="exact"/>
        <w:rPr>
          <w:rFonts w:ascii="Arial" w:cs="Arial" w:eastAsia="Arial" w:hAnsi="Arial"/>
          <w:sz w:val="16"/>
          <w:szCs w:val="16"/>
          <w:color w:val="auto"/>
        </w:rPr>
      </w:pPr>
    </w:p>
    <w:p>
      <w:pPr>
        <w:ind w:left="460" w:right="500" w:firstLine="443"/>
        <w:spacing w:after="0" w:line="268" w:lineRule="auto"/>
        <w:tabs>
          <w:tab w:leader="none" w:pos="1147" w:val="left"/>
        </w:tabs>
        <w:numPr>
          <w:ilvl w:val="0"/>
          <w:numId w:val="179"/>
        </w:numPr>
        <w:rPr>
          <w:rFonts w:ascii="Arial" w:cs="Arial" w:eastAsia="Arial" w:hAnsi="Arial"/>
          <w:sz w:val="18"/>
          <w:szCs w:val="18"/>
          <w:color w:val="auto"/>
        </w:rPr>
      </w:pPr>
      <w:r>
        <w:rPr>
          <w:rFonts w:ascii="Arial" w:cs="Arial" w:eastAsia="Arial" w:hAnsi="Arial"/>
          <w:sz w:val="18"/>
          <w:szCs w:val="18"/>
          <w:color w:val="auto"/>
        </w:rPr>
        <w:t>repurchase obligations with a term of not more than seven days for underlying securities of the types described in clauses (2) and (3) above entered into with any financial institution meeting the qualifications specified in clause (3) above;</w:t>
      </w:r>
    </w:p>
    <w:p>
      <w:pPr>
        <w:spacing w:after="0" w:line="50"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179"/>
        </w:numPr>
        <w:rPr>
          <w:rFonts w:ascii="Arial" w:cs="Arial" w:eastAsia="Arial" w:hAnsi="Arial"/>
          <w:sz w:val="18"/>
          <w:szCs w:val="18"/>
          <w:color w:val="auto"/>
        </w:rPr>
      </w:pPr>
      <w:r>
        <w:rPr>
          <w:rFonts w:ascii="Arial" w:cs="Arial" w:eastAsia="Arial" w:hAnsi="Arial"/>
          <w:sz w:val="18"/>
          <w:szCs w:val="18"/>
          <w:color w:val="auto"/>
        </w:rPr>
        <w:t>commercial paper having one of the two highest ratings obtainable from Moody’s or S&amp;P and, in each case, maturing within six months after the date of acquisition;</w:t>
      </w:r>
    </w:p>
    <w:p>
      <w:pPr>
        <w:spacing w:after="0" w:line="50" w:lineRule="exact"/>
        <w:rPr>
          <w:rFonts w:ascii="Arial" w:cs="Arial" w:eastAsia="Arial" w:hAnsi="Arial"/>
          <w:sz w:val="18"/>
          <w:szCs w:val="18"/>
          <w:color w:val="auto"/>
        </w:rPr>
      </w:pPr>
    </w:p>
    <w:p>
      <w:pPr>
        <w:ind w:left="460" w:right="460" w:firstLine="443"/>
        <w:spacing w:after="0" w:line="268" w:lineRule="auto"/>
        <w:tabs>
          <w:tab w:leader="none" w:pos="1147" w:val="left"/>
        </w:tabs>
        <w:numPr>
          <w:ilvl w:val="0"/>
          <w:numId w:val="179"/>
        </w:numPr>
        <w:rPr>
          <w:rFonts w:ascii="Arial" w:cs="Arial" w:eastAsia="Arial" w:hAnsi="Arial"/>
          <w:sz w:val="18"/>
          <w:szCs w:val="18"/>
          <w:color w:val="auto"/>
        </w:rPr>
      </w:pPr>
      <w:r>
        <w:rPr>
          <w:rFonts w:ascii="Arial" w:cs="Arial" w:eastAsia="Arial" w:hAnsi="Arial"/>
          <w:sz w:val="18"/>
          <w:szCs w:val="18"/>
          <w:color w:val="auto"/>
        </w:rPr>
        <w:t>money market funds at least 95% of the assets of which constitute Cash Equivalents of the kinds described in clauses (1) through (5) of this definition;</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to the extent not permitted in clauses (1) through (6) of this definition, Permitted Securities; and</w:t>
      </w:r>
    </w:p>
    <w:p>
      <w:pPr>
        <w:spacing w:after="0" w:line="90" w:lineRule="exact"/>
        <w:rPr>
          <w:rFonts w:ascii="Arial" w:cs="Arial" w:eastAsia="Arial" w:hAnsi="Arial"/>
          <w:sz w:val="18"/>
          <w:szCs w:val="18"/>
          <w:color w:val="auto"/>
        </w:rPr>
      </w:pPr>
    </w:p>
    <w:p>
      <w:pPr>
        <w:ind w:left="460" w:right="520" w:firstLine="443"/>
        <w:spacing w:after="0" w:line="268" w:lineRule="auto"/>
        <w:tabs>
          <w:tab w:leader="none" w:pos="1147"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to the extent not included in clauses (1) through (7) of this definition, funds managed or offered by the trustee that invest exclusively in the securities and instruments described in clauses (1) through (7) above.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of the following:</w:t>
      </w:r>
    </w:p>
    <w:p>
      <w:pPr>
        <w:spacing w:after="0" w:line="90" w:lineRule="exact"/>
        <w:rPr>
          <w:sz w:val="20"/>
          <w:szCs w:val="20"/>
          <w:color w:val="auto"/>
        </w:rPr>
      </w:pPr>
    </w:p>
    <w:p>
      <w:pPr>
        <w:jc w:val="both"/>
        <w:ind w:left="460" w:right="220" w:firstLine="443"/>
        <w:spacing w:after="0" w:line="306" w:lineRule="auto"/>
        <w:tabs>
          <w:tab w:leader="none" w:pos="1147" w:val="left"/>
        </w:tabs>
        <w:numPr>
          <w:ilvl w:val="0"/>
          <w:numId w:val="180"/>
        </w:numPr>
        <w:rPr>
          <w:rFonts w:ascii="Arial" w:cs="Arial" w:eastAsia="Arial" w:hAnsi="Arial"/>
          <w:sz w:val="16"/>
          <w:szCs w:val="16"/>
          <w:color w:val="auto"/>
        </w:rPr>
      </w:pPr>
      <w:r>
        <w:rPr>
          <w:rFonts w:ascii="Arial" w:cs="Arial" w:eastAsia="Arial" w:hAnsi="Arial"/>
          <w:sz w:val="16"/>
          <w:szCs w:val="16"/>
          <w:color w:val="auto"/>
        </w:rPr>
        <w:t>the direct or indirect sale, transfer, conveyance or other disposition (other than by way of merger or consolidation), in one or a series of related transactions, of all or substantially all of the properties or assets of Wynn Las Vegas and its Restricted Subsidiaries, taken as a whole, to any “person” (as that term is used in Section 13(d)(3) of the Exchange Act), other than to the Principal or a Related Party of the Principal;</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adoption of a plan relating to the liquidation or dissolution of either Issuer or any successor thereto;</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consummation of any transaction (including, without limitation, any merger or consolidation) the result of which is that:</w:t>
      </w:r>
    </w:p>
    <w:p>
      <w:pPr>
        <w:spacing w:after="0" w:line="90" w:lineRule="exact"/>
        <w:rPr>
          <w:rFonts w:ascii="Arial" w:cs="Arial" w:eastAsia="Arial" w:hAnsi="Arial"/>
          <w:sz w:val="18"/>
          <w:szCs w:val="18"/>
          <w:color w:val="auto"/>
        </w:rPr>
      </w:pPr>
    </w:p>
    <w:p>
      <w:pPr>
        <w:ind w:left="920" w:right="220" w:firstLine="421"/>
        <w:spacing w:after="0" w:line="259" w:lineRule="auto"/>
        <w:tabs>
          <w:tab w:leader="none" w:pos="1579" w:val="left"/>
        </w:tabs>
        <w:numPr>
          <w:ilvl w:val="1"/>
          <w:numId w:val="180"/>
        </w:numPr>
        <w:rPr>
          <w:rFonts w:ascii="Arial" w:cs="Arial" w:eastAsia="Arial" w:hAnsi="Arial"/>
          <w:sz w:val="18"/>
          <w:szCs w:val="18"/>
          <w:color w:val="auto"/>
        </w:rPr>
      </w:pPr>
      <w:r>
        <w:rPr>
          <w:rFonts w:ascii="Arial" w:cs="Arial" w:eastAsia="Arial" w:hAnsi="Arial"/>
          <w:sz w:val="18"/>
          <w:szCs w:val="18"/>
          <w:color w:val="auto"/>
        </w:rPr>
        <w:t>any “person” (as defined in clause (1) above), other than the Principal and any of his Related Parties becomes the Beneficial Owner, directly or indirectly, of more than 50% of the outstanding Voting Stock of Wynn Resorts, measured by voting power rather than number of equity interests;</w:t>
      </w:r>
    </w:p>
    <w:p>
      <w:pPr>
        <w:spacing w:after="0" w:line="59" w:lineRule="exact"/>
        <w:rPr>
          <w:rFonts w:ascii="Arial" w:cs="Arial" w:eastAsia="Arial" w:hAnsi="Arial"/>
          <w:sz w:val="18"/>
          <w:szCs w:val="18"/>
          <w:color w:val="auto"/>
        </w:rPr>
      </w:pPr>
    </w:p>
    <w:p>
      <w:pPr>
        <w:ind w:left="920" w:right="160" w:firstLine="421"/>
        <w:spacing w:after="0" w:line="306" w:lineRule="auto"/>
        <w:tabs>
          <w:tab w:leader="none" w:pos="1588" w:val="left"/>
        </w:tabs>
        <w:numPr>
          <w:ilvl w:val="1"/>
          <w:numId w:val="180"/>
        </w:numPr>
        <w:rPr>
          <w:rFonts w:ascii="Arial" w:cs="Arial" w:eastAsia="Arial" w:hAnsi="Arial"/>
          <w:sz w:val="16"/>
          <w:szCs w:val="16"/>
          <w:color w:val="auto"/>
        </w:rPr>
      </w:pPr>
      <w:r>
        <w:rPr>
          <w:rFonts w:ascii="Arial" w:cs="Arial" w:eastAsia="Arial" w:hAnsi="Arial"/>
          <w:sz w:val="16"/>
          <w:szCs w:val="16"/>
          <w:color w:val="auto"/>
        </w:rPr>
        <w:t>any “person” (as defined in clause (1) above) (other than Kazuo Okada, Aruze USA and UEC, so long as (i) the Stockholders Agreement, as in effect on the date of the Indenture, remains in full force and effect, (ii) a majority of the Board of Directors of Wynn Resorts is constituted of Persons named on any slate of directors chosen by the Principal and Aruze USA pursuant to the Stockholders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line="255" w:lineRule="auto"/>
        <w:rPr>
          <w:sz w:val="20"/>
          <w:szCs w:val="20"/>
          <w:color w:val="auto"/>
        </w:rPr>
      </w:pPr>
      <w:r>
        <w:rPr>
          <w:rFonts w:ascii="Arial" w:cs="Arial" w:eastAsia="Arial" w:hAnsi="Arial"/>
          <w:sz w:val="18"/>
          <w:szCs w:val="18"/>
          <w:color w:val="auto"/>
        </w:rPr>
        <w:t>Agreement, as in effect on the date of the Indenture, and (iii) Kazuo Okada and his Related Parties either (A) “control” (as that term is used in Rule 405 under the Securities Act) UEC and Aruze USA or (B) otherwise remain the direct or indirect Beneficial Owners of the Voting Stock of Wynn Resorts held by UEC) becomes the Beneficial Owner, directly or indirectly, of a greater percentage of the outstanding Voting Stock of Wynn Resorts, measured by voting power rather than number of equity interests, than is at that time Beneficially Owned by the Principal and his Related Parties as a group;</w:t>
      </w:r>
    </w:p>
    <w:p>
      <w:pPr>
        <w:spacing w:after="0" w:line="62" w:lineRule="exact"/>
        <w:rPr>
          <w:sz w:val="20"/>
          <w:szCs w:val="20"/>
          <w:color w:val="auto"/>
        </w:rPr>
      </w:pPr>
    </w:p>
    <w:p>
      <w:pPr>
        <w:ind w:left="1160" w:hanging="257"/>
        <w:spacing w:after="0"/>
        <w:tabs>
          <w:tab w:leader="none" w:pos="116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the first day on which a majority of the members of the Board of Directors of Wynn Resorts or Wynn Capital are not Continuing Directors;</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the first day on which Wynn Resorts ceases to own, directly or indirectly, 100% of the outstanding Equity Interests of Wynn Las Vegas;</w:t>
      </w:r>
    </w:p>
    <w:p>
      <w:pPr>
        <w:spacing w:after="0" w:line="113" w:lineRule="exact"/>
        <w:rPr>
          <w:rFonts w:ascii="Arial" w:cs="Arial" w:eastAsia="Arial" w:hAnsi="Arial"/>
          <w:sz w:val="16"/>
          <w:szCs w:val="16"/>
          <w:color w:val="auto"/>
        </w:rPr>
      </w:pPr>
    </w:p>
    <w:p>
      <w:pPr>
        <w:ind w:left="460" w:right="100" w:firstLine="443"/>
        <w:spacing w:after="0" w:line="291" w:lineRule="auto"/>
        <w:tabs>
          <w:tab w:leader="none" w:pos="1147" w:val="left"/>
        </w:tabs>
        <w:numPr>
          <w:ilvl w:val="0"/>
          <w:numId w:val="181"/>
        </w:numPr>
        <w:rPr>
          <w:rFonts w:ascii="Arial" w:cs="Arial" w:eastAsia="Arial" w:hAnsi="Arial"/>
          <w:sz w:val="16"/>
          <w:szCs w:val="16"/>
          <w:color w:val="auto"/>
        </w:rPr>
      </w:pPr>
      <w:r>
        <w:rPr>
          <w:rFonts w:ascii="Arial" w:cs="Arial" w:eastAsia="Arial" w:hAnsi="Arial"/>
          <w:sz w:val="16"/>
          <w:szCs w:val="16"/>
          <w:color w:val="auto"/>
        </w:rPr>
        <w:t>Wynn Resorts consolidates with, or merges with or into, any Person or sells, assigns, conveys, transfers, leases or otherwise disposes of all or substantially all of its assets to any Person, or any Person consolidates with, or merges with or into, Wynn Resorts, in any such event pursuant to a transaction in which any of the outstanding Voting Stock of Wynn Resorts is converted into or exchanged for cash, securities or other property, other than any such transaction where the Voting Stock of Wynn Resorts outstanding immediately prior to such transaction is converted into or exchanged for Voting Stock (other than Disqualified Stock) of the surviving or transferee Person constituting a majority of the outstanding shares of such Voting Stock of such surviving or transferee Person (immediately after giving effect to such issuance);</w:t>
      </w:r>
    </w:p>
    <w:p>
      <w:pPr>
        <w:spacing w:after="0" w:line="39" w:lineRule="exact"/>
        <w:rPr>
          <w:rFonts w:ascii="Arial" w:cs="Arial" w:eastAsia="Arial" w:hAnsi="Arial"/>
          <w:sz w:val="16"/>
          <w:szCs w:val="16"/>
          <w:color w:val="auto"/>
        </w:rPr>
      </w:pPr>
    </w:p>
    <w:p>
      <w:pPr>
        <w:ind w:left="1160" w:hanging="257"/>
        <w:spacing w:after="0"/>
        <w:tabs>
          <w:tab w:leader="none" w:pos="11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an event constituting a “change of control” under the indenture governing the 2014 Notes;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an event constituting a “change of control” under the indenture governing the 2020 Notes.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the above, a Change of Control will not occur solely by reason of a Permitted C-Corp. Conversion.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Offer</w:t>
      </w:r>
      <w:r>
        <w:rPr>
          <w:rFonts w:ascii="Arial" w:cs="Arial" w:eastAsia="Arial" w:hAnsi="Arial"/>
          <w:sz w:val="18"/>
          <w:szCs w:val="18"/>
          <w:color w:val="auto"/>
        </w:rPr>
        <w:t>” has the meaning assigned to that term in the Indenture governing the 2017 Notes.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w:t>
      </w:r>
    </w:p>
    <w:p>
      <w:pPr>
        <w:spacing w:after="0" w:line="17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w:t>
      </w:r>
      <w:r>
        <w:rPr>
          <w:rFonts w:ascii="Arial" w:cs="Arial" w:eastAsia="Arial" w:hAnsi="Arial"/>
          <w:sz w:val="18"/>
          <w:szCs w:val="18"/>
          <w:color w:val="auto"/>
        </w:rPr>
        <w:t>” means all assets, owned on the date of the Indenture or thereafter acquired, of either Issuer, any Guarantor, any Restricted Subsidiary or any other Person, to the extent such assets are pledged or assigned or purported to be pledged or assigned, or are required to be pledged or assigned under the Indenture or the Collateral Documents to the trustee, including the Primary Note Collateral, together with the proceeds and products thereof (including, without limitation, the proceeds of Asset Sales).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 Documents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Deeds of Trust,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Disbursement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Security Agreements,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Intercreditor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Disbursement Collateral Account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Local Bank Collateral Account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Control Agreements,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Management Fees Subordination Agreement, and</w:t>
      </w:r>
    </w:p>
    <w:p>
      <w:pPr>
        <w:spacing w:after="0" w:line="90" w:lineRule="exact"/>
        <w:rPr>
          <w:rFonts w:ascii="Arial" w:cs="Arial" w:eastAsia="Arial" w:hAnsi="Arial"/>
          <w:sz w:val="18"/>
          <w:szCs w:val="18"/>
          <w:color w:val="auto"/>
        </w:rPr>
      </w:pPr>
    </w:p>
    <w:p>
      <w:pPr>
        <w:ind w:left="460" w:right="300" w:firstLine="443"/>
        <w:spacing w:after="0" w:line="268" w:lineRule="auto"/>
        <w:tabs>
          <w:tab w:leader="none" w:pos="1147"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instruments, documents, pledges or filings that create, evidence, perfect, set forth, consent to, acknowledge or limit the security interest of the trustee in the Collateral,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00"/>
          </w:cols>
          <w:pgMar w:left="240" w:top="460" w:right="2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in each case, as amended, modified or otherwise supplemented from time to time in accordance with their respective terms and with the Indenture and the Collateral Documents.</w:t>
      </w:r>
    </w:p>
    <w:p>
      <w:pPr>
        <w:spacing w:after="0" w:line="13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Collateral Release Period</w:t>
      </w:r>
      <w:r>
        <w:rPr>
          <w:rFonts w:ascii="Arial" w:cs="Arial" w:eastAsia="Arial" w:hAnsi="Arial"/>
          <w:sz w:val="16"/>
          <w:szCs w:val="16"/>
          <w:color w:val="auto"/>
        </w:rPr>
        <w:t>” means any period of the time while the 2017 Notes remain outstanding during which the Holders’ security interest in all of the Collateral is released in accordance with the conditions described above under the caption “—Security—Release of Collateral.”</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“Completion Guarantor” </w:t>
      </w:r>
      <w:r>
        <w:rPr>
          <w:rFonts w:ascii="Arial" w:cs="Arial" w:eastAsia="Arial" w:hAnsi="Arial"/>
          <w:sz w:val="18"/>
          <w:szCs w:val="18"/>
          <w:color w:val="auto"/>
        </w:rPr>
        <w:t>means Wynn Completion Guarantor, LLC, a Nevada limited liability company.</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Cash Flow</w:t>
      </w:r>
      <w:r>
        <w:rPr>
          <w:rFonts w:ascii="Arial" w:cs="Arial" w:eastAsia="Arial" w:hAnsi="Arial"/>
          <w:sz w:val="18"/>
          <w:szCs w:val="18"/>
          <w:color w:val="auto"/>
        </w:rPr>
        <w:t>” means, with respect to any specified Person for any period, the Consolidated Net Income of such Person for such period plus, without duplication:</w:t>
      </w:r>
    </w:p>
    <w:p>
      <w:pPr>
        <w:spacing w:after="0" w:line="51" w:lineRule="exact"/>
        <w:rPr>
          <w:sz w:val="20"/>
          <w:szCs w:val="20"/>
          <w:color w:val="auto"/>
        </w:rPr>
      </w:pPr>
    </w:p>
    <w:p>
      <w:pPr>
        <w:ind w:left="460" w:right="260" w:firstLine="443"/>
        <w:spacing w:after="0" w:line="268" w:lineRule="auto"/>
        <w:tabs>
          <w:tab w:leader="none" w:pos="1147"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an amount equal to any extraordinary loss plus any net loss realized by such Person or any of its Restricted Subsidiaries in connection with an Asset Sale, to the extent such losses were deducted in computing such Consolidated Net Income; plus</w:t>
      </w:r>
    </w:p>
    <w:p>
      <w:pPr>
        <w:spacing w:after="0" w:line="50" w:lineRule="exact"/>
        <w:rPr>
          <w:rFonts w:ascii="Arial" w:cs="Arial" w:eastAsia="Arial" w:hAnsi="Arial"/>
          <w:sz w:val="18"/>
          <w:szCs w:val="18"/>
          <w:color w:val="auto"/>
        </w:rPr>
      </w:pPr>
    </w:p>
    <w:p>
      <w:pPr>
        <w:ind w:left="460" w:right="20" w:firstLine="443"/>
        <w:spacing w:after="0" w:line="268" w:lineRule="auto"/>
        <w:tabs>
          <w:tab w:leader="none" w:pos="1147" w:val="left"/>
        </w:tabs>
        <w:numPr>
          <w:ilvl w:val="0"/>
          <w:numId w:val="183"/>
        </w:numPr>
        <w:rPr>
          <w:rFonts w:ascii="Arial" w:cs="Arial" w:eastAsia="Arial" w:hAnsi="Arial"/>
          <w:sz w:val="18"/>
          <w:szCs w:val="18"/>
          <w:color w:val="auto"/>
        </w:rPr>
      </w:pPr>
      <w:r>
        <w:rPr>
          <w:rFonts w:ascii="Arial" w:cs="Arial" w:eastAsia="Arial" w:hAnsi="Arial"/>
          <w:sz w:val="18"/>
          <w:szCs w:val="18"/>
          <w:color w:val="auto"/>
        </w:rPr>
        <w:t>provision for taxes based on income or profits or the Tax Amount of such Person and its Restricted Subsidiaries for such period, to the extent that such provision for taxes or Tax Amount was included in computing such Consolidated Net Income; plus</w:t>
      </w:r>
    </w:p>
    <w:p>
      <w:pPr>
        <w:spacing w:after="0" w:line="50" w:lineRule="exact"/>
        <w:rPr>
          <w:rFonts w:ascii="Arial" w:cs="Arial" w:eastAsia="Arial" w:hAnsi="Arial"/>
          <w:sz w:val="18"/>
          <w:szCs w:val="18"/>
          <w:color w:val="auto"/>
        </w:rPr>
      </w:pPr>
    </w:p>
    <w:p>
      <w:pPr>
        <w:ind w:left="460" w:right="160" w:firstLine="443"/>
        <w:spacing w:after="0" w:line="254" w:lineRule="auto"/>
        <w:tabs>
          <w:tab w:leader="none" w:pos="1147" w:val="left"/>
        </w:tabs>
        <w:numPr>
          <w:ilvl w:val="0"/>
          <w:numId w:val="183"/>
        </w:numPr>
        <w:rPr>
          <w:rFonts w:ascii="Arial" w:cs="Arial" w:eastAsia="Arial" w:hAnsi="Arial"/>
          <w:sz w:val="18"/>
          <w:szCs w:val="18"/>
          <w:color w:val="auto"/>
        </w:rPr>
      </w:pPr>
      <w:r>
        <w:rPr>
          <w:rFonts w:ascii="Arial" w:cs="Arial" w:eastAsia="Arial" w:hAnsi="Arial"/>
          <w:sz w:val="18"/>
          <w:szCs w:val="18"/>
          <w:color w:val="auto"/>
        </w:rPr>
        <w:t>consolidated interest expense of such Person and its Restricted Subsidiaries for such period, whether paid or accrued and whether or not capitalized (including, without limitation, amortization of debt issuance costs and original issue discount, non-cash interest payments, the interest component of any deferred payment obligations, the interest component of all payments associated with Capital Lease Obligations, imputed interest with respect to Attributable Debt, commissions, discounts and other fees and charges incurred in respect of letter of credit or bankers’ acceptance financings, and net of the effect of all payments made or received pursuant to Hedging Obligations), to the extent that any such expense was deducted in computing such Consolidated Net Income; plus</w:t>
      </w:r>
    </w:p>
    <w:p>
      <w:pPr>
        <w:spacing w:after="0" w:line="63" w:lineRule="exact"/>
        <w:rPr>
          <w:rFonts w:ascii="Arial" w:cs="Arial" w:eastAsia="Arial" w:hAnsi="Arial"/>
          <w:sz w:val="18"/>
          <w:szCs w:val="18"/>
          <w:color w:val="auto"/>
        </w:rPr>
      </w:pPr>
    </w:p>
    <w:p>
      <w:pPr>
        <w:ind w:left="460" w:right="80" w:firstLine="443"/>
        <w:spacing w:after="0" w:line="298" w:lineRule="auto"/>
        <w:tabs>
          <w:tab w:leader="none" w:pos="1147" w:val="left"/>
        </w:tabs>
        <w:numPr>
          <w:ilvl w:val="0"/>
          <w:numId w:val="183"/>
        </w:numPr>
        <w:rPr>
          <w:rFonts w:ascii="Arial" w:cs="Arial" w:eastAsia="Arial" w:hAnsi="Arial"/>
          <w:sz w:val="16"/>
          <w:szCs w:val="16"/>
          <w:color w:val="auto"/>
        </w:rPr>
      </w:pPr>
      <w:r>
        <w:rPr>
          <w:rFonts w:ascii="Arial" w:cs="Arial" w:eastAsia="Arial" w:hAnsi="Arial"/>
          <w:sz w:val="16"/>
          <w:szCs w:val="16"/>
          <w:color w:val="auto"/>
        </w:rPr>
        <w:t>depreciation, amortization (including amortization of goodwill and other intangibles but excluding amortization of prepaid cash expenses that were paid in a prior period), and other non-cash expenses (excluding any such non-cash expense to the extent that it represents an accrual of or reserve for cash expenses in any future period or amortization of a prepaid cash expense) of such Person and its Restricted Subsidiaries for such period to the extent that such depreciation, amortization and other non-cash expenses were deducted in computing such Consolidated Net Income; plus</w:t>
      </w:r>
    </w:p>
    <w:p>
      <w:pPr>
        <w:spacing w:after="0" w:line="31" w:lineRule="exact"/>
        <w:rPr>
          <w:rFonts w:ascii="Arial" w:cs="Arial" w:eastAsia="Arial" w:hAnsi="Arial"/>
          <w:sz w:val="16"/>
          <w:szCs w:val="16"/>
          <w:color w:val="auto"/>
        </w:rPr>
      </w:pPr>
    </w:p>
    <w:p>
      <w:pPr>
        <w:ind w:left="460" w:right="340" w:firstLine="443"/>
        <w:spacing w:after="0" w:line="268" w:lineRule="auto"/>
        <w:tabs>
          <w:tab w:leader="none" w:pos="1147"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any pre-opening expenses, to the extent such pre-opening expenses were deducted in calculating Consolidated Net Income on a consolidated basis; plus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non-cash items reducing Consolidated Net Income for such period; minus</w:t>
      </w:r>
    </w:p>
    <w:p>
      <w:pPr>
        <w:spacing w:after="0" w:line="90" w:lineRule="exact"/>
        <w:rPr>
          <w:rFonts w:ascii="Arial" w:cs="Arial" w:eastAsia="Arial" w:hAnsi="Arial"/>
          <w:sz w:val="18"/>
          <w:szCs w:val="18"/>
          <w:color w:val="auto"/>
        </w:rPr>
      </w:pPr>
    </w:p>
    <w:p>
      <w:pPr>
        <w:ind w:left="460" w:right="60" w:firstLine="443"/>
        <w:spacing w:after="0" w:line="268" w:lineRule="auto"/>
        <w:tabs>
          <w:tab w:leader="none" w:pos="1147" w:val="left"/>
        </w:tabs>
        <w:numPr>
          <w:ilvl w:val="0"/>
          <w:numId w:val="183"/>
        </w:numPr>
        <w:rPr>
          <w:rFonts w:ascii="Arial" w:cs="Arial" w:eastAsia="Arial" w:hAnsi="Arial"/>
          <w:sz w:val="18"/>
          <w:szCs w:val="18"/>
          <w:color w:val="auto"/>
        </w:rPr>
      </w:pPr>
      <w:r>
        <w:rPr>
          <w:rFonts w:ascii="Arial" w:cs="Arial" w:eastAsia="Arial" w:hAnsi="Arial"/>
          <w:sz w:val="18"/>
          <w:szCs w:val="18"/>
          <w:color w:val="auto"/>
        </w:rPr>
        <w:t>non-cash items increasing such Consolidated Net Income for such period, other than the accrual of revenue in the ordinary course of business, in each case, on a consolidated basis and determined in accordance with GAAP.</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Notwithstanding the preceding, the provision for taxes based on the income or profits of, and the depreciation and amortization and other non-cash expenses of, a Restricted Subsidiary of Wynn Las Vegas will be added to Consolidated Net Income to compute Consolidated Cash Flow of Wynn Las Vegas only to the extent that a corresponding amount would be permitted at the date of determination to be distributed to Wynn Las Vegas by such Restricted Subsidiary without prior governmental approval that has not been obtained, and without direct or indirect restriction pursuant to the terms of its charter and all agreements, instruments, judgments, decrees, orders, statutes, rules and governmental regulations applicable to that Subsidiary or its equity holders.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380"/>
          </w:cols>
          <w:pgMar w:left="240" w:top="460" w:right="27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EBITDA</w:t>
      </w:r>
      <w:r>
        <w:rPr>
          <w:rFonts w:ascii="Arial" w:cs="Arial" w:eastAsia="Arial" w:hAnsi="Arial"/>
          <w:sz w:val="16"/>
          <w:szCs w:val="16"/>
          <w:color w:val="auto"/>
        </w:rPr>
        <w:t>” means, with respect to any specified Person for any period, the consolidated net income of such Person and its Subsidiaries for such period plus, without duplication and to the extent reflected as a charge in the statement of such consolidated net income for such period, the sum of</w:t>
      </w:r>
    </w:p>
    <w:p>
      <w:pPr>
        <w:ind w:firstLine="8"/>
        <w:spacing w:after="0" w:line="307" w:lineRule="auto"/>
        <w:tabs>
          <w:tab w:leader="none" w:pos="239" w:val="left"/>
        </w:tabs>
        <w:numPr>
          <w:ilvl w:val="0"/>
          <w:numId w:val="184"/>
        </w:numPr>
        <w:rPr>
          <w:rFonts w:ascii="Arial" w:cs="Arial" w:eastAsia="Arial" w:hAnsi="Arial"/>
          <w:sz w:val="15"/>
          <w:szCs w:val="15"/>
          <w:color w:val="auto"/>
        </w:rPr>
      </w:pPr>
      <w:r>
        <w:rPr>
          <w:rFonts w:ascii="Arial" w:cs="Arial" w:eastAsia="Arial" w:hAnsi="Arial"/>
          <w:sz w:val="15"/>
          <w:szCs w:val="15"/>
          <w:color w:val="auto"/>
        </w:rPr>
        <w:t>income tax expense or the Tax Amount (whether or not paid during such period), (b) consolidated interest expense of such Person and its Subsidiaries, amortization or write-off of debt discount and debt issuance costs and commissions, discounts and other fees and charges associated with Indebtedness (including, in the case of Wynn Las Vegas, the loans and letters of credit under the Credit Agreement), (c) depreciation and amortization expense, (d) amortization of intangibles (including, but not limited to, goodwill) and (e) any extraordinary expenses or losses (and, whether or not otherwise includable as separate items in the statement of such consolidated net income for such period, non-cash losses on sales of assets outside of the ordinary course of business and pre-opening expenses related to (i) the initial opening of the Phase II Project (such pre-opening expenses to be no greater than that set forth in the Phase II Project Budget) and (ii) the opening of the Entertainment Facility (such pre-opening expenses in the aggregate to be no greater than $5.0 million)) and minus, to the extent included in the statement of such consolidated net income for such period, the sum of (a) interest income (except to the extent deducted in determining consolidated interest expense) and (b) any extraordinary income or gains (and, whether or not otherwise includable as a separate item in the statement of such consolidated net income for such period, gains on the sales of assets outside of the ordinary course of business), all as determined on a consolidated basis in accordance with GAAP.</w:t>
      </w:r>
    </w:p>
    <w:p>
      <w:pPr>
        <w:spacing w:after="0" w:line="11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Leverage Ratio</w:t>
      </w:r>
      <w:r>
        <w:rPr>
          <w:rFonts w:ascii="Arial" w:cs="Arial" w:eastAsia="Arial" w:hAnsi="Arial"/>
          <w:sz w:val="18"/>
          <w:szCs w:val="18"/>
          <w:color w:val="auto"/>
        </w:rPr>
        <w:t>” means as at the last day of any period of four consecutive fiscal quarters, the ratio of (a) Consolidated Total Debt on such day to (b) Consolidated EBITDA of Wynn Las Vegas and its Subsidiaries for such period.</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Member</w:t>
      </w:r>
      <w:r>
        <w:rPr>
          <w:rFonts w:ascii="Arial" w:cs="Arial" w:eastAsia="Arial" w:hAnsi="Arial"/>
          <w:sz w:val="18"/>
          <w:szCs w:val="18"/>
          <w:color w:val="auto"/>
        </w:rPr>
        <w:t>” means a Person that joins (or would join upon the consummation of a Permitted C-Corp. Conversion) in the filing of a consolidated, combined or unitary tax return for United States federal, state or local income or franchise tax purposes with Wynn Resorts, which Person is Wynn Las Vegas, the Completion Guarantor, or any of their respective Subsidiaries.</w:t>
      </w:r>
    </w:p>
    <w:p>
      <w:pPr>
        <w:spacing w:after="0" w:line="140"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Net Income</w:t>
      </w:r>
      <w:r>
        <w:rPr>
          <w:rFonts w:ascii="Arial" w:cs="Arial" w:eastAsia="Arial" w:hAnsi="Arial"/>
          <w:sz w:val="16"/>
          <w:szCs w:val="16"/>
          <w:color w:val="auto"/>
        </w:rPr>
        <w:t>” means, with respect to any specified Person for any period, the aggregate of the Net Income of such Person and its Restricted Subsidiaries for such period, on a consolidated basis, determined in accordance with GAAP. For purposes of determining Consolidated Net Income:</w:t>
      </w:r>
    </w:p>
    <w:p>
      <w:pPr>
        <w:spacing w:after="0" w:line="4" w:lineRule="exact"/>
        <w:rPr>
          <w:sz w:val="20"/>
          <w:szCs w:val="20"/>
          <w:color w:val="auto"/>
        </w:rPr>
      </w:pPr>
    </w:p>
    <w:p>
      <w:pPr>
        <w:ind w:left="460" w:right="80" w:firstLine="443"/>
        <w:spacing w:after="0" w:line="259" w:lineRule="auto"/>
        <w:tabs>
          <w:tab w:leader="none" w:pos="1147"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Net Income (but not loss) of any Person that is not a Restricted Subsidiary or that is accounted for by the equity method of accounting will be included only to the extent of the amount of dividends or distributions paid in cash to the specified Person or a Wholly Owned Restricted Subsidiary of such Person;</w:t>
      </w:r>
    </w:p>
    <w:p>
      <w:pPr>
        <w:spacing w:after="0" w:line="59" w:lineRule="exact"/>
        <w:rPr>
          <w:rFonts w:ascii="Arial" w:cs="Arial" w:eastAsia="Arial" w:hAnsi="Arial"/>
          <w:sz w:val="18"/>
          <w:szCs w:val="18"/>
          <w:color w:val="auto"/>
        </w:rPr>
      </w:pPr>
    </w:p>
    <w:p>
      <w:pPr>
        <w:ind w:left="460" w:right="20" w:firstLine="443"/>
        <w:spacing w:after="0" w:line="256" w:lineRule="auto"/>
        <w:tabs>
          <w:tab w:leader="none" w:pos="1147"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Net Income of any Restricted Subsidiary will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equity holders;</w:t>
      </w:r>
    </w:p>
    <w:p>
      <w:pPr>
        <w:spacing w:after="0" w:line="62" w:lineRule="exact"/>
        <w:rPr>
          <w:rFonts w:ascii="Arial" w:cs="Arial" w:eastAsia="Arial" w:hAnsi="Arial"/>
          <w:sz w:val="18"/>
          <w:szCs w:val="18"/>
          <w:color w:val="auto"/>
        </w:rPr>
      </w:pPr>
    </w:p>
    <w:p>
      <w:pPr>
        <w:ind w:left="460" w:right="920" w:firstLine="443"/>
        <w:spacing w:after="0" w:line="268" w:lineRule="auto"/>
        <w:tabs>
          <w:tab w:leader="none" w:pos="1147"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Net Income (loss) of any Unrestricted Subsidiary will be excluded, whether or not distributed to the specified Person or one of its Subsidiaries;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cumulative effect of a change in accounting principles will be excluded.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Worth</w:t>
      </w:r>
      <w:r>
        <w:rPr>
          <w:rFonts w:ascii="Arial" w:cs="Arial" w:eastAsia="Arial" w:hAnsi="Arial"/>
          <w:sz w:val="18"/>
          <w:szCs w:val="18"/>
          <w:color w:val="auto"/>
        </w:rPr>
        <w:t>” means, with respect to any specified Person as of any date, the sum of:</w:t>
      </w:r>
    </w:p>
    <w:p>
      <w:pPr>
        <w:spacing w:after="0" w:line="90" w:lineRule="exact"/>
        <w:rPr>
          <w:sz w:val="20"/>
          <w:szCs w:val="20"/>
          <w:color w:val="auto"/>
        </w:rPr>
      </w:pPr>
    </w:p>
    <w:p>
      <w:pPr>
        <w:ind w:left="1160" w:hanging="257"/>
        <w:spacing w:after="0"/>
        <w:tabs>
          <w:tab w:leader="none" w:pos="11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consolidated equity of the common stockholders of such Person and its consolidated Subsidiaries as of such date; plus</w:t>
      </w:r>
    </w:p>
    <w:p>
      <w:pPr>
        <w:spacing w:after="0" w:line="90" w:lineRule="exact"/>
        <w:rPr>
          <w:rFonts w:ascii="Arial" w:cs="Arial" w:eastAsia="Arial" w:hAnsi="Arial"/>
          <w:sz w:val="18"/>
          <w:szCs w:val="18"/>
          <w:color w:val="auto"/>
        </w:rPr>
      </w:pPr>
    </w:p>
    <w:p>
      <w:pPr>
        <w:ind w:left="460" w:right="820" w:firstLine="443"/>
        <w:spacing w:after="0" w:line="268" w:lineRule="auto"/>
        <w:tabs>
          <w:tab w:leader="none" w:pos="1147"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respective amounts reported on such Person’s balance sheet as of such date with respect to any series of preferred stock (other than Disqualified Stock) that by its terms is not entitled to the payment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0"/>
        <w:spacing w:after="0" w:line="268" w:lineRule="auto"/>
        <w:rPr>
          <w:sz w:val="20"/>
          <w:szCs w:val="20"/>
          <w:color w:val="auto"/>
        </w:rPr>
      </w:pPr>
      <w:r>
        <w:rPr>
          <w:rFonts w:ascii="Arial" w:cs="Arial" w:eastAsia="Arial" w:hAnsi="Arial"/>
          <w:sz w:val="18"/>
          <w:szCs w:val="18"/>
          <w:color w:val="auto"/>
        </w:rPr>
        <w:t>dividends unless such dividends may be declared and paid only out of net earnings in respect of the year of such declaration and payment, but only to the extent of any cash received by such Person upon issuance of such preferred equity.</w:t>
      </w:r>
    </w:p>
    <w:p>
      <w:pPr>
        <w:spacing w:after="0" w:line="132"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Total Debt</w:t>
      </w:r>
      <w:r>
        <w:rPr>
          <w:rFonts w:ascii="Arial" w:cs="Arial" w:eastAsia="Arial" w:hAnsi="Arial"/>
          <w:sz w:val="18"/>
          <w:szCs w:val="18"/>
          <w:color w:val="auto"/>
        </w:rPr>
        <w:t>” means at any date, the aggregate principal amount of all Indebtedness of Wynn Las Vegas and its Subsidiaries at such date, determined on a consolidated basis in accordance with GAAP.</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Continuing Directors</w:t>
      </w:r>
      <w:r>
        <w:rPr>
          <w:rFonts w:ascii="Arial" w:cs="Arial" w:eastAsia="Arial" w:hAnsi="Arial"/>
          <w:sz w:val="16"/>
          <w:szCs w:val="16"/>
          <w:color w:val="auto"/>
        </w:rPr>
        <w:t>” means, as of any date of determination, with respect to any Person, any member of the Board of Directors of such Person who:</w:t>
      </w:r>
    </w:p>
    <w:p>
      <w:pPr>
        <w:spacing w:after="0" w:line="113" w:lineRule="exact"/>
        <w:rPr>
          <w:sz w:val="20"/>
          <w:szCs w:val="20"/>
          <w:color w:val="auto"/>
        </w:rPr>
      </w:pPr>
    </w:p>
    <w:p>
      <w:pPr>
        <w:ind w:left="1160" w:hanging="257"/>
        <w:spacing w:after="0"/>
        <w:tabs>
          <w:tab w:leader="none" w:pos="11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was a member of such Board of Directors on the date of the Indenture; or</w:t>
      </w:r>
    </w:p>
    <w:p>
      <w:pPr>
        <w:spacing w:after="0" w:line="90" w:lineRule="exact"/>
        <w:rPr>
          <w:rFonts w:ascii="Arial" w:cs="Arial" w:eastAsia="Arial" w:hAnsi="Arial"/>
          <w:sz w:val="18"/>
          <w:szCs w:val="18"/>
          <w:color w:val="auto"/>
        </w:rPr>
      </w:pPr>
    </w:p>
    <w:p>
      <w:pPr>
        <w:ind w:left="460" w:right="100" w:firstLine="443"/>
        <w:spacing w:after="0" w:line="268" w:lineRule="auto"/>
        <w:tabs>
          <w:tab w:leader="none" w:pos="1147" w:val="left"/>
        </w:tabs>
        <w:numPr>
          <w:ilvl w:val="0"/>
          <w:numId w:val="187"/>
        </w:numPr>
        <w:rPr>
          <w:rFonts w:ascii="Arial" w:cs="Arial" w:eastAsia="Arial" w:hAnsi="Arial"/>
          <w:sz w:val="18"/>
          <w:szCs w:val="18"/>
          <w:color w:val="auto"/>
        </w:rPr>
      </w:pPr>
      <w:r>
        <w:rPr>
          <w:rFonts w:ascii="Arial" w:cs="Arial" w:eastAsia="Arial" w:hAnsi="Arial"/>
          <w:sz w:val="18"/>
          <w:szCs w:val="18"/>
          <w:color w:val="auto"/>
        </w:rPr>
        <w:t>was nominated for election or elected to such Board of Directors with the approval of a majority of the Continuing Directors who were members of such Board of Directors at the time of such nomination or election.</w:t>
      </w:r>
    </w:p>
    <w:p>
      <w:pPr>
        <w:spacing w:after="0" w:line="13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Control Agreements</w:t>
      </w:r>
      <w:r>
        <w:rPr>
          <w:rFonts w:ascii="Arial" w:cs="Arial" w:eastAsia="Arial" w:hAnsi="Arial"/>
          <w:sz w:val="18"/>
          <w:szCs w:val="18"/>
          <w:color w:val="auto"/>
        </w:rPr>
        <w:t>” mean (1) the Control Agreement, dated as of December 14, 2004, among Wynn Show Performers, the securities intermediary named therein and the collateral agent, (2) the Control Agreement, dated as of December 14, 2004, among Wynn Las Vegas, the securities intermediary named therein and the collateral agent, and (3) the Control Agreement, dated as of December 14, 2004, among Las Vegas Jet, LLC, the securities intermediary named therein and the collateral agent, each as amended, modified or otherwise supplemented from time to time in accordance with its terms, the Indenture and the other Collateral Documents.</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Credit Agreement</w:t>
      </w:r>
      <w:r>
        <w:rPr>
          <w:rFonts w:ascii="Arial" w:cs="Arial" w:eastAsia="Arial" w:hAnsi="Arial"/>
          <w:sz w:val="16"/>
          <w:szCs w:val="16"/>
          <w:color w:val="auto"/>
        </w:rPr>
        <w:t>” means that certain Amended and Restated Credit Agreement, dated as of August 15, 2006, by and among Wynn Las Vegas, the lenders party thereto, and Deutsche Bank Trust Company Americas, as sole administrative agent, Deutsche Bank Securities Inc., as joint advisor, joint book-running manager and joint lead arranger, Banc of America Securities LLC, as joint advisor, joint-book running manager and joint lead arranger, Bank of America, N.A. as sole syndication agent, Bear Stearns Corporate Lending, Inc., as joint documentation agent, Bear, Stearns &amp; Co. Inc., a joint book-running manager and arranger, JPMorgan Chase Bank, N.A., as joint documentation agent, J.P. Morgan Securities Inc., as joint-book running manager and arranger, SG Americas Securities, LLC, as arranger and joint book-running manager, and Societe Generale, as joint book-running manager and arranger, providing for revolving credit and term loan borrowings, including any related 2017 Notes, Guarantees, collateral documents, instruments and agreements executed in connection therewith, and, in each case, as amended, supplemented, restated, modified, renewed, refunded, replaced (whether upon or after termination or otherwise) or refinanced (whether with the same or different lenders or holders, including by means of sales of debt securities to institutional investors) from time to time.</w:t>
      </w:r>
    </w:p>
    <w:p>
      <w:pPr>
        <w:spacing w:after="0" w:line="12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Dealership Lease Agreement</w:t>
      </w:r>
      <w:r>
        <w:rPr>
          <w:rFonts w:ascii="Arial" w:cs="Arial" w:eastAsia="Arial" w:hAnsi="Arial"/>
          <w:sz w:val="16"/>
          <w:szCs w:val="16"/>
          <w:color w:val="auto"/>
        </w:rPr>
        <w:t>” means the Dealership Lease Agreement, dated as of January 13, 2005, between Wynn Las Vegas, as lessor, and PW Automotive, LLC, as lessee, with respect to the lease of space at the Wynn Las Vegas Resort for the development and operation of a Ferrari and Maserati automobile dealership, as amended, modified or otherwise supplemented from time to time in any manner that is not in contravention of the covenant described above under the caption “—Certain Covenants—Amendments to Certain Agreements.”</w:t>
      </w:r>
    </w:p>
    <w:p>
      <w:pPr>
        <w:spacing w:after="0" w:line="113"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Deeds of Trust</w:t>
      </w:r>
      <w:r>
        <w:rPr>
          <w:rFonts w:ascii="Arial" w:cs="Arial" w:eastAsia="Arial" w:hAnsi="Arial"/>
          <w:sz w:val="16"/>
          <w:szCs w:val="16"/>
          <w:color w:val="auto"/>
        </w:rPr>
        <w:t>” means the deeds of trust entered into by the Issuers and the Guarantors, from time to time for the benefit of the collateral agent, as agent for (1) the administrative agent for the lenders under the Credit Agreement, (2) the trustee on behalf of the noteholders of the 2014 Notes and (3) the trustee on behalf of the noteholders of the 2017 Notes in accordance with the provisions of the Indenture and the Collateral Documents.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that is, or with the passage of time or the giving of notice or both would be, an Event of Default.</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Disbursement Agent</w:t>
      </w:r>
      <w:r>
        <w:rPr>
          <w:rFonts w:ascii="Arial" w:cs="Arial" w:eastAsia="Arial" w:hAnsi="Arial"/>
          <w:sz w:val="18"/>
          <w:szCs w:val="18"/>
          <w:color w:val="auto"/>
        </w:rPr>
        <w:t>” means Deutsche Bank Trust Company Americas, in its capacity as the disbursement agent under the Disbursement Agreement and its successors in such capacity pursuant to the Disbursement Agreement.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Disbursement Agreement</w:t>
      </w:r>
      <w:r>
        <w:rPr>
          <w:rFonts w:ascii="Arial" w:cs="Arial" w:eastAsia="Arial" w:hAnsi="Arial"/>
          <w:sz w:val="18"/>
          <w:szCs w:val="18"/>
          <w:color w:val="auto"/>
        </w:rPr>
        <w:t>” means the Amended and Restated Master Disbursement Agreement, dated as of October 25, 2007, among Wynn Las Vegas, a representative of the lenders under the Credit Agreement, and the Disbursement Agent in connection with the Projects, as amended, modified or otherwise supplemented from time to time in accordance with its terms.</w:t>
      </w:r>
    </w:p>
    <w:p>
      <w:pPr>
        <w:spacing w:after="0" w:line="14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Disbursement Collateral Account Agreement</w:t>
      </w:r>
      <w:r>
        <w:rPr>
          <w:rFonts w:ascii="Arial" w:cs="Arial" w:eastAsia="Arial" w:hAnsi="Arial"/>
          <w:sz w:val="18"/>
          <w:szCs w:val="18"/>
          <w:color w:val="auto"/>
        </w:rPr>
        <w:t>” means the Disbursement Collateral Account Agreement, dated as of December 14, 2004, among Wynn Las Vegas, the securities intermediary named therein and the collateral agent, as amended, modified or otherwise supplemented from time to time in accordance with its terms, the Indenture and the other Collateral Documents.</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Stock</w:t>
      </w:r>
      <w:r>
        <w:rPr>
          <w:rFonts w:ascii="Arial" w:cs="Arial" w:eastAsia="Arial" w:hAnsi="Arial"/>
          <w:sz w:val="16"/>
          <w:szCs w:val="16"/>
          <w:color w:val="auto"/>
        </w:rPr>
        <w:t>” means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or redeemable at the option of the holder of the Capital Stock, in whole or in part, on or prior to the date that is 91 days after the date on which the 2017 Notes mature. Notwithstanding the preceding sentence, (1) any Capital Stock that would constitute Disqualified Stock solely because the holders of the Capital Stock have the right to require Wynn Las Vegas to repurchase such Capital Stock upon the occurrence of a change of control or an asset sale will not constitute Disqualified Stock if the terms of such Capital Stock provide that Wynn Las Vegas may not repurchase or redeem any such Capital Stock pursuant to such provisions unless such repurchase or redemption complies with the covenant described above under the caption “—Certain Covenants— Restricted Payments” and (2) any Capital Stock will not constitute Disqualified Stock solely because it is required to be redeemed under applicable Gaming Laws. The amount of Disqualified Stock deemed to be outstanding at any time for purposes of the Indenture will be the maximum amount that Wynn Las Vegas and its Restricted Subsidiaries may become obligated to pay upon the maturity of, or pursuant to any mandatory redemption provisions of, such Disqualified Stock, exclusive of accrued dividends.</w:t>
      </w:r>
    </w:p>
    <w:p>
      <w:pPr>
        <w:spacing w:after="0" w:line="127"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Domestic Subsidiary</w:t>
      </w:r>
      <w:r>
        <w:rPr>
          <w:rFonts w:ascii="Arial" w:cs="Arial" w:eastAsia="Arial" w:hAnsi="Arial"/>
          <w:sz w:val="16"/>
          <w:szCs w:val="16"/>
          <w:color w:val="auto"/>
        </w:rPr>
        <w:t>” means any Restricted Subsidiary of Wynn Las Vegas that was formed under the laws of the United States or any state of the United States or the District of Columbia or that guarantees or otherwise provides direct credit support for any Indebtedness of Wynn Las Vegas.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Entertainment Facility</w:t>
      </w:r>
      <w:r>
        <w:rPr>
          <w:rFonts w:ascii="Arial" w:cs="Arial" w:eastAsia="Arial" w:hAnsi="Arial"/>
          <w:sz w:val="16"/>
          <w:szCs w:val="16"/>
          <w:color w:val="auto"/>
        </w:rPr>
        <w:t>” means a showroom or entertainment facility adjoining the Wynn Las Vegas hotel and casino resort and connected directly to such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hotel.</w:t>
      </w:r>
    </w:p>
    <w:p>
      <w:pPr>
        <w:spacing w:after="0" w:line="16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means Capital Stock and all warrants, options or other rights to acquire Capital Stock (but excluding any debt security that is convertible into, or exchangeable for, Capital Stock).</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Loss</w:t>
      </w:r>
      <w:r>
        <w:rPr>
          <w:rFonts w:ascii="Arial" w:cs="Arial" w:eastAsia="Arial" w:hAnsi="Arial"/>
          <w:sz w:val="18"/>
          <w:szCs w:val="18"/>
          <w:color w:val="auto"/>
        </w:rPr>
        <w:t>” means, with respect to any property or asset (tangible or intangible, real or personal), whether in respect of a single event or a series of related events, any of the following:</w:t>
      </w:r>
    </w:p>
    <w:p>
      <w:pPr>
        <w:spacing w:after="0" w:line="51" w:lineRule="exact"/>
        <w:rPr>
          <w:sz w:val="20"/>
          <w:szCs w:val="20"/>
          <w:color w:val="auto"/>
        </w:rPr>
      </w:pPr>
    </w:p>
    <w:p>
      <w:pPr>
        <w:ind w:left="1160" w:hanging="257"/>
        <w:spacing w:after="0"/>
        <w:tabs>
          <w:tab w:leader="none" w:pos="11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any loss, destruction or damage of such property or asset;</w:t>
      </w:r>
    </w:p>
    <w:p>
      <w:pPr>
        <w:spacing w:after="0" w:line="90" w:lineRule="exact"/>
        <w:rPr>
          <w:rFonts w:ascii="Arial" w:cs="Arial" w:eastAsia="Arial" w:hAnsi="Arial"/>
          <w:sz w:val="18"/>
          <w:szCs w:val="18"/>
          <w:color w:val="auto"/>
        </w:rPr>
      </w:pPr>
    </w:p>
    <w:p>
      <w:pPr>
        <w:ind w:left="460" w:right="100" w:firstLine="443"/>
        <w:spacing w:after="0" w:line="268" w:lineRule="auto"/>
        <w:tabs>
          <w:tab w:leader="none" w:pos="1147"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any actual condemnation, seizure or taking by exercise of the power of eminent domain or otherwise of such property or asset, or confiscation of such property or asset or the requisition of the use of such property or asset; or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any settlement in lieu of clause (2) above.</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Indebtedness</w:t>
      </w:r>
      <w:r>
        <w:rPr>
          <w:rFonts w:ascii="Arial" w:cs="Arial" w:eastAsia="Arial" w:hAnsi="Arial"/>
          <w:sz w:val="18"/>
          <w:szCs w:val="18"/>
          <w:color w:val="auto"/>
        </w:rPr>
        <w:t>” means Indebtedness of Wynn Las Vegas or its Subsidiaries (other than Indebtedness under the Credit Agreement) in existence on the date of the Indenture until such amounts are repaid or redeemed.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Stockholders</w:t>
      </w:r>
      <w:r>
        <w:rPr>
          <w:rFonts w:ascii="Arial" w:cs="Arial" w:eastAsia="Arial" w:hAnsi="Arial"/>
          <w:sz w:val="18"/>
          <w:szCs w:val="18"/>
          <w:color w:val="auto"/>
        </w:rPr>
        <w:t>” means Stephen A. Wynn, Aruze, USA, Inc. and Baron Asset Fund.</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Fair Market Value</w:t>
      </w:r>
      <w:r>
        <w:rPr>
          <w:rFonts w:ascii="Arial" w:cs="Arial" w:eastAsia="Arial" w:hAnsi="Arial"/>
          <w:sz w:val="16"/>
          <w:szCs w:val="16"/>
          <w:color w:val="auto"/>
        </w:rPr>
        <w:t>” means the value that would be paid by a willing buyer to an unaffiliated willing seller in a transaction not involving distress or</w:t>
      </w:r>
    </w:p>
    <w:p>
      <w:pPr>
        <w:spacing w:after="0" w:line="38" w:lineRule="exact"/>
        <w:rPr>
          <w:sz w:val="20"/>
          <w:szCs w:val="20"/>
          <w:color w:val="auto"/>
        </w:rPr>
      </w:pPr>
    </w:p>
    <w:p>
      <w:pPr>
        <w:jc w:val="center"/>
        <w:ind w:right="120"/>
        <w:spacing w:after="0"/>
        <w:rPr>
          <w:sz w:val="20"/>
          <w:szCs w:val="20"/>
          <w:color w:val="auto"/>
        </w:rPr>
      </w:pPr>
      <w:r>
        <w:rPr>
          <w:rFonts w:ascii="Arial" w:cs="Arial" w:eastAsia="Arial" w:hAnsi="Arial"/>
          <w:sz w:val="15"/>
          <w:szCs w:val="15"/>
          <w:color w:val="auto"/>
        </w:rPr>
        <w:t>necessity of either party, determined in good faith by (1) an appropriate officer of Wynn Las Vegas, in the case of any value equal to or less than $10.0 million or</w:t>
      </w:r>
    </w:p>
    <w:p>
      <w:pPr>
        <w:spacing w:after="0" w:line="44" w:lineRule="exact"/>
        <w:rPr>
          <w:sz w:val="20"/>
          <w:szCs w:val="20"/>
          <w:color w:val="auto"/>
        </w:rPr>
      </w:pPr>
    </w:p>
    <w:p>
      <w:pPr>
        <w:ind w:right="180" w:firstLine="8"/>
        <w:spacing w:after="0" w:line="255" w:lineRule="auto"/>
        <w:tabs>
          <w:tab w:leader="none" w:pos="249"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Board of Directors of Wynn Capital, in the event of any value greater than $10.0 million (in each case, unless otherwise provided in the Indenture). With respect to any Affiliate Transactions, the Board of Directors’ determination must be based upon an opinion or appraisal issued by an accounting, appraisal or investment banking firm of national standing if the Fair Market Value exceeds $25.0 million.</w:t>
      </w:r>
    </w:p>
    <w:p>
      <w:pPr>
        <w:spacing w:after="0" w:line="14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Fixed Charge Coverage Ratio</w:t>
      </w:r>
      <w:r>
        <w:rPr>
          <w:rFonts w:ascii="Arial" w:cs="Arial" w:eastAsia="Arial" w:hAnsi="Arial"/>
          <w:sz w:val="16"/>
          <w:szCs w:val="16"/>
          <w:color w:val="auto"/>
        </w:rPr>
        <w:t>” means with respect to any specified Person for any period, the ratio of the Consolidated Cash Flow of such Person for such period to the Fixed Charges of such Person for such period. In the event that the specified Person or any of its Restricted Subsidiaries incurs, assumes, guarantees, repays, repurchases, redeems, defeases or otherwise discharges any Indebtedness (other than ordinary working capital borrowings) or issues, repurchases or redeems Disqualified Stock subsequent to the commencement of the period for which the Fixed Charge Coverage Ratio is being calculated and on or prior to the date on which the event for which the calculation of the Fixed Charge Coverage Ratio is made (the “Calculation Date”), then the Fixed Charge Coverage Ratio will be calculated giving pro forma effect to such incurrence, assumption, Guarantee, repayment, repurchase, redemption, defeasance or other discharge of Indebtedness, or such issuance, repurchase or redemption of Disqualified Stock, and the use of the proceeds therefrom, as if the same had occurred at the beginning of the applicable four-quarter reference period.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for purposes of calculating the Fixed Charge Coverage Ratio:</w:t>
      </w:r>
    </w:p>
    <w:p>
      <w:pPr>
        <w:spacing w:after="0" w:line="90" w:lineRule="exact"/>
        <w:rPr>
          <w:sz w:val="20"/>
          <w:szCs w:val="20"/>
          <w:color w:val="auto"/>
        </w:rPr>
      </w:pPr>
    </w:p>
    <w:p>
      <w:pPr>
        <w:ind w:left="460" w:right="180" w:firstLine="443"/>
        <w:spacing w:after="0" w:line="294" w:lineRule="auto"/>
        <w:tabs>
          <w:tab w:leader="none" w:pos="1147" w:val="left"/>
        </w:tabs>
        <w:numPr>
          <w:ilvl w:val="0"/>
          <w:numId w:val="190"/>
        </w:numPr>
        <w:rPr>
          <w:rFonts w:ascii="Arial" w:cs="Arial" w:eastAsia="Arial" w:hAnsi="Arial"/>
          <w:sz w:val="16"/>
          <w:szCs w:val="16"/>
          <w:color w:val="auto"/>
        </w:rPr>
      </w:pPr>
      <w:r>
        <w:rPr>
          <w:rFonts w:ascii="Arial" w:cs="Arial" w:eastAsia="Arial" w:hAnsi="Arial"/>
          <w:sz w:val="16"/>
          <w:szCs w:val="16"/>
          <w:color w:val="auto"/>
        </w:rPr>
        <w:t>acquisitions that have been made by the specified Person or any of its Restricted Subsidiaries, including through mergers or consolidations, or any Person or any of its Restricted Subsidiaries acquired by the specified Person or any of its Restricted Subsidiaries, and including any related financing transactions and including increases in ownership of Restricted Subsidiaries, during the four-quarter reference period or subsequent to such reference period and on or prior to the Calculation Date will be given pro forma effect (in accordance with Regulation S-X under the Securities Act) as if they had occurred on the first day of the four-quarter reference period;</w:t>
      </w:r>
    </w:p>
    <w:p>
      <w:pPr>
        <w:spacing w:after="0" w:line="34" w:lineRule="exact"/>
        <w:rPr>
          <w:rFonts w:ascii="Arial" w:cs="Arial" w:eastAsia="Arial" w:hAnsi="Arial"/>
          <w:sz w:val="16"/>
          <w:szCs w:val="16"/>
          <w:color w:val="auto"/>
        </w:rPr>
      </w:pPr>
    </w:p>
    <w:p>
      <w:pPr>
        <w:ind w:left="460" w:right="160" w:firstLine="443"/>
        <w:spacing w:after="0" w:line="268" w:lineRule="auto"/>
        <w:tabs>
          <w:tab w:leader="none" w:pos="1147"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Consolidated Cash Flow attributable to discontinued operations, as determined in accordance with GAAP, and operations or businesses (and ownership interests therein) disposed of prior to the Calculation Date, will be excluded;</w:t>
      </w:r>
    </w:p>
    <w:p>
      <w:pPr>
        <w:spacing w:after="0" w:line="50" w:lineRule="exact"/>
        <w:rPr>
          <w:rFonts w:ascii="Arial" w:cs="Arial" w:eastAsia="Arial" w:hAnsi="Arial"/>
          <w:sz w:val="18"/>
          <w:szCs w:val="18"/>
          <w:color w:val="auto"/>
        </w:rPr>
      </w:pPr>
    </w:p>
    <w:p>
      <w:pPr>
        <w:ind w:left="460" w:right="100" w:firstLine="443"/>
        <w:spacing w:after="0" w:line="306" w:lineRule="auto"/>
        <w:tabs>
          <w:tab w:leader="none" w:pos="1147" w:val="left"/>
        </w:tabs>
        <w:numPr>
          <w:ilvl w:val="0"/>
          <w:numId w:val="190"/>
        </w:numPr>
        <w:rPr>
          <w:rFonts w:ascii="Arial" w:cs="Arial" w:eastAsia="Arial" w:hAnsi="Arial"/>
          <w:sz w:val="16"/>
          <w:szCs w:val="16"/>
          <w:color w:val="auto"/>
        </w:rPr>
      </w:pPr>
      <w:r>
        <w:rPr>
          <w:rFonts w:ascii="Arial" w:cs="Arial" w:eastAsia="Arial" w:hAnsi="Arial"/>
          <w:sz w:val="16"/>
          <w:szCs w:val="16"/>
          <w:color w:val="auto"/>
        </w:rPr>
        <w:t>the Fixed Charges attributable to discontinued operations, as determined in accordance with GAAP, and operations or businesses (and ownership interests therein) disposed of prior to the Calculation Date, will be excluded, but only to the extent that the obligations giving rise to such Fixed Charges will not be obligations of the specified Person or any of its Restricted Subsidiaries following the Calculation Date;</w:t>
      </w:r>
    </w:p>
    <w:p>
      <w:pPr>
        <w:spacing w:after="0" w:line="25" w:lineRule="exact"/>
        <w:rPr>
          <w:rFonts w:ascii="Arial" w:cs="Arial" w:eastAsia="Arial" w:hAnsi="Arial"/>
          <w:sz w:val="16"/>
          <w:szCs w:val="16"/>
          <w:color w:val="auto"/>
        </w:rPr>
      </w:pPr>
    </w:p>
    <w:p>
      <w:pPr>
        <w:ind w:left="460" w:right="240" w:firstLine="443"/>
        <w:spacing w:after="0" w:line="268" w:lineRule="auto"/>
        <w:tabs>
          <w:tab w:leader="none" w:pos="1147"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any Person that is a Restricted Subsidiary on the Calculation Date will be deemed to have been a Restricted Subsidiary at all times during such four-quarter period;</w:t>
      </w:r>
    </w:p>
    <w:p>
      <w:pPr>
        <w:spacing w:after="0" w:line="50" w:lineRule="exact"/>
        <w:rPr>
          <w:rFonts w:ascii="Arial" w:cs="Arial" w:eastAsia="Arial" w:hAnsi="Arial"/>
          <w:sz w:val="18"/>
          <w:szCs w:val="18"/>
          <w:color w:val="auto"/>
        </w:rPr>
      </w:pPr>
    </w:p>
    <w:p>
      <w:pPr>
        <w:ind w:left="460" w:right="60" w:firstLine="443"/>
        <w:spacing w:after="0" w:line="268" w:lineRule="auto"/>
        <w:tabs>
          <w:tab w:leader="none" w:pos="1147"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any Person that is not a Restricted Subsidiary on the Calculation Date will be deemed not to have been a Restricted Subsidiary at any time during such four-quarter period; and</w:t>
      </w:r>
    </w:p>
    <w:p>
      <w:pPr>
        <w:spacing w:after="0" w:line="50" w:lineRule="exact"/>
        <w:rPr>
          <w:rFonts w:ascii="Arial" w:cs="Arial" w:eastAsia="Arial" w:hAnsi="Arial"/>
          <w:sz w:val="18"/>
          <w:szCs w:val="18"/>
          <w:color w:val="auto"/>
        </w:rPr>
      </w:pPr>
    </w:p>
    <w:p>
      <w:pPr>
        <w:ind w:left="460" w:right="340" w:firstLine="443"/>
        <w:spacing w:after="0" w:line="259" w:lineRule="auto"/>
        <w:tabs>
          <w:tab w:leader="none" w:pos="1147"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if any Indebtedness bears a floating rate of interest, the interest expense on such Indebtedness will be calculated as if the rate in effect on the Calculation Date had been the applicable rate for the entire period (taking into account any Hedging Obligation applicable to such Indebtedness if such Hedging Obligation has a remaining term as at the Calculation Date in excess of 12 months).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Fixed Charges</w:t>
      </w:r>
      <w:r>
        <w:rPr>
          <w:rFonts w:ascii="Arial" w:cs="Arial" w:eastAsia="Arial" w:hAnsi="Arial"/>
          <w:sz w:val="18"/>
          <w:szCs w:val="18"/>
          <w:color w:val="auto"/>
        </w:rPr>
        <w:t>” means, with respect to any specified Person for any period, the sum, without duplication, of:</w:t>
      </w:r>
    </w:p>
    <w:p>
      <w:pPr>
        <w:spacing w:after="0" w:line="90" w:lineRule="exact"/>
        <w:rPr>
          <w:sz w:val="20"/>
          <w:szCs w:val="20"/>
          <w:color w:val="auto"/>
        </w:rPr>
      </w:pPr>
    </w:p>
    <w:p>
      <w:pPr>
        <w:ind w:left="460" w:right="340" w:firstLine="443"/>
        <w:spacing w:after="0" w:line="294" w:lineRule="auto"/>
        <w:tabs>
          <w:tab w:leader="none" w:pos="1147" w:val="left"/>
        </w:tabs>
        <w:numPr>
          <w:ilvl w:val="0"/>
          <w:numId w:val="191"/>
        </w:numPr>
        <w:rPr>
          <w:rFonts w:ascii="Arial" w:cs="Arial" w:eastAsia="Arial" w:hAnsi="Arial"/>
          <w:sz w:val="16"/>
          <w:szCs w:val="16"/>
          <w:color w:val="auto"/>
        </w:rPr>
      </w:pPr>
      <w:r>
        <w:rPr>
          <w:rFonts w:ascii="Arial" w:cs="Arial" w:eastAsia="Arial" w:hAnsi="Arial"/>
          <w:sz w:val="16"/>
          <w:szCs w:val="16"/>
          <w:color w:val="auto"/>
        </w:rPr>
        <w:t>the consolidated interest expense of such Person and its Restricted Subsidiaries for such period, whether paid or accrued, including, without limitation, amortization of debt issuance costs and original issue discount, non-cash interest payments, the interest component of any deferred payment obligations, the interest component of all payments associated with Capital Lease Obligations, imputed interest with respect to Attributable Debt, commissions, discounts and other fees and charges incurred in respect of letter of credit or bankers’ acceptance financings, and net of the effect of all payments made or received pursuant to Hedging Obligations in respect of interest rates; plus</w:t>
      </w:r>
    </w:p>
    <w:p>
      <w:pPr>
        <w:spacing w:after="0" w:line="34" w:lineRule="exact"/>
        <w:rPr>
          <w:rFonts w:ascii="Arial" w:cs="Arial" w:eastAsia="Arial" w:hAnsi="Arial"/>
          <w:sz w:val="16"/>
          <w:szCs w:val="16"/>
          <w:color w:val="auto"/>
        </w:rPr>
      </w:pPr>
    </w:p>
    <w:p>
      <w:pPr>
        <w:ind w:left="1160" w:hanging="257"/>
        <w:spacing w:after="0"/>
        <w:tabs>
          <w:tab w:leader="none" w:pos="11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consolidated interest expense of such Person and its Restricted Subsidiaries that was capitalized during such period; plus</w:t>
      </w:r>
    </w:p>
    <w:p>
      <w:pPr>
        <w:spacing w:after="0" w:line="90" w:lineRule="exact"/>
        <w:rPr>
          <w:rFonts w:ascii="Arial" w:cs="Arial" w:eastAsia="Arial" w:hAnsi="Arial"/>
          <w:sz w:val="18"/>
          <w:szCs w:val="18"/>
          <w:color w:val="auto"/>
        </w:rPr>
      </w:pPr>
    </w:p>
    <w:p>
      <w:pPr>
        <w:ind w:left="460" w:right="340" w:firstLine="443"/>
        <w:spacing w:after="0" w:line="332" w:lineRule="auto"/>
        <w:tabs>
          <w:tab w:leader="none" w:pos="1147" w:val="left"/>
        </w:tabs>
        <w:numPr>
          <w:ilvl w:val="0"/>
          <w:numId w:val="191"/>
        </w:numPr>
        <w:rPr>
          <w:rFonts w:ascii="Arial" w:cs="Arial" w:eastAsia="Arial" w:hAnsi="Arial"/>
          <w:sz w:val="16"/>
          <w:szCs w:val="16"/>
          <w:color w:val="auto"/>
        </w:rPr>
      </w:pPr>
      <w:r>
        <w:rPr>
          <w:rFonts w:ascii="Arial" w:cs="Arial" w:eastAsia="Arial" w:hAnsi="Arial"/>
          <w:sz w:val="16"/>
          <w:szCs w:val="16"/>
          <w:color w:val="auto"/>
        </w:rPr>
        <w:t>any interest on Indebtedness of another Person that is guaranteed by such Person or one of its Restricted Subsidiaries or secured by a Lien on assets of such Person or one of its Restricted Subsidiaries, whether or not such Guarantee or Lien is called upon; plus</w:t>
      </w:r>
    </w:p>
    <w:p>
      <w:pPr>
        <w:spacing w:after="0" w:line="4" w:lineRule="exact"/>
        <w:rPr>
          <w:rFonts w:ascii="Arial" w:cs="Arial" w:eastAsia="Arial" w:hAnsi="Arial"/>
          <w:sz w:val="16"/>
          <w:szCs w:val="16"/>
          <w:color w:val="auto"/>
        </w:rPr>
      </w:pPr>
    </w:p>
    <w:p>
      <w:pPr>
        <w:ind w:left="460" w:right="40" w:firstLine="443"/>
        <w:spacing w:after="0" w:line="291" w:lineRule="auto"/>
        <w:tabs>
          <w:tab w:leader="none" w:pos="1147" w:val="left"/>
        </w:tabs>
        <w:numPr>
          <w:ilvl w:val="0"/>
          <w:numId w:val="191"/>
        </w:numPr>
        <w:rPr>
          <w:rFonts w:ascii="Arial" w:cs="Arial" w:eastAsia="Arial" w:hAnsi="Arial"/>
          <w:sz w:val="16"/>
          <w:szCs w:val="16"/>
          <w:color w:val="auto"/>
        </w:rPr>
      </w:pPr>
      <w:r>
        <w:rPr>
          <w:rFonts w:ascii="Arial" w:cs="Arial" w:eastAsia="Arial" w:hAnsi="Arial"/>
          <w:sz w:val="16"/>
          <w:szCs w:val="16"/>
          <w:color w:val="auto"/>
        </w:rPr>
        <w:t>the product of (a) all dividends, whether paid or accrued and whether or not in cash, on any series of preferred stock of such Person or any of its Restricted Subsidiaries, other than dividends on Equity Interests payable solely in Equity Interests of Wynn Las Vegas (other than Disqualified Stock) or to Wynn Las Vegas or a Restricted Subsidiary of Wynn Las Vegas, times (b) a fraction, the numerator of which is one and the denominator of which is one minus the then current combined federal, state and local statutory tax rate of such Person (or, in the case of a Person that is a partnership or a limited liability company, the combined federal, state and local income tax rate that was or would have been utilized to calculate the Tax Amount of such Person), expressed as a decimal, in each case, determined on a consolidated basis in accordance with GAAP.</w:t>
      </w:r>
    </w:p>
    <w:p>
      <w:pPr>
        <w:spacing w:after="0" w:line="12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GAAP</w:t>
      </w:r>
      <w:r>
        <w:rPr>
          <w:rFonts w:ascii="Arial" w:cs="Arial" w:eastAsia="Arial" w:hAnsi="Arial"/>
          <w:sz w:val="16"/>
          <w:szCs w:val="16"/>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on the date of the Indenture.</w:t>
      </w:r>
    </w:p>
    <w:p>
      <w:pPr>
        <w:spacing w:after="0" w:line="10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Gaming Authority</w:t>
      </w:r>
      <w:r>
        <w:rPr>
          <w:rFonts w:ascii="Arial" w:cs="Arial" w:eastAsia="Arial" w:hAnsi="Arial"/>
          <w:sz w:val="16"/>
          <w:szCs w:val="16"/>
          <w:color w:val="auto"/>
        </w:rPr>
        <w:t>” means any agency, authority, board, bureau, commission, department, office or instrumentality of any nature whatsoever of the United States federal government, any foreign government, any state, province or city or other political subdivision or otherwise, whether on the date of the Indenture or thereafter in existence, including the Nevada Gaming Commission, the Nevada State Gaming Control Board, the Clark County Liquor and Gaming Licensing Board and any other applicable gaming regulatory authority or agency, in each case, with authority to regulate the sale or distribution of liquor or any gaming operation (or proposed gaming operation) owned, managed or operated by Wynn Las Vegas or any of the Restricted Subsidiaries or Guarantors.</w:t>
      </w:r>
    </w:p>
    <w:p>
      <w:pPr>
        <w:spacing w:after="0" w:line="1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Gaming Facility</w:t>
      </w:r>
      <w:r>
        <w:rPr>
          <w:rFonts w:ascii="Arial" w:cs="Arial" w:eastAsia="Arial" w:hAnsi="Arial"/>
          <w:sz w:val="18"/>
          <w:szCs w:val="18"/>
          <w:color w:val="auto"/>
        </w:rPr>
        <w:t>” means any building or other structure used or expected to be used to enclose space in which a gaming operation is conducted and (1) is wholly or partially owned, directly or indirectly, by Wynn Las Vegas or any Restricted Subsidiary or (2) any portion or aspect of which is managed or used, or expected to be managed or used, by Wynn Las Vegas or any Restricted Subsidiary or Guarantor.</w:t>
      </w:r>
    </w:p>
    <w:p>
      <w:pPr>
        <w:spacing w:after="0" w:line="14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Gaming Law</w:t>
      </w:r>
      <w:r>
        <w:rPr>
          <w:rFonts w:ascii="Arial" w:cs="Arial" w:eastAsia="Arial" w:hAnsi="Arial"/>
          <w:sz w:val="18"/>
          <w:szCs w:val="18"/>
          <w:color w:val="auto"/>
        </w:rPr>
        <w:t>” means the gaming laws, rules, regulations or ordinances of any jurisdiction or jurisdictions to which Wynn Las Vegas or any of the Restricted Subsidiaries or Guarantors is, or may be, at any time subject.</w:t>
      </w:r>
    </w:p>
    <w:p>
      <w:pPr>
        <w:spacing w:after="0" w:line="132"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Gaming License</w:t>
      </w:r>
      <w:r>
        <w:rPr>
          <w:rFonts w:ascii="Arial" w:cs="Arial" w:eastAsia="Arial" w:hAnsi="Arial"/>
          <w:sz w:val="16"/>
          <w:szCs w:val="16"/>
          <w:color w:val="auto"/>
        </w:rPr>
        <w:t>” means any license, permit, franchise or other authorization from any Gaming Authority necessary on the date of the Indenture or at any time thereafter to own, lease, operate or otherwise conduct the gaming business of Wynn Las Vegas or any of the Restricted Subsidiaries or Guarantors.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00"/>
          </w:cols>
          <w:pgMar w:left="240" w:top="460" w:right="2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Golf Course</w:t>
      </w:r>
      <w:r>
        <w:rPr>
          <w:rFonts w:ascii="Arial" w:cs="Arial" w:eastAsia="Arial" w:hAnsi="Arial"/>
          <w:sz w:val="18"/>
          <w:szCs w:val="18"/>
          <w:color w:val="auto"/>
        </w:rPr>
        <w:t>” means the 18-hole championship golf course located on the Golf Course Land.</w:t>
      </w:r>
    </w:p>
    <w:p>
      <w:pPr>
        <w:spacing w:after="0" w:line="17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Golf Course Land</w:t>
      </w:r>
      <w:r>
        <w:rPr>
          <w:rFonts w:ascii="Arial" w:cs="Arial" w:eastAsia="Arial" w:hAnsi="Arial"/>
          <w:sz w:val="18"/>
          <w:szCs w:val="18"/>
          <w:color w:val="auto"/>
        </w:rPr>
        <w:t>” means that portion of the Project Site described in an exhibit to the Disbursement Agreement designated as the Golf Course Land (both the fee interest and leasehold interest estates) in the Collateral Documents, together with all improvements thereon and all rights appurtenant thereto, other than, for purposes of the covenant described above under the caption “—Certain Covenants—Limitation on Development of Golf Course Land,” homesites adjacent thereto to be used to construct a residence for Stephen A. Wynn.</w:t>
      </w:r>
    </w:p>
    <w:p>
      <w:pPr>
        <w:spacing w:after="0" w:line="14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Golf Course Lease</w:t>
      </w:r>
      <w:r>
        <w:rPr>
          <w:rFonts w:ascii="Arial" w:cs="Arial" w:eastAsia="Arial" w:hAnsi="Arial"/>
          <w:sz w:val="16"/>
          <w:szCs w:val="16"/>
          <w:color w:val="auto"/>
        </w:rPr>
        <w:t>” means the Golf Course Lease, dated as of December 14, 2004, between Wynn Golf, as lessor, and Wynn Las Vegas, as lessee, with respect to the lease of land on the Golf Course, as amended, modified or otherwise supplemented from time to time in any manner that is not in contravention of the covenant described above under the caption “—Certain Covenants—Amendments to Certain Agreements.”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 Securities</w:t>
      </w:r>
      <w:r>
        <w:rPr>
          <w:rFonts w:ascii="Arial" w:cs="Arial" w:eastAsia="Arial" w:hAnsi="Arial"/>
          <w:sz w:val="18"/>
          <w:szCs w:val="18"/>
          <w:color w:val="auto"/>
        </w:rPr>
        <w:t>” means securities that are:</w:t>
      </w:r>
    </w:p>
    <w:p>
      <w:pPr>
        <w:spacing w:after="0" w:line="90" w:lineRule="exact"/>
        <w:rPr>
          <w:sz w:val="20"/>
          <w:szCs w:val="20"/>
          <w:color w:val="auto"/>
        </w:rPr>
      </w:pPr>
    </w:p>
    <w:p>
      <w:pPr>
        <w:ind w:left="1160" w:hanging="257"/>
        <w:spacing w:after="0"/>
        <w:tabs>
          <w:tab w:leader="none" w:pos="11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direct obligations of the United States of America for the timely payment of which its full faith and credit is pledged; or</w:t>
      </w:r>
    </w:p>
    <w:p>
      <w:pPr>
        <w:spacing w:after="0" w:line="90" w:lineRule="exact"/>
        <w:rPr>
          <w:rFonts w:ascii="Arial" w:cs="Arial" w:eastAsia="Arial" w:hAnsi="Arial"/>
          <w:sz w:val="18"/>
          <w:szCs w:val="18"/>
          <w:color w:val="auto"/>
        </w:rPr>
      </w:pPr>
    </w:p>
    <w:p>
      <w:pPr>
        <w:ind w:left="460" w:right="20" w:firstLine="443"/>
        <w:spacing w:after="0" w:line="312" w:lineRule="auto"/>
        <w:tabs>
          <w:tab w:leader="none" w:pos="1147" w:val="left"/>
        </w:tabs>
        <w:numPr>
          <w:ilvl w:val="0"/>
          <w:numId w:val="192"/>
        </w:numPr>
        <w:rPr>
          <w:rFonts w:ascii="Arial" w:cs="Arial" w:eastAsia="Arial" w:hAnsi="Arial"/>
          <w:sz w:val="15"/>
          <w:szCs w:val="15"/>
          <w:color w:val="auto"/>
        </w:rPr>
      </w:pPr>
      <w:r>
        <w:rPr>
          <w:rFonts w:ascii="Arial" w:cs="Arial" w:eastAsia="Arial" w:hAnsi="Arial"/>
          <w:sz w:val="15"/>
          <w:szCs w:val="15"/>
          <w:color w:val="auto"/>
        </w:rPr>
        <w:t>obligations of a Person controlled or supervised by and acting as an agency or instrumentality of the United States of America the timely payment of which is unconditionally guaranteed as a full faith and credit obligation by the United States of America; which, in either case, are not callable or redeemable at the option of the issuer thereof, and will include a depository receipt issued by a bank (as defined in Section 3(a)(2) of the Securities Act of 1933, as amended), as custodian with respect to any such Government Security or a specific payment of principal of or interest on any such Government Security held by such custodian for the account of the holder of such depository receipt; provided that (except as required by law) such custodian is not authorized to make any deduction from the amount payable to the holder of such depository receipt from any amount received by the custodian in respect of the Government Security or the specific payment of principal of or interest on the Government Security evidenced by such depository receipt.</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 Transfers</w:t>
      </w:r>
      <w:r>
        <w:rPr>
          <w:rFonts w:ascii="Arial" w:cs="Arial" w:eastAsia="Arial" w:hAnsi="Arial"/>
          <w:sz w:val="18"/>
          <w:szCs w:val="18"/>
          <w:color w:val="auto"/>
        </w:rPr>
        <w:t>” means:</w:t>
      </w:r>
    </w:p>
    <w:p>
      <w:pPr>
        <w:spacing w:after="0" w:line="90" w:lineRule="exact"/>
        <w:rPr>
          <w:sz w:val="20"/>
          <w:szCs w:val="20"/>
          <w:color w:val="auto"/>
        </w:rPr>
      </w:pPr>
    </w:p>
    <w:p>
      <w:pPr>
        <w:ind w:left="460" w:right="420" w:firstLine="443"/>
        <w:spacing w:after="0" w:line="268" w:lineRule="auto"/>
        <w:tabs>
          <w:tab w:leader="none" w:pos="1147"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any seizures, condemnations, confiscations or takings by the power of eminent domain or other similar mandatory actions, in each case by a governmental authority against real property held by Wynn Las Vegas or any of the Restricted Subsidiaries, or</w:t>
      </w:r>
    </w:p>
    <w:p>
      <w:pPr>
        <w:spacing w:after="0" w:line="50" w:lineRule="exact"/>
        <w:rPr>
          <w:rFonts w:ascii="Arial" w:cs="Arial" w:eastAsia="Arial" w:hAnsi="Arial"/>
          <w:sz w:val="18"/>
          <w:szCs w:val="18"/>
          <w:color w:val="auto"/>
        </w:rPr>
      </w:pPr>
    </w:p>
    <w:p>
      <w:pPr>
        <w:ind w:left="460" w:firstLine="443"/>
        <w:spacing w:after="0" w:line="255" w:lineRule="auto"/>
        <w:tabs>
          <w:tab w:leader="none" w:pos="1147"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any transfers of interests in real property held by Wynn Las Vegas or any of the Restricted Subsidiaries to any State of Nevada, Clark County or local governmental authority consisting of easements, rights-of-way, dedications, exchanges or swaps or other similar transfers undertaken in furtherance of the development, construction or operation of the Projects, so long as such transfers, individually and in the aggregate, do not materially interfere with the ordinary course of business or the assets or operations of Wynn Las Vegas or any of the Restricted Subsidiaries, or materially detract from the value of the real property subject thereto.</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Guarantee</w:t>
      </w:r>
      <w:r>
        <w:rPr>
          <w:rFonts w:ascii="Arial" w:cs="Arial" w:eastAsia="Arial" w:hAnsi="Arial"/>
          <w:sz w:val="16"/>
          <w:szCs w:val="16"/>
          <w:color w:val="auto"/>
        </w:rPr>
        <w:t>”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Guarantor</w:t>
      </w:r>
      <w:r>
        <w:rPr>
          <w:rFonts w:ascii="Arial" w:cs="Arial" w:eastAsia="Arial" w:hAnsi="Arial"/>
          <w:sz w:val="18"/>
          <w:szCs w:val="18"/>
          <w:color w:val="auto"/>
        </w:rPr>
        <w:t>” means each of:</w:t>
      </w:r>
    </w:p>
    <w:p>
      <w:pPr>
        <w:spacing w:after="0" w:line="90" w:lineRule="exact"/>
        <w:rPr>
          <w:sz w:val="20"/>
          <w:szCs w:val="20"/>
          <w:color w:val="auto"/>
        </w:rPr>
      </w:pPr>
    </w:p>
    <w:p>
      <w:pPr>
        <w:ind w:left="1160" w:hanging="257"/>
        <w:spacing w:after="0"/>
        <w:tabs>
          <w:tab w:leader="none" w:pos="11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Restricted Subsidiaries that are Domestic Subsidiaries, other than Immaterial Subsidiaries,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any other Person that provides a Guarantee by executing a supplemental indenture in accordance with the provisions of the Indenture,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and, except to the extent the applicable Note Guarantee is released in accordance with the caption “—Note Guarantees—Release of Guarantees,” their respective successors and assigns (other than the Issuers). A Person shall cease to be a Guarantor following the release of its Note Guarantee as described above under the caption “—Note Guarantees—Release of Guarantees.”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Hedging Obligations</w:t>
      </w:r>
      <w:r>
        <w:rPr>
          <w:rFonts w:ascii="Arial" w:cs="Arial" w:eastAsia="Arial" w:hAnsi="Arial"/>
          <w:sz w:val="18"/>
          <w:szCs w:val="18"/>
          <w:color w:val="auto"/>
        </w:rPr>
        <w:t>” means, with respect to any specified Person, the obligations of such Person under:</w:t>
      </w:r>
    </w:p>
    <w:p>
      <w:pPr>
        <w:spacing w:after="0" w:line="90" w:lineRule="exact"/>
        <w:rPr>
          <w:sz w:val="20"/>
          <w:szCs w:val="20"/>
          <w:color w:val="auto"/>
        </w:rPr>
      </w:pPr>
    </w:p>
    <w:p>
      <w:pPr>
        <w:ind w:left="460" w:right="460" w:firstLine="443"/>
        <w:spacing w:after="0" w:line="268" w:lineRule="auto"/>
        <w:tabs>
          <w:tab w:leader="none" w:pos="1147"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interest rate swap agreements (whether from fixed to floating or from floating to fixed), interest rate cap agreements and interest rate collar agreements;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other agreements or arrangements designed to manage interest rates or interest rate risk;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other agreements or arrangements designed to protect such Person against fluctuations in currency exchange rates and/or commodity prices.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Holder” or “holder</w:t>
      </w:r>
      <w:r>
        <w:rPr>
          <w:rFonts w:ascii="Arial" w:cs="Arial" w:eastAsia="Arial" w:hAnsi="Arial"/>
          <w:sz w:val="16"/>
          <w:szCs w:val="16"/>
          <w:color w:val="auto"/>
        </w:rPr>
        <w:t>” means any registered holder, from time to time, of the 2017 Notes. Only registered holders will have any rights under the Indenture.</w:t>
      </w:r>
    </w:p>
    <w:p>
      <w:pPr>
        <w:spacing w:after="0" w:line="19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Home Site Land</w:t>
      </w:r>
      <w:r>
        <w:rPr>
          <w:rFonts w:ascii="Arial" w:cs="Arial" w:eastAsia="Arial" w:hAnsi="Arial"/>
          <w:sz w:val="18"/>
          <w:szCs w:val="18"/>
          <w:color w:val="auto"/>
        </w:rPr>
        <w:t>” means a tract of land (not to exceed 20 acres) located on the Golf Course Land where residential and non-gaming related developments may be built, after the release of the trustee’s Liens (for the benefit of the holders) thereon in accordance with the covenant described above under the caption “— Security—Release of Portions of the Golf Course Land.”</w:t>
      </w:r>
    </w:p>
    <w:p>
      <w:pPr>
        <w:spacing w:after="0" w:line="140" w:lineRule="exact"/>
        <w:rPr>
          <w:sz w:val="20"/>
          <w:szCs w:val="20"/>
          <w:color w:val="auto"/>
        </w:rPr>
      </w:pPr>
    </w:p>
    <w:p>
      <w:pPr>
        <w:ind w:right="56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Immaterial Subsidiary</w:t>
      </w:r>
      <w:r>
        <w:rPr>
          <w:rFonts w:ascii="Arial" w:cs="Arial" w:eastAsia="Arial" w:hAnsi="Arial"/>
          <w:sz w:val="16"/>
          <w:szCs w:val="16"/>
          <w:color w:val="auto"/>
        </w:rPr>
        <w:t>” means, as of any date, any Restricted Subsidiary whose total assets, as of that date, are less than $500,000 and whose total revenues for the most recent 12-month period do not exceed $500,000; provided that a Restricted Subsidiary will not be considered to be an Immaterial Subsidiary if it, directly or indirectly, guarantees or otherwise provides direct credit support for any Indebtedness of Wynn Las Vegas.</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Indebtedness</w:t>
      </w:r>
      <w:r>
        <w:rPr>
          <w:rFonts w:ascii="Arial" w:cs="Arial" w:eastAsia="Arial" w:hAnsi="Arial"/>
          <w:sz w:val="18"/>
          <w:szCs w:val="18"/>
          <w:color w:val="auto"/>
        </w:rPr>
        <w:t>” means, with respect to any specified Person, any indebtedness of such Person (excluding accrued expenses and trade payables), whether or not contingent:</w:t>
      </w:r>
    </w:p>
    <w:p>
      <w:pPr>
        <w:spacing w:after="0" w:line="51" w:lineRule="exact"/>
        <w:rPr>
          <w:sz w:val="20"/>
          <w:szCs w:val="20"/>
          <w:color w:val="auto"/>
        </w:rPr>
      </w:pPr>
    </w:p>
    <w:p>
      <w:pPr>
        <w:ind w:left="1160" w:hanging="257"/>
        <w:spacing w:after="0"/>
        <w:tabs>
          <w:tab w:leader="none" w:pos="11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in respect of borrowed money;</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evidenced by bonds, notes, debentures or similar instruments or letters of credit (or reimbursement agreements in respect thereof);</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in respect of banker’s acceptances;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representing Capital Lease Obligations or Attributable Debt;</w:t>
      </w:r>
    </w:p>
    <w:p>
      <w:pPr>
        <w:spacing w:after="0" w:line="90" w:lineRule="exact"/>
        <w:rPr>
          <w:rFonts w:ascii="Arial" w:cs="Arial" w:eastAsia="Arial" w:hAnsi="Arial"/>
          <w:sz w:val="18"/>
          <w:szCs w:val="18"/>
          <w:color w:val="auto"/>
        </w:rPr>
      </w:pPr>
    </w:p>
    <w:p>
      <w:pPr>
        <w:ind w:left="460" w:right="240" w:firstLine="443"/>
        <w:spacing w:after="0" w:line="268" w:lineRule="auto"/>
        <w:tabs>
          <w:tab w:leader="none" w:pos="1147" w:val="left"/>
        </w:tabs>
        <w:numPr>
          <w:ilvl w:val="0"/>
          <w:numId w:val="196"/>
        </w:numPr>
        <w:rPr>
          <w:rFonts w:ascii="Arial" w:cs="Arial" w:eastAsia="Arial" w:hAnsi="Arial"/>
          <w:sz w:val="18"/>
          <w:szCs w:val="18"/>
          <w:color w:val="auto"/>
        </w:rPr>
      </w:pPr>
      <w:r>
        <w:rPr>
          <w:rFonts w:ascii="Arial" w:cs="Arial" w:eastAsia="Arial" w:hAnsi="Arial"/>
          <w:sz w:val="18"/>
          <w:szCs w:val="18"/>
          <w:color w:val="auto"/>
        </w:rPr>
        <w:t>representing the balance deferred and unpaid of the purchase price of any property or services due more than six months after such property is acquired or such services are completed; or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representing any Hedging Obligations,</w:t>
      </w:r>
    </w:p>
    <w:p>
      <w:pPr>
        <w:spacing w:after="0" w:line="17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if and to the extent any of the preceding items (other than letters of credit, Attributable Debt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90" w:lineRule="exact"/>
        <w:rPr>
          <w:sz w:val="20"/>
          <w:szCs w:val="20"/>
          <w:color w:val="auto"/>
        </w:rPr>
      </w:pPr>
    </w:p>
    <w:p>
      <w:pPr>
        <w:ind w:left="1160" w:hanging="257"/>
        <w:spacing w:after="0"/>
        <w:tabs>
          <w:tab w:leader="none" w:pos="11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accreted value of the Indebtedness, in the case of any Indebtedness issued with original issue discount;</w:t>
      </w:r>
    </w:p>
    <w:p>
      <w:pPr>
        <w:spacing w:after="0" w:line="90" w:lineRule="exact"/>
        <w:rPr>
          <w:rFonts w:ascii="Arial" w:cs="Arial" w:eastAsia="Arial" w:hAnsi="Arial"/>
          <w:sz w:val="18"/>
          <w:szCs w:val="18"/>
          <w:color w:val="auto"/>
        </w:rPr>
      </w:pPr>
    </w:p>
    <w:p>
      <w:pPr>
        <w:ind w:left="460" w:right="300" w:firstLine="443"/>
        <w:spacing w:after="0" w:line="268" w:lineRule="auto"/>
        <w:tabs>
          <w:tab w:leader="none" w:pos="1147"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principal amount of the Indebtedness, together with any interest on the Indebtedness that is more than 30 days past due, in the case of any other Indebtedness;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380"/>
          </w:cols>
          <w:pgMar w:left="240" w:top="459" w:right="27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in the case of a Guarantee of Indebtedness, the maximum amount of the Indebtedness guaranteed under such Guarantee;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in the case of Indebtedness of others secured by a Lien on any asset of the specified Person, the lesser of:</w:t>
      </w:r>
    </w:p>
    <w:p>
      <w:pPr>
        <w:spacing w:after="0" w:line="90" w:lineRule="exact"/>
        <w:rPr>
          <w:rFonts w:ascii="Arial" w:cs="Arial" w:eastAsia="Arial" w:hAnsi="Arial"/>
          <w:sz w:val="18"/>
          <w:szCs w:val="18"/>
          <w:color w:val="auto"/>
        </w:rPr>
      </w:pPr>
    </w:p>
    <w:p>
      <w:pPr>
        <w:ind w:left="920" w:right="480" w:firstLine="421"/>
        <w:spacing w:after="0" w:line="268" w:lineRule="auto"/>
        <w:tabs>
          <w:tab w:leader="none" w:pos="1579" w:val="left"/>
        </w:tabs>
        <w:numPr>
          <w:ilvl w:val="1"/>
          <w:numId w:val="198"/>
        </w:numPr>
        <w:rPr>
          <w:rFonts w:ascii="Arial" w:cs="Arial" w:eastAsia="Arial" w:hAnsi="Arial"/>
          <w:sz w:val="18"/>
          <w:szCs w:val="18"/>
          <w:color w:val="auto"/>
        </w:rPr>
      </w:pPr>
      <w:r>
        <w:rPr>
          <w:rFonts w:ascii="Arial" w:cs="Arial" w:eastAsia="Arial" w:hAnsi="Arial"/>
          <w:sz w:val="18"/>
          <w:szCs w:val="18"/>
          <w:color w:val="auto"/>
        </w:rPr>
        <w:t>the face amount of such Indebtedness (plus, in the case of any letter of credit or similar instrument, the amount of any reimbursement obligations in respect thereof), and</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the Fair Market Value of the asset(s) subject to such Lien.</w:t>
      </w:r>
    </w:p>
    <w:p>
      <w:pPr>
        <w:spacing w:after="0" w:line="171"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Notwithstanding anything contained in the Indenture to the contrary, any obligation of the Issuers or the Restricted Subsidiaries incurred in the ordinary course of business in respect of casino chips or similar instruments shall not constitute “Indebtedness” for any purpose under the Indenture.</w:t>
      </w:r>
    </w:p>
    <w:p>
      <w:pPr>
        <w:spacing w:after="0" w:line="8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Intercreditor Agreement</w:t>
      </w:r>
      <w:r>
        <w:rPr>
          <w:rFonts w:ascii="Arial" w:cs="Arial" w:eastAsia="Arial" w:hAnsi="Arial"/>
          <w:sz w:val="18"/>
          <w:szCs w:val="18"/>
          <w:color w:val="auto"/>
        </w:rPr>
        <w:t>” means the Intercreditor Agreement, dated as of December 14, 2004, among the trustee for the 2014 Notes, the trustee for the 2017 Notes, the administrative agent under the Credit Agreement, the collateral agent and the other parties thereto from time to time, as such agreement may be amended, modified, restated or supplemented in accordance with the terms of the Indenture.</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Investments</w:t>
      </w:r>
      <w:r>
        <w:rPr>
          <w:rFonts w:ascii="Arial" w:cs="Arial" w:eastAsia="Arial" w:hAnsi="Arial"/>
          <w:sz w:val="15"/>
          <w:szCs w:val="15"/>
          <w:color w:val="auto"/>
        </w:rPr>
        <w:t>” means, with respect to any Person, all direct or indirect investments by such Person in other Persons (including Affiliates) in the forms of loans (including Guarantees or other obligations), advances (excluding advances made to customers in the ordinary course of business) or capital contributions (excluding commission, travel and similar advances to officers and employees made in the ordinary course of business), purchases or other acquisitions for consideration of Indebtedness, Equity Interests or other securities, together with all items that are or would be classified as investments on a balance sheet prepared in accordance with GAAP. If Wynn Las Vegas or any Restricted Subsidiary of Wynn Las Vegas sells or otherwise disposes of any Equity Interests of any direct or indirect Restricted Subsidiary of Wynn Las Vegas such that, after giving effect to any such sale or disposition, such Person is no longer a Restricted Subsidiary of Wynn Las Vegas, Wynn Las Vegas will be deemed to have made an Investment on the date of any such sale or disposition equal to the Fair Market Value of Wynn Las Vegas’ Investments in such Restricted Subsidiary that were not sold or disposed of in an amount determined as provided in the final paragraph of the covenant described above under the caption “—Certain Covenants—Restricted Payments.” The acquisition by Wynn Las Vegas or any Restricted Subsidiary of Wynn Las Vegas of a Person that holds an Investment in a third Person will be deemed to be an Investment by Wynn Las Vegas or such Subsidiary in such third Person in an amount equal to the Fair Market Value of the Investments held by the acquired Person in such third Person in an amount determined as provided in the final paragraph of the covenant described above under the caption “—Certain Covenants—Restricted Payments.” Except as otherwise provided in the Indenture, the amount of an Investment will be determined at the time the Investment is made and without giving effect to subsequent changes in value.</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Issuers</w:t>
      </w:r>
      <w:r>
        <w:rPr>
          <w:rFonts w:ascii="Arial" w:cs="Arial" w:eastAsia="Arial" w:hAnsi="Arial"/>
          <w:sz w:val="18"/>
          <w:szCs w:val="18"/>
          <w:color w:val="auto"/>
        </w:rPr>
        <w:t>” means Wynn Las Vegas and Wynn Capital.</w:t>
      </w:r>
    </w:p>
    <w:p>
      <w:pPr>
        <w:spacing w:after="0" w:line="17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Koval Land</w:t>
      </w:r>
      <w:r>
        <w:rPr>
          <w:rFonts w:ascii="Arial" w:cs="Arial" w:eastAsia="Arial" w:hAnsi="Arial"/>
          <w:sz w:val="18"/>
          <w:szCs w:val="18"/>
          <w:color w:val="auto"/>
        </w:rPr>
        <w:t>” means the approximately 18 acres of land located across from the Projects on Koval Lane and Sands Avenue, which is used for employee parking and other ancillary uses.</w:t>
      </w:r>
    </w:p>
    <w:p>
      <w:pPr>
        <w:spacing w:after="0" w:line="132"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means, with respect to any asset, (i) any mortgage, lien, pledge, charge, security interest or encumbrance of any kind in respect of such asset, whether or not filed, recorded or otherwise perfected under applicable law, including any conditional sale or other title retention agreement, (ii) any lease in the nature thereof, or (iii) any agreement to deliver a security interest in any asset. Notwithstanding the foregoing, the trust established and maintained for the sole purpose of holding title to the Aircraft and which a Restricted Subsidiary of Wynn Las Vegas is the sole beneficiary thereof shall not be considered a Lien for purposes of the Indenture.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Liquidated Damages</w:t>
      </w:r>
      <w:r>
        <w:rPr>
          <w:rFonts w:ascii="Arial" w:cs="Arial" w:eastAsia="Arial" w:hAnsi="Arial"/>
          <w:sz w:val="18"/>
          <w:szCs w:val="18"/>
          <w:color w:val="auto"/>
        </w:rPr>
        <w:t>” means all liquidated damages then owing pursuant to the registration rights agreement.</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Local Bank Collateral Account Agreement</w:t>
      </w:r>
      <w:r>
        <w:rPr>
          <w:rFonts w:ascii="Arial" w:cs="Arial" w:eastAsia="Arial" w:hAnsi="Arial"/>
          <w:sz w:val="18"/>
          <w:szCs w:val="18"/>
          <w:color w:val="auto"/>
        </w:rPr>
        <w:t>” means the Local Bank Collateral Account Agreement, dated as of December 14, 2004, among Wynn Las Vegas, the securities intermediary named therein and the collateral agent, as amended, modified or otherwise supplemented from time to time in accordance with its terms, the Indenture and the other Collateral Documents.</w:t>
      </w:r>
    </w:p>
    <w:p>
      <w:pPr>
        <w:spacing w:after="0" w:line="140"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Macau Project</w:t>
      </w:r>
      <w:r>
        <w:rPr>
          <w:rFonts w:ascii="Arial" w:cs="Arial" w:eastAsia="Arial" w:hAnsi="Arial"/>
          <w:sz w:val="16"/>
          <w:szCs w:val="16"/>
          <w:color w:val="auto"/>
        </w:rPr>
        <w:t>” means the casino and hotel in Macau contemplated by the Concession Contract for the Operation of Games of Chance or Other Games in Casinos in the Macau Special Administrative Region of the People’s Republic of China, dated June 24, 2002, between the Macau Special Administrative Region of the People’s Republic of China and Wynn Resorts (Macau), S.A., together with the Encore project adjacent thereto.</w:t>
      </w:r>
    </w:p>
    <w:p>
      <w:pPr>
        <w:spacing w:after="0" w:line="107"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 Agreement</w:t>
      </w:r>
      <w:r>
        <w:rPr>
          <w:rFonts w:ascii="Arial" w:cs="Arial" w:eastAsia="Arial" w:hAnsi="Arial"/>
          <w:sz w:val="18"/>
          <w:szCs w:val="18"/>
          <w:color w:val="auto"/>
        </w:rPr>
        <w:t>” means the Management Agreement, dated as of December 14, 2004, among Wynn Resorts, as manager, the Issuers and the Restricted Subsidiaries, as amended, modified or supplemented from time to time in any manner that is not in contravention of the covenant described above under the caption “—Certain Covenants—Amendments to Certain Agreements.”</w:t>
      </w:r>
    </w:p>
    <w:p>
      <w:pPr>
        <w:spacing w:after="0" w:line="14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 Fees</w:t>
      </w:r>
      <w:r>
        <w:rPr>
          <w:rFonts w:ascii="Arial" w:cs="Arial" w:eastAsia="Arial" w:hAnsi="Arial"/>
          <w:sz w:val="18"/>
          <w:szCs w:val="18"/>
          <w:color w:val="auto"/>
        </w:rPr>
        <w:t>” means any fees payable pursuant to the Management Agreement, in an aggregate amount not to exceed, during any 12-month period, 1.5% of Net Revenues of Wynn Las Vegas and its Restricted Subsidiaries for the period of four full consecutive fiscal quarters of Wynn Las Vegas most recently ended prior to the commencement of such 12-month period.</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 Fees Subordination Agreement</w:t>
      </w:r>
      <w:r>
        <w:rPr>
          <w:rFonts w:ascii="Arial" w:cs="Arial" w:eastAsia="Arial" w:hAnsi="Arial"/>
          <w:sz w:val="18"/>
          <w:szCs w:val="18"/>
          <w:color w:val="auto"/>
        </w:rPr>
        <w:t>” means the Management Fees Subordination Agreement, dated as of the date of the Indenture, by and among Wynn Resorts, the Issuers, the Guarantors and the trustee.</w:t>
      </w:r>
    </w:p>
    <w:p>
      <w:pPr>
        <w:spacing w:after="0" w:line="13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or any successor to its statistical rating business, except that any reference to a particular rating by Moody’s will be deemed to be a reference to the corresponding rating by any such successor.</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Income</w:t>
      </w:r>
      <w:r>
        <w:rPr>
          <w:rFonts w:ascii="Arial" w:cs="Arial" w:eastAsia="Arial" w:hAnsi="Arial"/>
          <w:sz w:val="18"/>
          <w:szCs w:val="18"/>
          <w:color w:val="auto"/>
        </w:rPr>
        <w:t>” means, with respect to any specified Person, the net income (loss) of such Person, determined in accordance with GAAP (and reduced by any provision in respect of the Tax Amount attributable to such net income) and before any reduction in respect of preferred equity dividends, giving effect to, without duplication, any amounts paid or distributed by Wynn Las Vegas or any of its Restricted Subsidiaries as Allocable Overhead if and to the same extent that such amounts would have been included in the calculation of net income if incurred by Wynn Las Vegas directly, excluding (to the extent previously taken into account in computing net income), however:</w:t>
      </w:r>
    </w:p>
    <w:p>
      <w:pPr>
        <w:spacing w:after="0" w:line="62" w:lineRule="exact"/>
        <w:rPr>
          <w:sz w:val="20"/>
          <w:szCs w:val="20"/>
          <w:color w:val="auto"/>
        </w:rPr>
      </w:pPr>
    </w:p>
    <w:p>
      <w:pPr>
        <w:jc w:val="both"/>
        <w:ind w:left="460" w:right="60" w:firstLine="443"/>
        <w:spacing w:after="0" w:line="259" w:lineRule="auto"/>
        <w:tabs>
          <w:tab w:leader="none" w:pos="1147"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any gain (or loss), together with any related provision for the Tax Amount on such gain (or loss), realized in connection with: (a) any Asset Sale; or (b) the disposition of any securities by such Person or any of its Restricted Subsidiaries or the extinguishment of any Indebtedness of such Person or any of its Restricted Subsidiaries; and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any extraordinary gain (or loss), together with any related provision for the Tax Amount on such extraordinary gain (or loss).</w:t>
      </w:r>
    </w:p>
    <w:p>
      <w:pPr>
        <w:spacing w:after="0" w:line="171"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Net Loss Proceeds</w:t>
      </w:r>
      <w:r>
        <w:rPr>
          <w:rFonts w:ascii="Arial" w:cs="Arial" w:eastAsia="Arial" w:hAnsi="Arial"/>
          <w:sz w:val="16"/>
          <w:szCs w:val="16"/>
          <w:color w:val="auto"/>
        </w:rPr>
        <w:t>” means the aggregate cash proceeds received by Wynn Las Vegas or any of the Restricted Subsidiaries in respect of any Event of Loss, including, without limitation, insurance proceeds from condemnation awards or damages awarded by any judgment, net of:</w:t>
      </w:r>
    </w:p>
    <w:p>
      <w:pPr>
        <w:spacing w:after="0" w:line="4" w:lineRule="exact"/>
        <w:rPr>
          <w:sz w:val="20"/>
          <w:szCs w:val="20"/>
          <w:color w:val="auto"/>
        </w:rPr>
      </w:pPr>
    </w:p>
    <w:p>
      <w:pPr>
        <w:ind w:left="460" w:right="100" w:firstLine="443"/>
        <w:spacing w:after="0" w:line="268" w:lineRule="auto"/>
        <w:tabs>
          <w:tab w:leader="none" w:pos="1147"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direct costs in recovery of such Net Loss Proceeds (including, without limitation, legal, accounting, appraisal and insurance adjuster fees and any relocation expenses incurred as a result thereof),</w:t>
      </w:r>
    </w:p>
    <w:p>
      <w:pPr>
        <w:spacing w:after="0" w:line="50" w:lineRule="exact"/>
        <w:rPr>
          <w:rFonts w:ascii="Arial" w:cs="Arial" w:eastAsia="Arial" w:hAnsi="Arial"/>
          <w:sz w:val="18"/>
          <w:szCs w:val="18"/>
          <w:color w:val="auto"/>
        </w:rPr>
      </w:pPr>
    </w:p>
    <w:p>
      <w:pPr>
        <w:ind w:left="460" w:right="60" w:firstLine="443"/>
        <w:spacing w:after="0" w:line="306" w:lineRule="auto"/>
        <w:tabs>
          <w:tab w:leader="none" w:pos="1147" w:val="left"/>
        </w:tabs>
        <w:numPr>
          <w:ilvl w:val="0"/>
          <w:numId w:val="200"/>
        </w:numPr>
        <w:rPr>
          <w:rFonts w:ascii="Arial" w:cs="Arial" w:eastAsia="Arial" w:hAnsi="Arial"/>
          <w:sz w:val="16"/>
          <w:szCs w:val="16"/>
          <w:color w:val="auto"/>
        </w:rPr>
      </w:pPr>
      <w:r>
        <w:rPr>
          <w:rFonts w:ascii="Arial" w:cs="Arial" w:eastAsia="Arial" w:hAnsi="Arial"/>
          <w:sz w:val="16"/>
          <w:szCs w:val="16"/>
          <w:color w:val="auto"/>
        </w:rPr>
        <w:t>amounts required to be and actually applied to the repayment of Indebtedness (other than Indebtedness that is subordinated in right of payment to the 2017 Notes or the Note Guarantees) permitted under the Indenture that is secured by a Permitted Lien on the asset or assets that were the subject of such Event of Loss that ranks prior to the security interest of the trustee in those assets, after giving effect to any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provisions in the Collateral Documents and the Intercreditor Agreement as to the relative ranking of security interests, and</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(3) any taxes or Tax Amount paid or payable as a result of the receipt of such cash proceeds.</w:t>
      </w:r>
    </w:p>
    <w:p>
      <w:pPr>
        <w:spacing w:after="0" w:line="171" w:lineRule="exact"/>
        <w:rPr>
          <w:sz w:val="20"/>
          <w:szCs w:val="20"/>
          <w:color w:val="auto"/>
        </w:rPr>
      </w:pPr>
    </w:p>
    <w:p>
      <w:pPr>
        <w:ind w:right="680" w:firstLine="456"/>
        <w:spacing w:after="0" w:line="357"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Net Proceeds</w:t>
      </w:r>
      <w:r>
        <w:rPr>
          <w:rFonts w:ascii="Arial" w:cs="Arial" w:eastAsia="Arial" w:hAnsi="Arial"/>
          <w:sz w:val="15"/>
          <w:szCs w:val="15"/>
          <w:color w:val="auto"/>
        </w:rPr>
        <w:t>” means the aggregate cash proceeds received by Wynn Las Vegas or any of the Restricted Subsidiaries in respect of any Asset Sale (including, without limitation, any cash received upon the sale or other disposition of any non-cash consideration received in any Asset Sale), net of:</w:t>
      </w:r>
    </w:p>
    <w:p>
      <w:pPr>
        <w:ind w:left="460" w:right="120" w:firstLine="443"/>
        <w:spacing w:after="0" w:line="306" w:lineRule="auto"/>
        <w:tabs>
          <w:tab w:leader="none" w:pos="1147" w:val="left"/>
        </w:tabs>
        <w:numPr>
          <w:ilvl w:val="0"/>
          <w:numId w:val="201"/>
        </w:numPr>
        <w:rPr>
          <w:rFonts w:ascii="Arial" w:cs="Arial" w:eastAsia="Arial" w:hAnsi="Arial"/>
          <w:sz w:val="16"/>
          <w:szCs w:val="16"/>
          <w:color w:val="auto"/>
        </w:rPr>
      </w:pPr>
      <w:r>
        <w:rPr>
          <w:rFonts w:ascii="Arial" w:cs="Arial" w:eastAsia="Arial" w:hAnsi="Arial"/>
          <w:sz w:val="16"/>
          <w:szCs w:val="16"/>
          <w:color w:val="auto"/>
        </w:rPr>
        <w:t>the direct costs relating to such Asset Sale, including, without limitation, legal, accounting and investment banking fees, and sales commissions, and any relocation expenses incurred as a result of the Asset Sale and the provision for taxes and the Tax Amount paid or payable as a result of the Asset Sale, in each case, after taking into account any available tax credits or deductions and any tax sharing arrangements,</w:t>
      </w:r>
    </w:p>
    <w:p>
      <w:pPr>
        <w:spacing w:after="0" w:line="25" w:lineRule="exact"/>
        <w:rPr>
          <w:rFonts w:ascii="Arial" w:cs="Arial" w:eastAsia="Arial" w:hAnsi="Arial"/>
          <w:sz w:val="16"/>
          <w:szCs w:val="16"/>
          <w:color w:val="auto"/>
        </w:rPr>
      </w:pPr>
    </w:p>
    <w:p>
      <w:pPr>
        <w:ind w:left="460" w:firstLine="443"/>
        <w:spacing w:after="0" w:line="256" w:lineRule="auto"/>
        <w:tabs>
          <w:tab w:leader="none" w:pos="1147"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amounts, if any, required to be, and in fact, applied to the prepayment of Indebtedness permitted under the Indenture (other than Indebtedness that is subordinated in right of payment to the 2017 Notes or the Note Guarantees) secured by a Permitted Lien on the asset or assets that were the subject of such Asset Sale that ranks prior to the security interest of the trustee in those assets, after giving effect to any provisions in the Collateral Documents and the Intercreditor Agreement as to the relative ranking of security interests, and</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any reserve for adjustment in respect of the sale price of such asset or assets established in accordance with GAAP.</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Revenues</w:t>
      </w:r>
      <w:r>
        <w:rPr>
          <w:rFonts w:ascii="Arial" w:cs="Arial" w:eastAsia="Arial" w:hAnsi="Arial"/>
          <w:sz w:val="18"/>
          <w:szCs w:val="18"/>
          <w:color w:val="auto"/>
        </w:rPr>
        <w:t>” means, for any period, the net revenues of Wynn Las Vegas and its Restricted Subsidiaries, as set forth on Wynn Las Vegas’ income statement for the relevant period under the line item “net revenues,” calculated in accordance with GAAP and with Regulation S-X under the Securities Act and in a manner consistent with that customarily utilized in the gaming industry.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Nevada Gaming Control Act</w:t>
      </w:r>
      <w:r>
        <w:rPr>
          <w:rFonts w:ascii="Arial" w:cs="Arial" w:eastAsia="Arial" w:hAnsi="Arial"/>
          <w:sz w:val="18"/>
          <w:szCs w:val="18"/>
          <w:color w:val="auto"/>
        </w:rPr>
        <w:t>” means Chapter 463 of the Nevada Revised Statutes.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Non-Recourse Debt</w:t>
      </w:r>
      <w:r>
        <w:rPr>
          <w:rFonts w:ascii="Arial" w:cs="Arial" w:eastAsia="Arial" w:hAnsi="Arial"/>
          <w:sz w:val="18"/>
          <w:szCs w:val="18"/>
          <w:color w:val="auto"/>
        </w:rPr>
        <w:t>” means Indebtedness:</w:t>
      </w:r>
    </w:p>
    <w:p>
      <w:pPr>
        <w:spacing w:after="0" w:line="90" w:lineRule="exact"/>
        <w:rPr>
          <w:sz w:val="20"/>
          <w:szCs w:val="20"/>
          <w:color w:val="auto"/>
        </w:rPr>
      </w:pPr>
    </w:p>
    <w:p>
      <w:pPr>
        <w:ind w:left="460" w:right="260" w:firstLine="443"/>
        <w:spacing w:after="0" w:line="306" w:lineRule="auto"/>
        <w:tabs>
          <w:tab w:leader="none" w:pos="1147" w:val="left"/>
        </w:tabs>
        <w:numPr>
          <w:ilvl w:val="0"/>
          <w:numId w:val="202"/>
        </w:numPr>
        <w:rPr>
          <w:rFonts w:ascii="Arial" w:cs="Arial" w:eastAsia="Arial" w:hAnsi="Arial"/>
          <w:sz w:val="16"/>
          <w:szCs w:val="16"/>
          <w:color w:val="auto"/>
        </w:rPr>
      </w:pPr>
      <w:r>
        <w:rPr>
          <w:rFonts w:ascii="Arial" w:cs="Arial" w:eastAsia="Arial" w:hAnsi="Arial"/>
          <w:sz w:val="16"/>
          <w:szCs w:val="16"/>
          <w:color w:val="auto"/>
        </w:rPr>
        <w:t>as to which neither Wynn Las Vegas nor any of its Restricted Subsidiaries (a) provides credit support of any kind (including any undertaking, agreement or instrument that would constitute Indebtedness) (other than a pledge of the Equity Interests of the Unrestricted Subsidiary that is an obligor with respect to such Indebtedness), (b) is directly or indirectly liable as a guarantor or otherwise, or (c) constitutes the lender;</w:t>
      </w:r>
    </w:p>
    <w:p>
      <w:pPr>
        <w:spacing w:after="0" w:line="25" w:lineRule="exact"/>
        <w:rPr>
          <w:rFonts w:ascii="Arial" w:cs="Arial" w:eastAsia="Arial" w:hAnsi="Arial"/>
          <w:sz w:val="16"/>
          <w:szCs w:val="16"/>
          <w:color w:val="auto"/>
        </w:rPr>
      </w:pPr>
    </w:p>
    <w:p>
      <w:pPr>
        <w:ind w:left="460" w:right="320" w:firstLine="443"/>
        <w:spacing w:after="0" w:line="256" w:lineRule="auto"/>
        <w:tabs>
          <w:tab w:leader="none" w:pos="1147" w:val="left"/>
        </w:tabs>
        <w:numPr>
          <w:ilvl w:val="0"/>
          <w:numId w:val="202"/>
        </w:numPr>
        <w:rPr>
          <w:rFonts w:ascii="Arial" w:cs="Arial" w:eastAsia="Arial" w:hAnsi="Arial"/>
          <w:sz w:val="18"/>
          <w:szCs w:val="18"/>
          <w:color w:val="auto"/>
        </w:rPr>
      </w:pPr>
      <w:r>
        <w:rPr>
          <w:rFonts w:ascii="Arial" w:cs="Arial" w:eastAsia="Arial" w:hAnsi="Arial"/>
          <w:sz w:val="18"/>
          <w:szCs w:val="18"/>
          <w:color w:val="auto"/>
        </w:rPr>
        <w:t>no default with respect to which (including any rights that the holders of the Indebtedness may have to take enforcement action against an Unrestricted Subsidiary, other than the Completion Guarantor) would permit upon notice, lapse of time or both any holder of any other Indebtedness of Wynn Las Vegas or any of its Restricted Subsidiaries to declare a default on such other Indebtedness or cause the payment of the Indebtedness to be accelerated or payable prior to its Stated Maturity; and</w:t>
      </w:r>
    </w:p>
    <w:p>
      <w:pPr>
        <w:spacing w:after="0" w:line="62" w:lineRule="exact"/>
        <w:rPr>
          <w:rFonts w:ascii="Arial" w:cs="Arial" w:eastAsia="Arial" w:hAnsi="Arial"/>
          <w:sz w:val="18"/>
          <w:szCs w:val="18"/>
          <w:color w:val="auto"/>
        </w:rPr>
      </w:pPr>
    </w:p>
    <w:p>
      <w:pPr>
        <w:ind w:left="460" w:right="220" w:firstLine="443"/>
        <w:spacing w:after="0" w:line="259" w:lineRule="auto"/>
        <w:tabs>
          <w:tab w:leader="none" w:pos="1147"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as to which the lenders have been notified in writing that they will not have any recourse to the stock or assets of Wynn Las Vegas or any of its Restricted Subsidiaries (other than the stock of an Unrestricted Subsidiary pledged by Wynn Las Vegas of one of its Restricted Subsidiaries to secure Indebtedness of the Unrestricted Subsidiary).</w:t>
      </w:r>
    </w:p>
    <w:p>
      <w:pPr>
        <w:spacing w:after="0" w:line="14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Guarantee</w:t>
      </w:r>
      <w:r>
        <w:rPr>
          <w:rFonts w:ascii="Arial" w:cs="Arial" w:eastAsia="Arial" w:hAnsi="Arial"/>
          <w:sz w:val="18"/>
          <w:szCs w:val="18"/>
          <w:color w:val="auto"/>
        </w:rPr>
        <w:t>” means the Guarantee, by each Guarantor of the Issuers’ obligations under the Indenture and the 2017 Notes, executed pursuant to the provisions of the Indenture.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400"/>
          </w:cols>
          <w:pgMar w:left="240" w:top="459" w:right="2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Obligations</w:t>
      </w:r>
      <w:r>
        <w:rPr>
          <w:rFonts w:ascii="Arial" w:cs="Arial" w:eastAsia="Arial" w:hAnsi="Arial"/>
          <w:sz w:val="18"/>
          <w:szCs w:val="18"/>
          <w:color w:val="auto"/>
        </w:rPr>
        <w:t>” means any principal, interest, penalties, fees, indemnifications, reimbursements, damages and other liabilities payable under the documentation governing any Indebtedness (including, without limitation, interest accruing at the then applicable rate provided in such documentation after the maturity of such Indebtedness and interest accruing at the then applicable rate provided in such documentation after the filing of a petition in bankruptcy, or the commencement of any insolvency, reorganization or like proceeding, relating to any debtor under such documentation, whether or not a claim for post-filing or post-petition interest is allowed in such proceeding).</w:t>
      </w:r>
    </w:p>
    <w:p>
      <w:pPr>
        <w:spacing w:after="0" w:line="143"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Pari Passu Debt</w:t>
      </w:r>
      <w:r>
        <w:rPr>
          <w:rFonts w:ascii="Arial" w:cs="Arial" w:eastAsia="Arial" w:hAnsi="Arial"/>
          <w:sz w:val="15"/>
          <w:szCs w:val="15"/>
          <w:color w:val="auto"/>
        </w:rPr>
        <w:t>” means any Indebtedness, other than Indebtedness incurred under the Credit Agreement, that is pari passu with the 2017 Notes containing provisions similar to those set forth in the Indenture with respect to offers to purchase or redeem with the proceeds of sales of assets or Events of Loss.</w:t>
      </w:r>
    </w:p>
    <w:p>
      <w:pPr>
        <w:spacing w:after="0" w:line="6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Pass Through Entity</w:t>
      </w:r>
      <w:r>
        <w:rPr>
          <w:rFonts w:ascii="Arial" w:cs="Arial" w:eastAsia="Arial" w:hAnsi="Arial"/>
          <w:sz w:val="18"/>
          <w:szCs w:val="18"/>
          <w:color w:val="auto"/>
        </w:rPr>
        <w:t>” means any of (1) a grantor trust for United States federal or state income tax purposes or (2) an entity treated as a partnership or a disregarded entity for United States federal or state income tax purposes.</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Payment and Performance Bond</w:t>
      </w:r>
      <w:r>
        <w:rPr>
          <w:rFonts w:ascii="Arial" w:cs="Arial" w:eastAsia="Arial" w:hAnsi="Arial"/>
          <w:sz w:val="18"/>
          <w:szCs w:val="18"/>
          <w:color w:val="auto"/>
        </w:rPr>
        <w:t>” means any payment and performance bond delivered under any contract or subcontract in favor of Wynn Las Vegas (or any contractor), the agent for the lenders under the Credit Agreement and the trustee supporting the contractor’s or subcontractor’s obligations under any such contract or subcontract.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Business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the gaming business;</w:t>
      </w:r>
    </w:p>
    <w:p>
      <w:pPr>
        <w:spacing w:after="0" w:line="90" w:lineRule="exact"/>
        <w:rPr>
          <w:rFonts w:ascii="Arial" w:cs="Arial" w:eastAsia="Arial" w:hAnsi="Arial"/>
          <w:sz w:val="18"/>
          <w:szCs w:val="18"/>
          <w:color w:val="auto"/>
        </w:rPr>
      </w:pPr>
    </w:p>
    <w:p>
      <w:pPr>
        <w:ind w:left="460" w:right="440" w:firstLine="443"/>
        <w:spacing w:after="0" w:line="268" w:lineRule="auto"/>
        <w:tabs>
          <w:tab w:leader="none" w:pos="1147" w:val="left"/>
        </w:tabs>
        <w:numPr>
          <w:ilvl w:val="1"/>
          <w:numId w:val="203"/>
        </w:numPr>
        <w:rPr>
          <w:rFonts w:ascii="Arial" w:cs="Arial" w:eastAsia="Arial" w:hAnsi="Arial"/>
          <w:sz w:val="18"/>
          <w:szCs w:val="18"/>
          <w:color w:val="auto"/>
        </w:rPr>
      </w:pPr>
      <w:r>
        <w:rPr>
          <w:rFonts w:ascii="Arial" w:cs="Arial" w:eastAsia="Arial" w:hAnsi="Arial"/>
          <w:sz w:val="18"/>
          <w:szCs w:val="18"/>
          <w:color w:val="auto"/>
        </w:rPr>
        <w:t>all businesses whether or not licensed by a Gaming Authority which are necessary for, incident to, useful to, arising out of, supportive of or connected to the development, ownership or operation of a Gaming Facility;</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203"/>
        </w:numPr>
        <w:rPr>
          <w:rFonts w:ascii="Arial" w:cs="Arial" w:eastAsia="Arial" w:hAnsi="Arial"/>
          <w:sz w:val="16"/>
          <w:szCs w:val="16"/>
          <w:color w:val="auto"/>
        </w:rPr>
      </w:pPr>
      <w:r>
        <w:rPr>
          <w:rFonts w:ascii="Arial" w:cs="Arial" w:eastAsia="Arial" w:hAnsi="Arial"/>
          <w:sz w:val="16"/>
          <w:szCs w:val="16"/>
          <w:color w:val="auto"/>
        </w:rPr>
        <w:t>any development, construction, ownership or operation of lodging (including (i) any timeshare, interval ownership or similar development or</w:t>
      </w:r>
    </w:p>
    <w:p>
      <w:pPr>
        <w:spacing w:after="0" w:line="38" w:lineRule="exact"/>
        <w:rPr>
          <w:rFonts w:ascii="Arial" w:cs="Arial" w:eastAsia="Arial" w:hAnsi="Arial"/>
          <w:sz w:val="16"/>
          <w:szCs w:val="16"/>
          <w:color w:val="auto"/>
        </w:rPr>
      </w:pPr>
    </w:p>
    <w:p>
      <w:pPr>
        <w:ind w:left="460" w:right="180" w:firstLine="4"/>
        <w:spacing w:after="0" w:line="302" w:lineRule="auto"/>
        <w:tabs>
          <w:tab w:leader="none" w:pos="719" w:val="left"/>
        </w:tabs>
        <w:numPr>
          <w:ilvl w:val="0"/>
          <w:numId w:val="204"/>
        </w:numPr>
        <w:rPr>
          <w:rFonts w:ascii="Arial" w:cs="Arial" w:eastAsia="Arial" w:hAnsi="Arial"/>
          <w:sz w:val="16"/>
          <w:szCs w:val="16"/>
          <w:color w:val="auto"/>
        </w:rPr>
      </w:pPr>
      <w:r>
        <w:rPr>
          <w:rFonts w:ascii="Arial" w:cs="Arial" w:eastAsia="Arial" w:hAnsi="Arial"/>
          <w:sz w:val="16"/>
          <w:szCs w:val="16"/>
          <w:color w:val="auto"/>
        </w:rPr>
        <w:t>any condominium or similar development with respect to the Phase III Project), retail and restaurant or convention facilities, sports or entertainment facilities, golf facilities, art gallery facilities, food and beverage distribution operations, transportation services (including operation and chartering of the Aircraft), sales, leasing and repair of automobiles, parking services, or other activities related to the foregoing;</w:t>
      </w:r>
    </w:p>
    <w:p>
      <w:pPr>
        <w:spacing w:after="0" w:line="28" w:lineRule="exact"/>
        <w:rPr>
          <w:rFonts w:ascii="Arial" w:cs="Arial" w:eastAsia="Arial" w:hAnsi="Arial"/>
          <w:sz w:val="16"/>
          <w:szCs w:val="16"/>
          <w:color w:val="auto"/>
        </w:rPr>
      </w:pPr>
    </w:p>
    <w:p>
      <w:pPr>
        <w:ind w:left="460" w:right="80" w:firstLine="443"/>
        <w:spacing w:after="0" w:line="268" w:lineRule="auto"/>
        <w:tabs>
          <w:tab w:leader="none" w:pos="1147" w:val="left"/>
        </w:tabs>
        <w:numPr>
          <w:ilvl w:val="1"/>
          <w:numId w:val="204"/>
        </w:numPr>
        <w:rPr>
          <w:rFonts w:ascii="Arial" w:cs="Arial" w:eastAsia="Arial" w:hAnsi="Arial"/>
          <w:sz w:val="18"/>
          <w:szCs w:val="18"/>
          <w:color w:val="auto"/>
        </w:rPr>
      </w:pPr>
      <w:r>
        <w:rPr>
          <w:rFonts w:ascii="Arial" w:cs="Arial" w:eastAsia="Arial" w:hAnsi="Arial"/>
          <w:sz w:val="18"/>
          <w:szCs w:val="18"/>
          <w:color w:val="auto"/>
        </w:rPr>
        <w:t>any business (including any related and legally permissible internet business) that is a reasonable extension, development or expansion of any of the foregoing;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the ownership by a Person of Capital Stock in its direct Wholly Owned Subsidiaries.</w:t>
      </w:r>
    </w:p>
    <w:p>
      <w:pPr>
        <w:spacing w:after="0" w:line="171"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C-Corp. Conversion</w:t>
      </w:r>
      <w:r>
        <w:rPr>
          <w:rFonts w:ascii="Arial" w:cs="Arial" w:eastAsia="Arial" w:hAnsi="Arial"/>
          <w:sz w:val="18"/>
          <w:szCs w:val="18"/>
          <w:color w:val="auto"/>
        </w:rPr>
        <w:t>” means a transaction resulting in Wynn Las Vegas, the Completion Guarantor or any of the Restricted Subsidiaries becoming a subchapter “C” corporation under the Code, so long as, in connection with such transaction:</w:t>
      </w:r>
    </w:p>
    <w:p>
      <w:pPr>
        <w:spacing w:after="0" w:line="51" w:lineRule="exact"/>
        <w:rPr>
          <w:sz w:val="20"/>
          <w:szCs w:val="20"/>
          <w:color w:val="auto"/>
        </w:rPr>
      </w:pPr>
    </w:p>
    <w:p>
      <w:pPr>
        <w:ind w:left="460" w:firstLine="443"/>
        <w:spacing w:after="0" w:line="306" w:lineRule="auto"/>
        <w:tabs>
          <w:tab w:leader="none" w:pos="1147" w:val="left"/>
        </w:tabs>
        <w:numPr>
          <w:ilvl w:val="1"/>
          <w:numId w:val="205"/>
        </w:numPr>
        <w:rPr>
          <w:rFonts w:ascii="Arial" w:cs="Arial" w:eastAsia="Arial" w:hAnsi="Arial"/>
          <w:sz w:val="16"/>
          <w:szCs w:val="16"/>
          <w:color w:val="auto"/>
        </w:rPr>
      </w:pPr>
      <w:r>
        <w:rPr>
          <w:rFonts w:ascii="Arial" w:cs="Arial" w:eastAsia="Arial" w:hAnsi="Arial"/>
          <w:sz w:val="16"/>
          <w:szCs w:val="16"/>
          <w:color w:val="auto"/>
        </w:rPr>
        <w:t>the subchapter “C” corporation resulting from such transaction is a corporation organized and existing under the laws of any state of the United States or the District of Columbia and the Beneficial Owners of the Equity Interests of the subchapter “C” corporation shall be the same, and shall be in the same percentages, as the Beneficial Owners of Equity Interests of the applicable entity immediately prior to such transaction;</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1"/>
          <w:numId w:val="205"/>
        </w:numPr>
        <w:rPr>
          <w:rFonts w:ascii="Arial" w:cs="Arial" w:eastAsia="Arial" w:hAnsi="Arial"/>
          <w:sz w:val="16"/>
          <w:szCs w:val="16"/>
          <w:color w:val="auto"/>
        </w:rPr>
      </w:pPr>
      <w:r>
        <w:rPr>
          <w:rFonts w:ascii="Arial" w:cs="Arial" w:eastAsia="Arial" w:hAnsi="Arial"/>
          <w:sz w:val="16"/>
          <w:szCs w:val="16"/>
          <w:color w:val="auto"/>
        </w:rPr>
        <w:t>the subchapter “C” corporation resulting from such transaction assumes in writing all of the obligations, if any, of the applicable entity under</w:t>
      </w:r>
    </w:p>
    <w:p>
      <w:pPr>
        <w:spacing w:after="0" w:line="38" w:lineRule="exact"/>
        <w:rPr>
          <w:rFonts w:ascii="Arial" w:cs="Arial" w:eastAsia="Arial" w:hAnsi="Arial"/>
          <w:sz w:val="16"/>
          <w:szCs w:val="16"/>
          <w:color w:val="auto"/>
        </w:rPr>
      </w:pPr>
    </w:p>
    <w:p>
      <w:pPr>
        <w:ind w:left="460" w:right="320" w:firstLine="4"/>
        <w:spacing w:after="0" w:line="255" w:lineRule="auto"/>
        <w:tabs>
          <w:tab w:leader="none" w:pos="699"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Indenture, the 2017 Notes, the Note Guarantees by the Guarantors and the Collateral Documents and (b) all other documents and instruments to which such Person is a party (other than, in the case of clause (a) only, any documents and instruments that, individually or in the aggregate, are not material to the subchapter “C” corporation);</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380"/>
          </w:cols>
          <w:pgMar w:left="240" w:top="460" w:right="27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firstLine="443"/>
        <w:spacing w:after="0" w:line="259" w:lineRule="auto"/>
        <w:tabs>
          <w:tab w:leader="none" w:pos="1147"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subchapter “C” corporation resulting from such transaction complies with the covenant described above under the caption “—Certain Covenants—Additional Collateral; Formation or Acquisition of Restricted Subsidiaries; Designation of Unrestricted Subsidiaries as Restricted Subsidiaries or Permitted C-Corp. Conversion;”</w:t>
      </w:r>
    </w:p>
    <w:p>
      <w:pPr>
        <w:spacing w:after="0" w:line="59" w:lineRule="exact"/>
        <w:rPr>
          <w:rFonts w:ascii="Arial" w:cs="Arial" w:eastAsia="Arial" w:hAnsi="Arial"/>
          <w:sz w:val="18"/>
          <w:szCs w:val="18"/>
          <w:color w:val="auto"/>
        </w:rPr>
      </w:pPr>
    </w:p>
    <w:p>
      <w:pPr>
        <w:ind w:left="460" w:right="120" w:firstLine="443"/>
        <w:spacing w:after="0" w:line="259" w:lineRule="auto"/>
        <w:tabs>
          <w:tab w:leader="none" w:pos="1147"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trustee is given not less than 45 days’ advance written notice of such transaction and evidence satisfactory to the trustee (including, without limitation, title insurance and a satisfactory opinion of counsel) regarding the maintenance of the perfection and priority of liens granted, or intended to be granted, in favor of the trustee in the Collateral following such transaction;</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such transaction would not cause or result in a Default or an Event of Default;</w:t>
      </w:r>
    </w:p>
    <w:p>
      <w:pPr>
        <w:spacing w:after="0" w:line="90"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0"/>
          <w:numId w:val="207"/>
        </w:numPr>
        <w:rPr>
          <w:rFonts w:ascii="Arial" w:cs="Arial" w:eastAsia="Arial" w:hAnsi="Arial"/>
          <w:sz w:val="18"/>
          <w:szCs w:val="18"/>
          <w:color w:val="auto"/>
        </w:rPr>
      </w:pPr>
      <w:r>
        <w:rPr>
          <w:rFonts w:ascii="Arial" w:cs="Arial" w:eastAsia="Arial" w:hAnsi="Arial"/>
          <w:sz w:val="18"/>
          <w:szCs w:val="18"/>
          <w:color w:val="auto"/>
        </w:rPr>
        <w:t>such transaction does not result in the loss or suspension or material impairment of any Gaming License unless a comparable Gaming License is effective prior to or simultaneously with such loss, suspension or material impairment;</w:t>
      </w:r>
    </w:p>
    <w:p>
      <w:pPr>
        <w:spacing w:after="0" w:line="50" w:lineRule="exact"/>
        <w:rPr>
          <w:rFonts w:ascii="Arial" w:cs="Arial" w:eastAsia="Arial" w:hAnsi="Arial"/>
          <w:sz w:val="18"/>
          <w:szCs w:val="18"/>
          <w:color w:val="auto"/>
        </w:rPr>
      </w:pPr>
    </w:p>
    <w:p>
      <w:pPr>
        <w:ind w:left="460" w:right="100" w:firstLine="443"/>
        <w:spacing w:after="0" w:line="268" w:lineRule="auto"/>
        <w:tabs>
          <w:tab w:leader="none" w:pos="1147" w:val="left"/>
        </w:tabs>
        <w:numPr>
          <w:ilvl w:val="0"/>
          <w:numId w:val="207"/>
        </w:numPr>
        <w:rPr>
          <w:rFonts w:ascii="Arial" w:cs="Arial" w:eastAsia="Arial" w:hAnsi="Arial"/>
          <w:sz w:val="18"/>
          <w:szCs w:val="18"/>
          <w:color w:val="auto"/>
        </w:rPr>
      </w:pPr>
      <w:r>
        <w:rPr>
          <w:rFonts w:ascii="Arial" w:cs="Arial" w:eastAsia="Arial" w:hAnsi="Arial"/>
          <w:sz w:val="18"/>
          <w:szCs w:val="18"/>
          <w:color w:val="auto"/>
        </w:rPr>
        <w:t>such transaction does not require any holder or Beneficial Owner of the 2017 Notes to obtain a Gaming License or be qualified or found suitable under the laws of any applicable gaming jurisdiction;</w:t>
      </w:r>
    </w:p>
    <w:p>
      <w:pPr>
        <w:spacing w:after="0" w:line="50" w:lineRule="exact"/>
        <w:rPr>
          <w:rFonts w:ascii="Arial" w:cs="Arial" w:eastAsia="Arial" w:hAnsi="Arial"/>
          <w:sz w:val="18"/>
          <w:szCs w:val="18"/>
          <w:color w:val="auto"/>
        </w:rPr>
      </w:pPr>
    </w:p>
    <w:p>
      <w:pPr>
        <w:ind w:left="460" w:right="400" w:firstLine="443"/>
        <w:spacing w:after="0" w:line="306" w:lineRule="auto"/>
        <w:tabs>
          <w:tab w:leader="none" w:pos="1147" w:val="left"/>
        </w:tabs>
        <w:numPr>
          <w:ilvl w:val="0"/>
          <w:numId w:val="207"/>
        </w:numPr>
        <w:rPr>
          <w:rFonts w:ascii="Arial" w:cs="Arial" w:eastAsia="Arial" w:hAnsi="Arial"/>
          <w:sz w:val="16"/>
          <w:szCs w:val="16"/>
          <w:color w:val="auto"/>
        </w:rPr>
      </w:pPr>
      <w:r>
        <w:rPr>
          <w:rFonts w:ascii="Arial" w:cs="Arial" w:eastAsia="Arial" w:hAnsi="Arial"/>
          <w:sz w:val="16"/>
          <w:szCs w:val="16"/>
          <w:color w:val="auto"/>
        </w:rPr>
        <w:t>Wynn Las Vegas shall have delivered to the trustee an opinion of counsel of national repute in the United States reasonably acceptable to the trustee confirming that neither Issuer, nor any Restricted Subsidiary, nor any Guarantor nor any of the Holders will recognize income, gain or loss for United States federal or state income tax purposes as a result of such Permitted C-Corp. Conversion; and</w:t>
      </w:r>
    </w:p>
    <w:p>
      <w:pPr>
        <w:spacing w:after="0" w:line="25" w:lineRule="exact"/>
        <w:rPr>
          <w:rFonts w:ascii="Arial" w:cs="Arial" w:eastAsia="Arial" w:hAnsi="Arial"/>
          <w:sz w:val="16"/>
          <w:szCs w:val="16"/>
          <w:color w:val="auto"/>
        </w:rPr>
      </w:pPr>
    </w:p>
    <w:p>
      <w:pPr>
        <w:ind w:left="460" w:right="60" w:firstLine="443"/>
        <w:spacing w:after="0" w:line="268" w:lineRule="auto"/>
        <w:tabs>
          <w:tab w:leader="none" w:pos="1147" w:val="left"/>
        </w:tabs>
        <w:numPr>
          <w:ilvl w:val="0"/>
          <w:numId w:val="207"/>
        </w:numPr>
        <w:rPr>
          <w:rFonts w:ascii="Arial" w:cs="Arial" w:eastAsia="Arial" w:hAnsi="Arial"/>
          <w:sz w:val="18"/>
          <w:szCs w:val="18"/>
          <w:color w:val="auto"/>
        </w:rPr>
      </w:pPr>
      <w:r>
        <w:rPr>
          <w:rFonts w:ascii="Arial" w:cs="Arial" w:eastAsia="Arial" w:hAnsi="Arial"/>
          <w:sz w:val="18"/>
          <w:szCs w:val="18"/>
          <w:color w:val="auto"/>
        </w:rPr>
        <w:t>Wynn Las Vegas shall have delivered to the trustee a certificate of the chief financial officer of Wynn Las Vegas confirming that the conditions in clauses (1) through (8) have been satisfied.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Investments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any Investment by any entity in Wynn Las Vegas or in a Wholly Owned Restricted Subsidiary of Wynn Las Vegas;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any Investment in Cash Equivalents;</w:t>
      </w:r>
    </w:p>
    <w:p>
      <w:pPr>
        <w:spacing w:after="0" w:line="90" w:lineRule="exact"/>
        <w:rPr>
          <w:rFonts w:ascii="Arial" w:cs="Arial" w:eastAsia="Arial" w:hAnsi="Arial"/>
          <w:sz w:val="18"/>
          <w:szCs w:val="18"/>
          <w:color w:val="auto"/>
        </w:rPr>
      </w:pPr>
    </w:p>
    <w:p>
      <w:pPr>
        <w:ind w:left="460" w:right="360" w:firstLine="443"/>
        <w:spacing w:after="0" w:line="332" w:lineRule="auto"/>
        <w:tabs>
          <w:tab w:leader="none" w:pos="1147" w:val="left"/>
        </w:tabs>
        <w:numPr>
          <w:ilvl w:val="0"/>
          <w:numId w:val="208"/>
        </w:numPr>
        <w:rPr>
          <w:rFonts w:ascii="Arial" w:cs="Arial" w:eastAsia="Arial" w:hAnsi="Arial"/>
          <w:sz w:val="16"/>
          <w:szCs w:val="16"/>
          <w:color w:val="auto"/>
        </w:rPr>
      </w:pPr>
      <w:r>
        <w:rPr>
          <w:rFonts w:ascii="Arial" w:cs="Arial" w:eastAsia="Arial" w:hAnsi="Arial"/>
          <w:sz w:val="16"/>
          <w:szCs w:val="16"/>
          <w:color w:val="auto"/>
        </w:rPr>
        <w:t>any Investment by Wynn Las Vegas or any Restricted Subsidiary in a Person that is engaged in a Permitted Business and that is evidenced by Capital Stock or intercompany notes that are pledged to the trustee as Primary Note Collateral, if as a result of such Investment:</w:t>
      </w:r>
    </w:p>
    <w:p>
      <w:pPr>
        <w:spacing w:after="0" w:line="4" w:lineRule="exact"/>
        <w:rPr>
          <w:rFonts w:ascii="Arial" w:cs="Arial" w:eastAsia="Arial" w:hAnsi="Arial"/>
          <w:sz w:val="16"/>
          <w:szCs w:val="16"/>
          <w:color w:val="auto"/>
        </w:rPr>
      </w:pPr>
    </w:p>
    <w:p>
      <w:pPr>
        <w:ind w:left="1580" w:hanging="239"/>
        <w:spacing w:after="0"/>
        <w:tabs>
          <w:tab w:leader="none" w:pos="158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such Person becomes a Wholly Owned Restricted Subsidiary of Wynn Las Vegas; or</w:t>
      </w:r>
    </w:p>
    <w:p>
      <w:pPr>
        <w:spacing w:after="0" w:line="90" w:lineRule="exact"/>
        <w:rPr>
          <w:rFonts w:ascii="Arial" w:cs="Arial" w:eastAsia="Arial" w:hAnsi="Arial"/>
          <w:sz w:val="18"/>
          <w:szCs w:val="18"/>
          <w:color w:val="auto"/>
        </w:rPr>
      </w:pPr>
    </w:p>
    <w:p>
      <w:pPr>
        <w:ind w:left="920" w:right="20" w:firstLine="421"/>
        <w:spacing w:after="0" w:line="306" w:lineRule="auto"/>
        <w:tabs>
          <w:tab w:leader="none" w:pos="1588" w:val="left"/>
        </w:tabs>
        <w:numPr>
          <w:ilvl w:val="1"/>
          <w:numId w:val="208"/>
        </w:numPr>
        <w:rPr>
          <w:rFonts w:ascii="Arial" w:cs="Arial" w:eastAsia="Arial" w:hAnsi="Arial"/>
          <w:sz w:val="16"/>
          <w:szCs w:val="16"/>
          <w:color w:val="auto"/>
        </w:rPr>
      </w:pPr>
      <w:r>
        <w:rPr>
          <w:rFonts w:ascii="Arial" w:cs="Arial" w:eastAsia="Arial" w:hAnsi="Arial"/>
          <w:sz w:val="16"/>
          <w:szCs w:val="16"/>
          <w:color w:val="auto"/>
        </w:rPr>
        <w:t>such Person is merged, consolidated or amalgamated with or into, or transfers or conveys all or substantially all of its assets to, or is liquidated into, Wynn Las Vegas or a Wholly Owned Restricted Subsidiary of Wynn Las Vegas, and such Investment complies with the provisions of the covenant described above under the caption “—Certain Covenants—Merger, Consolidation or Sale of Assets,” if applicable;</w:t>
      </w:r>
    </w:p>
    <w:p>
      <w:pPr>
        <w:spacing w:after="0" w:line="25" w:lineRule="exact"/>
        <w:rPr>
          <w:rFonts w:ascii="Arial" w:cs="Arial" w:eastAsia="Arial" w:hAnsi="Arial"/>
          <w:sz w:val="16"/>
          <w:szCs w:val="16"/>
          <w:color w:val="auto"/>
        </w:rPr>
      </w:pPr>
    </w:p>
    <w:p>
      <w:pPr>
        <w:jc w:val="both"/>
        <w:ind w:left="460" w:right="40" w:firstLine="443"/>
        <w:spacing w:after="0" w:line="259" w:lineRule="auto"/>
        <w:tabs>
          <w:tab w:leader="none" w:pos="1147"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any Investment made as a result of the receipt of non-cash consideration from (i) a Permitted Disposition or (ii) an Asset Sale or an Event of Loss of the type contemplated by clause (3) of the definition of “Event of Loss” that was made pursuant to and in compliance with the covenant described above under the captions “—Repurchase at the Option of Holders—Asset Sales” or “—Events of Loss;”</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any Investment solely in exchange for Equity Interests (other than Disqualified Stock) of Wynn Resorts;</w:t>
      </w:r>
    </w:p>
    <w:p>
      <w:pPr>
        <w:spacing w:after="0" w:line="90" w:lineRule="exact"/>
        <w:rPr>
          <w:rFonts w:ascii="Arial" w:cs="Arial" w:eastAsia="Arial" w:hAnsi="Arial"/>
          <w:sz w:val="18"/>
          <w:szCs w:val="18"/>
          <w:color w:val="auto"/>
        </w:rPr>
      </w:pPr>
    </w:p>
    <w:p>
      <w:pPr>
        <w:ind w:left="460" w:firstLine="443"/>
        <w:spacing w:after="0" w:line="306" w:lineRule="auto"/>
        <w:tabs>
          <w:tab w:leader="none" w:pos="1147" w:val="left"/>
        </w:tabs>
        <w:numPr>
          <w:ilvl w:val="0"/>
          <w:numId w:val="208"/>
        </w:numPr>
        <w:rPr>
          <w:rFonts w:ascii="Arial" w:cs="Arial" w:eastAsia="Arial" w:hAnsi="Arial"/>
          <w:sz w:val="16"/>
          <w:szCs w:val="16"/>
          <w:color w:val="auto"/>
        </w:rPr>
      </w:pPr>
      <w:r>
        <w:rPr>
          <w:rFonts w:ascii="Arial" w:cs="Arial" w:eastAsia="Arial" w:hAnsi="Arial"/>
          <w:sz w:val="16"/>
          <w:szCs w:val="16"/>
          <w:color w:val="auto"/>
        </w:rPr>
        <w:t>to the extent constituting an Investment, any extensions of trade credit in the ordinary course of business and Investments received in compromise or settlement of obligations of trade creditors or customers that were incurred in the ordinary course of business, including pursuant to any plan of reorganization or similar arrangement upon the bankruptcy or insolvency of any trade creditor or customer;</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any Investment in Hedging Obligations;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firstLine="443"/>
        <w:spacing w:after="0" w:line="259" w:lineRule="auto"/>
        <w:tabs>
          <w:tab w:leader="none" w:pos="1147"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to the extent constituting an Investment, licenses of patents, trademarks and other intellectual property rights granted by Wynn Las Vegas or any of its Restricted Subsidiaries in the ordinary course of business and not interfering in any material respect with the ordinary conduct of the business of such Person;</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to the extent constituting an Investment, repurchases of the notes;</w:t>
      </w:r>
    </w:p>
    <w:p>
      <w:pPr>
        <w:spacing w:after="0" w:line="90" w:lineRule="exact"/>
        <w:rPr>
          <w:rFonts w:ascii="Arial" w:cs="Arial" w:eastAsia="Arial" w:hAnsi="Arial"/>
          <w:sz w:val="18"/>
          <w:szCs w:val="18"/>
          <w:color w:val="auto"/>
        </w:rPr>
      </w:pPr>
    </w:p>
    <w:p>
      <w:pPr>
        <w:ind w:left="1240" w:hanging="337"/>
        <w:spacing w:after="0"/>
        <w:tabs>
          <w:tab w:leader="none" w:pos="124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90" w:lineRule="exact"/>
        <w:rPr>
          <w:rFonts w:ascii="Arial" w:cs="Arial" w:eastAsia="Arial" w:hAnsi="Arial"/>
          <w:sz w:val="18"/>
          <w:szCs w:val="18"/>
          <w:color w:val="auto"/>
        </w:rPr>
      </w:pPr>
    </w:p>
    <w:p>
      <w:pPr>
        <w:ind w:left="460" w:firstLine="443"/>
        <w:spacing w:after="0" w:line="332" w:lineRule="auto"/>
        <w:tabs>
          <w:tab w:leader="none" w:pos="1228" w:val="left"/>
        </w:tabs>
        <w:numPr>
          <w:ilvl w:val="0"/>
          <w:numId w:val="209"/>
        </w:numPr>
        <w:rPr>
          <w:rFonts w:ascii="Arial" w:cs="Arial" w:eastAsia="Arial" w:hAnsi="Arial"/>
          <w:sz w:val="16"/>
          <w:szCs w:val="16"/>
          <w:color w:val="auto"/>
        </w:rPr>
      </w:pPr>
      <w:r>
        <w:rPr>
          <w:rFonts w:ascii="Arial" w:cs="Arial" w:eastAsia="Arial" w:hAnsi="Arial"/>
          <w:sz w:val="16"/>
          <w:szCs w:val="16"/>
          <w:color w:val="auto"/>
        </w:rPr>
        <w:t>Investments held by a Person in a third Person at the time such Person is acquired by Wynn Las Vegas or any Restricted Subsidiary of Wynn Las Vegas; provided that such Investments were not acquired in contemplation of such acquisition by Wynn Las Vegas or such Restricted Subsidiary;</w:t>
      </w:r>
    </w:p>
    <w:p>
      <w:pPr>
        <w:spacing w:after="0" w:line="4" w:lineRule="exact"/>
        <w:rPr>
          <w:rFonts w:ascii="Arial" w:cs="Arial" w:eastAsia="Arial" w:hAnsi="Arial"/>
          <w:sz w:val="16"/>
          <w:szCs w:val="16"/>
          <w:color w:val="auto"/>
        </w:rPr>
      </w:pPr>
    </w:p>
    <w:p>
      <w:pPr>
        <w:ind w:left="460" w:right="460" w:firstLine="443"/>
        <w:spacing w:after="0" w:line="268" w:lineRule="auto"/>
        <w:tabs>
          <w:tab w:leader="none" w:pos="1235" w:val="left"/>
        </w:tabs>
        <w:numPr>
          <w:ilvl w:val="0"/>
          <w:numId w:val="209"/>
        </w:numPr>
        <w:rPr>
          <w:rFonts w:ascii="Arial" w:cs="Arial" w:eastAsia="Arial" w:hAnsi="Arial"/>
          <w:sz w:val="18"/>
          <w:szCs w:val="18"/>
          <w:color w:val="auto"/>
        </w:rPr>
      </w:pPr>
      <w:r>
        <w:rPr>
          <w:rFonts w:ascii="Arial" w:cs="Arial" w:eastAsia="Arial" w:hAnsi="Arial"/>
          <w:sz w:val="18"/>
          <w:szCs w:val="18"/>
          <w:color w:val="auto"/>
        </w:rPr>
        <w:t>loans or advances to employees of Wynn Las Vegas or its Restricted Subsidiaries (other than the Principal) made in the ordinary course of business not exceeding $5.0 million in the aggregate outstanding at any time;</w:t>
      </w:r>
    </w:p>
    <w:p>
      <w:pPr>
        <w:spacing w:after="0" w:line="50" w:lineRule="exact"/>
        <w:rPr>
          <w:rFonts w:ascii="Arial" w:cs="Arial" w:eastAsia="Arial" w:hAnsi="Arial"/>
          <w:sz w:val="18"/>
          <w:szCs w:val="18"/>
          <w:color w:val="auto"/>
        </w:rPr>
      </w:pPr>
    </w:p>
    <w:p>
      <w:pPr>
        <w:ind w:left="460" w:right="320" w:firstLine="443"/>
        <w:spacing w:after="0" w:line="332" w:lineRule="auto"/>
        <w:tabs>
          <w:tab w:leader="none" w:pos="1235" w:val="left"/>
        </w:tabs>
        <w:numPr>
          <w:ilvl w:val="0"/>
          <w:numId w:val="209"/>
        </w:numPr>
        <w:rPr>
          <w:rFonts w:ascii="Arial" w:cs="Arial" w:eastAsia="Arial" w:hAnsi="Arial"/>
          <w:sz w:val="16"/>
          <w:szCs w:val="16"/>
          <w:color w:val="auto"/>
        </w:rPr>
      </w:pPr>
      <w:r>
        <w:rPr>
          <w:rFonts w:ascii="Arial" w:cs="Arial" w:eastAsia="Arial" w:hAnsi="Arial"/>
          <w:sz w:val="16"/>
          <w:szCs w:val="16"/>
          <w:color w:val="auto"/>
        </w:rPr>
        <w:t>to the extent constituting Investments, payroll, travel and similar advances to cover matters that at the time of such advances are expected to ultimately be treated as expenses for accounting purposes and that are made in the ordinary course of business; and</w:t>
      </w:r>
    </w:p>
    <w:p>
      <w:pPr>
        <w:spacing w:after="0" w:line="4" w:lineRule="exact"/>
        <w:rPr>
          <w:rFonts w:ascii="Arial" w:cs="Arial" w:eastAsia="Arial" w:hAnsi="Arial"/>
          <w:sz w:val="16"/>
          <w:szCs w:val="16"/>
          <w:color w:val="auto"/>
        </w:rPr>
      </w:pPr>
    </w:p>
    <w:p>
      <w:pPr>
        <w:ind w:left="460" w:right="120" w:firstLine="443"/>
        <w:spacing w:after="0" w:line="294" w:lineRule="auto"/>
        <w:tabs>
          <w:tab w:leader="none" w:pos="1235" w:val="left"/>
        </w:tabs>
        <w:numPr>
          <w:ilvl w:val="0"/>
          <w:numId w:val="209"/>
        </w:numPr>
        <w:rPr>
          <w:rFonts w:ascii="Arial" w:cs="Arial" w:eastAsia="Arial" w:hAnsi="Arial"/>
          <w:sz w:val="16"/>
          <w:szCs w:val="16"/>
          <w:color w:val="auto"/>
        </w:rPr>
      </w:pPr>
      <w:r>
        <w:rPr>
          <w:rFonts w:ascii="Arial" w:cs="Arial" w:eastAsia="Arial" w:hAnsi="Arial"/>
          <w:sz w:val="16"/>
          <w:szCs w:val="16"/>
          <w:color w:val="auto"/>
        </w:rPr>
        <w:t>the assignment of gaming debts evidenced by a credit instrument, including what are commonly referred to as “markers,” to an Affiliate of Wynn Las Vegas for the purpose of collecting amounts outstanding under such gaming debts or “markers” due to Wynn Las Vegas thereunder; provided, however, that any Affiliate receiving any such assignment enters into a binding agreement to pay all amounts so collected back to Wynn Las Vegas within 30 days of receipt of payment of such collected amounts; provided, further, that any such Affiliate is not, at the time of any such assignment, in default of its obligations under any such binding agreement previously delivered with respect to any such assignment.</w:t>
      </w:r>
    </w:p>
    <w:p>
      <w:pPr>
        <w:spacing w:after="0" w:line="1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Junior Debt</w:t>
      </w:r>
      <w:r>
        <w:rPr>
          <w:rFonts w:ascii="Arial" w:cs="Arial" w:eastAsia="Arial" w:hAnsi="Arial"/>
          <w:sz w:val="18"/>
          <w:szCs w:val="18"/>
          <w:color w:val="auto"/>
        </w:rPr>
        <w:t>” means any secured Indebtedness, which is either subordinated in right of payment to the 2017 Notes or is secured by Liens with a lower priority than the Liens securing the 2017 Notes, with respect to which the agent, trustee or other representatives of the lenders or the holders of such Indebtedness shall have become a party to the Intercreditor Agreement and which shall be subject to restrictions and the terms applicable to the holders of “junior debt” (as such term is defined in the Intercreditor Agreement).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w:t>
      </w:r>
    </w:p>
    <w:p>
      <w:pPr>
        <w:spacing w:after="0" w:line="90" w:lineRule="exact"/>
        <w:rPr>
          <w:sz w:val="20"/>
          <w:szCs w:val="20"/>
          <w:color w:val="auto"/>
        </w:rPr>
      </w:pPr>
    </w:p>
    <w:p>
      <w:pPr>
        <w:ind w:left="460" w:right="180" w:firstLine="443"/>
        <w:spacing w:after="0" w:line="306" w:lineRule="auto"/>
        <w:tabs>
          <w:tab w:leader="none" w:pos="1147" w:val="left"/>
        </w:tabs>
        <w:numPr>
          <w:ilvl w:val="0"/>
          <w:numId w:val="210"/>
        </w:numPr>
        <w:rPr>
          <w:rFonts w:ascii="Arial" w:cs="Arial" w:eastAsia="Arial" w:hAnsi="Arial"/>
          <w:sz w:val="16"/>
          <w:szCs w:val="16"/>
          <w:color w:val="auto"/>
        </w:rPr>
      </w:pPr>
      <w:r>
        <w:rPr>
          <w:rFonts w:ascii="Arial" w:cs="Arial" w:eastAsia="Arial" w:hAnsi="Arial"/>
          <w:sz w:val="16"/>
          <w:szCs w:val="16"/>
          <w:color w:val="auto"/>
        </w:rPr>
        <w:t>Liens on property of a Person existing at the time such Person is merged into or consolidated with Wynn Las Vegas or any of the Restricted Subsidiaries, provided such Liens were in existence prior to the contemplation of such merger or consolidation and do not extend to any assets other than those of the Person merged into or consolidated with Wynn Las Vegas or any of the Restricted Subsidiaries;</w:t>
      </w:r>
    </w:p>
    <w:p>
      <w:pPr>
        <w:spacing w:after="0" w:line="25" w:lineRule="exact"/>
        <w:rPr>
          <w:rFonts w:ascii="Arial" w:cs="Arial" w:eastAsia="Arial" w:hAnsi="Arial"/>
          <w:sz w:val="16"/>
          <w:szCs w:val="16"/>
          <w:color w:val="auto"/>
        </w:rPr>
      </w:pPr>
    </w:p>
    <w:p>
      <w:pPr>
        <w:ind w:left="460" w:right="80" w:firstLine="443"/>
        <w:spacing w:after="0" w:line="268" w:lineRule="auto"/>
        <w:tabs>
          <w:tab w:leader="none" w:pos="1147" w:val="left"/>
        </w:tabs>
        <w:numPr>
          <w:ilvl w:val="0"/>
          <w:numId w:val="210"/>
        </w:numPr>
        <w:rPr>
          <w:rFonts w:ascii="Arial" w:cs="Arial" w:eastAsia="Arial" w:hAnsi="Arial"/>
          <w:sz w:val="18"/>
          <w:szCs w:val="18"/>
          <w:color w:val="auto"/>
        </w:rPr>
      </w:pPr>
      <w:r>
        <w:rPr>
          <w:rFonts w:ascii="Arial" w:cs="Arial" w:eastAsia="Arial" w:hAnsi="Arial"/>
          <w:sz w:val="18"/>
          <w:szCs w:val="18"/>
          <w:color w:val="auto"/>
        </w:rPr>
        <w:t>Liens in favor of Wynn Las Vegas or any of the Restricted Subsidiaries, provided if any such Liens are on any or all of the Collateral, such Liens are either:</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collaterally assigned to the collateral agent for the benefit of the trustee and the holders of the 2017 Notes, or</w:t>
      </w:r>
    </w:p>
    <w:p>
      <w:pPr>
        <w:spacing w:after="0" w:line="90" w:lineRule="exact"/>
        <w:rPr>
          <w:rFonts w:ascii="Arial" w:cs="Arial" w:eastAsia="Arial" w:hAnsi="Arial"/>
          <w:sz w:val="18"/>
          <w:szCs w:val="18"/>
          <w:color w:val="auto"/>
        </w:rPr>
      </w:pPr>
    </w:p>
    <w:p>
      <w:pPr>
        <w:ind w:left="920" w:right="60" w:firstLine="421"/>
        <w:spacing w:after="0" w:line="332" w:lineRule="auto"/>
        <w:tabs>
          <w:tab w:leader="none" w:pos="1588" w:val="left"/>
        </w:tabs>
        <w:numPr>
          <w:ilvl w:val="1"/>
          <w:numId w:val="210"/>
        </w:numPr>
        <w:rPr>
          <w:rFonts w:ascii="Arial" w:cs="Arial" w:eastAsia="Arial" w:hAnsi="Arial"/>
          <w:sz w:val="16"/>
          <w:szCs w:val="16"/>
          <w:color w:val="auto"/>
        </w:rPr>
      </w:pPr>
      <w:r>
        <w:rPr>
          <w:rFonts w:ascii="Arial" w:cs="Arial" w:eastAsia="Arial" w:hAnsi="Arial"/>
          <w:sz w:val="16"/>
          <w:szCs w:val="16"/>
          <w:color w:val="auto"/>
        </w:rPr>
        <w:t>contractually subordinated to the security interests in favor of the collateral agent for the benefit of the trustee for the benefit of the holders of the 2017 Notes securing the obligations under the 2017 Notes, the Note Guarantees and the Credit Agreement;</w:t>
      </w:r>
    </w:p>
    <w:p>
      <w:pPr>
        <w:spacing w:after="0" w:line="4" w:lineRule="exact"/>
        <w:rPr>
          <w:rFonts w:ascii="Arial" w:cs="Arial" w:eastAsia="Arial" w:hAnsi="Arial"/>
          <w:sz w:val="16"/>
          <w:szCs w:val="16"/>
          <w:color w:val="auto"/>
        </w:rPr>
      </w:pPr>
    </w:p>
    <w:p>
      <w:pPr>
        <w:ind w:left="460" w:right="120" w:firstLine="443"/>
        <w:spacing w:after="0" w:line="259" w:lineRule="auto"/>
        <w:tabs>
          <w:tab w:leader="none" w:pos="1147" w:val="left"/>
        </w:tabs>
        <w:numPr>
          <w:ilvl w:val="0"/>
          <w:numId w:val="210"/>
        </w:numPr>
        <w:rPr>
          <w:rFonts w:ascii="Arial" w:cs="Arial" w:eastAsia="Arial" w:hAnsi="Arial"/>
          <w:sz w:val="18"/>
          <w:szCs w:val="18"/>
          <w:color w:val="auto"/>
        </w:rPr>
      </w:pPr>
      <w:r>
        <w:rPr>
          <w:rFonts w:ascii="Arial" w:cs="Arial" w:eastAsia="Arial" w:hAnsi="Arial"/>
          <w:sz w:val="18"/>
          <w:szCs w:val="18"/>
          <w:color w:val="auto"/>
        </w:rPr>
        <w:t>Liens on property existing at the time of acquisition thereof by Wynn Las Vegas or any of the Restricted Subsidiaries (other than materials or supplies acquired in connection with developing, constructing, expanding or equipping of the Projects), provided such Liens were in existence prior to the contemplation of such acquisition;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400"/>
          </w:cols>
          <w:pgMar w:left="240" w:top="460" w:right="2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268" w:lineRule="auto"/>
        <w:tabs>
          <w:tab w:leader="none" w:pos="1147" w:val="left"/>
        </w:tabs>
        <w:numPr>
          <w:ilvl w:val="0"/>
          <w:numId w:val="211"/>
        </w:numPr>
        <w:rPr>
          <w:rFonts w:ascii="Arial" w:cs="Arial" w:eastAsia="Arial" w:hAnsi="Arial"/>
          <w:sz w:val="18"/>
          <w:szCs w:val="18"/>
          <w:color w:val="auto"/>
        </w:rPr>
      </w:pPr>
      <w:r>
        <w:rPr>
          <w:rFonts w:ascii="Arial" w:cs="Arial" w:eastAsia="Arial" w:hAnsi="Arial"/>
          <w:sz w:val="18"/>
          <w:szCs w:val="18"/>
          <w:color w:val="auto"/>
        </w:rPr>
        <w:t>Liens existing on the date of the Indenture and disclosed in the title commitment for the Deeds of Trust relating to the Projects or in the applicable schedule(s) to the Credit Agreement, including the 2014 Notes, as in effect on the date of the Indenture;</w:t>
      </w:r>
    </w:p>
    <w:p>
      <w:pPr>
        <w:spacing w:after="0" w:line="50" w:lineRule="exact"/>
        <w:rPr>
          <w:rFonts w:ascii="Arial" w:cs="Arial" w:eastAsia="Arial" w:hAnsi="Arial"/>
          <w:sz w:val="18"/>
          <w:szCs w:val="18"/>
          <w:color w:val="auto"/>
        </w:rPr>
      </w:pPr>
    </w:p>
    <w:p>
      <w:pPr>
        <w:ind w:left="460" w:right="160" w:firstLine="443"/>
        <w:spacing w:after="0" w:line="256" w:lineRule="auto"/>
        <w:tabs>
          <w:tab w:leader="none" w:pos="1147" w:val="left"/>
        </w:tabs>
        <w:numPr>
          <w:ilvl w:val="0"/>
          <w:numId w:val="211"/>
        </w:numPr>
        <w:rPr>
          <w:rFonts w:ascii="Arial" w:cs="Arial" w:eastAsia="Arial" w:hAnsi="Arial"/>
          <w:sz w:val="18"/>
          <w:szCs w:val="18"/>
          <w:color w:val="auto"/>
        </w:rPr>
      </w:pPr>
      <w:r>
        <w:rPr>
          <w:rFonts w:ascii="Arial" w:cs="Arial" w:eastAsia="Arial" w:hAnsi="Arial"/>
          <w:sz w:val="18"/>
          <w:szCs w:val="18"/>
          <w:color w:val="auto"/>
        </w:rPr>
        <w:t>Liens to secure performance of statutory obligations of, or obligations to, landlords and carriers, warehousemen, mechanics, suppliers, materialmen, repairmen or other like obligations arising in the ordinary course of business and with respect to amounts not yet delinquent for a period of more than 30 days or which are being contested in good faith by an appropriate process of law, so long as a reserve or other appropriate provision as shall be required by GAAP shall have been made therefor;</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any Liens permitted under the Disbursement Agreement;</w:t>
      </w:r>
    </w:p>
    <w:p>
      <w:pPr>
        <w:spacing w:after="0" w:line="90" w:lineRule="exact"/>
        <w:rPr>
          <w:rFonts w:ascii="Arial" w:cs="Arial" w:eastAsia="Arial" w:hAnsi="Arial"/>
          <w:sz w:val="18"/>
          <w:szCs w:val="18"/>
          <w:color w:val="auto"/>
        </w:rPr>
      </w:pPr>
    </w:p>
    <w:p>
      <w:pPr>
        <w:ind w:left="460" w:right="40" w:firstLine="443"/>
        <w:spacing w:after="0" w:line="259" w:lineRule="auto"/>
        <w:tabs>
          <w:tab w:leader="none" w:pos="1147" w:val="left"/>
        </w:tabs>
        <w:numPr>
          <w:ilvl w:val="0"/>
          <w:numId w:val="211"/>
        </w:numPr>
        <w:rPr>
          <w:rFonts w:ascii="Arial" w:cs="Arial" w:eastAsia="Arial" w:hAnsi="Arial"/>
          <w:sz w:val="18"/>
          <w:szCs w:val="18"/>
          <w:color w:val="auto"/>
        </w:rPr>
      </w:pPr>
      <w:r>
        <w:rPr>
          <w:rFonts w:ascii="Arial" w:cs="Arial" w:eastAsia="Arial" w:hAnsi="Arial"/>
          <w:sz w:val="18"/>
          <w:szCs w:val="18"/>
          <w:color w:val="auto"/>
        </w:rPr>
        <w:t>Liens for taxes, assessments or governmental charges or claims that are not yet delinquent or that are being contested in good faith by appropriate proceedings promptly instituted and diligently concluded, so long as any reserve or other appropriate provision as shall be required in conformity with GAAP shall have been made therefor;</w:t>
      </w:r>
    </w:p>
    <w:p>
      <w:pPr>
        <w:spacing w:after="0" w:line="59" w:lineRule="exact"/>
        <w:rPr>
          <w:rFonts w:ascii="Arial" w:cs="Arial" w:eastAsia="Arial" w:hAnsi="Arial"/>
          <w:sz w:val="18"/>
          <w:szCs w:val="18"/>
          <w:color w:val="auto"/>
        </w:rPr>
      </w:pPr>
    </w:p>
    <w:p>
      <w:pPr>
        <w:ind w:left="460" w:right="60" w:firstLine="443"/>
        <w:spacing w:after="0" w:line="255" w:lineRule="auto"/>
        <w:tabs>
          <w:tab w:leader="none" w:pos="1147" w:val="left"/>
        </w:tabs>
        <w:numPr>
          <w:ilvl w:val="0"/>
          <w:numId w:val="211"/>
        </w:numPr>
        <w:rPr>
          <w:rFonts w:ascii="Arial" w:cs="Arial" w:eastAsia="Arial" w:hAnsi="Arial"/>
          <w:sz w:val="18"/>
          <w:szCs w:val="18"/>
          <w:color w:val="auto"/>
        </w:rPr>
      </w:pPr>
      <w:r>
        <w:rPr>
          <w:rFonts w:ascii="Arial" w:cs="Arial" w:eastAsia="Arial" w:hAnsi="Arial"/>
          <w:sz w:val="18"/>
          <w:szCs w:val="18"/>
          <w:color w:val="auto"/>
        </w:rPr>
        <w:t>Liens on the Collateral created by the Indenture and the Collateral Documents securing the Indebtedness and other Obligations under the Indenture and the Collateral Documents; provided, however, that this clause (8) shall not be deemed to permit the extension of the liens on the Collateral created by the Indenture and the Collateral Documents with respect to any Indebtedness incurred after the date of the Indenture as the result of the issuance of additional 2017 Notes under the Indenture in compliance with the covenant described above under the caption “—Certain Covenants—Incurrence of Indebtedness and Issuance of Disqualified Stock;”</w:t>
      </w:r>
    </w:p>
    <w:p>
      <w:pPr>
        <w:spacing w:after="0" w:line="61" w:lineRule="exact"/>
        <w:rPr>
          <w:rFonts w:ascii="Arial" w:cs="Arial" w:eastAsia="Arial" w:hAnsi="Arial"/>
          <w:sz w:val="18"/>
          <w:szCs w:val="18"/>
          <w:color w:val="auto"/>
        </w:rPr>
      </w:pPr>
    </w:p>
    <w:p>
      <w:pPr>
        <w:ind w:left="460" w:right="160" w:firstLine="443"/>
        <w:spacing w:after="0" w:line="268" w:lineRule="auto"/>
        <w:tabs>
          <w:tab w:leader="none" w:pos="1147" w:val="left"/>
        </w:tabs>
        <w:numPr>
          <w:ilvl w:val="0"/>
          <w:numId w:val="211"/>
        </w:numPr>
        <w:rPr>
          <w:rFonts w:ascii="Arial" w:cs="Arial" w:eastAsia="Arial" w:hAnsi="Arial"/>
          <w:sz w:val="18"/>
          <w:szCs w:val="18"/>
          <w:color w:val="auto"/>
        </w:rPr>
      </w:pPr>
      <w:r>
        <w:rPr>
          <w:rFonts w:ascii="Arial" w:cs="Arial" w:eastAsia="Arial" w:hAnsi="Arial"/>
          <w:sz w:val="18"/>
          <w:szCs w:val="18"/>
          <w:color w:val="auto"/>
        </w:rPr>
        <w:t>Liens on the Collateral securing up to $1.0 billion of Indebtedness and other Obligations under the Credit Agreement that were permitted by the terms of the Indenture to be incurred;</w:t>
      </w:r>
    </w:p>
    <w:p>
      <w:pPr>
        <w:spacing w:after="0" w:line="50" w:lineRule="exact"/>
        <w:rPr>
          <w:rFonts w:ascii="Arial" w:cs="Arial" w:eastAsia="Arial" w:hAnsi="Arial"/>
          <w:sz w:val="18"/>
          <w:szCs w:val="18"/>
          <w:color w:val="auto"/>
        </w:rPr>
      </w:pPr>
    </w:p>
    <w:p>
      <w:pPr>
        <w:ind w:left="460" w:right="20" w:firstLine="443"/>
        <w:spacing w:after="0" w:line="289" w:lineRule="auto"/>
        <w:tabs>
          <w:tab w:leader="none" w:pos="1235" w:val="left"/>
        </w:tabs>
        <w:numPr>
          <w:ilvl w:val="0"/>
          <w:numId w:val="211"/>
        </w:numPr>
        <w:rPr>
          <w:rFonts w:ascii="Arial" w:cs="Arial" w:eastAsia="Arial" w:hAnsi="Arial"/>
          <w:sz w:val="16"/>
          <w:szCs w:val="16"/>
          <w:color w:val="auto"/>
        </w:rPr>
      </w:pPr>
      <w:r>
        <w:rPr>
          <w:rFonts w:ascii="Arial" w:cs="Arial" w:eastAsia="Arial" w:hAnsi="Arial"/>
          <w:sz w:val="16"/>
          <w:szCs w:val="16"/>
          <w:color w:val="auto"/>
        </w:rPr>
        <w:t>Liens on property or assets to secure Indebtedness permitted by clause (7) of the second paragraph of the covenant described above under the caption “—Certain Covenants—Incurrence of Indebtedness and Issuance of Disqualified Stock,” provided, however, that so long as such Indebtedness is not incurred under the Credit Agreement or through the issuance of additional 2017 Notes under the Indenture, such Liens do not at any time encumber any assets or property other than the assets or property financed by such Indebtedness, and the proceeds (including insurance proceeds), products, rents, profits, accessions and replacements thereof or thereto; provided, further, to the extent that the Indebtedness permitted by clause (7) of the second paragraph of the covenant described above under the caption “—Certain Covenants—Incurrence of Indebtedness and Issuance of Disqualified Stock” is incurred under the Credit Agreement or through the issuance of additional 2017 Notes under the Indenture and the property or assets acquired with such Indebtedness becomes part of the Collateral, such Indebtedness may be secured by the Collateral;</w:t>
      </w:r>
    </w:p>
    <w:p>
      <w:pPr>
        <w:spacing w:after="0" w:line="37" w:lineRule="exact"/>
        <w:rPr>
          <w:rFonts w:ascii="Arial" w:cs="Arial" w:eastAsia="Arial" w:hAnsi="Arial"/>
          <w:sz w:val="16"/>
          <w:szCs w:val="16"/>
          <w:color w:val="auto"/>
        </w:rPr>
      </w:pPr>
    </w:p>
    <w:p>
      <w:pPr>
        <w:ind w:left="460" w:right="180" w:firstLine="443"/>
        <w:spacing w:after="0" w:line="259" w:lineRule="auto"/>
        <w:tabs>
          <w:tab w:leader="none" w:pos="1228" w:val="left"/>
        </w:tabs>
        <w:numPr>
          <w:ilvl w:val="0"/>
          <w:numId w:val="211"/>
        </w:numPr>
        <w:rPr>
          <w:rFonts w:ascii="Arial" w:cs="Arial" w:eastAsia="Arial" w:hAnsi="Arial"/>
          <w:sz w:val="18"/>
          <w:szCs w:val="18"/>
          <w:color w:val="auto"/>
        </w:rPr>
      </w:pPr>
      <w:r>
        <w:rPr>
          <w:rFonts w:ascii="Arial" w:cs="Arial" w:eastAsia="Arial" w:hAnsi="Arial"/>
          <w:sz w:val="18"/>
          <w:szCs w:val="18"/>
          <w:color w:val="auto"/>
        </w:rPr>
        <w:t>Liens, pledges or deposits to secure the performance of bids, trade contracts (other than borrowed money), leases, statutory obligations, appeal bonds and other obligations of like nature, in each case, in the ordinary course of business, and lease obligations or nondelinquent obligations under workers’ compensation, unemployment insurance or similar legislation;</w:t>
      </w:r>
    </w:p>
    <w:p>
      <w:pPr>
        <w:spacing w:after="0" w:line="59" w:lineRule="exact"/>
        <w:rPr>
          <w:rFonts w:ascii="Arial" w:cs="Arial" w:eastAsia="Arial" w:hAnsi="Arial"/>
          <w:sz w:val="18"/>
          <w:szCs w:val="18"/>
          <w:color w:val="auto"/>
        </w:rPr>
      </w:pPr>
    </w:p>
    <w:p>
      <w:pPr>
        <w:ind w:left="460" w:right="120" w:firstLine="443"/>
        <w:spacing w:after="0" w:line="259" w:lineRule="auto"/>
        <w:tabs>
          <w:tab w:leader="none" w:pos="1235" w:val="left"/>
        </w:tabs>
        <w:numPr>
          <w:ilvl w:val="0"/>
          <w:numId w:val="211"/>
        </w:numPr>
        <w:rPr>
          <w:rFonts w:ascii="Arial" w:cs="Arial" w:eastAsia="Arial" w:hAnsi="Arial"/>
          <w:sz w:val="18"/>
          <w:szCs w:val="18"/>
          <w:color w:val="auto"/>
        </w:rPr>
      </w:pPr>
      <w:r>
        <w:rPr>
          <w:rFonts w:ascii="Arial" w:cs="Arial" w:eastAsia="Arial" w:hAnsi="Arial"/>
          <w:sz w:val="18"/>
          <w:szCs w:val="18"/>
          <w:color w:val="auto"/>
        </w:rPr>
        <w:t>without duplication, (i) Government Transfers, and (ii) easements, rights-of-way, restrictions, zoning, minor defects or irregularities in title and other similar charges or encumbrances not interfering in any material respect with the business or assets of Wynn Las Vegas or any of the Restricted Subsidiaries incurred in connection with a Permitted Business;</w:t>
      </w:r>
    </w:p>
    <w:p>
      <w:pPr>
        <w:spacing w:after="0" w:line="59" w:lineRule="exact"/>
        <w:rPr>
          <w:rFonts w:ascii="Arial" w:cs="Arial" w:eastAsia="Arial" w:hAnsi="Arial"/>
          <w:sz w:val="18"/>
          <w:szCs w:val="18"/>
          <w:color w:val="auto"/>
        </w:rPr>
      </w:pPr>
    </w:p>
    <w:p>
      <w:pPr>
        <w:ind w:left="460" w:right="820" w:firstLine="443"/>
        <w:spacing w:after="0" w:line="268" w:lineRule="auto"/>
        <w:tabs>
          <w:tab w:leader="none" w:pos="1235" w:val="left"/>
        </w:tabs>
        <w:numPr>
          <w:ilvl w:val="0"/>
          <w:numId w:val="211"/>
        </w:numPr>
        <w:rPr>
          <w:rFonts w:ascii="Arial" w:cs="Arial" w:eastAsia="Arial" w:hAnsi="Arial"/>
          <w:sz w:val="18"/>
          <w:szCs w:val="18"/>
          <w:color w:val="auto"/>
        </w:rPr>
      </w:pPr>
      <w:r>
        <w:rPr>
          <w:rFonts w:ascii="Arial" w:cs="Arial" w:eastAsia="Arial" w:hAnsi="Arial"/>
          <w:sz w:val="18"/>
          <w:szCs w:val="18"/>
          <w:color w:val="auto"/>
        </w:rPr>
        <w:t>Liens on Equity Interests in Unrestricted Subsidiaries of Wynn Las Vegas but only to the extent that the recourse of the lender on any Indebtedness which such Lien secures is limited to such Equity Interests;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560" w:firstLine="443"/>
        <w:spacing w:after="0" w:line="268" w:lineRule="auto"/>
        <w:tabs>
          <w:tab w:leader="none" w:pos="1235" w:val="left"/>
        </w:tabs>
        <w:numPr>
          <w:ilvl w:val="0"/>
          <w:numId w:val="212"/>
        </w:numPr>
        <w:rPr>
          <w:rFonts w:ascii="Arial" w:cs="Arial" w:eastAsia="Arial" w:hAnsi="Arial"/>
          <w:sz w:val="18"/>
          <w:szCs w:val="18"/>
          <w:color w:val="auto"/>
        </w:rPr>
      </w:pPr>
      <w:r>
        <w:rPr>
          <w:rFonts w:ascii="Arial" w:cs="Arial" w:eastAsia="Arial" w:hAnsi="Arial"/>
          <w:sz w:val="18"/>
          <w:szCs w:val="18"/>
          <w:color w:val="auto"/>
        </w:rPr>
        <w:t>Liens on assets or property of Wynn Las Vegas or any of the Restricted Subsidiaries arising by reason of any attachment or judgment not constituting an Event of Default under the Indenture, so long as:</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such Liens are being contested in good faith by appropriate proceedings, and</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212"/>
        </w:numPr>
        <w:rPr>
          <w:rFonts w:ascii="Arial" w:cs="Arial" w:eastAsia="Arial" w:hAnsi="Arial"/>
          <w:sz w:val="16"/>
          <w:szCs w:val="16"/>
          <w:color w:val="auto"/>
        </w:rPr>
      </w:pPr>
      <w:r>
        <w:rPr>
          <w:rFonts w:ascii="Arial" w:cs="Arial" w:eastAsia="Arial" w:hAnsi="Arial"/>
          <w:sz w:val="16"/>
          <w:szCs w:val="16"/>
          <w:color w:val="auto"/>
        </w:rPr>
        <w:t>such Liens are adequately bonded or adequate reserves have been established on the books of the applicable Person in accordance with</w:t>
      </w:r>
    </w:p>
    <w:p>
      <w:pPr>
        <w:spacing w:after="0" w:line="3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GAAP;</w:t>
      </w:r>
    </w:p>
    <w:p>
      <w:pPr>
        <w:spacing w:after="0" w:line="83" w:lineRule="exact"/>
        <w:rPr>
          <w:rFonts w:ascii="Arial" w:cs="Arial" w:eastAsia="Arial" w:hAnsi="Arial"/>
          <w:sz w:val="16"/>
          <w:szCs w:val="16"/>
          <w:color w:val="auto"/>
        </w:rPr>
      </w:pPr>
    </w:p>
    <w:p>
      <w:pPr>
        <w:ind w:left="460" w:right="260" w:firstLine="443"/>
        <w:spacing w:after="0" w:line="256" w:lineRule="auto"/>
        <w:tabs>
          <w:tab w:leader="none" w:pos="1235"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to the extent constituting Liens, ground leases and subleases in respect of the real property owned or leased by Wynn Las Vegas or any of the Restricted Subsidiaries, to the extent that such ground leases and subleases are permitted under the Indenture and the Collateral Documents and any leasehold mortgage on the lessee’s leasehold interest in the underlying real property in favor of any party financing the lessee under any such lease or sublease, so long as:</w:t>
      </w:r>
    </w:p>
    <w:p>
      <w:pPr>
        <w:spacing w:after="0" w:line="62" w:lineRule="exact"/>
        <w:rPr>
          <w:rFonts w:ascii="Arial" w:cs="Arial" w:eastAsia="Arial" w:hAnsi="Arial"/>
          <w:sz w:val="18"/>
          <w:szCs w:val="18"/>
          <w:color w:val="auto"/>
        </w:rPr>
      </w:pPr>
    </w:p>
    <w:p>
      <w:pPr>
        <w:ind w:left="920" w:right="360" w:firstLine="421"/>
        <w:spacing w:after="0" w:line="268" w:lineRule="auto"/>
        <w:tabs>
          <w:tab w:leader="none" w:pos="1579" w:val="left"/>
        </w:tabs>
        <w:numPr>
          <w:ilvl w:val="1"/>
          <w:numId w:val="212"/>
        </w:numPr>
        <w:rPr>
          <w:rFonts w:ascii="Arial" w:cs="Arial" w:eastAsia="Arial" w:hAnsi="Arial"/>
          <w:sz w:val="18"/>
          <w:szCs w:val="18"/>
          <w:color w:val="auto"/>
        </w:rPr>
      </w:pPr>
      <w:r>
        <w:rPr>
          <w:rFonts w:ascii="Arial" w:cs="Arial" w:eastAsia="Arial" w:hAnsi="Arial"/>
          <w:sz w:val="18"/>
          <w:szCs w:val="18"/>
          <w:color w:val="auto"/>
        </w:rPr>
        <w:t>neither Issuer nor any of the Restricted Subsidiaries is liable for the payment of any principal of, or interest, premiums or fees on, such financing, and</w:t>
      </w:r>
    </w:p>
    <w:p>
      <w:pPr>
        <w:spacing w:after="0" w:line="50" w:lineRule="exact"/>
        <w:rPr>
          <w:rFonts w:ascii="Arial" w:cs="Arial" w:eastAsia="Arial" w:hAnsi="Arial"/>
          <w:sz w:val="18"/>
          <w:szCs w:val="18"/>
          <w:color w:val="auto"/>
        </w:rPr>
      </w:pPr>
    </w:p>
    <w:p>
      <w:pPr>
        <w:ind w:left="920" w:right="160" w:firstLine="421"/>
        <w:spacing w:after="0" w:line="268" w:lineRule="auto"/>
        <w:tabs>
          <w:tab w:leader="none" w:pos="1588" w:val="left"/>
        </w:tabs>
        <w:numPr>
          <w:ilvl w:val="1"/>
          <w:numId w:val="212"/>
        </w:numPr>
        <w:rPr>
          <w:rFonts w:ascii="Arial" w:cs="Arial" w:eastAsia="Arial" w:hAnsi="Arial"/>
          <w:sz w:val="18"/>
          <w:szCs w:val="18"/>
          <w:color w:val="auto"/>
        </w:rPr>
      </w:pPr>
      <w:r>
        <w:rPr>
          <w:rFonts w:ascii="Arial" w:cs="Arial" w:eastAsia="Arial" w:hAnsi="Arial"/>
          <w:sz w:val="18"/>
          <w:szCs w:val="18"/>
          <w:color w:val="auto"/>
        </w:rPr>
        <w:t>the affected lease and leasehold mortgage are expressly made subject and subordinate to the Lien of the applicable mortgage securing the 2017 Notes, or a Note Guarantee, as the case may be;</w:t>
      </w:r>
    </w:p>
    <w:p>
      <w:pPr>
        <w:spacing w:after="0" w:line="50" w:lineRule="exact"/>
        <w:rPr>
          <w:rFonts w:ascii="Arial" w:cs="Arial" w:eastAsia="Arial" w:hAnsi="Arial"/>
          <w:sz w:val="18"/>
          <w:szCs w:val="18"/>
          <w:color w:val="auto"/>
        </w:rPr>
      </w:pPr>
    </w:p>
    <w:p>
      <w:pPr>
        <w:ind w:left="460" w:firstLine="443"/>
        <w:spacing w:after="0" w:line="306" w:lineRule="auto"/>
        <w:tabs>
          <w:tab w:leader="none" w:pos="1235" w:val="left"/>
        </w:tabs>
        <w:numPr>
          <w:ilvl w:val="0"/>
          <w:numId w:val="212"/>
        </w:numPr>
        <w:rPr>
          <w:rFonts w:ascii="Arial" w:cs="Arial" w:eastAsia="Arial" w:hAnsi="Arial"/>
          <w:sz w:val="16"/>
          <w:szCs w:val="16"/>
          <w:color w:val="auto"/>
        </w:rPr>
      </w:pPr>
      <w:r>
        <w:rPr>
          <w:rFonts w:ascii="Arial" w:cs="Arial" w:eastAsia="Arial" w:hAnsi="Arial"/>
          <w:sz w:val="16"/>
          <w:szCs w:val="16"/>
          <w:color w:val="auto"/>
        </w:rPr>
        <w:t>Uniform Commercial Code financing statements filed for precautionary purposes in connection with any true lease of property leased by Wynn Las Vegas or any of the Restricted Subsidiaries, so long as any such financing statement does not cover any property other than the property subject to such lease and the proceeds (including insurance proceeds), products, rents, profits, accessions and replacements thereof or thereto;</w:t>
      </w:r>
    </w:p>
    <w:p>
      <w:pPr>
        <w:spacing w:after="0" w:line="25" w:lineRule="exact"/>
        <w:rPr>
          <w:rFonts w:ascii="Arial" w:cs="Arial" w:eastAsia="Arial" w:hAnsi="Arial"/>
          <w:sz w:val="16"/>
          <w:szCs w:val="16"/>
          <w:color w:val="auto"/>
        </w:rPr>
      </w:pPr>
    </w:p>
    <w:p>
      <w:pPr>
        <w:ind w:left="460" w:right="360" w:firstLine="443"/>
        <w:spacing w:after="0" w:line="268" w:lineRule="auto"/>
        <w:tabs>
          <w:tab w:leader="none" w:pos="1235" w:val="left"/>
        </w:tabs>
        <w:numPr>
          <w:ilvl w:val="0"/>
          <w:numId w:val="212"/>
        </w:numPr>
        <w:rPr>
          <w:rFonts w:ascii="Arial" w:cs="Arial" w:eastAsia="Arial" w:hAnsi="Arial"/>
          <w:sz w:val="18"/>
          <w:szCs w:val="18"/>
          <w:color w:val="auto"/>
        </w:rPr>
      </w:pPr>
      <w:r>
        <w:rPr>
          <w:rFonts w:ascii="Arial" w:cs="Arial" w:eastAsia="Arial" w:hAnsi="Arial"/>
          <w:sz w:val="18"/>
          <w:szCs w:val="18"/>
          <w:color w:val="auto"/>
        </w:rPr>
        <w:t>Liens securing Permitted Refinancing Indebtedness incurred in accordance with the covenant described above under the caption “—Certain Covenants—Incurrence of Indebtedness and Issuance of Disqualified Stock,” so long as:</w:t>
      </w:r>
    </w:p>
    <w:p>
      <w:pPr>
        <w:spacing w:after="0" w:line="50" w:lineRule="exact"/>
        <w:rPr>
          <w:rFonts w:ascii="Arial" w:cs="Arial" w:eastAsia="Arial" w:hAnsi="Arial"/>
          <w:sz w:val="18"/>
          <w:szCs w:val="18"/>
          <w:color w:val="auto"/>
        </w:rPr>
      </w:pPr>
    </w:p>
    <w:p>
      <w:pPr>
        <w:ind w:left="920" w:right="340" w:firstLine="421"/>
        <w:spacing w:after="0" w:line="268" w:lineRule="auto"/>
        <w:tabs>
          <w:tab w:leader="none" w:pos="1579" w:val="left"/>
        </w:tabs>
        <w:numPr>
          <w:ilvl w:val="1"/>
          <w:numId w:val="212"/>
        </w:numPr>
        <w:rPr>
          <w:rFonts w:ascii="Arial" w:cs="Arial" w:eastAsia="Arial" w:hAnsi="Arial"/>
          <w:sz w:val="18"/>
          <w:szCs w:val="18"/>
          <w:color w:val="auto"/>
        </w:rPr>
      </w:pPr>
      <w:r>
        <w:rPr>
          <w:rFonts w:ascii="Arial" w:cs="Arial" w:eastAsia="Arial" w:hAnsi="Arial"/>
          <w:sz w:val="18"/>
          <w:szCs w:val="18"/>
          <w:color w:val="auto"/>
        </w:rPr>
        <w:t>the Permitted Refinancing Indebtedness being incurred is secured by a Lien of equivalent or lesser priority than the Indebtedness being refinanced, and</w:t>
      </w:r>
    </w:p>
    <w:p>
      <w:pPr>
        <w:spacing w:after="0" w:line="50" w:lineRule="exact"/>
        <w:rPr>
          <w:rFonts w:ascii="Arial" w:cs="Arial" w:eastAsia="Arial" w:hAnsi="Arial"/>
          <w:sz w:val="18"/>
          <w:szCs w:val="18"/>
          <w:color w:val="auto"/>
        </w:rPr>
      </w:pPr>
    </w:p>
    <w:p>
      <w:pPr>
        <w:ind w:left="920" w:right="300" w:firstLine="421"/>
        <w:spacing w:after="0" w:line="259" w:lineRule="auto"/>
        <w:tabs>
          <w:tab w:leader="none" w:pos="1588" w:val="left"/>
        </w:tabs>
        <w:numPr>
          <w:ilvl w:val="1"/>
          <w:numId w:val="212"/>
        </w:numPr>
        <w:rPr>
          <w:rFonts w:ascii="Arial" w:cs="Arial" w:eastAsia="Arial" w:hAnsi="Arial"/>
          <w:sz w:val="18"/>
          <w:szCs w:val="18"/>
          <w:color w:val="auto"/>
        </w:rPr>
      </w:pPr>
      <w:r>
        <w:rPr>
          <w:rFonts w:ascii="Arial" w:cs="Arial" w:eastAsia="Arial" w:hAnsi="Arial"/>
          <w:sz w:val="18"/>
          <w:szCs w:val="18"/>
          <w:color w:val="auto"/>
        </w:rPr>
        <w:t>such Liens do not at any time encumber any assets or property other than the assets or property secured by the Indebtedness being refinanced by such Permitted Refinancing Indebtedness, and the proceeds (including insurance proceeds), products, rents, profits, accessions and replacements thereof or thereto;</w:t>
      </w:r>
    </w:p>
    <w:p>
      <w:pPr>
        <w:spacing w:after="0" w:line="59" w:lineRule="exact"/>
        <w:rPr>
          <w:rFonts w:ascii="Arial" w:cs="Arial" w:eastAsia="Arial" w:hAnsi="Arial"/>
          <w:sz w:val="18"/>
          <w:szCs w:val="18"/>
          <w:color w:val="auto"/>
        </w:rPr>
      </w:pPr>
    </w:p>
    <w:p>
      <w:pPr>
        <w:ind w:left="460" w:right="20" w:firstLine="443"/>
        <w:spacing w:after="0" w:line="298" w:lineRule="auto"/>
        <w:tabs>
          <w:tab w:leader="none" w:pos="1235" w:val="left"/>
        </w:tabs>
        <w:numPr>
          <w:ilvl w:val="0"/>
          <w:numId w:val="212"/>
        </w:numPr>
        <w:rPr>
          <w:rFonts w:ascii="Arial" w:cs="Arial" w:eastAsia="Arial" w:hAnsi="Arial"/>
          <w:sz w:val="16"/>
          <w:szCs w:val="16"/>
          <w:color w:val="auto"/>
        </w:rPr>
      </w:pPr>
      <w:r>
        <w:rPr>
          <w:rFonts w:ascii="Arial" w:cs="Arial" w:eastAsia="Arial" w:hAnsi="Arial"/>
          <w:sz w:val="16"/>
          <w:szCs w:val="16"/>
          <w:color w:val="auto"/>
        </w:rPr>
        <w:t>Liens securing Indebtedness incurred in accordance with clause (10) and/or clause (14) of the second paragraph of the covenant described above under the caption “—Certain Covenants—Incurrence of Indebtedness and Issuance of Disqualified Stock” and, to the extent such Indebtedness is incurred under the Credit Agreement, Liens securing Indebtedness incurred in accordance with clause (11) of the second paragraph of the covenant described above under the caption “—Certain Covenants—Incurrence of Indebtedness and Issuance of Disqualified Stock;”</w:t>
      </w:r>
    </w:p>
    <w:p>
      <w:pPr>
        <w:spacing w:after="0" w:line="31" w:lineRule="exact"/>
        <w:rPr>
          <w:rFonts w:ascii="Arial" w:cs="Arial" w:eastAsia="Arial" w:hAnsi="Arial"/>
          <w:sz w:val="16"/>
          <w:szCs w:val="16"/>
          <w:color w:val="auto"/>
        </w:rPr>
      </w:pPr>
    </w:p>
    <w:p>
      <w:pPr>
        <w:ind w:left="1240" w:hanging="337"/>
        <w:spacing w:after="0"/>
        <w:tabs>
          <w:tab w:leader="none" w:pos="124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Liens created or expressly contemplated by the Affiliate Agreements, so long as such Liens do not secure Indebtedness;</w:t>
      </w:r>
    </w:p>
    <w:p>
      <w:pPr>
        <w:spacing w:after="0" w:line="90" w:lineRule="exact"/>
        <w:rPr>
          <w:rFonts w:ascii="Arial" w:cs="Arial" w:eastAsia="Arial" w:hAnsi="Arial"/>
          <w:sz w:val="18"/>
          <w:szCs w:val="18"/>
          <w:color w:val="auto"/>
        </w:rPr>
      </w:pPr>
    </w:p>
    <w:p>
      <w:pPr>
        <w:ind w:left="460" w:right="220" w:firstLine="443"/>
        <w:spacing w:after="0" w:line="268" w:lineRule="auto"/>
        <w:tabs>
          <w:tab w:leader="none" w:pos="1235" w:val="left"/>
        </w:tabs>
        <w:numPr>
          <w:ilvl w:val="0"/>
          <w:numId w:val="212"/>
        </w:numPr>
        <w:rPr>
          <w:rFonts w:ascii="Arial" w:cs="Arial" w:eastAsia="Arial" w:hAnsi="Arial"/>
          <w:sz w:val="18"/>
          <w:szCs w:val="18"/>
          <w:color w:val="auto"/>
        </w:rPr>
      </w:pPr>
      <w:r>
        <w:rPr>
          <w:rFonts w:ascii="Arial" w:cs="Arial" w:eastAsia="Arial" w:hAnsi="Arial"/>
          <w:sz w:val="18"/>
          <w:szCs w:val="18"/>
          <w:color w:val="auto"/>
        </w:rPr>
        <w:t>Liens securing Hedging Obligations permitted to be incurred in accordance with clause (5) of the second paragraph of the covenant described above under the caption “—Certain Covenants—Incurrence of Indebtedness and Issuance of Disqualified Stock;”</w:t>
      </w:r>
    </w:p>
    <w:p>
      <w:pPr>
        <w:spacing w:after="0" w:line="50" w:lineRule="exact"/>
        <w:rPr>
          <w:rFonts w:ascii="Arial" w:cs="Arial" w:eastAsia="Arial" w:hAnsi="Arial"/>
          <w:sz w:val="18"/>
          <w:szCs w:val="18"/>
          <w:color w:val="auto"/>
        </w:rPr>
      </w:pPr>
    </w:p>
    <w:p>
      <w:pPr>
        <w:ind w:left="460" w:right="360" w:firstLine="443"/>
        <w:spacing w:after="0" w:line="332" w:lineRule="auto"/>
        <w:tabs>
          <w:tab w:leader="none" w:pos="1235" w:val="left"/>
        </w:tabs>
        <w:numPr>
          <w:ilvl w:val="0"/>
          <w:numId w:val="212"/>
        </w:numPr>
        <w:rPr>
          <w:rFonts w:ascii="Arial" w:cs="Arial" w:eastAsia="Arial" w:hAnsi="Arial"/>
          <w:sz w:val="16"/>
          <w:szCs w:val="16"/>
          <w:color w:val="auto"/>
        </w:rPr>
      </w:pPr>
      <w:r>
        <w:rPr>
          <w:rFonts w:ascii="Arial" w:cs="Arial" w:eastAsia="Arial" w:hAnsi="Arial"/>
          <w:sz w:val="16"/>
          <w:szCs w:val="16"/>
          <w:color w:val="auto"/>
        </w:rPr>
        <w:t>licenses of patents, trademarks and other intellectual property rights granted by Wynn Las Vegas or any of the Restricted Subsidiaries in the ordinary course of business and not interfering in any material respect with the ordinary conduct of the business of such Person;</w:t>
      </w:r>
    </w:p>
    <w:p>
      <w:pPr>
        <w:spacing w:after="0" w:line="4" w:lineRule="exact"/>
        <w:rPr>
          <w:rFonts w:ascii="Arial" w:cs="Arial" w:eastAsia="Arial" w:hAnsi="Arial"/>
          <w:sz w:val="16"/>
          <w:szCs w:val="16"/>
          <w:color w:val="auto"/>
        </w:rPr>
      </w:pPr>
    </w:p>
    <w:p>
      <w:pPr>
        <w:ind w:left="460" w:right="100" w:firstLine="443"/>
        <w:spacing w:after="0" w:line="259" w:lineRule="auto"/>
        <w:tabs>
          <w:tab w:leader="none" w:pos="1235" w:val="left"/>
        </w:tabs>
        <w:numPr>
          <w:ilvl w:val="0"/>
          <w:numId w:val="212"/>
        </w:numPr>
        <w:rPr>
          <w:rFonts w:ascii="Arial" w:cs="Arial" w:eastAsia="Arial" w:hAnsi="Arial"/>
          <w:sz w:val="18"/>
          <w:szCs w:val="18"/>
          <w:color w:val="auto"/>
        </w:rPr>
      </w:pPr>
      <w:r>
        <w:rPr>
          <w:rFonts w:ascii="Arial" w:cs="Arial" w:eastAsia="Arial" w:hAnsi="Arial"/>
          <w:sz w:val="18"/>
          <w:szCs w:val="18"/>
          <w:color w:val="auto"/>
        </w:rPr>
        <w:t>Liens on cash disbursed pursuant to the Disbursement Agreement and deposited with, or held for the account of, Wynn Las Vegas or any of the Restricted Subsidiaries securing reimbursement obligations under performance bonds, guaranties, trade letters of credit, bankers’ acceptances or similar instruments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400"/>
          </w:cols>
          <w:pgMar w:left="240" w:top="459" w:right="2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permitted under clause (10) of the second paragraph of the covenant described above under the caption “—Certain Covenants—Incurrence of Indebtedness and Issuance of Disqualified Stock,” granted by Wynn Las Vegas or any of the Restricted Subsidiaries in favor of the issuers of such performance bonds, guaranties, trade letters of credit or bankers’ acceptances, so long as:</w:t>
      </w:r>
    </w:p>
    <w:p>
      <w:pPr>
        <w:spacing w:after="0" w:line="59" w:lineRule="exact"/>
        <w:rPr>
          <w:sz w:val="20"/>
          <w:szCs w:val="20"/>
          <w:color w:val="auto"/>
        </w:rPr>
      </w:pPr>
    </w:p>
    <w:p>
      <w:pPr>
        <w:ind w:left="1580" w:hanging="239"/>
        <w:spacing w:after="0"/>
        <w:tabs>
          <w:tab w:leader="none" w:pos="158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any cash disbursed to secure such reimbursement obligations is invested in Permitted Securities only, and</w:t>
      </w:r>
    </w:p>
    <w:p>
      <w:pPr>
        <w:spacing w:after="0" w:line="90" w:lineRule="exact"/>
        <w:rPr>
          <w:rFonts w:ascii="Arial" w:cs="Arial" w:eastAsia="Arial" w:hAnsi="Arial"/>
          <w:sz w:val="18"/>
          <w:szCs w:val="18"/>
          <w:color w:val="auto"/>
        </w:rPr>
      </w:pPr>
    </w:p>
    <w:p>
      <w:pPr>
        <w:ind w:left="920" w:right="280" w:firstLine="421"/>
        <w:spacing w:after="0" w:line="259" w:lineRule="auto"/>
        <w:tabs>
          <w:tab w:leader="none" w:pos="1588" w:val="left"/>
        </w:tabs>
        <w:numPr>
          <w:ilvl w:val="1"/>
          <w:numId w:val="213"/>
        </w:numPr>
        <w:rPr>
          <w:rFonts w:ascii="Arial" w:cs="Arial" w:eastAsia="Arial" w:hAnsi="Arial"/>
          <w:sz w:val="18"/>
          <w:szCs w:val="18"/>
          <w:color w:val="auto"/>
        </w:rPr>
      </w:pPr>
      <w:r>
        <w:rPr>
          <w:rFonts w:ascii="Arial" w:cs="Arial" w:eastAsia="Arial" w:hAnsi="Arial"/>
          <w:sz w:val="18"/>
          <w:szCs w:val="18"/>
          <w:color w:val="auto"/>
        </w:rPr>
        <w:t>the amount of cash and/or Permitted Securities secured by such Liens does not exceed 110% of the amount of the Indebtedness secured thereby (ignoring, for purposes of this clause (b), any interest earned or paid on such cash and any dividends or distributions declared or paid in respect of such Permitted Investments);</w:t>
      </w:r>
    </w:p>
    <w:p>
      <w:pPr>
        <w:spacing w:after="0" w:line="59" w:lineRule="exact"/>
        <w:rPr>
          <w:rFonts w:ascii="Arial" w:cs="Arial" w:eastAsia="Arial" w:hAnsi="Arial"/>
          <w:sz w:val="18"/>
          <w:szCs w:val="18"/>
          <w:color w:val="auto"/>
        </w:rPr>
      </w:pPr>
    </w:p>
    <w:p>
      <w:pPr>
        <w:ind w:left="460" w:right="640" w:firstLine="443"/>
        <w:spacing w:after="0" w:line="268" w:lineRule="auto"/>
        <w:tabs>
          <w:tab w:leader="none" w:pos="1235" w:val="left"/>
        </w:tabs>
        <w:numPr>
          <w:ilvl w:val="0"/>
          <w:numId w:val="214"/>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w:t>
      </w:r>
    </w:p>
    <w:p>
      <w:pPr>
        <w:spacing w:after="0" w:line="50" w:lineRule="exact"/>
        <w:rPr>
          <w:rFonts w:ascii="Arial" w:cs="Arial" w:eastAsia="Arial" w:hAnsi="Arial"/>
          <w:sz w:val="18"/>
          <w:szCs w:val="18"/>
          <w:color w:val="auto"/>
        </w:rPr>
      </w:pPr>
    </w:p>
    <w:p>
      <w:pPr>
        <w:ind w:left="460" w:right="60" w:firstLine="443"/>
        <w:spacing w:after="0" w:line="335" w:lineRule="auto"/>
        <w:tabs>
          <w:tab w:leader="none" w:pos="1235" w:val="left"/>
        </w:tabs>
        <w:numPr>
          <w:ilvl w:val="0"/>
          <w:numId w:val="214"/>
        </w:numPr>
        <w:rPr>
          <w:rFonts w:ascii="Arial" w:cs="Arial" w:eastAsia="Arial" w:hAnsi="Arial"/>
          <w:sz w:val="15"/>
          <w:szCs w:val="15"/>
          <w:color w:val="auto"/>
        </w:rPr>
      </w:pPr>
      <w:r>
        <w:rPr>
          <w:rFonts w:ascii="Arial" w:cs="Arial" w:eastAsia="Arial" w:hAnsi="Arial"/>
          <w:sz w:val="15"/>
          <w:szCs w:val="15"/>
          <w:color w:val="auto"/>
        </w:rPr>
        <w:t>Liens to secure additional Indebtedness incurred at any time other than during a Collateral Release Period which is permitted to be incurred pursuant to the first paragraph, or pursuant to clause (8) of the second paragraph, of the covenant described above under the caption “—Certain Covenants —Incurrence of Indebtedness and Issuance of Disqualified Stock” which liens may be of equal or lesser priority as the liens securing the 2017 Notes;</w:t>
      </w:r>
    </w:p>
    <w:p>
      <w:pPr>
        <w:spacing w:after="0" w:line="7" w:lineRule="exact"/>
        <w:rPr>
          <w:rFonts w:ascii="Arial" w:cs="Arial" w:eastAsia="Arial" w:hAnsi="Arial"/>
          <w:sz w:val="15"/>
          <w:szCs w:val="15"/>
          <w:color w:val="auto"/>
        </w:rPr>
      </w:pPr>
    </w:p>
    <w:p>
      <w:pPr>
        <w:jc w:val="both"/>
        <w:ind w:left="460" w:firstLine="443"/>
        <w:spacing w:after="0" w:line="298" w:lineRule="auto"/>
        <w:tabs>
          <w:tab w:leader="none" w:pos="1235" w:val="left"/>
        </w:tabs>
        <w:numPr>
          <w:ilvl w:val="0"/>
          <w:numId w:val="214"/>
        </w:numPr>
        <w:rPr>
          <w:rFonts w:ascii="Arial" w:cs="Arial" w:eastAsia="Arial" w:hAnsi="Arial"/>
          <w:sz w:val="16"/>
          <w:szCs w:val="16"/>
          <w:color w:val="auto"/>
        </w:rPr>
      </w:pPr>
      <w:r>
        <w:rPr>
          <w:rFonts w:ascii="Arial" w:cs="Arial" w:eastAsia="Arial" w:hAnsi="Arial"/>
          <w:sz w:val="16"/>
          <w:szCs w:val="16"/>
          <w:color w:val="auto"/>
        </w:rPr>
        <w:t>Liens to secure additional Indebtedness incurred at any time during a Collateral Release Period which is permitted to be incurred pursuant to the first paragraph, or pursuant to clause (1) of the second paragraph, of the covenant described above under the caption “—Certain Covenants—Incurrence of Indebtedness and Issuance of Disqualified Stock,” provided that the aggregate amount of such secured Indebtedness at the time of incurrence does not exceed $100.0 million at any one time (collectively for all assets and property subject to such Liens);</w:t>
      </w:r>
    </w:p>
    <w:p>
      <w:pPr>
        <w:spacing w:after="0" w:line="31" w:lineRule="exact"/>
        <w:rPr>
          <w:rFonts w:ascii="Arial" w:cs="Arial" w:eastAsia="Arial" w:hAnsi="Arial"/>
          <w:sz w:val="16"/>
          <w:szCs w:val="16"/>
          <w:color w:val="auto"/>
        </w:rPr>
      </w:pPr>
    </w:p>
    <w:p>
      <w:pPr>
        <w:jc w:val="both"/>
        <w:ind w:left="460" w:right="380" w:firstLine="443"/>
        <w:spacing w:after="0" w:line="259" w:lineRule="auto"/>
        <w:tabs>
          <w:tab w:leader="none" w:pos="1235" w:val="left"/>
        </w:tabs>
        <w:numPr>
          <w:ilvl w:val="0"/>
          <w:numId w:val="214"/>
        </w:numPr>
        <w:rPr>
          <w:rFonts w:ascii="Arial" w:cs="Arial" w:eastAsia="Arial" w:hAnsi="Arial"/>
          <w:sz w:val="18"/>
          <w:szCs w:val="18"/>
          <w:color w:val="auto"/>
        </w:rPr>
      </w:pPr>
      <w:r>
        <w:rPr>
          <w:rFonts w:ascii="Arial" w:cs="Arial" w:eastAsia="Arial" w:hAnsi="Arial"/>
          <w:sz w:val="18"/>
          <w:szCs w:val="18"/>
          <w:color w:val="auto"/>
        </w:rPr>
        <w:t>Liens on the Aircraft Assets to secure Indebtedness of World Travel, LLC, which is permitted to be incurred pursuant to clause (13) of the second paragraph of the covenant described above under the caption “—Certain Covenants—Incurrence of Indebtedness and Issuance of Disqualified Stock;”</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235" w:val="left"/>
        </w:tabs>
        <w:numPr>
          <w:ilvl w:val="0"/>
          <w:numId w:val="214"/>
        </w:numPr>
        <w:rPr>
          <w:rFonts w:ascii="Arial" w:cs="Arial" w:eastAsia="Arial" w:hAnsi="Arial"/>
          <w:sz w:val="18"/>
          <w:szCs w:val="18"/>
          <w:color w:val="auto"/>
        </w:rPr>
      </w:pPr>
      <w:r>
        <w:rPr>
          <w:rFonts w:ascii="Arial" w:cs="Arial" w:eastAsia="Arial" w:hAnsi="Arial"/>
          <w:sz w:val="18"/>
          <w:szCs w:val="18"/>
          <w:color w:val="auto"/>
        </w:rPr>
        <w:t>Liens not specified in clauses (1) through (25) above and not otherwise permitted by the covenant described above under the caption “—Certain Covenants—Liens,” so long as the aggregate outstanding principal amount of the obligations secured by all such Liens in the aggregate does not exceed $10.0 million at any one time (collectively for all assets and property subject to such Liens);</w:t>
      </w:r>
    </w:p>
    <w:p>
      <w:pPr>
        <w:spacing w:after="0" w:line="59" w:lineRule="exact"/>
        <w:rPr>
          <w:rFonts w:ascii="Arial" w:cs="Arial" w:eastAsia="Arial" w:hAnsi="Arial"/>
          <w:sz w:val="18"/>
          <w:szCs w:val="18"/>
          <w:color w:val="auto"/>
        </w:rPr>
      </w:pPr>
    </w:p>
    <w:p>
      <w:pPr>
        <w:ind w:left="1240" w:hanging="337"/>
        <w:spacing w:after="0"/>
        <w:tabs>
          <w:tab w:leader="none" w:pos="124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[intentionally omitted]; and</w:t>
      </w:r>
    </w:p>
    <w:p>
      <w:pPr>
        <w:spacing w:after="0" w:line="90" w:lineRule="exact"/>
        <w:rPr>
          <w:rFonts w:ascii="Arial" w:cs="Arial" w:eastAsia="Arial" w:hAnsi="Arial"/>
          <w:sz w:val="18"/>
          <w:szCs w:val="18"/>
          <w:color w:val="auto"/>
        </w:rPr>
      </w:pPr>
    </w:p>
    <w:p>
      <w:pPr>
        <w:jc w:val="both"/>
        <w:ind w:left="460" w:right="300" w:firstLine="443"/>
        <w:spacing w:after="0" w:line="259" w:lineRule="auto"/>
        <w:tabs>
          <w:tab w:leader="none" w:pos="1235" w:val="left"/>
        </w:tabs>
        <w:numPr>
          <w:ilvl w:val="0"/>
          <w:numId w:val="214"/>
        </w:numPr>
        <w:rPr>
          <w:rFonts w:ascii="Arial" w:cs="Arial" w:eastAsia="Arial" w:hAnsi="Arial"/>
          <w:sz w:val="18"/>
          <w:szCs w:val="18"/>
          <w:color w:val="auto"/>
        </w:rPr>
      </w:pPr>
      <w:r>
        <w:rPr>
          <w:rFonts w:ascii="Arial" w:cs="Arial" w:eastAsia="Arial" w:hAnsi="Arial"/>
          <w:sz w:val="18"/>
          <w:szCs w:val="18"/>
          <w:color w:val="auto"/>
        </w:rPr>
        <w:t>Liens of sellers of goods to Wynn Las Vegas or any of its Restricted Subsidiaries arising under Article 2 of the UCC or similar provisions of applicable law in the ordinary course of business, covering only the goods sold and securing only the unpaid purchase price for such goods and related expenses.</w:t>
      </w:r>
    </w:p>
    <w:p>
      <w:pPr>
        <w:spacing w:after="0" w:line="140" w:lineRule="exact"/>
        <w:rPr>
          <w:sz w:val="20"/>
          <w:szCs w:val="20"/>
          <w:color w:val="auto"/>
        </w:rPr>
      </w:pPr>
    </w:p>
    <w:p>
      <w:pPr>
        <w:jc w:val="both"/>
        <w:ind w:right="240" w:firstLine="456"/>
        <w:spacing w:after="0" w:line="370" w:lineRule="auto"/>
        <w:rPr>
          <w:sz w:val="20"/>
          <w:szCs w:val="20"/>
          <w:color w:val="auto"/>
        </w:rPr>
      </w:pPr>
      <w:r>
        <w:rPr>
          <w:rFonts w:ascii="Arial" w:cs="Arial" w:eastAsia="Arial" w:hAnsi="Arial"/>
          <w:sz w:val="15"/>
          <w:szCs w:val="15"/>
          <w:color w:val="auto"/>
        </w:rPr>
        <w:t>With respect to any Collateral, notwithstanding the definition of “Permitted Liens,” a Lien shall not be a Permitted Lien on such Collateral except to the extent that any applicable Collateral Document expressly permits the applicable Person to create, incur, assume or suffer to exist such Lien on such Collateral.</w:t>
      </w:r>
    </w:p>
    <w:p>
      <w:pPr>
        <w:spacing w:after="0" w:line="62"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Refinancing Indebtedness</w:t>
      </w:r>
      <w:r>
        <w:rPr>
          <w:rFonts w:ascii="Arial" w:cs="Arial" w:eastAsia="Arial" w:hAnsi="Arial"/>
          <w:sz w:val="18"/>
          <w:szCs w:val="18"/>
          <w:color w:val="auto"/>
        </w:rPr>
        <w:t>” means any Indebtedness of Wynn Las Vegas or any of its Restricted Subsidiaries issued within 30 days after repayment of, in exchange for, or the net proceeds of which are used to extend, refinance, renew, replace, amend and restate, restate, defease or refund other Indebtedness of any Person (other than intercompany Indebtedness), so long as:</w:t>
      </w:r>
    </w:p>
    <w:p>
      <w:pPr>
        <w:spacing w:after="0" w:line="59" w:lineRule="exact"/>
        <w:rPr>
          <w:sz w:val="20"/>
          <w:szCs w:val="20"/>
          <w:color w:val="auto"/>
        </w:rPr>
      </w:pPr>
    </w:p>
    <w:p>
      <w:pPr>
        <w:ind w:left="460" w:right="400" w:firstLine="443"/>
        <w:spacing w:after="0" w:line="306" w:lineRule="auto"/>
        <w:tabs>
          <w:tab w:leader="none" w:pos="1147" w:val="left"/>
        </w:tabs>
        <w:numPr>
          <w:ilvl w:val="0"/>
          <w:numId w:val="215"/>
        </w:numPr>
        <w:rPr>
          <w:rFonts w:ascii="Arial" w:cs="Arial" w:eastAsia="Arial" w:hAnsi="Arial"/>
          <w:sz w:val="16"/>
          <w:szCs w:val="16"/>
          <w:color w:val="auto"/>
        </w:rPr>
      </w:pPr>
      <w:r>
        <w:rPr>
          <w:rFonts w:ascii="Arial" w:cs="Arial" w:eastAsia="Arial" w:hAnsi="Arial"/>
          <w:sz w:val="16"/>
          <w:szCs w:val="16"/>
          <w:color w:val="auto"/>
        </w:rPr>
        <w:t>the principal amount (or accreted value, if applicable) of such Permitted Refinancing Indebtedness does not exceed the principal amount (or accreted value, if applicable) of the Indebtedness extended, refinanced, renewed, replaced, defeased or refunded (plus all accrued interest on the Indebtedness and the amount of all expenses and premiums incurred in connection therewith), so long as if such Indebtedness is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380"/>
          </w:cols>
          <w:pgMar w:left="240" w:top="460" w:right="27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80"/>
        <w:spacing w:after="0" w:line="268" w:lineRule="auto"/>
        <w:rPr>
          <w:sz w:val="20"/>
          <w:szCs w:val="20"/>
          <w:color w:val="auto"/>
        </w:rPr>
      </w:pPr>
      <w:r>
        <w:rPr>
          <w:rFonts w:ascii="Arial" w:cs="Arial" w:eastAsia="Arial" w:hAnsi="Arial"/>
          <w:sz w:val="18"/>
          <w:szCs w:val="18"/>
          <w:color w:val="auto"/>
        </w:rPr>
        <w:t>secured by a Lien described in clause (10) of the definition of “Permitted Liens,” the principal amount, or accreted value will not exceed the then current Fair Market Value of the asset so encumbered;</w:t>
      </w:r>
    </w:p>
    <w:p>
      <w:pPr>
        <w:spacing w:after="0" w:line="51" w:lineRule="exact"/>
        <w:rPr>
          <w:sz w:val="20"/>
          <w:szCs w:val="20"/>
          <w:color w:val="auto"/>
        </w:rPr>
      </w:pPr>
    </w:p>
    <w:p>
      <w:pPr>
        <w:ind w:left="460" w:right="200" w:firstLine="443"/>
        <w:spacing w:after="0" w:line="259" w:lineRule="auto"/>
        <w:tabs>
          <w:tab w:leader="none" w:pos="1147" w:val="left"/>
        </w:tabs>
        <w:numPr>
          <w:ilvl w:val="0"/>
          <w:numId w:val="216"/>
        </w:numPr>
        <w:rPr>
          <w:rFonts w:ascii="Arial" w:cs="Arial" w:eastAsia="Arial" w:hAnsi="Arial"/>
          <w:sz w:val="18"/>
          <w:szCs w:val="18"/>
          <w:color w:val="auto"/>
        </w:rPr>
      </w:pPr>
      <w:r>
        <w:rPr>
          <w:rFonts w:ascii="Arial" w:cs="Arial" w:eastAsia="Arial" w:hAnsi="Arial"/>
          <w:sz w:val="18"/>
          <w:szCs w:val="18"/>
          <w:color w:val="auto"/>
        </w:rPr>
        <w:t>such Permitted Refinancing Indebtedness has a final maturity date later than the final maturity date of, and has a Weighted Average Life to Maturity equal to or greater than the Weighted Average Life to Maturity of, the Indebtedness being extended, refinanced, renewed, replaced, defeased or refunded;</w:t>
      </w:r>
    </w:p>
    <w:p>
      <w:pPr>
        <w:spacing w:after="0" w:line="59" w:lineRule="exact"/>
        <w:rPr>
          <w:rFonts w:ascii="Arial" w:cs="Arial" w:eastAsia="Arial" w:hAnsi="Arial"/>
          <w:sz w:val="18"/>
          <w:szCs w:val="18"/>
          <w:color w:val="auto"/>
        </w:rPr>
      </w:pPr>
    </w:p>
    <w:p>
      <w:pPr>
        <w:jc w:val="both"/>
        <w:ind w:left="460" w:right="60" w:firstLine="443"/>
        <w:spacing w:after="0" w:line="298" w:lineRule="auto"/>
        <w:tabs>
          <w:tab w:leader="none" w:pos="1147" w:val="left"/>
        </w:tabs>
        <w:numPr>
          <w:ilvl w:val="0"/>
          <w:numId w:val="216"/>
        </w:numPr>
        <w:rPr>
          <w:rFonts w:ascii="Arial" w:cs="Arial" w:eastAsia="Arial" w:hAnsi="Arial"/>
          <w:sz w:val="16"/>
          <w:szCs w:val="16"/>
          <w:color w:val="auto"/>
        </w:rPr>
      </w:pPr>
      <w:r>
        <w:rPr>
          <w:rFonts w:ascii="Arial" w:cs="Arial" w:eastAsia="Arial" w:hAnsi="Arial"/>
          <w:sz w:val="16"/>
          <w:szCs w:val="16"/>
          <w:color w:val="auto"/>
        </w:rPr>
        <w:t>if the Indebtedness being extended, refinanced, renewed, replaced, defeased or refunded is subordinated in right of payment to the 2017 Notes or the Note Guarantees, such Permitted Refinancing Indebtedness has a final maturity date later than the final maturity date of, and is subordinated in right of payment to, the 2017 Notes or the Note Guarantees, as applicable, on terms at least as favorable, taken as a whole, to the Holders of 2017 Notes as those contained in the documentation governing the Indebtedness being extended, refinanced, renewed, replaced, defeased or refunded; and</w:t>
      </w:r>
    </w:p>
    <w:p>
      <w:pPr>
        <w:spacing w:after="0" w:line="31" w:lineRule="exact"/>
        <w:rPr>
          <w:rFonts w:ascii="Arial" w:cs="Arial" w:eastAsia="Arial" w:hAnsi="Arial"/>
          <w:sz w:val="16"/>
          <w:szCs w:val="16"/>
          <w:color w:val="auto"/>
        </w:rPr>
      </w:pPr>
    </w:p>
    <w:p>
      <w:pPr>
        <w:ind w:left="1160" w:hanging="257"/>
        <w:spacing w:after="0"/>
        <w:tabs>
          <w:tab w:leader="none" w:pos="1160" w:val="left"/>
        </w:tabs>
        <w:numPr>
          <w:ilvl w:val="0"/>
          <w:numId w:val="216"/>
        </w:numPr>
        <w:rPr>
          <w:rFonts w:ascii="Arial" w:cs="Arial" w:eastAsia="Arial" w:hAnsi="Arial"/>
          <w:sz w:val="15"/>
          <w:szCs w:val="15"/>
          <w:color w:val="auto"/>
        </w:rPr>
      </w:pPr>
      <w:r>
        <w:rPr>
          <w:rFonts w:ascii="Arial" w:cs="Arial" w:eastAsia="Arial" w:hAnsi="Arial"/>
          <w:sz w:val="15"/>
          <w:szCs w:val="15"/>
          <w:color w:val="auto"/>
        </w:rPr>
        <w:t>such Indebtedness is incurred by the Person that is the obligor on the Indebtedness being extended, refinanced, renewed, replaced, defeased or</w:t>
      </w:r>
    </w:p>
    <w:p>
      <w:pPr>
        <w:spacing w:after="0" w:line="49"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refunded.</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Securities</w:t>
      </w:r>
      <w:r>
        <w:rPr>
          <w:rFonts w:ascii="Arial" w:cs="Arial" w:eastAsia="Arial" w:hAnsi="Arial"/>
          <w:sz w:val="18"/>
          <w:szCs w:val="18"/>
          <w:color w:val="auto"/>
        </w:rPr>
        <w:t>” means:</w:t>
      </w:r>
    </w:p>
    <w:p>
      <w:pPr>
        <w:spacing w:after="0" w:line="90" w:lineRule="exact"/>
        <w:rPr>
          <w:sz w:val="20"/>
          <w:szCs w:val="20"/>
          <w:color w:val="auto"/>
        </w:rPr>
      </w:pPr>
    </w:p>
    <w:p>
      <w:pPr>
        <w:ind w:left="460" w:right="340" w:firstLine="443"/>
        <w:spacing w:after="0" w:line="332" w:lineRule="auto"/>
        <w:tabs>
          <w:tab w:leader="none" w:pos="1147" w:val="left"/>
        </w:tabs>
        <w:numPr>
          <w:ilvl w:val="0"/>
          <w:numId w:val="217"/>
        </w:numPr>
        <w:rPr>
          <w:rFonts w:ascii="Arial" w:cs="Arial" w:eastAsia="Arial" w:hAnsi="Arial"/>
          <w:sz w:val="16"/>
          <w:szCs w:val="16"/>
          <w:color w:val="auto"/>
        </w:rPr>
      </w:pPr>
      <w:r>
        <w:rPr>
          <w:rFonts w:ascii="Arial" w:cs="Arial" w:eastAsia="Arial" w:hAnsi="Arial"/>
          <w:sz w:val="16"/>
          <w:szCs w:val="16"/>
          <w:color w:val="auto"/>
        </w:rPr>
        <w:t>marketable direct obligations issued by, or unconditionally guaranteed by, the United States government or issued by any agency thereof and backed by the full faith and credit of the United States, in each case maturing within 18 months from the date of acquisition;</w:t>
      </w:r>
    </w:p>
    <w:p>
      <w:pPr>
        <w:spacing w:after="0" w:line="4" w:lineRule="exact"/>
        <w:rPr>
          <w:rFonts w:ascii="Arial" w:cs="Arial" w:eastAsia="Arial" w:hAnsi="Arial"/>
          <w:sz w:val="16"/>
          <w:szCs w:val="16"/>
          <w:color w:val="auto"/>
        </w:rPr>
      </w:pPr>
    </w:p>
    <w:p>
      <w:pPr>
        <w:ind w:left="460" w:right="40" w:firstLine="443"/>
        <w:spacing w:after="0" w:line="268" w:lineRule="auto"/>
        <w:tabs>
          <w:tab w:leader="none" w:pos="1147" w:val="left"/>
        </w:tabs>
        <w:numPr>
          <w:ilvl w:val="0"/>
          <w:numId w:val="217"/>
        </w:numPr>
        <w:rPr>
          <w:rFonts w:ascii="Arial" w:cs="Arial" w:eastAsia="Arial" w:hAnsi="Arial"/>
          <w:sz w:val="18"/>
          <w:szCs w:val="18"/>
          <w:color w:val="auto"/>
        </w:rPr>
      </w:pPr>
      <w:r>
        <w:rPr>
          <w:rFonts w:ascii="Arial" w:cs="Arial" w:eastAsia="Arial" w:hAnsi="Arial"/>
          <w:sz w:val="18"/>
          <w:szCs w:val="18"/>
          <w:color w:val="auto"/>
        </w:rPr>
        <w:t>shares of money market, mutual or similar funds, including funds managed or offered by the trustee, which invest exclusively in assets satisfying the requirements of clause (1) of this definition; or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shares of, or an investment in, the JPMorgan Federal Money Market Fund.</w:t>
      </w:r>
    </w:p>
    <w:p>
      <w:pPr>
        <w:spacing w:after="0" w:line="171"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Person</w:t>
      </w:r>
      <w:r>
        <w:rPr>
          <w:rFonts w:ascii="Arial" w:cs="Arial" w:eastAsia="Arial" w:hAnsi="Arial"/>
          <w:sz w:val="16"/>
          <w:szCs w:val="16"/>
          <w:color w:val="auto"/>
        </w:rPr>
        <w:t>” means any individual, corporation, partnership, joint venture, association, joint-stock company, trust, unincorporated organization, limited liability company or government or other entity. Notwithstanding the foregoing, the trust established and maintained for the sole purpose of holding title to the Aircraft and which a Restricted Subsidiary of Wynn Las Vegas is the sole beneficiary thereof shall not be considered a Person for purposes of the Indenture.</w:t>
      </w:r>
    </w:p>
    <w:p>
      <w:pPr>
        <w:spacing w:after="0" w:line="107"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Phase I Land</w:t>
      </w:r>
      <w:r>
        <w:rPr>
          <w:rFonts w:ascii="Arial" w:cs="Arial" w:eastAsia="Arial" w:hAnsi="Arial"/>
          <w:sz w:val="16"/>
          <w:szCs w:val="16"/>
          <w:color w:val="auto"/>
        </w:rPr>
        <w:t>” means that portion of the Project Site described in an exhibit to the Disbursement Agreement, as in effect on the date of the Indenture, together with all improvements thereon and all rights appurtenant thereto on which the Wynn Las Vegas Resort is operated.</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Final Completion</w:t>
      </w:r>
      <w:r>
        <w:rPr>
          <w:rFonts w:ascii="Arial" w:cs="Arial" w:eastAsia="Arial" w:hAnsi="Arial"/>
          <w:sz w:val="18"/>
          <w:szCs w:val="18"/>
          <w:color w:val="auto"/>
        </w:rPr>
        <w:t>” has the meaning given that term in the Disbursement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Final Completion Date</w:t>
      </w:r>
      <w:r>
        <w:rPr>
          <w:rFonts w:ascii="Arial" w:cs="Arial" w:eastAsia="Arial" w:hAnsi="Arial"/>
          <w:sz w:val="18"/>
          <w:szCs w:val="18"/>
          <w:color w:val="auto"/>
        </w:rPr>
        <w:t>” means the date on which Phase II Final Completion occurs.</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Phase II Land</w:t>
      </w:r>
      <w:r>
        <w:rPr>
          <w:rFonts w:ascii="Arial" w:cs="Arial" w:eastAsia="Arial" w:hAnsi="Arial"/>
          <w:sz w:val="16"/>
          <w:szCs w:val="16"/>
          <w:color w:val="auto"/>
        </w:rPr>
        <w:t>” means the approximately 20-acre portion of the Project Site designated as the Phase II Land in the Collateral Documents, together with all improvements thereon and all rights appurtenant thereto on which the Phase II Project will be designed, developed, constructed and operated.</w:t>
      </w:r>
    </w:p>
    <w:p>
      <w:pPr>
        <w:spacing w:after="0" w:line="85"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Project</w:t>
      </w:r>
      <w:r>
        <w:rPr>
          <w:rFonts w:ascii="Arial" w:cs="Arial" w:eastAsia="Arial" w:hAnsi="Arial"/>
          <w:sz w:val="18"/>
          <w:szCs w:val="18"/>
          <w:color w:val="auto"/>
        </w:rPr>
        <w:t>” means the hotel tower, casino facility and retail and convention space to be constructed on the Phase II Land that is part of Wynn Las Vegas and called “Encore at Wynn Las Vegas.”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Project Budget</w:t>
      </w:r>
      <w:r>
        <w:rPr>
          <w:rFonts w:ascii="Arial" w:cs="Arial" w:eastAsia="Arial" w:hAnsi="Arial"/>
          <w:sz w:val="18"/>
          <w:szCs w:val="18"/>
          <w:color w:val="auto"/>
        </w:rPr>
        <w:t>” means the Phase II Project Budget approved in accordance with the Disbursement Agreement.</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Point of Diversion</w:t>
      </w:r>
      <w:r>
        <w:rPr>
          <w:rFonts w:ascii="Arial" w:cs="Arial" w:eastAsia="Arial" w:hAnsi="Arial"/>
          <w:sz w:val="18"/>
          <w:szCs w:val="18"/>
          <w:color w:val="auto"/>
        </w:rPr>
        <w:t>” means, with respect to any water permit, the location designated under such water permit where a well can be located for the draw of water under such water permit.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380"/>
          </w:cols>
          <w:pgMar w:left="240" w:top="459" w:right="27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Presumed Tax Liability</w:t>
      </w:r>
      <w:r>
        <w:rPr>
          <w:rFonts w:ascii="Arial" w:cs="Arial" w:eastAsia="Arial" w:hAnsi="Arial"/>
          <w:sz w:val="18"/>
          <w:szCs w:val="18"/>
          <w:color w:val="auto"/>
        </w:rPr>
        <w:t>” means, for any Person that is not a Pass Through Entity for any period, an amount equal to the product of (a) the Taxable Income allocated or attributable to such Person (directly or through one or more tiers of Pass Through Entities) (net of taxable losses allocated to such Person with respect to Wynn Las Vegas, the Completion Guarantor or any of the Restricted Subsidiaries that (i) are, or were previously, deductible by such Person and (ii) have not previously reduced Taxable Income), and (b) the Presumed Tax Rate.</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Presumed Tax Rate</w:t>
      </w:r>
      <w:r>
        <w:rPr>
          <w:rFonts w:ascii="Arial" w:cs="Arial" w:eastAsia="Arial" w:hAnsi="Arial"/>
          <w:sz w:val="16"/>
          <w:szCs w:val="16"/>
          <w:color w:val="auto"/>
        </w:rPr>
        <w:t>” with respect to any Person for any period means the highest effective combined United States federal, state and local income tax rate applicable during such period to a corporation organized under the laws of the State of Nevada, taxable at the highest marginal United States federal income tax rate and the highest marginal state and local income tax rates to which such Person is subject (after giving effect to the United States federal income tax deduction for such state and local income taxes, taking into account the effects of the alternative minimum tax, such effects being calculated on the assumption that such Person’s only taxable income is the income allocated or attributable to such Person for such period (directly or through one or more tiers of Pass Through Entities) with respect to its equity interest in Wynn Las Vegas, the Completion Guarantor or any of the Restricted Subsidiaries that is a Pass Through Entity). In determining the Presumed Tax Rate, the character of the items of income and gain comprising Taxable Income (e.g. ordinary income or long term capital gain) shall be taken into account.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Primary Note Collateral</w:t>
      </w:r>
      <w:r>
        <w:rPr>
          <w:rFonts w:ascii="Arial" w:cs="Arial" w:eastAsia="Arial" w:hAnsi="Arial"/>
          <w:sz w:val="16"/>
          <w:szCs w:val="16"/>
          <w:color w:val="auto"/>
        </w:rPr>
        <w:t>” means all Collateral together with the proceeds and products thereof (including, without limitation, the proceeds of Asset Sales).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w:t>
      </w:r>
      <w:r>
        <w:rPr>
          <w:rFonts w:ascii="Arial" w:cs="Arial" w:eastAsia="Arial" w:hAnsi="Arial"/>
          <w:sz w:val="18"/>
          <w:szCs w:val="18"/>
          <w:color w:val="auto"/>
        </w:rPr>
        <w:t>” means Stephen A. Wynn.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Lease and Easement Agreements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Golf Course Lease,</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Dealership Lease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Shuttle Easement Agreement,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Access Easement Agreement,</w:t>
      </w:r>
    </w:p>
    <w:p>
      <w:pPr>
        <w:spacing w:after="0" w:line="17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in each case, as amended, modified or otherwise supplemented from time to time in any manner that is not in contravention of the covenant described above under the caption “—Certain Covenants—Amendments to Certain Agreements.”</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Site</w:t>
      </w:r>
      <w:r>
        <w:rPr>
          <w:rFonts w:ascii="Arial" w:cs="Arial" w:eastAsia="Arial" w:hAnsi="Arial"/>
          <w:sz w:val="18"/>
          <w:szCs w:val="18"/>
          <w:color w:val="auto"/>
        </w:rPr>
        <w:t>” means the approximately 235-acre site upon which the Projects are located, together with all easements, licenses and other rights running for the benefit of Wynn Las Vegas or any of the Restricted Subsidiaries and/or appurtenant thereto.</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Projects</w:t>
      </w:r>
      <w:r>
        <w:rPr>
          <w:rFonts w:ascii="Arial" w:cs="Arial" w:eastAsia="Arial" w:hAnsi="Arial"/>
          <w:sz w:val="18"/>
          <w:szCs w:val="18"/>
          <w:color w:val="auto"/>
        </w:rPr>
        <w:t>” means the Wynn Las Vegas Resort and the Phase II Project.</w:t>
      </w:r>
    </w:p>
    <w:p>
      <w:pPr>
        <w:spacing w:after="0" w:line="171"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Qualified Equity Offering</w:t>
      </w:r>
      <w:r>
        <w:rPr>
          <w:rFonts w:ascii="Arial" w:cs="Arial" w:eastAsia="Arial" w:hAnsi="Arial"/>
          <w:sz w:val="16"/>
          <w:szCs w:val="16"/>
          <w:color w:val="auto"/>
        </w:rPr>
        <w:t>” means a bona fide offering of common stock or preferred stock (other than Disqualified Stock) of Wynn Resorts, or of securities convertible into, or exchangeable for, such common stock or preferred stock (other than Disqualified Stock) which results in gross proceeds to Wynn Resorts of at least $50.0 million, to the extent that such gross receipts are contributed as a cash common equity contribution to Wynn Las Vegas.</w:t>
      </w:r>
    </w:p>
    <w:p>
      <w:pPr>
        <w:spacing w:after="0" w:line="107"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Qualifying Project</w:t>
      </w:r>
      <w:r>
        <w:rPr>
          <w:rFonts w:ascii="Arial" w:cs="Arial" w:eastAsia="Arial" w:hAnsi="Arial"/>
          <w:sz w:val="18"/>
          <w:szCs w:val="18"/>
          <w:color w:val="auto"/>
        </w:rPr>
        <w:t>” means the gaming and/or hotel projects of Wynn Resorts and its Subsidiaries which are operating or for which the financing for the development, construction and opening thereof has been obtained. For purposes of this definition, each of the Wynn Las Vegas Resort, the Phase II Project and the Macau Project shall count as separate projects.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Party</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219"/>
        </w:numPr>
        <w:rPr>
          <w:rFonts w:ascii="Arial" w:cs="Arial" w:eastAsia="Arial" w:hAnsi="Arial"/>
          <w:sz w:val="16"/>
          <w:szCs w:val="16"/>
          <w:color w:val="auto"/>
        </w:rPr>
      </w:pPr>
      <w:r>
        <w:rPr>
          <w:rFonts w:ascii="Arial" w:cs="Arial" w:eastAsia="Arial" w:hAnsi="Arial"/>
          <w:sz w:val="16"/>
          <w:szCs w:val="16"/>
          <w:color w:val="auto"/>
        </w:rPr>
        <w:t>any controlling stockholder, 80% (or more) owned Subsidiary, or immediate family member (in the case of an individual) of any Principal; or</w:t>
      </w:r>
    </w:p>
    <w:p>
      <w:pPr>
        <w:spacing w:after="0" w:line="113"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any trust, corporation, partnership, limited liability company or other entity, the beneficiaries, stockholders, partners, members, owners or Persons beneficially holding an 80% or more controlling interest of which consist of the Principal and/or such other Persons referred to in the immediately preceding clause (1) or this clause (2).</w:t>
      </w:r>
    </w:p>
    <w:p>
      <w:pPr>
        <w:spacing w:after="0" w:line="140"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Released Assets</w:t>
      </w:r>
      <w:r>
        <w:rPr>
          <w:rFonts w:ascii="Arial" w:cs="Arial" w:eastAsia="Arial" w:hAnsi="Arial"/>
          <w:sz w:val="18"/>
          <w:szCs w:val="18"/>
          <w:color w:val="auto"/>
        </w:rPr>
        <w:t>” means any item of Collateral for which conditions to its release are expressly set forth in the Indenture or the Collateral Documents (it being understood that conditions incorporated by reference to the Credit Agreement or other documents shall be considered expressly set forth for this purpose), and as to which such conditions have been met, including, subject to meeting the applicable conditions, the Golf Course Land. Any such item of Collateral shall cease to be a Released Asset in the event, and to the extent, that Wynn Las Vegas or any of the Restricted Subsidiaries is required to grant a security interest therein in favor of the trustee to secure the 2017 Notes or a Note Guarantee pursuant to the covenants described above under the captions “—Security—Release of Collateral,” “—Security—Release of Golf Course Land,” “—Security—Release of Homesite Acreage” and “—Security—Release of Portions of the Golf Course Land.”</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Investment</w:t>
      </w:r>
      <w:r>
        <w:rPr>
          <w:rFonts w:ascii="Arial" w:cs="Arial" w:eastAsia="Arial" w:hAnsi="Arial"/>
          <w:sz w:val="18"/>
          <w:szCs w:val="18"/>
          <w:color w:val="auto"/>
        </w:rPr>
        <w:t>” means an Investment other than a Permitted Investment.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means any Subsidiary of Wynn Las Vegas that is not an Unrestricted Subsidiary.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Retail Facility</w:t>
      </w:r>
      <w:r>
        <w:rPr>
          <w:rFonts w:ascii="Arial" w:cs="Arial" w:eastAsia="Arial" w:hAnsi="Arial"/>
          <w:sz w:val="18"/>
          <w:szCs w:val="18"/>
          <w:color w:val="auto"/>
        </w:rPr>
        <w:t>” means an up to approximately 60,000 square foot retail facility adjoining the Projects.</w:t>
      </w:r>
    </w:p>
    <w:p>
      <w:pPr>
        <w:spacing w:after="0" w:line="171"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S&amp;P</w:t>
      </w:r>
      <w:r>
        <w:rPr>
          <w:rFonts w:ascii="Arial" w:cs="Arial" w:eastAsia="Arial" w:hAnsi="Arial"/>
          <w:sz w:val="16"/>
          <w:szCs w:val="16"/>
          <w:color w:val="auto"/>
        </w:rPr>
        <w:t>” means Standard &amp; Poor’s Rating Services, a division of the McGraw Hill Companies, Inc., or any successor to its statistical rating business, except that any reference to a particular rating by S&amp;P shall be deemed to be a reference to the corresponding rating by any such successor.</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Security Agreements</w:t>
      </w:r>
      <w:r>
        <w:rPr>
          <w:rFonts w:ascii="Arial" w:cs="Arial" w:eastAsia="Arial" w:hAnsi="Arial"/>
          <w:sz w:val="18"/>
          <w:szCs w:val="18"/>
          <w:color w:val="auto"/>
        </w:rPr>
        <w:t>” means:</w:t>
      </w:r>
    </w:p>
    <w:p>
      <w:pPr>
        <w:spacing w:after="0" w:line="90" w:lineRule="exact"/>
        <w:rPr>
          <w:sz w:val="20"/>
          <w:szCs w:val="20"/>
          <w:color w:val="auto"/>
        </w:rPr>
      </w:pPr>
    </w:p>
    <w:p>
      <w:pPr>
        <w:ind w:left="460" w:right="420" w:firstLine="443"/>
        <w:spacing w:after="0" w:line="268" w:lineRule="auto"/>
        <w:tabs>
          <w:tab w:leader="none" w:pos="1147"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Pledge and Security Agreement, dated as of December 14, 2004, among the Issuers, the Restricted Subsidiaries, Wynn Holdings and the collateral agent, and</w:t>
      </w:r>
    </w:p>
    <w:p>
      <w:pPr>
        <w:spacing w:after="0" w:line="50" w:lineRule="exact"/>
        <w:rPr>
          <w:rFonts w:ascii="Arial" w:cs="Arial" w:eastAsia="Arial" w:hAnsi="Arial"/>
          <w:sz w:val="18"/>
          <w:szCs w:val="18"/>
          <w:color w:val="auto"/>
        </w:rPr>
      </w:pPr>
    </w:p>
    <w:p>
      <w:pPr>
        <w:ind w:left="460" w:right="140" w:firstLine="443"/>
        <w:spacing w:after="0" w:line="268" w:lineRule="auto"/>
        <w:tabs>
          <w:tab w:leader="none" w:pos="1147"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any other guarantee and collateral agreement entered into by either Issuer or any Restricted Subsidiary from time to time in accordance with the provisions of the Indenture,</w:t>
      </w:r>
    </w:p>
    <w:p>
      <w:pPr>
        <w:spacing w:after="0" w:line="132"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in each case, as amended, modified or otherwise supplemented from time to time in accordance with their respective terms and with the Indenture and the other Collateral Documents.</w:t>
      </w:r>
    </w:p>
    <w:p>
      <w:pPr>
        <w:spacing w:after="0" w:line="132"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Shuttle Easement Agreement</w:t>
      </w:r>
      <w:r>
        <w:rPr>
          <w:rFonts w:ascii="Arial" w:cs="Arial" w:eastAsia="Arial" w:hAnsi="Arial"/>
          <w:sz w:val="18"/>
          <w:szCs w:val="18"/>
          <w:color w:val="auto"/>
        </w:rPr>
        <w:t>” means the Easement Agreement, dated as of December 14, 2004, between Wynn Golf and Wynn Las Vegas, as amended, modified or otherwise supplemented from time to time in any manner that is not in contravention of the covenant described above under the caption “—Certain Covenants—Amendments to Certain Agreements.”</w:t>
      </w:r>
    </w:p>
    <w:p>
      <w:pPr>
        <w:spacing w:after="0" w:line="14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Restricted Subsidiary</w:t>
      </w:r>
      <w:r>
        <w:rPr>
          <w:rFonts w:ascii="Arial" w:cs="Arial" w:eastAsia="Arial" w:hAnsi="Arial"/>
          <w:sz w:val="18"/>
          <w:szCs w:val="18"/>
          <w:color w:val="auto"/>
        </w:rPr>
        <w:t>” means any Restricted Subsidiary of Wynn Las Vegas if it (a) contributes at least 10% of Wynn Las Vegas’ and its Restricted Subsidiaries’ total consolidated income from continuing operations before income taxes, extraordinary items, or (b) owns at least 10% of Wynn Las Vegas’ and its Restricted Subsidiaries’ total assets on a consolidated basis.</w:t>
      </w:r>
    </w:p>
    <w:p>
      <w:pPr>
        <w:spacing w:after="0" w:line="14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Stated Maturity</w:t>
      </w:r>
      <w:r>
        <w:rPr>
          <w:rFonts w:ascii="Arial" w:cs="Arial" w:eastAsia="Arial" w:hAnsi="Arial"/>
          <w:sz w:val="16"/>
          <w:szCs w:val="16"/>
          <w:color w:val="auto"/>
        </w:rPr>
        <w:t>” means, with respect to any installment of interest or principal on any series of Indebtedness, the date on which the payment of interest or principal was scheduled to be paid in the documentation governing such Indebtedness as of the date of the Indenture, and will not include any contingent obligations to repay, redeem or repurchase any such interest or principal prior to the date originally scheduled for the payment thereof.</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400"/>
          </w:cols>
          <w:pgMar w:left="240" w:top="460" w:right="2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Stockholders Agreement</w:t>
      </w:r>
      <w:r>
        <w:rPr>
          <w:rFonts w:ascii="Arial" w:cs="Arial" w:eastAsia="Arial" w:hAnsi="Arial"/>
          <w:sz w:val="18"/>
          <w:szCs w:val="18"/>
          <w:color w:val="auto"/>
        </w:rPr>
        <w:t>” means that certain Stockholders Agreement, dated as of April 11, 2002, by and among Stephen A. Wynn, Baron Asset Fund and Aruze USA, as in effect on the date of the Indenture.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specified Person:</w:t>
      </w:r>
    </w:p>
    <w:p>
      <w:pPr>
        <w:spacing w:after="0" w:line="90" w:lineRule="exact"/>
        <w:rPr>
          <w:sz w:val="20"/>
          <w:szCs w:val="20"/>
          <w:color w:val="auto"/>
        </w:rPr>
      </w:pPr>
    </w:p>
    <w:p>
      <w:pPr>
        <w:ind w:left="460" w:right="180" w:firstLine="443"/>
        <w:spacing w:after="0" w:line="298" w:lineRule="auto"/>
        <w:tabs>
          <w:tab w:leader="none" w:pos="1147" w:val="left"/>
        </w:tabs>
        <w:numPr>
          <w:ilvl w:val="0"/>
          <w:numId w:val="221"/>
        </w:numPr>
        <w:rPr>
          <w:rFonts w:ascii="Arial" w:cs="Arial" w:eastAsia="Arial" w:hAnsi="Arial"/>
          <w:sz w:val="16"/>
          <w:szCs w:val="16"/>
          <w:color w:val="auto"/>
        </w:rPr>
      </w:pPr>
      <w:r>
        <w:rPr>
          <w:rFonts w:ascii="Arial" w:cs="Arial" w:eastAsia="Arial" w:hAnsi="Arial"/>
          <w:sz w:val="16"/>
          <w:szCs w:val="16"/>
          <w:color w:val="auto"/>
        </w:rPr>
        <w:t>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w:t>
      </w:r>
    </w:p>
    <w:p>
      <w:pPr>
        <w:spacing w:after="0" w:line="31" w:lineRule="exact"/>
        <w:rPr>
          <w:rFonts w:ascii="Arial" w:cs="Arial" w:eastAsia="Arial" w:hAnsi="Arial"/>
          <w:sz w:val="16"/>
          <w:szCs w:val="16"/>
          <w:color w:val="auto"/>
        </w:rPr>
      </w:pPr>
    </w:p>
    <w:p>
      <w:pPr>
        <w:ind w:left="460" w:right="20" w:firstLine="443"/>
        <w:spacing w:after="0" w:line="332" w:lineRule="auto"/>
        <w:tabs>
          <w:tab w:leader="none" w:pos="1147" w:val="left"/>
        </w:tabs>
        <w:numPr>
          <w:ilvl w:val="0"/>
          <w:numId w:val="221"/>
        </w:numPr>
        <w:rPr>
          <w:rFonts w:ascii="Arial" w:cs="Arial" w:eastAsia="Arial" w:hAnsi="Arial"/>
          <w:sz w:val="16"/>
          <w:szCs w:val="16"/>
          <w:color w:val="auto"/>
        </w:rPr>
      </w:pPr>
      <w:r>
        <w:rPr>
          <w:rFonts w:ascii="Arial" w:cs="Arial" w:eastAsia="Arial" w:hAnsi="Arial"/>
          <w:sz w:val="16"/>
          <w:szCs w:val="16"/>
          <w:color w:val="auto"/>
        </w:rPr>
        <w:t>any partnership (a) the sole general partner or the managing general partner of which is such Person or a Subsidiary of such Person or (b) the only general partners of which are that Person or one or more Subsidiaries of that Person (or any combination thereof); or</w:t>
      </w:r>
    </w:p>
    <w:p>
      <w:pPr>
        <w:spacing w:after="0" w:line="4" w:lineRule="exact"/>
        <w:rPr>
          <w:rFonts w:ascii="Arial" w:cs="Arial" w:eastAsia="Arial" w:hAnsi="Arial"/>
          <w:sz w:val="16"/>
          <w:szCs w:val="16"/>
          <w:color w:val="auto"/>
        </w:rPr>
      </w:pPr>
    </w:p>
    <w:p>
      <w:pPr>
        <w:ind w:left="460" w:right="560" w:firstLine="443"/>
        <w:spacing w:after="0" w:line="268" w:lineRule="auto"/>
        <w:tabs>
          <w:tab w:leader="none" w:pos="1147"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any limited liability company (a) the manager or managing member of which is such Person or a Subsidiary of such Person or (b) the only members of which are that Person or one or more Subsidiaries of that Person (or any combination thereof).</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Tax Amount</w:t>
      </w:r>
      <w:r>
        <w:rPr>
          <w:rFonts w:ascii="Arial" w:cs="Arial" w:eastAsia="Arial" w:hAnsi="Arial"/>
          <w:sz w:val="16"/>
          <w:szCs w:val="16"/>
          <w:color w:val="auto"/>
        </w:rPr>
        <w:t>” means, with respect to any period, (1) with respect to any of Wynn Las Vegas, the Completion Guarantor or any of the Restricted Subsidiaries that is a Pass Through Entity and in the case of any direct or indirect Subsidiary of any of Wynn Las Vegas, the Completion Guarantor or any of the Restricted Subsidiaries that is a Pass Through Entity, the Presumed Tax Liability of such direct or indirect Subsidiary, and (2) with respect to any of Wynn Las Vegas, the Completion Guarantor or any of their respective subsidiaries that are Consolidated Members, the aggregate United States federal income tax liability such Persons would owe for such period if each was a corporation filing United States federal income tax returns on a stand alone basis at all times during its existence and, if any of the Consolidated Members files a consolidated or combined state income tax return such that it is not paying its own state income taxes, then Tax Amount shall also include the aggregate state income tax liability such Consolidated Members would have paid for such period if each was a corporation filing state income tax returns on a stand alone basis at all times during its existence.</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Taxable Income</w:t>
      </w:r>
      <w:r>
        <w:rPr>
          <w:rFonts w:ascii="Arial" w:cs="Arial" w:eastAsia="Arial" w:hAnsi="Arial"/>
          <w:sz w:val="18"/>
          <w:szCs w:val="18"/>
          <w:color w:val="auto"/>
        </w:rPr>
        <w:t>” means, with respect to any Person for any period, the taxable income, if any, of such Person for such period for United States federal income tax purposes as a result of such Person’s equity ownership of Wynn Las Vegas, the Completion Guarantor or any of the Restricted Subsidiaries that are Pass Through Entities for such period, so long as all items of income, gain, loss or deduction required to be stated separately pursuant to Section 703(a)(1) of the Code are included in taxable income or loss.</w:t>
      </w:r>
    </w:p>
    <w:p>
      <w:pPr>
        <w:spacing w:after="0" w:line="14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Tax Indemnification Agreement</w:t>
      </w:r>
      <w:r>
        <w:rPr>
          <w:rFonts w:ascii="Arial" w:cs="Arial" w:eastAsia="Arial" w:hAnsi="Arial"/>
          <w:sz w:val="16"/>
          <w:szCs w:val="16"/>
          <w:color w:val="auto"/>
        </w:rPr>
        <w:t>” means the Tax Indemnification Agreement, dated as of September 24, 2002, among Wynn Resorts, Valvino Lamore, Stephen A. Wynn, Aruze USA, Baron Asset Fund, a Massachusetts business trust, on behalf of the Baron Asset Fund Series, Baron Asset Fund, a Massachusetts business trust, on behalf of the Baron Growth Fund Series, and Kenneth R. Wynn Family Trust dated February 20, 1985.</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2014 Notes</w:t>
      </w:r>
      <w:r>
        <w:rPr>
          <w:rFonts w:ascii="Arial" w:cs="Arial" w:eastAsia="Arial" w:hAnsi="Arial"/>
          <w:sz w:val="18"/>
          <w:szCs w:val="18"/>
          <w:color w:val="auto"/>
        </w:rPr>
        <w:t xml:space="preserve">” means the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2014 issued by the Issuers.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2020 Notes</w:t>
      </w:r>
      <w:r>
        <w:rPr>
          <w:rFonts w:ascii="Arial" w:cs="Arial" w:eastAsia="Arial" w:hAnsi="Arial"/>
          <w:sz w:val="18"/>
          <w:szCs w:val="18"/>
          <w:color w:val="auto"/>
        </w:rPr>
        <w:t xml:space="preserve">” means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2020 issued by the Issuers.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UEC</w:t>
      </w:r>
      <w:r>
        <w:rPr>
          <w:rFonts w:ascii="Arial" w:cs="Arial" w:eastAsia="Arial" w:hAnsi="Arial"/>
          <w:sz w:val="18"/>
          <w:szCs w:val="18"/>
          <w:color w:val="auto"/>
        </w:rPr>
        <w:t>” means Universal Entertainment Corporation, a Japanese public corporation.</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Unrestricted Subsidiary</w:t>
      </w:r>
      <w:r>
        <w:rPr>
          <w:rFonts w:ascii="Arial" w:cs="Arial" w:eastAsia="Arial" w:hAnsi="Arial"/>
          <w:sz w:val="16"/>
          <w:szCs w:val="16"/>
          <w:color w:val="auto"/>
        </w:rPr>
        <w:t>” means Wynn Completion Guarantor, LLC and any other Subsidiary of Wynn Las Vegas, other than Wynn Capital, that is designated by the Board of Directors of Wynn Capital as an Unrestricted Subsidiary pursuant to a resolution of the Board of Directors (and any Subsidiary of each such Unrestricted Subsidiary), but only to the extent that such Subsidiary of Wynn Las Vegas (other than the Completion Guarantor):</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420"/>
          </w:cols>
          <w:pgMar w:left="240" w:top="460"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has no Indebtedness other than Non-Recourse Debt;</w:t>
      </w:r>
    </w:p>
    <w:p>
      <w:pPr>
        <w:spacing w:after="0" w:line="90" w:lineRule="exact"/>
        <w:rPr>
          <w:rFonts w:ascii="Arial" w:cs="Arial" w:eastAsia="Arial" w:hAnsi="Arial"/>
          <w:sz w:val="18"/>
          <w:szCs w:val="18"/>
          <w:color w:val="auto"/>
        </w:rPr>
      </w:pPr>
    </w:p>
    <w:p>
      <w:pPr>
        <w:ind w:left="460" w:right="80" w:firstLine="443"/>
        <w:spacing w:after="0" w:line="294" w:lineRule="auto"/>
        <w:tabs>
          <w:tab w:leader="none" w:pos="1147" w:val="left"/>
        </w:tabs>
        <w:numPr>
          <w:ilvl w:val="0"/>
          <w:numId w:val="222"/>
        </w:numPr>
        <w:rPr>
          <w:rFonts w:ascii="Arial" w:cs="Arial" w:eastAsia="Arial" w:hAnsi="Arial"/>
          <w:sz w:val="16"/>
          <w:szCs w:val="16"/>
          <w:color w:val="auto"/>
        </w:rPr>
      </w:pPr>
      <w:r>
        <w:rPr>
          <w:rFonts w:ascii="Arial" w:cs="Arial" w:eastAsia="Arial" w:hAnsi="Arial"/>
          <w:sz w:val="16"/>
          <w:szCs w:val="16"/>
          <w:color w:val="auto"/>
        </w:rPr>
        <w:t>is not party to any agreement, contract, arrangement or understanding with either Issuer, any Restricted Subsidiary or any Guarantor unless the terms of any such agreement, contract, arrangement or understanding are no less favorable to such Person than those that (a) might be obtained at the time from Persons who are not Affiliates of such Person, (b) are Permitted Investments or transactions permitted as Restricted Payments under the covenant described above under the caption “—Certain Covenants—Restricted Payments,” or (c) are Affiliate Transactions permitted under the covenant described above under the caption “—Certain Covenants—Transactions with Affiliates;”</w:t>
      </w:r>
    </w:p>
    <w:p>
      <w:pPr>
        <w:spacing w:after="0" w:line="34" w:lineRule="exact"/>
        <w:rPr>
          <w:rFonts w:ascii="Arial" w:cs="Arial" w:eastAsia="Arial" w:hAnsi="Arial"/>
          <w:sz w:val="16"/>
          <w:szCs w:val="16"/>
          <w:color w:val="auto"/>
        </w:rPr>
      </w:pPr>
    </w:p>
    <w:p>
      <w:pPr>
        <w:ind w:left="460" w:right="200" w:firstLine="443"/>
        <w:spacing w:after="0" w:line="259" w:lineRule="auto"/>
        <w:tabs>
          <w:tab w:leader="none" w:pos="1147" w:val="left"/>
        </w:tabs>
        <w:numPr>
          <w:ilvl w:val="0"/>
          <w:numId w:val="222"/>
        </w:numPr>
        <w:rPr>
          <w:rFonts w:ascii="Arial" w:cs="Arial" w:eastAsia="Arial" w:hAnsi="Arial"/>
          <w:sz w:val="18"/>
          <w:szCs w:val="18"/>
          <w:color w:val="auto"/>
        </w:rPr>
      </w:pPr>
      <w:r>
        <w:rPr>
          <w:rFonts w:ascii="Arial" w:cs="Arial" w:eastAsia="Arial" w:hAnsi="Arial"/>
          <w:sz w:val="18"/>
          <w:szCs w:val="18"/>
          <w:color w:val="auto"/>
        </w:rPr>
        <w:t>is a Person with respect to which neither Issuer, nor any Restricted Subsidiary, nor any Guarantor has any direct or indirect obligation (a) to subscribe for additional Equity Interests or (b) to maintain or preserve such Person’s financial condition or to cause such Person to achieve any specified levels of operating results;</w:t>
      </w:r>
    </w:p>
    <w:p>
      <w:pPr>
        <w:spacing w:after="0" w:line="59" w:lineRule="exact"/>
        <w:rPr>
          <w:rFonts w:ascii="Arial" w:cs="Arial" w:eastAsia="Arial" w:hAnsi="Arial"/>
          <w:sz w:val="18"/>
          <w:szCs w:val="18"/>
          <w:color w:val="auto"/>
        </w:rPr>
      </w:pPr>
    </w:p>
    <w:p>
      <w:pPr>
        <w:ind w:left="460" w:right="140" w:firstLine="443"/>
        <w:spacing w:after="0" w:line="268" w:lineRule="auto"/>
        <w:tabs>
          <w:tab w:leader="none" w:pos="1147" w:val="left"/>
        </w:tabs>
        <w:numPr>
          <w:ilvl w:val="0"/>
          <w:numId w:val="222"/>
        </w:numPr>
        <w:rPr>
          <w:rFonts w:ascii="Arial" w:cs="Arial" w:eastAsia="Arial" w:hAnsi="Arial"/>
          <w:sz w:val="18"/>
          <w:szCs w:val="18"/>
          <w:color w:val="auto"/>
        </w:rPr>
      </w:pPr>
      <w:r>
        <w:rPr>
          <w:rFonts w:ascii="Arial" w:cs="Arial" w:eastAsia="Arial" w:hAnsi="Arial"/>
          <w:sz w:val="18"/>
          <w:szCs w:val="18"/>
          <w:color w:val="auto"/>
        </w:rPr>
        <w:t>has not guaranteed or otherwise directly or indirectly provided credit support for any Indebtedness of either Issuer, any Restricted Subsidiary or any Guarantor; and</w:t>
      </w:r>
    </w:p>
    <w:p>
      <w:pPr>
        <w:spacing w:after="0" w:line="50" w:lineRule="exact"/>
        <w:rPr>
          <w:rFonts w:ascii="Arial" w:cs="Arial" w:eastAsia="Arial" w:hAnsi="Arial"/>
          <w:sz w:val="18"/>
          <w:szCs w:val="18"/>
          <w:color w:val="auto"/>
        </w:rPr>
      </w:pPr>
    </w:p>
    <w:p>
      <w:pPr>
        <w:jc w:val="both"/>
        <w:ind w:left="460" w:right="440" w:firstLine="443"/>
        <w:spacing w:after="0" w:line="370" w:lineRule="auto"/>
        <w:tabs>
          <w:tab w:leader="none" w:pos="1147" w:val="left"/>
        </w:tabs>
        <w:numPr>
          <w:ilvl w:val="0"/>
          <w:numId w:val="222"/>
        </w:numPr>
        <w:rPr>
          <w:rFonts w:ascii="Arial" w:cs="Arial" w:eastAsia="Arial" w:hAnsi="Arial"/>
          <w:sz w:val="15"/>
          <w:szCs w:val="15"/>
          <w:color w:val="auto"/>
        </w:rPr>
      </w:pPr>
      <w:r>
        <w:rPr>
          <w:rFonts w:ascii="Arial" w:cs="Arial" w:eastAsia="Arial" w:hAnsi="Arial"/>
          <w:sz w:val="15"/>
          <w:szCs w:val="15"/>
          <w:color w:val="auto"/>
        </w:rPr>
        <w:t>has at least one director on its Board of Directors that is not a director or executive officer of either Issuer, any Restricted Subsidiary or any Guarantor and has at least one executive officer that is not a director or executive officer of either Issuer, any Restricted Subsidiary or any Guarantor.</w:t>
      </w:r>
    </w:p>
    <w:p>
      <w:pPr>
        <w:spacing w:after="0" w:line="6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Any designation of a Subsidiary of Wynn Las Vegas as an Unrestricted Subsidiary will be evidenced to the trustee by filing with the trustee a certified copy of the resolution of Wynn Capital’s Board of Directors giving effect to such designation and an officers’ certificate certifying that such designation complied with the preceding conditions and was permitted by the covenant described above under the caption “—Certain Covenants—Restricted Payments.” If, at any time, any Unrestricted Subsidiary of Wynn Las Vegas would fail to meet the preceding requirements as an Unrestricted Subsidiary, it shall thereafter cease to be an Unrestricted Subsidiary of Wynn Las Vegas for purposes of the Indenture and any Indebtedness of such Subsidiary shall be deemed to be incurred by a Restricted Subsidiary of Wynn Las Vegas as of such date and, if such Indebtedness is not permitted to be incurred as of such date under the covenant described above under the caption “—Certain Covenants—Incurrence of Indebtedness and Issuance of Disqualified Stock,” Wynn Las Vegas shall be in default of such covenant. The Board of Directors of Wynn Capital may, at any time, designate any Unrestricted Subsidiary of Wynn Las Vegas to be a Restricted Subsidiary. Such designation shall be deemed to be an incurrence of Indebtedness by a Restricted Subsidiary of any outstanding Indebtedness of such Unrestricted Subsidiary and such designation shall only be permitted if (1) such Indebtedness is permitted under the covenant described above under the caption “—Certain Covenants— Incurrence of Indebtedness and Issuance of Disqualified Stock,” calculated on a pro forma basis as if such designation had occurred at the beginning of the four-quarter reference period and (2) no Default or Event of Default would be in existence following such designation.</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Valvino Lamore</w:t>
      </w:r>
      <w:r>
        <w:rPr>
          <w:rFonts w:ascii="Arial" w:cs="Arial" w:eastAsia="Arial" w:hAnsi="Arial"/>
          <w:sz w:val="18"/>
          <w:szCs w:val="18"/>
          <w:color w:val="auto"/>
        </w:rPr>
        <w:t>” means Valvino Lamore, LLC, a Nevada limited liability company.</w:t>
      </w:r>
    </w:p>
    <w:p>
      <w:pPr>
        <w:spacing w:after="0" w:line="171"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of any Person as of any date means the Capital Stock of such Person that is at the time entitled to vote in the election of the Board of Directors of such Person.</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Water Rights</w:t>
      </w:r>
      <w:r>
        <w:rPr>
          <w:rFonts w:ascii="Arial" w:cs="Arial" w:eastAsia="Arial" w:hAnsi="Arial"/>
          <w:sz w:val="18"/>
          <w:szCs w:val="18"/>
          <w:color w:val="auto"/>
        </w:rPr>
        <w:t>” means, (1) with respect to any Person, all of such Person’s right, title and interest in and to any water stock, permits or entitlements and any other water rights related to or appurtenant to property owned or leased by such Person, and (2) with respect to any property, any water stock, permits or entitlements and any other water rights related to or appurtenant to such property.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380"/>
          </w:cols>
          <w:pgMar w:left="240" w:top="459" w:right="27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Weighted Average Life to Maturity</w:t>
      </w:r>
      <w:r>
        <w:rPr>
          <w:rFonts w:ascii="Arial" w:cs="Arial" w:eastAsia="Arial" w:hAnsi="Arial"/>
          <w:sz w:val="18"/>
          <w:szCs w:val="18"/>
          <w:color w:val="auto"/>
        </w:rPr>
        <w:t>” means, when applied to any Indebtedness at any date, the number of years obtained by dividing:</w:t>
      </w:r>
    </w:p>
    <w:p>
      <w:pPr>
        <w:spacing w:after="0" w:line="90" w:lineRule="exact"/>
        <w:rPr>
          <w:sz w:val="20"/>
          <w:szCs w:val="20"/>
          <w:color w:val="auto"/>
        </w:rPr>
      </w:pPr>
    </w:p>
    <w:p>
      <w:pPr>
        <w:jc w:val="both"/>
        <w:ind w:left="460" w:firstLine="443"/>
        <w:spacing w:after="0" w:line="259" w:lineRule="auto"/>
        <w:tabs>
          <w:tab w:leader="none" w:pos="1147"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sum of the products obtained by multiplying (a) the amount of each then remaining installment, sinking fund, serial maturity or other required payments of principal, including payment at final maturity, in respect of the Indebtedness, by (b) the number of years (calculated to the nearest one-twelfth) that will elapse between such date and the making of such payment; by</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then outstanding principal amount of such Indebtedness.</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Wholly Owned Restricted Subsidiary</w:t>
      </w:r>
      <w:r>
        <w:rPr>
          <w:rFonts w:ascii="Arial" w:cs="Arial" w:eastAsia="Arial" w:hAnsi="Arial"/>
          <w:sz w:val="18"/>
          <w:szCs w:val="18"/>
          <w:color w:val="auto"/>
        </w:rPr>
        <w:t>” of any specified Person means a Restricted Subsidiary of such Person all of the outstanding Capital Stock or other ownership interests of which (other than directors’ qualifying shares) will at the time be owned by such Person or by one or more Wholly Owned Restricted Subsidiaries of such Person.</w:t>
      </w:r>
    </w:p>
    <w:p>
      <w:pPr>
        <w:spacing w:after="0" w:line="14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Wholly Owned Subsidiary</w:t>
      </w:r>
      <w:r>
        <w:rPr>
          <w:rFonts w:ascii="Arial" w:cs="Arial" w:eastAsia="Arial" w:hAnsi="Arial"/>
          <w:sz w:val="16"/>
          <w:szCs w:val="16"/>
          <w:color w:val="auto"/>
        </w:rPr>
        <w:t>” of any specified Person means a Subsidiary of such Person all of the outstanding Capital Stock or other ownership interests of which (other than directors’ qualifying shares) shall at the time be owned by such Person or by one or more Wholly Owned Subsidiaries of such Person.</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Capital</w:t>
      </w:r>
      <w:r>
        <w:rPr>
          <w:rFonts w:ascii="Arial" w:cs="Arial" w:eastAsia="Arial" w:hAnsi="Arial"/>
          <w:sz w:val="18"/>
          <w:szCs w:val="18"/>
          <w:color w:val="auto"/>
        </w:rPr>
        <w:t>” means Wynn Las Vegas Capital Corp., a Nevada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Design</w:t>
      </w:r>
      <w:r>
        <w:rPr>
          <w:rFonts w:ascii="Arial" w:cs="Arial" w:eastAsia="Arial" w:hAnsi="Arial"/>
          <w:sz w:val="18"/>
          <w:szCs w:val="18"/>
          <w:color w:val="auto"/>
        </w:rPr>
        <w:t>” means Wynn Design &amp; Development, LLC, a Nevada limited liability company.</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Design Agreement</w:t>
      </w:r>
      <w:r>
        <w:rPr>
          <w:rFonts w:ascii="Arial" w:cs="Arial" w:eastAsia="Arial" w:hAnsi="Arial"/>
          <w:sz w:val="18"/>
          <w:szCs w:val="18"/>
          <w:color w:val="auto"/>
        </w:rPr>
        <w:t>” means the Amended and Restated Project Administrative Services Agreement, dated as of December 14, 2004, between Wynn Las Vegas and Wynn Design, as amended, modified or otherwise supplemented from time to time in any manner that is not in contravention of the covenant described above under the caption “—Certain Covenants—Amendments to Certain Agreements.”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Golf</w:t>
      </w:r>
      <w:r>
        <w:rPr>
          <w:rFonts w:ascii="Arial" w:cs="Arial" w:eastAsia="Arial" w:hAnsi="Arial"/>
          <w:sz w:val="18"/>
          <w:szCs w:val="18"/>
          <w:color w:val="auto"/>
        </w:rPr>
        <w:t>” means Wynn Golf, LLC, a Nevada limited liability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Holdings</w:t>
      </w:r>
      <w:r>
        <w:rPr>
          <w:rFonts w:ascii="Arial" w:cs="Arial" w:eastAsia="Arial" w:hAnsi="Arial"/>
          <w:sz w:val="18"/>
          <w:szCs w:val="18"/>
          <w:color w:val="auto"/>
        </w:rPr>
        <w:t>” means Wynn Resorts Holdings, LLC, a Nevada limited liability company.</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Home Site Land</w:t>
      </w:r>
      <w:r>
        <w:rPr>
          <w:rFonts w:ascii="Arial" w:cs="Arial" w:eastAsia="Arial" w:hAnsi="Arial"/>
          <w:sz w:val="18"/>
          <w:szCs w:val="18"/>
          <w:color w:val="auto"/>
        </w:rPr>
        <w:t>” means an approximately two acre tract of land located on the Golf Course Land where a personal residence for Stephen A. Wynn may be built, after the release of the Trustee’s Liens (for the benefit of the Holders) thereon in accordance with the covenant described above under the caption “—Security—Release of Homesite Acreage.”</w:t>
      </w:r>
    </w:p>
    <w:p>
      <w:pPr>
        <w:spacing w:after="0" w:line="14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IP Agreement</w:t>
      </w:r>
      <w:r>
        <w:rPr>
          <w:rFonts w:ascii="Arial" w:cs="Arial" w:eastAsia="Arial" w:hAnsi="Arial"/>
          <w:sz w:val="18"/>
          <w:szCs w:val="18"/>
          <w:color w:val="auto"/>
        </w:rPr>
        <w:t>” means the Intellectual Property License Agreement, dated as of December 14, 2004, among Wynn Resorts, Wynn Holdings and Wynn Las Vegas.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Las Vegas</w:t>
      </w:r>
      <w:r>
        <w:rPr>
          <w:rFonts w:ascii="Arial" w:cs="Arial" w:eastAsia="Arial" w:hAnsi="Arial"/>
          <w:sz w:val="18"/>
          <w:szCs w:val="18"/>
          <w:color w:val="auto"/>
        </w:rPr>
        <w:t>” means Wynn Las Vegas, LLC, a Nevada limited liability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Las Vegas Resort</w:t>
      </w:r>
      <w:r>
        <w:rPr>
          <w:rFonts w:ascii="Arial" w:cs="Arial" w:eastAsia="Arial" w:hAnsi="Arial"/>
          <w:sz w:val="18"/>
          <w:szCs w:val="18"/>
          <w:color w:val="auto"/>
        </w:rPr>
        <w:t>” means the Wynn Las Vegas hotel and casino resort.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Resorts</w:t>
      </w:r>
      <w:r>
        <w:rPr>
          <w:rFonts w:ascii="Arial" w:cs="Arial" w:eastAsia="Arial" w:hAnsi="Arial"/>
          <w:sz w:val="18"/>
          <w:szCs w:val="18"/>
          <w:color w:val="auto"/>
        </w:rPr>
        <w:t>” means Wynn Resorts, Limited, a Nevada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Show Performers</w:t>
      </w:r>
      <w:r>
        <w:rPr>
          <w:rFonts w:ascii="Arial" w:cs="Arial" w:eastAsia="Arial" w:hAnsi="Arial"/>
          <w:sz w:val="18"/>
          <w:szCs w:val="18"/>
          <w:color w:val="auto"/>
        </w:rPr>
        <w:t>” means Wynn Show Performers, LLC, a Nevada limited liability company.</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400"/>
          </w:cols>
          <w:pgMar w:left="240" w:top="459" w:right="2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NEW 2020 NOTES</w:t>
      </w:r>
    </w:p>
    <w:p>
      <w:pPr>
        <w:spacing w:after="0" w:line="17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this description: (1) the words “Wynn Las Vegas” refer to Wynn Las Vegas, LLC and not to any of its subsidiaries, (2) the words “Wynn Capital” refer to Wynn Las Vegas Capital Corp. and not to any of its subsidiaries, (3) the word “Issuers” refers collectively to Wynn Las Vegas and Wynn Capital and not to any of their respective subsidiaries, and (4) the words “we,” “us” and “our” refer to Wynn Las Vegas and its subsidiaries. You can find the definitions of certain terms used in this description under the subheading “Certain Definitions.” The Issuers will issue the new 2020 notes under an indenture (the “Indenture”), dated as of April 28, 2010, among the Issuers, as joint and several obligors, the Guarantors and U.S. Bank National Association, as trustee (the “trustee”). This is the same indenture under which the old 2020 notes were issued. The terms of the new 2020 notes will include those stated in the Indenture and those made part of the Indenture by reference to the Trust Indenture Act of 1939, as amended. The Collateral Documents referred to under the caption “—Security” define the terms of the collateral that will secure the new 2020 Notes and the Note Guarantees. The term “2020 Notes” shall also include the new 2020 notes and the old 2020 notes and the term “Note Guarantees” shall also include the guarantees of the new 2020 notes and the guarantees of the old 2020 notes.</w:t>
      </w:r>
    </w:p>
    <w:p>
      <w:pPr>
        <w:spacing w:after="0" w:line="120" w:lineRule="exact"/>
        <w:rPr>
          <w:sz w:val="20"/>
          <w:szCs w:val="20"/>
          <w:color w:val="auto"/>
        </w:rPr>
      </w:pPr>
    </w:p>
    <w:p>
      <w:pPr>
        <w:jc w:val="both"/>
        <w:ind w:right="240" w:firstLine="456"/>
        <w:spacing w:after="0" w:line="298" w:lineRule="auto"/>
        <w:rPr>
          <w:sz w:val="20"/>
          <w:szCs w:val="20"/>
          <w:color w:val="auto"/>
        </w:rPr>
      </w:pPr>
      <w:r>
        <w:rPr>
          <w:rFonts w:ascii="Arial" w:cs="Arial" w:eastAsia="Arial" w:hAnsi="Arial"/>
          <w:sz w:val="16"/>
          <w:szCs w:val="16"/>
          <w:color w:val="auto"/>
        </w:rPr>
        <w:t>The following description is a summary of the material provisions of the Indenture and the Collateral Documents. It does not restate those agreements in their entirety. We urge you to read the Indenture and the Collateral Documents because they, and not this description, define your rights as holders of the 2020 Notes. Copies of the Indenture and the Collateral Documents are available as set forth below under “—Additional Information.” Certain defined terms used in this description but not defined below under “—Certain Definitions” have the meanings assigned to them in the Indenture.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registered holder of a 2020 Note will be treated as the owner of it for all purposes. Only registered holders will have rights under the Indenture.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New 2020 Notes Versus the Old 2020 Notes</w:t>
      </w:r>
    </w:p>
    <w:p>
      <w:pPr>
        <w:spacing w:after="0" w:line="96"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The new 2020 notes are substantially identical to the old 2020 notes except that the transfer restrictions, registration rights and liquidated damages provisions relating to the old 2020 notes do not apply to the new 2020 notes.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Brief Description of the 2020 Notes and the Note Guarantees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The Issuers. </w:t>
      </w:r>
      <w:r>
        <w:rPr>
          <w:rFonts w:ascii="Arial" w:cs="Arial" w:eastAsia="Arial" w:hAnsi="Arial"/>
          <w:sz w:val="16"/>
          <w:szCs w:val="16"/>
          <w:color w:val="auto"/>
        </w:rPr>
        <w:t>Wynn Las Vegas owns and operates the Wynn Las Vegas hotel and casino resort. Wynn Capital is a Wholly Owned Subsidiary of Wynn Las</w:t>
      </w:r>
      <w:r>
        <w:rPr>
          <w:rFonts w:ascii="Arial" w:cs="Arial" w:eastAsia="Arial" w:hAnsi="Arial"/>
          <w:sz w:val="16"/>
          <w:szCs w:val="16"/>
          <w:i w:val="1"/>
          <w:iCs w:val="1"/>
          <w:color w:val="auto"/>
        </w:rPr>
        <w:t xml:space="preserve"> </w:t>
      </w:r>
      <w:r>
        <w:rPr>
          <w:rFonts w:ascii="Arial" w:cs="Arial" w:eastAsia="Arial" w:hAnsi="Arial"/>
          <w:sz w:val="16"/>
          <w:szCs w:val="16"/>
          <w:color w:val="auto"/>
        </w:rPr>
        <w:t>Vegas, and will serve as a corporate co-issuer of the 2020 Notes in order to facilitate the exchange offer. We believe that certain prospective investors in the new 2020 notes may be restricted in their ability to purchase debt securities of limited liability companies, such as Wynn Las Vegas, unless the debt securities are jointly issued by a corporation. Wynn Capital does not have any operations or material assets and does not have any revenues. As a result, prospective investors in the new 2020 notes should not expect Wynn Capital to participate in servicing principal, interest or other amounts required to be paid on the new 2020 notes.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Terms</w:t>
      </w:r>
      <w:r>
        <w:rPr>
          <w:rFonts w:ascii="Arial" w:cs="Arial" w:eastAsia="Arial" w:hAnsi="Arial"/>
          <w:sz w:val="18"/>
          <w:szCs w:val="18"/>
          <w:color w:val="auto"/>
        </w:rPr>
        <w:t>. The new 2020 notes:</w:t>
      </w:r>
    </w:p>
    <w:p>
      <w:pPr>
        <w:spacing w:after="0" w:line="90" w:lineRule="exact"/>
        <w:rPr>
          <w:sz w:val="20"/>
          <w:szCs w:val="20"/>
          <w:color w:val="auto"/>
        </w:rPr>
      </w:pPr>
    </w:p>
    <w:p>
      <w:pPr>
        <w:ind w:left="900" w:hanging="446"/>
        <w:spacing w:after="0"/>
        <w:tabs>
          <w:tab w:leader="none" w:pos="90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will be first mortgage notes, issued in an original aggregate principal amount of up to $382,010,000;</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will mature on May 1, 2020;</w:t>
      </w:r>
    </w:p>
    <w:p>
      <w:pPr>
        <w:spacing w:after="0" w:line="90"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 xml:space="preserve">will bear interest at the rate of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per annum (based on a 360-day year of twelve 30-day months) which will accrue from the issue date of the 2020 Notes offered hereby, payable in arrears each November 1 and May 1;</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will be redeemable at our option, in whole or in part, commencing May 1, 2015, at a premium declining ratably to par;</w:t>
      </w:r>
    </w:p>
    <w:p>
      <w:pPr>
        <w:spacing w:after="0" w:line="90" w:lineRule="exact"/>
        <w:rPr>
          <w:rFonts w:ascii="Arial" w:cs="Arial" w:eastAsia="Arial" w:hAnsi="Arial"/>
          <w:sz w:val="18"/>
          <w:szCs w:val="18"/>
          <w:color w:val="auto"/>
        </w:rPr>
      </w:pPr>
    </w:p>
    <w:p>
      <w:pPr>
        <w:ind w:left="900" w:right="80" w:hanging="446"/>
        <w:spacing w:after="0" w:line="259" w:lineRule="auto"/>
        <w:tabs>
          <w:tab w:leader="none" w:pos="90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will not be redeemable at the option of the holder, except pursuant to a repurchase offer upon the occurrence of a Change of Control or pursuant to a repurchase offer to the extent of specified net proceeds upon the occurrence of an Asset Sale or Event of Loss, and will not have any provision for sinking funds; and</w:t>
      </w:r>
    </w:p>
    <w:p>
      <w:pPr>
        <w:spacing w:after="0" w:line="59" w:lineRule="exact"/>
        <w:rPr>
          <w:rFonts w:ascii="Arial" w:cs="Arial" w:eastAsia="Arial" w:hAnsi="Arial"/>
          <w:sz w:val="18"/>
          <w:szCs w:val="18"/>
          <w:color w:val="auto"/>
        </w:rPr>
      </w:pPr>
    </w:p>
    <w:p>
      <w:pPr>
        <w:ind w:left="900" w:right="200" w:hanging="446"/>
        <w:spacing w:after="0" w:line="306" w:lineRule="auto"/>
        <w:tabs>
          <w:tab w:leader="none" w:pos="900" w:val="left"/>
        </w:tabs>
        <w:numPr>
          <w:ilvl w:val="0"/>
          <w:numId w:val="225"/>
        </w:numPr>
        <w:rPr>
          <w:rFonts w:ascii="Arial" w:cs="Arial" w:eastAsia="Arial" w:hAnsi="Arial"/>
          <w:sz w:val="16"/>
          <w:szCs w:val="16"/>
          <w:color w:val="auto"/>
        </w:rPr>
      </w:pPr>
      <w:r>
        <w:rPr>
          <w:rFonts w:ascii="Arial" w:cs="Arial" w:eastAsia="Arial" w:hAnsi="Arial"/>
          <w:sz w:val="16"/>
          <w:szCs w:val="16"/>
          <w:color w:val="auto"/>
        </w:rPr>
        <w:t>will contain covenants limiting our ability to incur additional debt, make distributions, investments and restricted payments, create liens, enter into transactions with affiliates, sell assets, enter into sale-leaseback transactions, and restricting dividend and other payments affecting subsidiaries, mergers, consolidations or sales of substantially all assets, sales of subsidiary stock and other specified types of transactions.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The Guarantors</w:t>
      </w:r>
      <w:r>
        <w:rPr>
          <w:rFonts w:ascii="Arial" w:cs="Arial" w:eastAsia="Arial" w:hAnsi="Arial"/>
          <w:sz w:val="18"/>
          <w:szCs w:val="18"/>
          <w:color w:val="auto"/>
        </w:rPr>
        <w:t>. The new 2020 notes will be guaranteed by all of the Domestic Subsidiaries other than the Completion Guarantor.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Security and Ranking</w:t>
      </w:r>
      <w:r>
        <w:rPr>
          <w:rFonts w:ascii="Arial" w:cs="Arial" w:eastAsia="Arial" w:hAnsi="Arial"/>
          <w:sz w:val="18"/>
          <w:szCs w:val="18"/>
          <w:color w:val="auto"/>
        </w:rPr>
        <w:t>. The new 2020 notes and the Note Guarantees offered hereby:</w:t>
      </w:r>
    </w:p>
    <w:p>
      <w:pPr>
        <w:spacing w:after="0" w:line="90" w:lineRule="exact"/>
        <w:rPr>
          <w:sz w:val="20"/>
          <w:szCs w:val="20"/>
          <w:color w:val="auto"/>
        </w:rPr>
      </w:pPr>
    </w:p>
    <w:p>
      <w:pPr>
        <w:ind w:left="900" w:hanging="446"/>
        <w:spacing w:after="0"/>
        <w:tabs>
          <w:tab w:leader="none" w:pos="90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will be general obligations of the Issuers and the Guarantors, respectively;</w:t>
      </w:r>
    </w:p>
    <w:p>
      <w:pPr>
        <w:spacing w:after="0" w:line="90" w:lineRule="exact"/>
        <w:rPr>
          <w:rFonts w:ascii="Arial" w:cs="Arial" w:eastAsia="Arial" w:hAnsi="Arial"/>
          <w:sz w:val="18"/>
          <w:szCs w:val="18"/>
          <w:color w:val="auto"/>
        </w:rPr>
      </w:pPr>
    </w:p>
    <w:p>
      <w:pPr>
        <w:ind w:left="900" w:right="200" w:hanging="446"/>
        <w:spacing w:after="0" w:line="286" w:lineRule="auto"/>
        <w:tabs>
          <w:tab w:leader="none" w:pos="90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will be secured, in the case of the 2020 Notes, by a perfected first priority lien on (1) substantially all of the existing and future assets of Wynn Las Vegas other than gaming and liquor licenses and other assets in which the grant of a security interest is restricted by their terms or by law, and</w:t>
      </w:r>
    </w:p>
    <w:p>
      <w:pPr>
        <w:ind w:left="900"/>
        <w:spacing w:after="0"/>
        <w:rPr>
          <w:rFonts w:ascii="Arial" w:cs="Arial" w:eastAsia="Arial" w:hAnsi="Arial"/>
          <w:sz w:val="16"/>
          <w:szCs w:val="16"/>
          <w:color w:val="auto"/>
        </w:rPr>
      </w:pPr>
      <w:r>
        <w:rPr>
          <w:rFonts w:ascii="Arial" w:cs="Arial" w:eastAsia="Arial" w:hAnsi="Arial"/>
          <w:sz w:val="16"/>
          <w:szCs w:val="16"/>
          <w:color w:val="auto"/>
        </w:rPr>
        <w:t>(2) subject to the prior approval of the Nevada Gaming Authorities, the pledged Equity Interests held by Wynn Resorts Holdings in Wynn Las Vegas;</w:t>
      </w:r>
    </w:p>
    <w:p>
      <w:pPr>
        <w:spacing w:after="0" w:line="106" w:lineRule="exact"/>
        <w:rPr>
          <w:rFonts w:ascii="Arial" w:cs="Arial" w:eastAsia="Arial" w:hAnsi="Arial"/>
          <w:sz w:val="16"/>
          <w:szCs w:val="16"/>
          <w:color w:val="auto"/>
        </w:rPr>
      </w:pPr>
    </w:p>
    <w:p>
      <w:pPr>
        <w:jc w:val="both"/>
        <w:ind w:left="900" w:right="120" w:hanging="446"/>
        <w:spacing w:after="0" w:line="259" w:lineRule="auto"/>
        <w:tabs>
          <w:tab w:leader="none" w:pos="90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will be secured, in the case of the Note Guarantees, by a perfected first priority lien on substantially all of the Guarantors’ existing and future assets other than the Aircraft Assets and gaming and liquor licenses and other assets in which the grant of a security interest is prohibited by their terms or by law;</w:t>
      </w:r>
    </w:p>
    <w:p>
      <w:pPr>
        <w:spacing w:after="0" w:line="59" w:lineRule="exact"/>
        <w:rPr>
          <w:rFonts w:ascii="Arial" w:cs="Arial" w:eastAsia="Arial" w:hAnsi="Arial"/>
          <w:sz w:val="18"/>
          <w:szCs w:val="18"/>
          <w:color w:val="auto"/>
        </w:rPr>
      </w:pPr>
    </w:p>
    <w:p>
      <w:pPr>
        <w:ind w:left="900" w:right="100" w:hanging="446"/>
        <w:spacing w:after="0" w:line="259" w:lineRule="auto"/>
        <w:tabs>
          <w:tab w:leader="none" w:pos="90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will be pari passu with Wynn Las Vegas’ borrowings under the Credit Agreement, the 2014 Notes and the 2017 Notes, which borrowings, 2014 Notes and 2017 Notes are secured by a perfected first priority lien on the same assets as are subject to the lien securing the 2020 Notes and the Note Guarantees (subject to certain exceptions); and</w:t>
      </w:r>
    </w:p>
    <w:p>
      <w:pPr>
        <w:spacing w:after="0" w:line="59"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will be effectively senior in right of payment to the obligations of the Issuers and the Guarantors with respect to any subordinated Indebtedness and the related guarantees thereon.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Intercreditor Agreement</w:t>
      </w:r>
    </w:p>
    <w:p>
      <w:pPr>
        <w:spacing w:after="0" w:line="9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trustee has entered into the Intercreditor Agreement to govern the relations between the holders of the 2014 Notes, the holders of the 2017 Notes, the holders of the 2020 Notes, the lenders under the Credit Agreement, the collateral agent and the holders of future permitted senior and junior indebtedness with respect to the Collateral. The Intercreditor Agreement imposes restrictions on the enforcement of remedies with respect to the Collateral securing the 2020 Notes and the Note Guarantees under specified circumstances. Pursuant to the Intercreditor Agreement, as long as any Indebtedness is outstanding under our credit facilities or any of the 2014 Notes remain outstanding, the holders of the 2020 Notes will not have any right to direct the collateral agent to enforce remedies against the Collateral. All proceeds of the Collateral must be shared on a pari passu basis with the lenders under our Credit Agreement, the holders of the 2014 Notes, the holders of the 2017 Notes and any other Pari Passu Debt in accordance with the sharing provisions of the Intercreditor Agreement. See “Intercreditor Agreement.”</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Release of Collateral</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Indenture provides that under certain circumstances if (i) the lenders under the Credit Agreement release their first priority security interest in all of the Collateral and (ii) the lenders under all other outstanding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400"/>
          </w:cols>
          <w:pgMar w:left="240" w:top="460" w:right="2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secured Indebtedness (other than Indebtedness incurred pursuant to clause (7) of the definition of “Permitted Debt” set forth in the second paragraph of the covenant described below under the caption “—Certain Covenants—Incurrence of Indebtedness and Issuance of Disqualified Stock”) that is secured by any Collateral release their security interest in such Collateral, the holders of the 2020 Notes’ first priority security interest in all of the Collateral will also be released. See “—Security—Release of Collateral.”</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Indenture provides that the holders of the 2020 Notes’ first priority security interest in the Golf Course Land and certain other parcels of real estate may be released under certain circumstances. See “—Security—Release of Golf Course Land,” “—Release of Portions of the Golf Course Land,” and “—Release of Homesite Acreage.” The Indenture also provides that substantially all of the Collateral may be released with the consent of the Holders of 95% of the 2020 Notes then outstanding.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Principal, Maturity and Interest</w:t>
      </w:r>
    </w:p>
    <w:p>
      <w:pPr>
        <w:spacing w:after="0" w:line="90" w:lineRule="exact"/>
        <w:rPr>
          <w:sz w:val="20"/>
          <w:szCs w:val="20"/>
          <w:color w:val="auto"/>
        </w:rPr>
      </w:pPr>
    </w:p>
    <w:p>
      <w:pPr>
        <w:ind w:right="200" w:firstLine="456"/>
        <w:spacing w:after="0" w:line="289" w:lineRule="auto"/>
        <w:rPr>
          <w:sz w:val="20"/>
          <w:szCs w:val="20"/>
          <w:color w:val="auto"/>
        </w:rPr>
      </w:pPr>
      <w:r>
        <w:rPr>
          <w:rFonts w:ascii="Arial" w:cs="Arial" w:eastAsia="Arial" w:hAnsi="Arial"/>
          <w:sz w:val="16"/>
          <w:szCs w:val="16"/>
          <w:color w:val="auto"/>
        </w:rPr>
        <w:t>The Issuers will issue up to $382,010,000 in aggregate principal amount of new 2020 notes in this exchange offer. The Issuers may issue additional 2020 Notes under the Indenture from time to time after this exchange offer. Any issuance of additional 2020 Notes is subject to all of the covenants in the Indenture, including the covenant described below under the caption “—Certain Covenants—Incurrence of Indebtedness and Issuance of Disqualified Stock.” The 2020 Notes and any additional 2020 Notes subsequently issued under the Indenture will (subject to the qualifications expressed in the third paragraph of this “Description of the 2020 Notes”) be treated as a single class for all purposes under the Indenture, including, without limitation, waivers, amendments, redemptions and offers to purchase. It is possible, however, that any such additional 2020 Notes will not be treated as part of the same issue for United States federal income tax purposes. The Issuers will issue new 2020 notes in denominations of $2,000 and integral multiples of $1,000 in excess of $2,000. The new 2020 notes will mature on May 1, 2020.</w:t>
      </w:r>
    </w:p>
    <w:p>
      <w:pPr>
        <w:spacing w:after="0" w:line="118"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color w:val="auto"/>
        </w:rPr>
        <w:t xml:space="preserve">Interest on the new 2020 notes will accrue at the rate of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per annum and is payable semiannually in arrears on November 1 and May 1, with the first interest payment date being November 1, 2010. Interest on overdue principal and interest and Liquidated Damages, if any, will accrue at a rate that is 1% higher than the then applicable interest rate on the new 2020 notes. The Issuers will make each interest payment to the holders of record on the immediately preceding October 15 and April 15.</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Interest on the new 2020 notes accrues from the date of original issuance or, if interest has already been paid, from the date it was most recently paid.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Interest will be computed on the basis of a 360-day year comprised of twelve 30-day months.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Methods of Receiving Payments on the 2020 Notes</w:t>
      </w:r>
    </w:p>
    <w:p>
      <w:pPr>
        <w:spacing w:after="0" w:line="90"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All payments on the 2020 Notes will be made at the office or agency of the paying agent and registrar within the City and State of New York unless the Issuers elect to make interest payments by check mailed to the holders of the 2020 Notes at their addresses set forth in the register of 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Paying Agent and Registrar for the 2020 Notes</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trustee currently acts as the paying agent and registrar. The Issuers may change the paying agent or registrar without prior notice to the holders of the 2020 Notes, and either or both of the Issuers or any of their respective Subsidiaries may act as paying agent or registrar.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and Exchange</w:t>
      </w:r>
    </w:p>
    <w:p>
      <w:pPr>
        <w:spacing w:after="0" w:line="9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A holder may transfer or exchange 2020 Notes in accordance with the provisions of the Indenture. The registrar and the trustee may require a holder, among other things, to furnish appropriate endorsements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400"/>
          </w:cols>
          <w:pgMar w:left="240" w:top="460" w:right="2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transfer documents in connection with a transfer of 2020 Notes. Holders will be required to pay all taxes due on transfer. The Issuers will not be required to transfer or exchange any 2020 Note selected for redemption. Also, the Issuers will not be required to transfer or exchange any 2020 Note for a period of 15 days before a selection of 2020 Notes to be redeemed.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Guarantees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Note Guarantees are joint and several obligations of the Guarantors. The obligations of each Guarantor under its Note Guarantee are limited as necessary to prevent such Note Guarantee from constituting a fraudulent conveyance under applicable law. See “Risk Factors—Risks Related to the 2020 Notes and the 2017 Notes.” Federal and state statutes allow courts, under specific circumstances, to void the guarantees, and require holders of the 2020 Notes to return payments received from us or the Guarantors.</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Note Guarantees are secured by substantially all of the assets of the Guarantors (other than the Aircraft Assets and gaming and liquor licenses and other assets in which the grant of a security interest is prohibited by their terms or by law) as more fully described below under the caption “—Security—Security for the Note Guarantees.”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Guarantor may not sell or otherwise dispose of all or substantially all of its assets to, or consolidate with or merge with or into (whether or not such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Guarantor is the surviving Person), another Person, other than either of the Issuers or another Guarantor, unless:</w:t>
      </w:r>
    </w:p>
    <w:p>
      <w:pPr>
        <w:spacing w:after="0" w:line="84" w:lineRule="exact"/>
        <w:rPr>
          <w:sz w:val="20"/>
          <w:szCs w:val="20"/>
          <w:color w:val="auto"/>
        </w:rPr>
      </w:pPr>
    </w:p>
    <w:p>
      <w:pPr>
        <w:ind w:left="1160" w:hanging="257"/>
        <w:spacing w:after="0"/>
        <w:tabs>
          <w:tab w:leader="none" w:pos="11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immediately after giving effect to that transaction, no Default or Event of Default exists;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920" w:right="300" w:firstLine="421"/>
        <w:spacing w:after="0" w:line="306" w:lineRule="auto"/>
        <w:tabs>
          <w:tab w:leader="none" w:pos="1579" w:val="left"/>
        </w:tabs>
        <w:numPr>
          <w:ilvl w:val="1"/>
          <w:numId w:val="227"/>
        </w:numPr>
        <w:rPr>
          <w:rFonts w:ascii="Arial" w:cs="Arial" w:eastAsia="Arial" w:hAnsi="Arial"/>
          <w:sz w:val="16"/>
          <w:szCs w:val="16"/>
          <w:color w:val="auto"/>
        </w:rPr>
      </w:pPr>
      <w:r>
        <w:rPr>
          <w:rFonts w:ascii="Arial" w:cs="Arial" w:eastAsia="Arial" w:hAnsi="Arial"/>
          <w:sz w:val="16"/>
          <w:szCs w:val="16"/>
          <w:color w:val="auto"/>
        </w:rPr>
        <w:t>the Person acquiring the property in any such sale or disposition or the Person formed by or surviving any such consolidation or merger assumes all the obligations of that Guarantor under the Indenture, its Note Guarantee and the registration rights agreement pursuant to a supplemental indenture and other appropriate documents satisfactory to the trustee; or</w:t>
      </w:r>
    </w:p>
    <w:p>
      <w:pPr>
        <w:spacing w:after="0" w:line="25" w:lineRule="exact"/>
        <w:rPr>
          <w:rFonts w:ascii="Arial" w:cs="Arial" w:eastAsia="Arial" w:hAnsi="Arial"/>
          <w:sz w:val="16"/>
          <w:szCs w:val="16"/>
          <w:color w:val="auto"/>
        </w:rPr>
      </w:pPr>
    </w:p>
    <w:p>
      <w:pPr>
        <w:ind w:left="1580" w:hanging="239"/>
        <w:spacing w:after="0"/>
        <w:tabs>
          <w:tab w:leader="none" w:pos="1580" w:val="left"/>
        </w:tabs>
        <w:numPr>
          <w:ilvl w:val="1"/>
          <w:numId w:val="227"/>
        </w:numPr>
        <w:rPr>
          <w:rFonts w:ascii="Arial" w:cs="Arial" w:eastAsia="Arial" w:hAnsi="Arial"/>
          <w:sz w:val="16"/>
          <w:szCs w:val="16"/>
          <w:color w:val="auto"/>
        </w:rPr>
      </w:pPr>
      <w:r>
        <w:rPr>
          <w:rFonts w:ascii="Arial" w:cs="Arial" w:eastAsia="Arial" w:hAnsi="Arial"/>
          <w:sz w:val="16"/>
          <w:szCs w:val="16"/>
          <w:color w:val="auto"/>
        </w:rPr>
        <w:t>the Net Proceeds of such sale or other disposition are applied in accordance with the applicable provisions of the Indenture.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the foregoing, each Guarantor is permitted to reorganize as a corporation pursuant to a Permitted C-Corp. Conversion.</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Release of Note Guarantees</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Subject to compliance with the provisions described above under the caption “—Note Guarantees—General,” the Note Guarantee of a Guarantor and the security interests granted by that Guarantor to secure its Note Guarantee will be released:</w:t>
      </w:r>
    </w:p>
    <w:p>
      <w:pPr>
        <w:spacing w:after="0" w:line="51" w:lineRule="exact"/>
        <w:rPr>
          <w:sz w:val="20"/>
          <w:szCs w:val="20"/>
          <w:color w:val="auto"/>
        </w:rPr>
      </w:pPr>
    </w:p>
    <w:p>
      <w:pPr>
        <w:ind w:left="460" w:firstLine="443"/>
        <w:spacing w:after="0" w:line="291" w:lineRule="auto"/>
        <w:tabs>
          <w:tab w:leader="none" w:pos="1147" w:val="left"/>
        </w:tabs>
        <w:numPr>
          <w:ilvl w:val="0"/>
          <w:numId w:val="228"/>
        </w:numPr>
        <w:rPr>
          <w:rFonts w:ascii="Arial" w:cs="Arial" w:eastAsia="Arial" w:hAnsi="Arial"/>
          <w:sz w:val="16"/>
          <w:szCs w:val="16"/>
          <w:color w:val="auto"/>
        </w:rPr>
      </w:pPr>
      <w:r>
        <w:rPr>
          <w:rFonts w:ascii="Arial" w:cs="Arial" w:eastAsia="Arial" w:hAnsi="Arial"/>
          <w:sz w:val="16"/>
          <w:szCs w:val="16"/>
          <w:color w:val="auto"/>
        </w:rPr>
        <w:t>if the lenders under the Credit Agreement release the guarantees by such Guarantor under the Credit Agreement (provided that it will not be deemed to be a release of the first priority security interest requiring the automatic release by the holders of the 2020 Notes if the release of the first priority lien securing guarantees of the Credit Agreement is the result of an extension, refinancing, renewal, replacement, amendment and restatement, restatement, defeasance or refunding (collectively, a “refinancing”) of the Credit Agreement and as a result of which the first priority liens in favor of the administrative agent (for the benefit of the lenders under the Credit Agreement) are terminated and/or replaced with liens in favor of the lenders or holders of such refinancing Indebtedness (or any agent on their behalf));</w:t>
      </w:r>
    </w:p>
    <w:p>
      <w:pPr>
        <w:spacing w:after="0" w:line="39" w:lineRule="exact"/>
        <w:rPr>
          <w:rFonts w:ascii="Arial" w:cs="Arial" w:eastAsia="Arial" w:hAnsi="Arial"/>
          <w:sz w:val="16"/>
          <w:szCs w:val="16"/>
          <w:color w:val="auto"/>
        </w:rPr>
      </w:pPr>
    </w:p>
    <w:p>
      <w:pPr>
        <w:ind w:left="460" w:right="780" w:firstLine="443"/>
        <w:spacing w:after="0" w:line="268" w:lineRule="auto"/>
        <w:tabs>
          <w:tab w:leader="none" w:pos="1147" w:val="left"/>
        </w:tabs>
        <w:numPr>
          <w:ilvl w:val="0"/>
          <w:numId w:val="228"/>
        </w:numPr>
        <w:rPr>
          <w:rFonts w:ascii="Arial" w:cs="Arial" w:eastAsia="Arial" w:hAnsi="Arial"/>
          <w:sz w:val="18"/>
          <w:szCs w:val="18"/>
          <w:color w:val="auto"/>
        </w:rPr>
      </w:pPr>
      <w:r>
        <w:rPr>
          <w:rFonts w:ascii="Arial" w:cs="Arial" w:eastAsia="Arial" w:hAnsi="Arial"/>
          <w:sz w:val="18"/>
          <w:szCs w:val="18"/>
          <w:color w:val="auto"/>
        </w:rPr>
        <w:t>in connection with any sale or other disposition of all or substantially all of the assets of that Guarantor (including by way of merger or consolidation) to a Person that is not (either before or after giving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400"/>
          </w:cols>
          <w:pgMar w:left="240" w:top="459" w:right="2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40"/>
        <w:spacing w:after="0" w:line="332" w:lineRule="auto"/>
        <w:rPr>
          <w:sz w:val="20"/>
          <w:szCs w:val="20"/>
          <w:color w:val="auto"/>
        </w:rPr>
      </w:pPr>
      <w:r>
        <w:rPr>
          <w:rFonts w:ascii="Arial" w:cs="Arial" w:eastAsia="Arial" w:hAnsi="Arial"/>
          <w:sz w:val="16"/>
          <w:szCs w:val="16"/>
          <w:color w:val="auto"/>
        </w:rPr>
        <w:t>effect to such transaction) an Issuer or a Restricted Subsidiary of Wynn Las Vegas, if the sale or other disposition is made in compliance with the “Asset Sales” provisions of the Indenture, and if, after giving effect to such sale or other disposition, such Guarantor is an Immaterial Subsidiary;</w:t>
      </w:r>
    </w:p>
    <w:p>
      <w:pPr>
        <w:spacing w:after="0" w:line="4" w:lineRule="exact"/>
        <w:rPr>
          <w:sz w:val="20"/>
          <w:szCs w:val="20"/>
          <w:color w:val="auto"/>
        </w:rPr>
      </w:pPr>
    </w:p>
    <w:p>
      <w:pPr>
        <w:ind w:left="460" w:right="200" w:firstLine="443"/>
        <w:spacing w:after="0" w:line="259" w:lineRule="auto"/>
        <w:tabs>
          <w:tab w:leader="none" w:pos="1147"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in connection with any sale or other disposition of all of the Capital Stock of that Guarantor to a Person that is not (either before or after giving effect to such transaction) an Issuer or a Restricted Subsidiary of Wynn Las Vegas, if the sale or other disposition does not violate the “Asset Sales” provisions of the Indenture;</w:t>
      </w:r>
    </w:p>
    <w:p>
      <w:pPr>
        <w:spacing w:after="0" w:line="59" w:lineRule="exact"/>
        <w:rPr>
          <w:rFonts w:ascii="Arial" w:cs="Arial" w:eastAsia="Arial" w:hAnsi="Arial"/>
          <w:sz w:val="18"/>
          <w:szCs w:val="18"/>
          <w:color w:val="auto"/>
        </w:rPr>
      </w:pPr>
    </w:p>
    <w:p>
      <w:pPr>
        <w:ind w:left="460" w:right="420" w:firstLine="443"/>
        <w:spacing w:after="0" w:line="268" w:lineRule="auto"/>
        <w:tabs>
          <w:tab w:leader="none" w:pos="1147"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if Wynn Las Vegas designates such Guarantor, if a Restricted Subsidiary, to be an Unrestricted Subsidiary in accordance with the applicable provisions of the Indenture; or</w:t>
      </w:r>
    </w:p>
    <w:p>
      <w:pPr>
        <w:spacing w:after="0" w:line="50" w:lineRule="exact"/>
        <w:rPr>
          <w:rFonts w:ascii="Arial" w:cs="Arial" w:eastAsia="Arial" w:hAnsi="Arial"/>
          <w:sz w:val="18"/>
          <w:szCs w:val="18"/>
          <w:color w:val="auto"/>
        </w:rPr>
      </w:pPr>
    </w:p>
    <w:p>
      <w:pPr>
        <w:ind w:left="460" w:right="260" w:firstLine="443"/>
        <w:spacing w:after="0" w:line="268" w:lineRule="auto"/>
        <w:tabs>
          <w:tab w:leader="none" w:pos="1147" w:val="left"/>
        </w:tabs>
        <w:numPr>
          <w:ilvl w:val="0"/>
          <w:numId w:val="229"/>
        </w:numPr>
        <w:rPr>
          <w:rFonts w:ascii="Arial" w:cs="Arial" w:eastAsia="Arial" w:hAnsi="Arial"/>
          <w:sz w:val="18"/>
          <w:szCs w:val="18"/>
          <w:color w:val="auto"/>
        </w:rPr>
      </w:pPr>
      <w:r>
        <w:rPr>
          <w:rFonts w:ascii="Arial" w:cs="Arial" w:eastAsia="Arial" w:hAnsi="Arial"/>
          <w:sz w:val="18"/>
          <w:szCs w:val="18"/>
          <w:color w:val="auto"/>
        </w:rPr>
        <w:t>upon legal defeasance or satisfaction and discharge of the Indenture as provided below under the captions “—Legal Defeasance and Covenant Defeasance” and “—Satisfaction and Discharge.”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“—Repurchase at the Option of Holders—Asset Sales” and “—Certain Covenants—Designation of Restricted and Unrestricted Subsidiaries.”</w:t>
      </w:r>
    </w:p>
    <w:p>
      <w:pPr>
        <w:spacing w:after="0" w:line="19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addition to the release of any Note Guarantee by the applicable Guarantor as described in the preceding paragraph, the obligations of the Guarantors under the Note Guarantees will be released if all of the Collateral is released under the circumstances described below under the caption “—Security—Release of Collateral.”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Security for the New 2020 Notes</w:t>
      </w:r>
    </w:p>
    <w:p>
      <w:pPr>
        <w:spacing w:after="0" w:line="9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Subject to liens permitted by the Collateral Documents and to the extent permitted by Gaming Laws and other applicable laws, the new 2020</w:t>
      </w:r>
      <w:r>
        <w:rPr>
          <w:rFonts w:ascii="Arial" w:cs="Arial" w:eastAsia="Arial" w:hAnsi="Arial"/>
          <w:sz w:val="18"/>
          <w:szCs w:val="18"/>
          <w:i w:val="1"/>
          <w:iCs w:val="1"/>
          <w:color w:val="auto"/>
        </w:rPr>
        <w:t xml:space="preserve"> </w:t>
      </w:r>
      <w:r>
        <w:rPr>
          <w:rFonts w:ascii="Arial" w:cs="Arial" w:eastAsia="Arial" w:hAnsi="Arial"/>
          <w:sz w:val="18"/>
          <w:szCs w:val="18"/>
          <w:color w:val="auto"/>
        </w:rPr>
        <w:t>notes will be secured by, among other things:</w:t>
      </w:r>
    </w:p>
    <w:p>
      <w:pPr>
        <w:spacing w:after="0" w:line="51" w:lineRule="exact"/>
        <w:rPr>
          <w:sz w:val="20"/>
          <w:szCs w:val="20"/>
          <w:color w:val="auto"/>
        </w:rPr>
      </w:pPr>
    </w:p>
    <w:p>
      <w:pPr>
        <w:ind w:left="460" w:right="20" w:firstLine="443"/>
        <w:spacing w:after="0" w:line="259" w:lineRule="auto"/>
        <w:tabs>
          <w:tab w:leader="none" w:pos="1147" w:val="left"/>
        </w:tabs>
        <w:numPr>
          <w:ilvl w:val="0"/>
          <w:numId w:val="230"/>
        </w:numPr>
        <w:rPr>
          <w:rFonts w:ascii="Arial" w:cs="Arial" w:eastAsia="Arial" w:hAnsi="Arial"/>
          <w:sz w:val="18"/>
          <w:szCs w:val="18"/>
          <w:color w:val="auto"/>
        </w:rPr>
      </w:pPr>
      <w:r>
        <w:rPr>
          <w:rFonts w:ascii="Arial" w:cs="Arial" w:eastAsia="Arial" w:hAnsi="Arial"/>
          <w:sz w:val="18"/>
          <w:szCs w:val="18"/>
          <w:color w:val="auto"/>
        </w:rPr>
        <w:t>a perfected first priority security interest in substantially all of the Issuers’ existing and future assets, including the Wynn Las Vegas Resort and Encore at Wynn Las Vegas, other than gaming and liquor licenses and other assets in which the grant of a security interest is prohibited by their terms or by law;</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a perfected first priority pledge of the Equity Interests held by Wynn Resorts Holdings in Wynn Las Vegas;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30"/>
        </w:numPr>
        <w:rPr>
          <w:rFonts w:ascii="Arial" w:cs="Arial" w:eastAsia="Arial" w:hAnsi="Arial"/>
          <w:sz w:val="16"/>
          <w:szCs w:val="16"/>
          <w:color w:val="auto"/>
        </w:rPr>
      </w:pPr>
      <w:r>
        <w:rPr>
          <w:rFonts w:ascii="Arial" w:cs="Arial" w:eastAsia="Arial" w:hAnsi="Arial"/>
          <w:sz w:val="16"/>
          <w:szCs w:val="16"/>
          <w:color w:val="auto"/>
        </w:rPr>
        <w:t>a perfected first priority pledge of the Equity Interests held by the Issuers in any of their respective existing or future Restricted Subsidiaries.</w:t>
      </w:r>
    </w:p>
    <w:p>
      <w:pPr>
        <w:spacing w:after="0" w:line="19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Under Nevada Gaming Laws, none of Wynn Las Vegas or the Guarantors may grant a security interest in (1) the gaming, liquor and other licenses issued to them by the Nevada Gaming Authorities or (2) unless consented to in advance by the Nevada Gaming Authorities, the ownership interests of any person that holds any such license. As a result, the new 2020 notes will not be secured by any such gaming or liquor licenses. In addition, we will not receive the consent of the Nevada Gaming Authorities to the pledge of the Equity Interests in Wynn Las Vegas described above prior to closing. Although we expect to have filed an application for such consent prior to or soon after closing, we can provide no assurance as to when such consent will be granted, if at all.</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Security for the Note Guarantees</w:t>
      </w:r>
    </w:p>
    <w:p>
      <w:pPr>
        <w:spacing w:after="0" w:line="9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Subject to liens permitted by the Collateral Documents, and to the extent permitted by Gaming Laws and other applicable laws, the Note Guarantees are secured by, among other things, a perfected first priority security interest in substantially all of the existing and future assets (other than gaming and liquor licenses) of the Guarantors, provided that the Note Guarantee of World Travel, LLC is not secured by the Aircraft Assets.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400"/>
          </w:cols>
          <w:pgMar w:left="240" w:top="460" w:right="2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As noted above, under Nevada Gaming Laws, a gaming licensee is not permitted to grant a security interest in any gaming or other license issued by the Nevada Gaming Authorities. As a result, the Note Guarantees by the Guarantors will not be secured by any such gaming or other licenses.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Release of Collateral</w:t>
      </w:r>
    </w:p>
    <w:p>
      <w:pPr>
        <w:spacing w:after="0" w:line="90"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The Holders’ security interests in all of the Collateral, including the Golf Course Land, may be released and the Golf Course Lease and the Access Easement Agreement may be terminated so long as:</w:t>
      </w:r>
    </w:p>
    <w:p>
      <w:pPr>
        <w:spacing w:after="0" w:line="51" w:lineRule="exact"/>
        <w:rPr>
          <w:sz w:val="20"/>
          <w:szCs w:val="20"/>
          <w:color w:val="auto"/>
        </w:rPr>
      </w:pPr>
    </w:p>
    <w:p>
      <w:pPr>
        <w:ind w:left="460" w:firstLine="443"/>
        <w:spacing w:after="0" w:line="255" w:lineRule="auto"/>
        <w:tabs>
          <w:tab w:leader="none" w:pos="1147"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lenders under the Credit Agreement release their first priority security interest in all of the Collateral (provided that it will not be deemed to be a release of the first priority security interest requiring the automatic release by the holders of the 2020 Notes if the release of the first priority lien securing the Credit Agreement is the result of a refinancing of the Credit Agreement and as a result of which the first priority liens in favor of the administrative agent (for the benefit of the lenders under the Credit Agreement) are terminated and/or replaced with liens in favor of the lenders or holders of such refinancing Indebtedness (or any agent on their behalf));</w:t>
      </w:r>
    </w:p>
    <w:p>
      <w:pPr>
        <w:spacing w:after="0" w:line="61" w:lineRule="exact"/>
        <w:rPr>
          <w:rFonts w:ascii="Arial" w:cs="Arial" w:eastAsia="Arial" w:hAnsi="Arial"/>
          <w:sz w:val="18"/>
          <w:szCs w:val="18"/>
          <w:color w:val="auto"/>
        </w:rPr>
      </w:pPr>
    </w:p>
    <w:p>
      <w:pPr>
        <w:ind w:left="1160" w:hanging="257"/>
        <w:spacing w:after="0"/>
        <w:tabs>
          <w:tab w:leader="none" w:pos="11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w:t>
      </w:r>
    </w:p>
    <w:p>
      <w:pPr>
        <w:spacing w:after="0" w:line="90" w:lineRule="exact"/>
        <w:rPr>
          <w:rFonts w:ascii="Arial" w:cs="Arial" w:eastAsia="Arial" w:hAnsi="Arial"/>
          <w:sz w:val="18"/>
          <w:szCs w:val="18"/>
          <w:color w:val="auto"/>
        </w:rPr>
      </w:pPr>
    </w:p>
    <w:p>
      <w:pPr>
        <w:ind w:left="460" w:right="140" w:firstLine="443"/>
        <w:spacing w:after="0" w:line="306" w:lineRule="auto"/>
        <w:tabs>
          <w:tab w:leader="none" w:pos="1147" w:val="left"/>
        </w:tabs>
        <w:numPr>
          <w:ilvl w:val="0"/>
          <w:numId w:val="231"/>
        </w:numPr>
        <w:rPr>
          <w:rFonts w:ascii="Arial" w:cs="Arial" w:eastAsia="Arial" w:hAnsi="Arial"/>
          <w:sz w:val="16"/>
          <w:szCs w:val="16"/>
          <w:color w:val="auto"/>
        </w:rPr>
      </w:pPr>
      <w:r>
        <w:rPr>
          <w:rFonts w:ascii="Arial" w:cs="Arial" w:eastAsia="Arial" w:hAnsi="Arial"/>
          <w:sz w:val="16"/>
          <w:szCs w:val="16"/>
          <w:color w:val="auto"/>
        </w:rPr>
        <w:t>the lenders under all other outstanding secured Indebtedness (other than Indebtedness incurred pursuant to clause (7) of the definition of “Permitted Debt” set forth in the second paragraph of the covenant described below under the caption “—Certain Covenants—Incurrence of Indebtedness and Issuance of Disqualified Stock”) that is secured by any Collateral release their security interest in such Collateral; and</w:t>
      </w:r>
    </w:p>
    <w:p>
      <w:pPr>
        <w:spacing w:after="0" w:line="25" w:lineRule="exact"/>
        <w:rPr>
          <w:rFonts w:ascii="Arial" w:cs="Arial" w:eastAsia="Arial" w:hAnsi="Arial"/>
          <w:sz w:val="16"/>
          <w:szCs w:val="16"/>
          <w:color w:val="auto"/>
        </w:rPr>
      </w:pPr>
    </w:p>
    <w:p>
      <w:pPr>
        <w:ind w:left="460" w:right="80" w:firstLine="443"/>
        <w:spacing w:after="0" w:line="259" w:lineRule="auto"/>
        <w:tabs>
          <w:tab w:leader="none" w:pos="1147" w:val="left"/>
        </w:tabs>
        <w:numPr>
          <w:ilvl w:val="0"/>
          <w:numId w:val="231"/>
        </w:numPr>
        <w:rPr>
          <w:rFonts w:ascii="Arial" w:cs="Arial" w:eastAsia="Arial" w:hAnsi="Arial"/>
          <w:sz w:val="18"/>
          <w:szCs w:val="18"/>
          <w:color w:val="auto"/>
        </w:rPr>
      </w:pPr>
      <w:r>
        <w:rPr>
          <w:rFonts w:ascii="Arial" w:cs="Arial" w:eastAsia="Arial" w:hAnsi="Arial"/>
          <w:sz w:val="18"/>
          <w:szCs w:val="18"/>
          <w:color w:val="auto"/>
        </w:rPr>
        <w:t>Wynn Las Vegas delivers an officers’ certificate to the trustee confirming that the conditions in clauses (1), (2) and (3) above have been satisfied. In addition, the Holders’ security interest in all or substantially all of the Collateral may be released at any time with the consent of the Holders of 95% of the aggregate principal amount of 2020 Notes then outstanding.</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Upon any such release of those security interests, the disposition or transfer of such assets will no longer be subject to any of the restrictive covenants in the Indenture.</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the event that the Issuers or the Guarantors grant Liens (other than Liens permitted under clause (25) of the definition of “Permitted Liens”) to secure any other Indebtedness (other than Indebtedness incurred pursuant to clause (7) of the definition of “Permitted Debt” set forth in the second paragraph described below under the caption “—Certain Covenants—Incurrence of Indebtedness and Issuance of Disqualified Stock”) after the Holders’ security interests in all of the Collateral has been released as set forth in the first paragraph above, the Issuers or the Guarantors, as the case may be, will be required to grant security interests on the same assets to secure the Issuers’ obligations under the 2020 Notes and the Guarantors’ obligations under their respective Note Guarantees on an equal and ratable basis with such other Indebtedness, so long as such other Indebtedness is so secured.</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Release of Golf Course Land</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security interests in all of the Golf Course Land (and the related Water Rights) may be released and the Golf Course Lease and the Access Easement Agreement may be terminated, so long as:</w:t>
      </w:r>
    </w:p>
    <w:p>
      <w:pPr>
        <w:spacing w:after="0" w:line="51" w:lineRule="exact"/>
        <w:rPr>
          <w:sz w:val="20"/>
          <w:szCs w:val="20"/>
          <w:color w:val="auto"/>
        </w:rPr>
      </w:pPr>
    </w:p>
    <w:p>
      <w:pPr>
        <w:ind w:left="1160" w:hanging="257"/>
        <w:spacing w:after="0"/>
        <w:tabs>
          <w:tab w:leader="none" w:pos="11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no Default or Event of Default exists or is continuing immediately prior to or after giving effect to such release;</w:t>
      </w:r>
    </w:p>
    <w:p>
      <w:pPr>
        <w:spacing w:after="0" w:line="90" w:lineRule="exact"/>
        <w:rPr>
          <w:rFonts w:ascii="Arial" w:cs="Arial" w:eastAsia="Arial" w:hAnsi="Arial"/>
          <w:sz w:val="18"/>
          <w:szCs w:val="18"/>
          <w:color w:val="auto"/>
        </w:rPr>
      </w:pPr>
    </w:p>
    <w:p>
      <w:pPr>
        <w:ind w:left="460" w:right="100" w:firstLine="443"/>
        <w:spacing w:after="0" w:line="294" w:lineRule="auto"/>
        <w:tabs>
          <w:tab w:leader="none" w:pos="1147" w:val="left"/>
        </w:tabs>
        <w:numPr>
          <w:ilvl w:val="0"/>
          <w:numId w:val="232"/>
        </w:numPr>
        <w:rPr>
          <w:rFonts w:ascii="Arial" w:cs="Arial" w:eastAsia="Arial" w:hAnsi="Arial"/>
          <w:sz w:val="16"/>
          <w:szCs w:val="16"/>
          <w:color w:val="auto"/>
        </w:rPr>
      </w:pPr>
      <w:r>
        <w:rPr>
          <w:rFonts w:ascii="Arial" w:cs="Arial" w:eastAsia="Arial" w:hAnsi="Arial"/>
          <w:sz w:val="16"/>
          <w:szCs w:val="16"/>
          <w:color w:val="auto"/>
        </w:rPr>
        <w:t>the lenders under the Credit Agreement concurrently release their first priority security interest in the Golf Course Land (provided that it will not be deemed to be a release of the first priority security interest requiring the automatic release by the holders of the 2020 Notes if the release of the first priority lien securing the Credit Agreement is the result of a refinancing of the Credit Agreement and as a result of which the first priority liens in favor of the administrative agent (for the benefit of the lenders under the Credit Agreement) are terminated and/or replaced with liens in favor of the lenders or holders of such refinancing Indebtedness (or any agent on their behalf));</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420"/>
          </w:cols>
          <w:pgMar w:left="240" w:top="460"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20" w:firstLine="443"/>
        <w:spacing w:after="0" w:line="357" w:lineRule="auto"/>
        <w:tabs>
          <w:tab w:leader="none" w:pos="1147" w:val="left"/>
        </w:tabs>
        <w:numPr>
          <w:ilvl w:val="0"/>
          <w:numId w:val="233"/>
        </w:numPr>
        <w:rPr>
          <w:rFonts w:ascii="Arial" w:cs="Arial" w:eastAsia="Arial" w:hAnsi="Arial"/>
          <w:sz w:val="15"/>
          <w:szCs w:val="15"/>
          <w:color w:val="auto"/>
        </w:rPr>
      </w:pPr>
      <w:r>
        <w:rPr>
          <w:rFonts w:ascii="Arial" w:cs="Arial" w:eastAsia="Arial" w:hAnsi="Arial"/>
          <w:sz w:val="15"/>
          <w:szCs w:val="15"/>
          <w:color w:val="auto"/>
        </w:rPr>
        <w:t>immediately prior to the release of the security interests, and after giving pro forma effect to such release, Wynn Las Vegas’ and its Restricted Subsidiaries’ total debt does not exceed 6.5 times Consolidated EBITDA for the four full fiscal quarters immediately preceding such release; and</w:t>
      </w:r>
    </w:p>
    <w:p>
      <w:pPr>
        <w:ind w:left="1160" w:hanging="257"/>
        <w:spacing w:after="0"/>
        <w:tabs>
          <w:tab w:leader="none" w:pos="1160" w:val="left"/>
        </w:tabs>
        <w:numPr>
          <w:ilvl w:val="0"/>
          <w:numId w:val="233"/>
        </w:numPr>
        <w:rPr>
          <w:rFonts w:ascii="Arial" w:cs="Arial" w:eastAsia="Arial" w:hAnsi="Arial"/>
          <w:sz w:val="16"/>
          <w:szCs w:val="16"/>
          <w:color w:val="auto"/>
        </w:rPr>
      </w:pPr>
      <w:r>
        <w:rPr>
          <w:rFonts w:ascii="Arial" w:cs="Arial" w:eastAsia="Arial" w:hAnsi="Arial"/>
          <w:sz w:val="16"/>
          <w:szCs w:val="16"/>
          <w:color w:val="auto"/>
        </w:rPr>
        <w:t>Wynn Las Vegas delivers an officers’ certificate to the trustee confirming that the conditions in clauses (1), (2) and (3) above have been satisfied.</w:t>
      </w:r>
    </w:p>
    <w:p>
      <w:pPr>
        <w:spacing w:after="0" w:line="194"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Notwithstanding the foregoing, if Wynn Las Vegas incurs debt to finance the project costs related to the building of a project on the Golf Course Land (the “Phase III Project”) pursuant to clause (8) of the second paragraph of the covenant described below under the caption “—Certain Covenants—Incurrence of Indebtedness and Issuance of Disqualified Stock,” then the security interest in the Golf Course Land may not be released without first obtaining the consent of 90% of the holders of the 2020 Notes.</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Upon any such release of those security interests, the disposition or transfer of such assets will no longer be subject to any of the restrictive covenants in the Indenture.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Release of Portions of the Golf Course Land</w:t>
      </w:r>
    </w:p>
    <w:p>
      <w:pPr>
        <w:spacing w:after="0" w:line="90"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The security interests granted by Wynn Golf in approximately 20 acres of the Golf Course Land constituting the Home Site Land will be released and the Golf Course Lease and the Access Easement Agreement may be amended to contemplate the release of the Home Site Land if the lenders under the Credit Agreement concurrently release their first priority security interest in the Home Site Land, so long as no Default or Event of Default exists or is continuing immediately prior to or after giving effect to such release. It will not be deemed to be a release of the first priority security interest in the Home Site Land requiring the automatic release by the holders of the 2020 Notes if the release of the first priority lien securing the Credit Agreement is the result of a refinancing of the Credit Agreement and as a result of which the first priority liens in favor of the administrative agent (for the benefit of the lenders under the Credit Agreement) are terminated and/or replaced with liens in favor of the lenders or holders of such refinancing Indebtedness (or any agent on their behalf). In the event that, following the automatic release of the holders of the 2020 Notes’ security interest in the Home Site Land, Wynn Las Vegas or any of the Restricted Subsidiaries grants a security interest in any or all of the Home Site Land to secure other Indebtedness or any guarantee thereof, such Person will concurrently grant a first priority security interest on such portions of the Home Site Land in favor of the trustee for the benefit of the holders of the 2020 Notes to secure the 2020 Notes (or, if such Person is a Guarantor, its Note Guarantee of the 2020 Notes). That security interest in favor of the trustee for the benefit of the holders of the 2020 Notes will be a first priority security interest pari passu with the security interest in favor of the lenders under the Credit Agreement, subject only to other Permitted Liens and the terms of the Intercreditor Agreement.</w:t>
      </w:r>
    </w:p>
    <w:p>
      <w:pPr>
        <w:spacing w:after="0" w:line="121"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Credit Agreement provides that the lenders will release their security interests in the Home Site Land upon satisfaction of certain conditions, including Wynn Las Vegas achieving a specified minimum level of Consolidated EBITDA for four full consecutive fiscal quarters and satisfying certain conditions relating to the water required for the Wynn Las Vegas casino water features and the golf course. The release provision also requires that until the earlier of the disposition of the Golf Course Land or the payment in full of the obligations under the Credit Agreement, development on the Home Site Land shall be limited to residential housing and other non-gaming related developments, and that construction of permitted improvements could not reasonably be expected to materially interfere with the use or operations of the Golf Course and could not otherwise reasonably be expected to materially impair the overall value of the Projects. The lenders under the Credit Agreement may amend or waive any of their conditions to the release of their security interests without the consent of the holders of the 2020 Notes and may determine to release their liens under different circumstances, which would nevertheless result in the automatic release of the first priority liens by the holders of the 2020 Notes.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420"/>
          </w:cols>
          <w:pgMar w:left="240" w:top="45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Release of Homesite Acreage</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security interests in approximately two acres of the Golf Course Land will be released in order to permit the construction of a personal residence for Stephen A. Wynn and the Golf Course Lease and the Access Easement Agreement may be amended to contemplate the release of the Wynn Home Site Land, so long as:</w:t>
      </w:r>
    </w:p>
    <w:p>
      <w:pPr>
        <w:spacing w:after="0" w:line="59" w:lineRule="exact"/>
        <w:rPr>
          <w:sz w:val="20"/>
          <w:szCs w:val="20"/>
          <w:color w:val="auto"/>
        </w:rPr>
      </w:pPr>
    </w:p>
    <w:p>
      <w:pPr>
        <w:ind w:left="1160" w:hanging="257"/>
        <w:spacing w:after="0"/>
        <w:tabs>
          <w:tab w:leader="none" w:pos="1160" w:val="left"/>
        </w:tabs>
        <w:numPr>
          <w:ilvl w:val="1"/>
          <w:numId w:val="234"/>
        </w:numPr>
        <w:rPr>
          <w:rFonts w:ascii="Arial" w:cs="Arial" w:eastAsia="Arial" w:hAnsi="Arial"/>
          <w:sz w:val="18"/>
          <w:szCs w:val="18"/>
          <w:color w:val="auto"/>
        </w:rPr>
      </w:pPr>
      <w:r>
        <w:rPr>
          <w:rFonts w:ascii="Arial" w:cs="Arial" w:eastAsia="Arial" w:hAnsi="Arial"/>
          <w:sz w:val="18"/>
          <w:szCs w:val="18"/>
          <w:color w:val="auto"/>
        </w:rPr>
        <w:t>no Default or Event of Default exists or is continuing immediately prior to or after giving effect to that release;</w:t>
      </w:r>
    </w:p>
    <w:p>
      <w:pPr>
        <w:spacing w:after="0" w:line="90" w:lineRule="exact"/>
        <w:rPr>
          <w:rFonts w:ascii="Arial" w:cs="Arial" w:eastAsia="Arial" w:hAnsi="Arial"/>
          <w:sz w:val="18"/>
          <w:szCs w:val="18"/>
          <w:color w:val="auto"/>
        </w:rPr>
      </w:pPr>
    </w:p>
    <w:p>
      <w:pPr>
        <w:ind w:left="460" w:firstLine="443"/>
        <w:spacing w:after="0" w:line="268" w:lineRule="auto"/>
        <w:tabs>
          <w:tab w:leader="none" w:pos="1147" w:val="left"/>
        </w:tabs>
        <w:numPr>
          <w:ilvl w:val="1"/>
          <w:numId w:val="234"/>
        </w:numPr>
        <w:rPr>
          <w:rFonts w:ascii="Arial" w:cs="Arial" w:eastAsia="Arial" w:hAnsi="Arial"/>
          <w:sz w:val="18"/>
          <w:szCs w:val="18"/>
          <w:color w:val="auto"/>
        </w:rPr>
      </w:pPr>
      <w:r>
        <w:rPr>
          <w:rFonts w:ascii="Arial" w:cs="Arial" w:eastAsia="Arial" w:hAnsi="Arial"/>
          <w:sz w:val="18"/>
          <w:szCs w:val="18"/>
          <w:color w:val="auto"/>
        </w:rPr>
        <w:t>the cash purchase price paid by Stephen A. Wynn in immediately available funds for the Wynn Home Site Land prior to the release of the security interests shall not be less than the then Fair Market Value of the Wynn Home Site Land;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234"/>
        </w:numPr>
        <w:rPr>
          <w:rFonts w:ascii="Arial" w:cs="Arial" w:eastAsia="Arial" w:hAnsi="Arial"/>
          <w:sz w:val="18"/>
          <w:szCs w:val="18"/>
          <w:color w:val="auto"/>
        </w:rPr>
      </w:pPr>
      <w:r>
        <w:rPr>
          <w:rFonts w:ascii="Arial" w:cs="Arial" w:eastAsia="Arial" w:hAnsi="Arial"/>
          <w:sz w:val="18"/>
          <w:szCs w:val="18"/>
          <w:color w:val="auto"/>
        </w:rPr>
        <w:t>the purchase price is paid directly to Wynn Golf;</w:t>
      </w:r>
    </w:p>
    <w:p>
      <w:pPr>
        <w:spacing w:after="0" w:line="90" w:lineRule="exact"/>
        <w:rPr>
          <w:rFonts w:ascii="Arial" w:cs="Arial" w:eastAsia="Arial" w:hAnsi="Arial"/>
          <w:sz w:val="18"/>
          <w:szCs w:val="18"/>
          <w:color w:val="auto"/>
        </w:rPr>
      </w:pPr>
    </w:p>
    <w:p>
      <w:pPr>
        <w:ind w:left="460" w:right="480" w:firstLine="443"/>
        <w:spacing w:after="0" w:line="332" w:lineRule="auto"/>
        <w:tabs>
          <w:tab w:leader="none" w:pos="1147" w:val="left"/>
        </w:tabs>
        <w:numPr>
          <w:ilvl w:val="1"/>
          <w:numId w:val="234"/>
        </w:numPr>
        <w:rPr>
          <w:rFonts w:ascii="Arial" w:cs="Arial" w:eastAsia="Arial" w:hAnsi="Arial"/>
          <w:sz w:val="16"/>
          <w:szCs w:val="16"/>
          <w:color w:val="auto"/>
        </w:rPr>
      </w:pPr>
      <w:r>
        <w:rPr>
          <w:rFonts w:ascii="Arial" w:cs="Arial" w:eastAsia="Arial" w:hAnsi="Arial"/>
          <w:sz w:val="16"/>
          <w:szCs w:val="16"/>
          <w:color w:val="auto"/>
        </w:rPr>
        <w:t>the construction of Stephen A. Wynn’s personal residence will not materially interfere with the design, construction, operation or use of the remainder of the Golf Course Land and otherwise could not reasonably be expected to materially impair the overall value of the Projects;</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1"/>
          <w:numId w:val="234"/>
        </w:numPr>
        <w:rPr>
          <w:rFonts w:ascii="Arial" w:cs="Arial" w:eastAsia="Arial" w:hAnsi="Arial"/>
          <w:sz w:val="16"/>
          <w:szCs w:val="16"/>
          <w:color w:val="auto"/>
        </w:rPr>
      </w:pPr>
      <w:r>
        <w:rPr>
          <w:rFonts w:ascii="Arial" w:cs="Arial" w:eastAsia="Arial" w:hAnsi="Arial"/>
          <w:sz w:val="16"/>
          <w:szCs w:val="16"/>
          <w:color w:val="auto"/>
        </w:rPr>
        <w:t>the lenders under the Credit Agreement concurrently release their security interests in the Wynn Home Site Land to be released by the trustee;</w:t>
      </w:r>
    </w:p>
    <w:p>
      <w:pPr>
        <w:spacing w:after="0" w:line="113" w:lineRule="exact"/>
        <w:rPr>
          <w:rFonts w:ascii="Arial" w:cs="Arial" w:eastAsia="Arial" w:hAnsi="Arial"/>
          <w:sz w:val="16"/>
          <w:szCs w:val="16"/>
          <w:color w:val="auto"/>
        </w:rPr>
      </w:pPr>
    </w:p>
    <w:p>
      <w:pPr>
        <w:ind w:left="460" w:firstLine="443"/>
        <w:spacing w:after="0" w:line="253" w:lineRule="auto"/>
        <w:tabs>
          <w:tab w:leader="none" w:pos="1147" w:val="left"/>
        </w:tabs>
        <w:numPr>
          <w:ilvl w:val="1"/>
          <w:numId w:val="234"/>
        </w:numPr>
        <w:rPr>
          <w:rFonts w:ascii="Arial" w:cs="Arial" w:eastAsia="Arial" w:hAnsi="Arial"/>
          <w:sz w:val="18"/>
          <w:szCs w:val="18"/>
          <w:color w:val="auto"/>
        </w:rPr>
      </w:pPr>
      <w:r>
        <w:rPr>
          <w:rFonts w:ascii="Arial" w:cs="Arial" w:eastAsia="Arial" w:hAnsi="Arial"/>
          <w:sz w:val="18"/>
          <w:szCs w:val="18"/>
          <w:color w:val="auto"/>
        </w:rPr>
        <w:t>no Points of Diversion with respect to any water permits held by the Issuers or any of the Restricted Subsidiaries or otherwise utilized or expected to be utilized with respect to the Projects, wells associated therewith or rights-of-way necessary for the transportation to the Golf Course Land or the Wynn Las Vegas hotel and casino resort water entertainment features of water drawn or to be drawn pursuant to water permits, are located on the released Golf Course Land, or Wynn Golf shall have otherwise transferred or reserved for the benefit of the Golf Course Land (previously or in connection with such disposition) at no cost to Wynn Las Vegas and its Restricted Subsidiaries such easements as are necessary for Wynn Las Vegas and its Restricted Subsidiaries to (A) access such Points of Diversion, (B) own and operate such wells and (C) transport such water to the water features of the Project and/or the Golf Course;</w:t>
      </w:r>
    </w:p>
    <w:p>
      <w:pPr>
        <w:spacing w:after="0" w:line="66" w:lineRule="exact"/>
        <w:rPr>
          <w:rFonts w:ascii="Arial" w:cs="Arial" w:eastAsia="Arial" w:hAnsi="Arial"/>
          <w:sz w:val="18"/>
          <w:szCs w:val="18"/>
          <w:color w:val="auto"/>
        </w:rPr>
      </w:pPr>
    </w:p>
    <w:p>
      <w:pPr>
        <w:ind w:left="460" w:right="40" w:firstLine="443"/>
        <w:spacing w:after="0" w:line="286" w:lineRule="auto"/>
        <w:tabs>
          <w:tab w:leader="none" w:pos="1147" w:val="left"/>
        </w:tabs>
        <w:numPr>
          <w:ilvl w:val="1"/>
          <w:numId w:val="234"/>
        </w:numPr>
        <w:rPr>
          <w:rFonts w:ascii="Arial" w:cs="Arial" w:eastAsia="Arial" w:hAnsi="Arial"/>
          <w:sz w:val="16"/>
          <w:szCs w:val="16"/>
          <w:color w:val="auto"/>
        </w:rPr>
      </w:pPr>
      <w:r>
        <w:rPr>
          <w:rFonts w:ascii="Arial" w:cs="Arial" w:eastAsia="Arial" w:hAnsi="Arial"/>
          <w:sz w:val="16"/>
          <w:szCs w:val="16"/>
          <w:color w:val="auto"/>
        </w:rPr>
        <w:t>Wynn Las Vegas and Wynn Golf, as the case may be, shall have taken all actions required pursuant to the covenant described below under the caption “—Certain Covenants—Additional Collateral; Acquisition of Assets or Property” with respect to any assets or property acquired pursuant to clause</w:t>
      </w:r>
    </w:p>
    <w:p>
      <w:pPr>
        <w:ind w:left="720" w:hanging="256"/>
        <w:spacing w:after="0"/>
        <w:tabs>
          <w:tab w:leader="none" w:pos="72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above; and</w:t>
      </w:r>
    </w:p>
    <w:p>
      <w:pPr>
        <w:spacing w:after="0" w:line="83" w:lineRule="exact"/>
        <w:rPr>
          <w:rFonts w:ascii="Arial" w:cs="Arial" w:eastAsia="Arial" w:hAnsi="Arial"/>
          <w:sz w:val="18"/>
          <w:szCs w:val="18"/>
          <w:color w:val="auto"/>
        </w:rPr>
      </w:pPr>
    </w:p>
    <w:p>
      <w:pPr>
        <w:ind w:left="1160" w:hanging="257"/>
        <w:spacing w:after="0"/>
        <w:tabs>
          <w:tab w:leader="none" w:pos="1160" w:val="left"/>
        </w:tabs>
        <w:numPr>
          <w:ilvl w:val="1"/>
          <w:numId w:val="235"/>
        </w:numPr>
        <w:rPr>
          <w:rFonts w:ascii="Arial" w:cs="Arial" w:eastAsia="Arial" w:hAnsi="Arial"/>
          <w:sz w:val="16"/>
          <w:szCs w:val="16"/>
          <w:color w:val="auto"/>
        </w:rPr>
      </w:pPr>
      <w:r>
        <w:rPr>
          <w:rFonts w:ascii="Arial" w:cs="Arial" w:eastAsia="Arial" w:hAnsi="Arial"/>
          <w:sz w:val="16"/>
          <w:szCs w:val="16"/>
          <w:color w:val="auto"/>
        </w:rPr>
        <w:t>Wynn Las Vegas and/or Wynn Golf delivers an officers’ certificate to the trustee confirming that the conditions in clauses (1), (2), (3), (4), (5),</w:t>
      </w:r>
    </w:p>
    <w:p>
      <w:pPr>
        <w:spacing w:after="0" w:line="38" w:lineRule="exact"/>
        <w:rPr>
          <w:rFonts w:ascii="Arial" w:cs="Arial" w:eastAsia="Arial" w:hAnsi="Arial"/>
          <w:sz w:val="16"/>
          <w:szCs w:val="16"/>
          <w:color w:val="auto"/>
        </w:rPr>
      </w:pPr>
    </w:p>
    <w:p>
      <w:pPr>
        <w:ind w:left="720" w:hanging="256"/>
        <w:spacing w:after="0"/>
        <w:tabs>
          <w:tab w:leader="none" w:pos="72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and (7) above have been satisfied.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96"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 xml:space="preserve">At any time prior to May 1, 2013, the Issuers may, on any one or more occasions, redeem up to 35% of the aggregate principal amount of 2020 Notes issued under the Indenture at a redemption price of 107.875% of the principal amount, plus accrued and unpaid interest and Liquidated Damages, if any, to the redemption date, with the net cash proceeds of one or more Qualified Equity Offerings of Wynn Resorts that are contributed to us;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at least 65% of the aggregate principal amount of 2020 Notes issued under the Indenture remains outstanding immediately after the occurrence of such redemption and that the redemption occurs within 60 days of the date of the closing of such Qualified Equity Offering.</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pursuant to the preceding paragraph, the 2020 Notes will not be redeemable at the Issuers’ option prior to May 1, 2015.</w:t>
      </w:r>
    </w:p>
    <w:p>
      <w:pPr>
        <w:spacing w:after="0" w:line="171"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On or after May 1, 2015, the Issuers may redeem all or a part of the 2020 Notes upon not less than 30 nor more than 60 days’ notice, at the redemption prices (expressed as percentages of principal amount) set forth below plus accrued and unpaid interest and Liquidated Damages, if any, on the 2020 Notes redeemed, to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420"/>
          </w:cols>
          <w:pgMar w:left="240" w:top="460" w:right="2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applicable redemption date, if redeemed during the twelve-month period beginning on May 1 of the years indicated below, subject to the rights of holders of 2020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Notes on the relevant record date to receive interest on the relevant interest payment date:</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Year</w:t>
            </w:r>
          </w:p>
        </w:tc>
        <w:tc>
          <w:tcPr>
            <w:tcW w:w="8440" w:type="dxa"/>
            <w:vAlign w:val="bottom"/>
          </w:tcPr>
          <w:p>
            <w:pPr>
              <w:spacing w:after="0"/>
              <w:rPr>
                <w:sz w:val="14"/>
                <w:szCs w:val="14"/>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2"/>
              </w:rPr>
              <w:t>Percentage</w:t>
            </w:r>
          </w:p>
        </w:tc>
        <w:tc>
          <w:tcPr>
            <w:tcW w:w="200" w:type="dxa"/>
            <w:vAlign w:val="bottom"/>
          </w:tcPr>
          <w:p>
            <w:pPr>
              <w:spacing w:after="0"/>
              <w:rPr>
                <w:sz w:val="14"/>
                <w:szCs w:val="14"/>
                <w:color w:val="auto"/>
              </w:rPr>
            </w:pPr>
          </w:p>
        </w:tc>
      </w:tr>
      <w:tr>
        <w:trPr>
          <w:trHeight w:val="210"/>
        </w:trPr>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2015</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103.938%</w:t>
            </w:r>
          </w:p>
        </w:tc>
      </w:tr>
      <w:tr>
        <w:trPr>
          <w:trHeight w:val="216"/>
        </w:trPr>
        <w:tc>
          <w:tcPr>
            <w:tcW w:w="8740" w:type="dxa"/>
            <w:vAlign w:val="bottom"/>
            <w:gridSpan w:val="2"/>
          </w:tcPr>
          <w:p>
            <w:pPr>
              <w:spacing w:after="0"/>
              <w:rPr>
                <w:sz w:val="20"/>
                <w:szCs w:val="20"/>
                <w:color w:val="auto"/>
              </w:rPr>
            </w:pPr>
            <w:r>
              <w:rPr>
                <w:rFonts w:ascii="Arial" w:cs="Arial" w:eastAsia="Arial" w:hAnsi="Arial"/>
                <w:sz w:val="18"/>
                <w:szCs w:val="18"/>
                <w:color w:val="auto"/>
              </w:rPr>
              <w:t>2016</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102.625%</w:t>
            </w:r>
          </w:p>
        </w:tc>
      </w:tr>
      <w:tr>
        <w:trPr>
          <w:trHeight w:val="216"/>
        </w:trPr>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2017</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101.313%</w:t>
            </w:r>
          </w:p>
        </w:tc>
      </w:tr>
      <w:tr>
        <w:trPr>
          <w:trHeight w:val="222"/>
        </w:trPr>
        <w:tc>
          <w:tcPr>
            <w:tcW w:w="8740" w:type="dxa"/>
            <w:vAlign w:val="bottom"/>
            <w:gridSpan w:val="2"/>
          </w:tcPr>
          <w:p>
            <w:pPr>
              <w:spacing w:after="0"/>
              <w:rPr>
                <w:sz w:val="20"/>
                <w:szCs w:val="20"/>
                <w:color w:val="auto"/>
              </w:rPr>
            </w:pPr>
            <w:r>
              <w:rPr>
                <w:rFonts w:ascii="Arial" w:cs="Arial" w:eastAsia="Arial" w:hAnsi="Arial"/>
                <w:sz w:val="18"/>
                <w:szCs w:val="18"/>
                <w:color w:val="auto"/>
              </w:rPr>
              <w:t>2018 and thereafter</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100.000%</w:t>
            </w:r>
          </w:p>
        </w:tc>
      </w:tr>
    </w:tbl>
    <w:p>
      <w:pPr>
        <w:spacing w:after="0" w:line="14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Unless the Issuers default in the payment of the redemption price, interest will cease to accrue on the 2020 Notes or portions thereof called for redemption on the applicable redemption date.</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connection with a discharge or defeasance of the Issuers’ obligations under the Indenture, the Issuers may deliver a notice of redemption more than 60 days in advance of the date of redemption. See “—Satisfaction and Discharge.”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Gaming Redemption</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Notwithstanding any other provision hereof, if any Gaming Authority requires a holder or beneficial owner of 2020 Notes to be licensed, qualified or found suitable under any applicable Gaming Law and the holder or beneficial owner (1) fails to apply for a license, qualification or finding of suitability within 30 days after being requested to do so (or such lesser period as required by the Gaming Authority), or (2) is notified by a Gaming Authority that it will not be licensed, qualified or found suitable, the Issuers will have the right, at their option, to:</w:t>
      </w:r>
    </w:p>
    <w:p>
      <w:pPr>
        <w:spacing w:after="0" w:line="62" w:lineRule="exact"/>
        <w:rPr>
          <w:sz w:val="20"/>
          <w:szCs w:val="20"/>
          <w:color w:val="auto"/>
        </w:rPr>
      </w:pPr>
    </w:p>
    <w:p>
      <w:pPr>
        <w:ind w:left="460" w:right="280" w:firstLine="443"/>
        <w:spacing w:after="0" w:line="268" w:lineRule="auto"/>
        <w:tabs>
          <w:tab w:leader="none" w:pos="1147" w:val="left"/>
        </w:tabs>
        <w:numPr>
          <w:ilvl w:val="0"/>
          <w:numId w:val="237"/>
        </w:numPr>
        <w:rPr>
          <w:rFonts w:ascii="Arial" w:cs="Arial" w:eastAsia="Arial" w:hAnsi="Arial"/>
          <w:sz w:val="18"/>
          <w:szCs w:val="18"/>
          <w:color w:val="auto"/>
        </w:rPr>
      </w:pPr>
      <w:r>
        <w:rPr>
          <w:rFonts w:ascii="Arial" w:cs="Arial" w:eastAsia="Arial" w:hAnsi="Arial"/>
          <w:sz w:val="18"/>
          <w:szCs w:val="18"/>
          <w:color w:val="auto"/>
        </w:rPr>
        <w:t>require the holder or beneficial owner to dispose of its 2020 Notes within 30 days (or such lesser period as required by the Gaming Authority) following the earlier of:</w:t>
      </w:r>
    </w:p>
    <w:p>
      <w:pPr>
        <w:spacing w:after="0" w:line="50" w:lineRule="exact"/>
        <w:rPr>
          <w:rFonts w:ascii="Arial" w:cs="Arial" w:eastAsia="Arial" w:hAnsi="Arial"/>
          <w:sz w:val="18"/>
          <w:szCs w:val="18"/>
          <w:color w:val="auto"/>
        </w:rPr>
      </w:pPr>
    </w:p>
    <w:p>
      <w:pPr>
        <w:ind w:left="920" w:right="60" w:firstLine="421"/>
        <w:spacing w:after="0" w:line="268" w:lineRule="auto"/>
        <w:tabs>
          <w:tab w:leader="none" w:pos="1579" w:val="left"/>
        </w:tabs>
        <w:numPr>
          <w:ilvl w:val="1"/>
          <w:numId w:val="237"/>
        </w:numPr>
        <w:rPr>
          <w:rFonts w:ascii="Arial" w:cs="Arial" w:eastAsia="Arial" w:hAnsi="Arial"/>
          <w:sz w:val="18"/>
          <w:szCs w:val="18"/>
          <w:color w:val="auto"/>
        </w:rPr>
      </w:pPr>
      <w:r>
        <w:rPr>
          <w:rFonts w:ascii="Arial" w:cs="Arial" w:eastAsia="Arial" w:hAnsi="Arial"/>
          <w:sz w:val="18"/>
          <w:szCs w:val="18"/>
          <w:color w:val="auto"/>
        </w:rPr>
        <w:t>the termination of the period described above for the holder or beneficial owner to apply for a license, qualification or finding of suitability if the holder fails to apply for a license, qualification or finding of suitability during such period; or</w:t>
      </w:r>
    </w:p>
    <w:p>
      <w:pPr>
        <w:spacing w:after="0" w:line="50" w:lineRule="exact"/>
        <w:rPr>
          <w:rFonts w:ascii="Arial" w:cs="Arial" w:eastAsia="Arial" w:hAnsi="Arial"/>
          <w:sz w:val="18"/>
          <w:szCs w:val="18"/>
          <w:color w:val="auto"/>
        </w:rPr>
      </w:pPr>
    </w:p>
    <w:p>
      <w:pPr>
        <w:ind w:left="920" w:right="120" w:firstLine="421"/>
        <w:spacing w:after="0" w:line="268" w:lineRule="auto"/>
        <w:tabs>
          <w:tab w:leader="none" w:pos="1588" w:val="left"/>
        </w:tabs>
        <w:numPr>
          <w:ilvl w:val="1"/>
          <w:numId w:val="237"/>
        </w:numPr>
        <w:rPr>
          <w:rFonts w:ascii="Arial" w:cs="Arial" w:eastAsia="Arial" w:hAnsi="Arial"/>
          <w:sz w:val="18"/>
          <w:szCs w:val="18"/>
          <w:color w:val="auto"/>
        </w:rPr>
      </w:pPr>
      <w:r>
        <w:rPr>
          <w:rFonts w:ascii="Arial" w:cs="Arial" w:eastAsia="Arial" w:hAnsi="Arial"/>
          <w:sz w:val="18"/>
          <w:szCs w:val="18"/>
          <w:color w:val="auto"/>
        </w:rPr>
        <w:t>the receipt of the notice from the Gaming Authority that the holder or beneficial owner will not be licensed, qualified or found suitable by the Gaming Authority; or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redeem the 2020 Notes of the holder or beneficial owner at a redemption price equal to:</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237"/>
        </w:numPr>
        <w:rPr>
          <w:rFonts w:ascii="Arial" w:cs="Arial" w:eastAsia="Arial" w:hAnsi="Arial"/>
          <w:sz w:val="18"/>
          <w:szCs w:val="18"/>
          <w:color w:val="auto"/>
        </w:rPr>
      </w:pPr>
      <w:r>
        <w:rPr>
          <w:rFonts w:ascii="Arial" w:cs="Arial" w:eastAsia="Arial" w:hAnsi="Arial"/>
          <w:sz w:val="18"/>
          <w:szCs w:val="18"/>
          <w:color w:val="auto"/>
        </w:rPr>
        <w:t>the price required by applicable law or by order of any Gaming Authority; or</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237"/>
        </w:numPr>
        <w:rPr>
          <w:rFonts w:ascii="Arial" w:cs="Arial" w:eastAsia="Arial" w:hAnsi="Arial"/>
          <w:sz w:val="18"/>
          <w:szCs w:val="18"/>
          <w:color w:val="auto"/>
        </w:rPr>
      </w:pPr>
      <w:r>
        <w:rPr>
          <w:rFonts w:ascii="Arial" w:cs="Arial" w:eastAsia="Arial" w:hAnsi="Arial"/>
          <w:sz w:val="18"/>
          <w:szCs w:val="18"/>
          <w:color w:val="auto"/>
        </w:rPr>
        <w:t>the lesser of:</w:t>
      </w:r>
    </w:p>
    <w:p>
      <w:pPr>
        <w:spacing w:after="0" w:line="90" w:lineRule="exact"/>
        <w:rPr>
          <w:rFonts w:ascii="Arial" w:cs="Arial" w:eastAsia="Arial" w:hAnsi="Arial"/>
          <w:sz w:val="18"/>
          <w:szCs w:val="18"/>
          <w:color w:val="auto"/>
        </w:rPr>
      </w:pPr>
    </w:p>
    <w:p>
      <w:pPr>
        <w:ind w:left="2100" w:hanging="211"/>
        <w:spacing w:after="0"/>
        <w:tabs>
          <w:tab w:leader="none" w:pos="2100" w:val="left"/>
        </w:tabs>
        <w:numPr>
          <w:ilvl w:val="2"/>
          <w:numId w:val="237"/>
        </w:numPr>
        <w:rPr>
          <w:rFonts w:ascii="Arial" w:cs="Arial" w:eastAsia="Arial" w:hAnsi="Arial"/>
          <w:sz w:val="18"/>
          <w:szCs w:val="18"/>
          <w:color w:val="auto"/>
        </w:rPr>
      </w:pPr>
      <w:r>
        <w:rPr>
          <w:rFonts w:ascii="Arial" w:cs="Arial" w:eastAsia="Arial" w:hAnsi="Arial"/>
          <w:sz w:val="18"/>
          <w:szCs w:val="18"/>
          <w:color w:val="auto"/>
        </w:rPr>
        <w:t>the principal amount of the 2020 Notes; and</w:t>
      </w:r>
    </w:p>
    <w:p>
      <w:pPr>
        <w:spacing w:after="0" w:line="90" w:lineRule="exact"/>
        <w:rPr>
          <w:rFonts w:ascii="Arial" w:cs="Arial" w:eastAsia="Arial" w:hAnsi="Arial"/>
          <w:sz w:val="18"/>
          <w:szCs w:val="18"/>
          <w:color w:val="auto"/>
        </w:rPr>
      </w:pPr>
    </w:p>
    <w:p>
      <w:pPr>
        <w:ind w:left="1500" w:right="140" w:firstLine="389"/>
        <w:spacing w:after="0" w:line="256" w:lineRule="auto"/>
        <w:tabs>
          <w:tab w:leader="none" w:pos="2155" w:val="left"/>
        </w:tabs>
        <w:numPr>
          <w:ilvl w:val="2"/>
          <w:numId w:val="237"/>
        </w:numPr>
        <w:rPr>
          <w:rFonts w:ascii="Arial" w:cs="Arial" w:eastAsia="Arial" w:hAnsi="Arial"/>
          <w:sz w:val="18"/>
          <w:szCs w:val="18"/>
          <w:color w:val="auto"/>
        </w:rPr>
      </w:pPr>
      <w:r>
        <w:rPr>
          <w:rFonts w:ascii="Arial" w:cs="Arial" w:eastAsia="Arial" w:hAnsi="Arial"/>
          <w:sz w:val="18"/>
          <w:szCs w:val="18"/>
          <w:color w:val="auto"/>
        </w:rPr>
        <w:t>the price that the holder or beneficial owner paid for the 2020 Notes in either case, together with accrued and unpaid interest and Liquidated Damages, if any, on the 2020 Notes to the earlier of (1) the date of redemption or such earlier date as is required by the Gaming Authority or (2) the date of the finding of unsuitability by the Gaming Authority, which may be less than 30 days following the notice of redemption.</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Immediately upon a determination by a Gaming Authority that a holder or beneficial owner of 2020 Notes will not be licensed, qualified or found suitable, the holder or beneficial owner will not have any further rights with respect to the 2020 Notes to:</w:t>
      </w:r>
    </w:p>
    <w:p>
      <w:pPr>
        <w:spacing w:after="0" w:line="51" w:lineRule="exact"/>
        <w:rPr>
          <w:sz w:val="20"/>
          <w:szCs w:val="20"/>
          <w:color w:val="auto"/>
        </w:rPr>
      </w:pPr>
    </w:p>
    <w:p>
      <w:pPr>
        <w:ind w:left="1160" w:hanging="257"/>
        <w:spacing w:after="0"/>
        <w:tabs>
          <w:tab w:leader="none" w:pos="116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exercise, directly or indirectly, through any Person, any right conferred by the 2020 Notes; or</w:t>
      </w:r>
    </w:p>
    <w:p>
      <w:pPr>
        <w:spacing w:after="0" w:line="90" w:lineRule="exact"/>
        <w:rPr>
          <w:rFonts w:ascii="Arial" w:cs="Arial" w:eastAsia="Arial" w:hAnsi="Arial"/>
          <w:sz w:val="18"/>
          <w:szCs w:val="18"/>
          <w:color w:val="auto"/>
        </w:rPr>
      </w:pPr>
    </w:p>
    <w:p>
      <w:pPr>
        <w:ind w:left="460" w:right="320" w:firstLine="443"/>
        <w:spacing w:after="0" w:line="268" w:lineRule="auto"/>
        <w:tabs>
          <w:tab w:leader="none" w:pos="1147" w:val="left"/>
        </w:tabs>
        <w:numPr>
          <w:ilvl w:val="0"/>
          <w:numId w:val="238"/>
        </w:numPr>
        <w:rPr>
          <w:rFonts w:ascii="Arial" w:cs="Arial" w:eastAsia="Arial" w:hAnsi="Arial"/>
          <w:sz w:val="18"/>
          <w:szCs w:val="18"/>
          <w:color w:val="auto"/>
        </w:rPr>
      </w:pPr>
      <w:r>
        <w:rPr>
          <w:rFonts w:ascii="Arial" w:cs="Arial" w:eastAsia="Arial" w:hAnsi="Arial"/>
          <w:sz w:val="18"/>
          <w:szCs w:val="18"/>
          <w:color w:val="auto"/>
        </w:rPr>
        <w:t>receive any interest or any other distribution or payment with respect to the 2020 Notes, or any remuneration in any form from the Issuers for services rendered or otherwise, except the redemption price of the 2020 Notes described in this section.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400"/>
          </w:cols>
          <w:pgMar w:left="240" w:top="459" w:right="2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The Issuers are not required to pay or reimburse any holder or beneficial owner of 2020 Notes who is required to apply for such license, qualification or finding of suitability for the costs relating thereto. Those expenses will be the obligation of the holder or beneficial owner.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Mandatory Redemption</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Other than as set forth above under the caption entitled “—Gaming Redemption,” the Issuers are not required to make mandatory redemption or sinking fund payments with respect to the 2020 Notes.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at the Option of Holders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Change of Control</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If a Change of Control occurs, each holder of 2020 Notes will have the right to require the Issuers to repurchase all or any part (equal to $2,000 or an integral multiple of $1,000 in excess of $2,000) of that holder’s 2020 Notes pursuant to a Change of Control Offer on the terms set forth in the Indenture. In the Change of Control Offer, the Issuers will offer a payment (the “Change of Control Payment”) in cash equal to 101% of the aggregate principal amount of 2020 Notes repurchased plus accrued and unpaid interest and Liquidated Damages, if any, on the 2020 Notes repurchased to the date of purchase. Within 10 days following any Change of Control, the Issuers will mail a notice to each holder describing the transaction or transactions that constitute the Change of Control and offering to repurchase 2020 Notes on the date (the “Change of Control Payment Date”) specified in the notice, which date will be no earlier than 30 days and no later than 60 days from the date such notice is mailed, pursuant to the procedures required by the Indenture and described in such notice.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the Change of Control Payment Date, the Issuers will, to the extent lawful:</w:t>
      </w:r>
    </w:p>
    <w:p>
      <w:pPr>
        <w:spacing w:after="0" w:line="90" w:lineRule="exact"/>
        <w:rPr>
          <w:sz w:val="20"/>
          <w:szCs w:val="20"/>
          <w:color w:val="auto"/>
        </w:rPr>
      </w:pPr>
    </w:p>
    <w:p>
      <w:pPr>
        <w:ind w:left="1160" w:hanging="257"/>
        <w:spacing w:after="0"/>
        <w:tabs>
          <w:tab w:leader="none" w:pos="116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accept for payment all 2020 Notes or portions of 2020 Notes properly tendered pursuant to the Change of Control Offer;</w:t>
      </w:r>
    </w:p>
    <w:p>
      <w:pPr>
        <w:spacing w:after="0" w:line="90"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239"/>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2020 Notes or portions of 2020 Notes properly tendered; and</w:t>
      </w:r>
    </w:p>
    <w:p>
      <w:pPr>
        <w:spacing w:after="0" w:line="50" w:lineRule="exact"/>
        <w:rPr>
          <w:rFonts w:ascii="Arial" w:cs="Arial" w:eastAsia="Arial" w:hAnsi="Arial"/>
          <w:sz w:val="18"/>
          <w:szCs w:val="18"/>
          <w:color w:val="auto"/>
        </w:rPr>
      </w:pPr>
    </w:p>
    <w:p>
      <w:pPr>
        <w:ind w:left="460" w:right="660" w:firstLine="443"/>
        <w:spacing w:after="0" w:line="268" w:lineRule="auto"/>
        <w:tabs>
          <w:tab w:leader="none" w:pos="1147" w:val="left"/>
        </w:tabs>
        <w:numPr>
          <w:ilvl w:val="0"/>
          <w:numId w:val="239"/>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2020 Notes properly accepted together with an officers’ certificate stating the aggregate principal amount of 2020 Notes or portions of 2020 Notes being purchased by the Issuers.</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paying agent will promptly mail to each holder of 2020 Notes properly tendered the Change of Control Payment for such 2020 Notes, and the trustee will promptly authenticate and mail (or cause to be transferred by book-entry) to each holder a 2020 Note equal in principal amount to any unpurchased portion of the 2020 Notes surrendered, if any. The Issuers will publicly announce the results of the Change of Control Offer on or as soon as practicable after the Change of Control Payment Date.</w:t>
      </w:r>
    </w:p>
    <w:p>
      <w:pPr>
        <w:spacing w:after="0" w:line="143"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Except as described above with respect to a Change of Control, the Indenture does not contain provisions that permit the holders of the 2020 Notes to require that the Issuers repurchase or redeem the 2020 Notes in the event of a takeover, recapitalization or similar transaction.</w:t>
      </w:r>
    </w:p>
    <w:p>
      <w:pPr>
        <w:spacing w:after="0" w:line="8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Issuers will not be required to make a Change of Control Offer upon a Change of Control if (1) a third party makes the Change of Control Offer in the manner, at the times and otherwise in compliance with the requirements set forth in the Indenture applicable to a Change of Control Offer made by the Issuers and purchases all 2020 Notes properly tendered and not withdrawn under the Change of Control Offer, or (2) a notice of redemption has been given pursuant to the Indenture as described above under the caption “—Optional Redemption,” unless and until there is a default in payment of the applicable redemption price. The definition of “Change of Control” includes a phrase relating to the direct or indirect sale, lease, transfer, conveyance or other disposition of “all or substantially all” of the properties or assets of Wynn Las Vegas and its Restricted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Subsidiaries, taken as a whole. Although there is a limited body of case law interpreting the phrase “substantially all,” there is no precise established definition of the phrase under applicable law. Accordingly, the ability of a holder of 2020 Notes to require the Issuers to repurchase its 2020 Notes as a result of a sale, lease, transfer, conveyance or other disposition of less than all of the assets of Wynn Las Vegas and its Restricted Subsidiaries, taken as a whole, to another Person or group may be uncertain.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Sales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Las Vegas will not, and will not permit any of its Restricted Subsidiaries to, consummate an Asset Sale unless:</w:t>
      </w:r>
    </w:p>
    <w:p>
      <w:pPr>
        <w:spacing w:after="0" w:line="90" w:lineRule="exact"/>
        <w:rPr>
          <w:sz w:val="20"/>
          <w:szCs w:val="20"/>
          <w:color w:val="auto"/>
        </w:rPr>
      </w:pPr>
    </w:p>
    <w:p>
      <w:pPr>
        <w:jc w:val="both"/>
        <w:ind w:left="460" w:right="220" w:firstLine="443"/>
        <w:spacing w:after="0" w:line="259" w:lineRule="auto"/>
        <w:tabs>
          <w:tab w:leader="none" w:pos="1147" w:val="left"/>
        </w:tabs>
        <w:numPr>
          <w:ilvl w:val="0"/>
          <w:numId w:val="240"/>
        </w:numPr>
        <w:rPr>
          <w:rFonts w:ascii="Arial" w:cs="Arial" w:eastAsia="Arial" w:hAnsi="Arial"/>
          <w:sz w:val="18"/>
          <w:szCs w:val="18"/>
          <w:color w:val="auto"/>
        </w:rPr>
      </w:pPr>
      <w:r>
        <w:rPr>
          <w:rFonts w:ascii="Arial" w:cs="Arial" w:eastAsia="Arial" w:hAnsi="Arial"/>
          <w:sz w:val="18"/>
          <w:szCs w:val="18"/>
          <w:color w:val="auto"/>
        </w:rPr>
        <w:t>Wynn Las Vegas (or the Restricted Subsidiary, as the case may be) receives consideration at the time of the Asset Sale at least equal to the Fair Market Value of the assets or Equity Interests issued or sold or otherwise disposed of (it being understood that a percentage of the purchase price may be subject to escrow arrangements customary for asset sales);</w:t>
      </w:r>
    </w:p>
    <w:p>
      <w:pPr>
        <w:spacing w:after="0" w:line="59" w:lineRule="exact"/>
        <w:rPr>
          <w:rFonts w:ascii="Arial" w:cs="Arial" w:eastAsia="Arial" w:hAnsi="Arial"/>
          <w:sz w:val="18"/>
          <w:szCs w:val="18"/>
          <w:color w:val="auto"/>
        </w:rPr>
      </w:pPr>
    </w:p>
    <w:p>
      <w:pPr>
        <w:ind w:left="460" w:right="400" w:firstLine="443"/>
        <w:spacing w:after="0" w:line="332" w:lineRule="auto"/>
        <w:tabs>
          <w:tab w:leader="none" w:pos="1147" w:val="left"/>
        </w:tabs>
        <w:numPr>
          <w:ilvl w:val="0"/>
          <w:numId w:val="240"/>
        </w:numPr>
        <w:rPr>
          <w:rFonts w:ascii="Arial" w:cs="Arial" w:eastAsia="Arial" w:hAnsi="Arial"/>
          <w:sz w:val="16"/>
          <w:szCs w:val="16"/>
          <w:color w:val="auto"/>
        </w:rPr>
      </w:pPr>
      <w:r>
        <w:rPr>
          <w:rFonts w:ascii="Arial" w:cs="Arial" w:eastAsia="Arial" w:hAnsi="Arial"/>
          <w:sz w:val="16"/>
          <w:szCs w:val="16"/>
          <w:color w:val="auto"/>
        </w:rPr>
        <w:t>if the aggregate consideration to be received by Wynn Las Vegas or such Restricted Subsidiary is in excess of $10.0 million, the Fair Market Value is evidenced by a certificate of the chief financial officer of Wynn Las Vegas delivered to the trustee; and</w:t>
      </w:r>
    </w:p>
    <w:p>
      <w:pPr>
        <w:spacing w:after="0" w:line="4" w:lineRule="exact"/>
        <w:rPr>
          <w:rFonts w:ascii="Arial" w:cs="Arial" w:eastAsia="Arial" w:hAnsi="Arial"/>
          <w:sz w:val="16"/>
          <w:szCs w:val="16"/>
          <w:color w:val="auto"/>
        </w:rPr>
      </w:pPr>
    </w:p>
    <w:p>
      <w:pPr>
        <w:ind w:left="460" w:right="440" w:firstLine="443"/>
        <w:spacing w:after="0" w:line="268" w:lineRule="auto"/>
        <w:tabs>
          <w:tab w:leader="none" w:pos="1147" w:val="left"/>
        </w:tabs>
        <w:numPr>
          <w:ilvl w:val="0"/>
          <w:numId w:val="240"/>
        </w:numPr>
        <w:rPr>
          <w:rFonts w:ascii="Arial" w:cs="Arial" w:eastAsia="Arial" w:hAnsi="Arial"/>
          <w:sz w:val="18"/>
          <w:szCs w:val="18"/>
          <w:color w:val="auto"/>
        </w:rPr>
      </w:pPr>
      <w:r>
        <w:rPr>
          <w:rFonts w:ascii="Arial" w:cs="Arial" w:eastAsia="Arial" w:hAnsi="Arial"/>
          <w:sz w:val="18"/>
          <w:szCs w:val="18"/>
          <w:color w:val="auto"/>
        </w:rPr>
        <w:t>at least 75% of the consideration received in the Asset Sale by Wynn Las Vegas or such Restricted Subsidiary is in the form of cash or Cash Equivalents. For purposes of this provision, each of the following will be deemed to be cash:</w:t>
      </w:r>
    </w:p>
    <w:p>
      <w:pPr>
        <w:spacing w:after="0" w:line="50" w:lineRule="exact"/>
        <w:rPr>
          <w:rFonts w:ascii="Arial" w:cs="Arial" w:eastAsia="Arial" w:hAnsi="Arial"/>
          <w:sz w:val="18"/>
          <w:szCs w:val="18"/>
          <w:color w:val="auto"/>
        </w:rPr>
      </w:pPr>
    </w:p>
    <w:p>
      <w:pPr>
        <w:ind w:left="920" w:right="40" w:firstLine="421"/>
        <w:spacing w:after="0" w:line="256" w:lineRule="auto"/>
        <w:tabs>
          <w:tab w:leader="none" w:pos="1579" w:val="left"/>
        </w:tabs>
        <w:numPr>
          <w:ilvl w:val="1"/>
          <w:numId w:val="240"/>
        </w:numPr>
        <w:rPr>
          <w:rFonts w:ascii="Arial" w:cs="Arial" w:eastAsia="Arial" w:hAnsi="Arial"/>
          <w:sz w:val="18"/>
          <w:szCs w:val="18"/>
          <w:color w:val="auto"/>
        </w:rPr>
      </w:pPr>
      <w:r>
        <w:rPr>
          <w:rFonts w:ascii="Arial" w:cs="Arial" w:eastAsia="Arial" w:hAnsi="Arial"/>
          <w:sz w:val="18"/>
          <w:szCs w:val="18"/>
          <w:color w:val="auto"/>
        </w:rPr>
        <w:t>any liabilities, as shown on Wynn Las Vegas’ most recent consolidated balance sheet, of Wynn Las Vegas or any Restricted Subsidiary (other than contingent liabilities and liabilities that are by their terms subordinated to the 2020 Notes or any Note Guarantee) that are assumed by the transferee of any such assets pursuant to a customary novation agreement that releases Wynn Las Vegas or such Restricted Subsidiary from further liability; and</w:t>
      </w:r>
    </w:p>
    <w:p>
      <w:pPr>
        <w:spacing w:after="0" w:line="62" w:lineRule="exact"/>
        <w:rPr>
          <w:rFonts w:ascii="Arial" w:cs="Arial" w:eastAsia="Arial" w:hAnsi="Arial"/>
          <w:sz w:val="18"/>
          <w:szCs w:val="18"/>
          <w:color w:val="auto"/>
        </w:rPr>
      </w:pPr>
    </w:p>
    <w:p>
      <w:pPr>
        <w:ind w:left="920" w:right="120" w:firstLine="421"/>
        <w:spacing w:after="0" w:line="370" w:lineRule="auto"/>
        <w:tabs>
          <w:tab w:leader="none" w:pos="1588" w:val="left"/>
        </w:tabs>
        <w:numPr>
          <w:ilvl w:val="1"/>
          <w:numId w:val="240"/>
        </w:numPr>
        <w:rPr>
          <w:rFonts w:ascii="Arial" w:cs="Arial" w:eastAsia="Arial" w:hAnsi="Arial"/>
          <w:sz w:val="15"/>
          <w:szCs w:val="15"/>
          <w:color w:val="auto"/>
        </w:rPr>
      </w:pPr>
      <w:r>
        <w:rPr>
          <w:rFonts w:ascii="Arial" w:cs="Arial" w:eastAsia="Arial" w:hAnsi="Arial"/>
          <w:sz w:val="15"/>
          <w:szCs w:val="15"/>
          <w:color w:val="auto"/>
        </w:rPr>
        <w:t>any securities, notes or other obligations received by Wynn Las Vegas or any such Restricted Subsidiary from such transferee that are converted within 30 business days by Wynn Las Vegas or such Restricted Subsidiary into cash, to the extent of the cash received in that conversion.</w:t>
      </w:r>
    </w:p>
    <w:p>
      <w:pPr>
        <w:spacing w:after="0" w:line="6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Within 360 days after the receipt of any Net Proceeds from an Asset Sale, Wynn Las Vegas (or the applicable Restricted Subsidiary, as the case may be) may apply such Net Proceeds to make a capital expenditure, improve real property or acquire long-term assets that are used or useful in a line of business permitted by the covenant described below under the caption “—Certain Covenants—Line of Business.” Wynn Las Vegas (or such Restricted Subsidiary, as the case may be) shall take all necessary action to ensure that the security interest of the trustee, on behalf of the Holders, continues as a perfected first priority security interest (equal and ratable with the security interest securing the Credit Agreement, the 2014 Notes and the 2017 Notes, and subject to other Permitted Liens and the terms of the Intercreditor Agreement) on any property or assets acquired or constructed with the Net Proceeds of any Asset Sale on the terms set forth in the Indenture, the Intercreditor Agreement and the other Collateral Documents. Pending the final application of any Net Proceeds, Wynn Las Vegas (or such Restricted Subsidiary, as the case may be) may (1) apply the Net Proceeds to temporarily reduce amounts outstanding under any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secured revolving credit Indebtedness of Wynn Las Vegas or any of its Restricted Subsidiaries, or (2) invest the Net Proceeds in Cash Equivalents which, at any time other than during a Collateral Release Period, will be subject to a perfected first priority security interest (equal and ratable with the security interest securing the Credit Agreement, the 2014 Notes and the 2017 Notes, and subject to other Permitted Liens and the terms of the Intercreditor Agreement) in favor of the trustee, on behalf of the holders of 2020 Notes, as security for the 2020 Notes.</w:t>
      </w:r>
    </w:p>
    <w:p>
      <w:pPr>
        <w:spacing w:after="0" w:line="124"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Any Net Proceeds from Asset Sales that are not applied or invested as provided in the preceding paragraph will constitute “Excess Net Proceeds.” Within 10 days following the earlier of (i) the date on which the aggregate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4" w:lineRule="auto"/>
        <w:rPr>
          <w:sz w:val="20"/>
          <w:szCs w:val="20"/>
          <w:color w:val="auto"/>
        </w:rPr>
      </w:pPr>
      <w:r>
        <w:rPr>
          <w:rFonts w:ascii="Arial" w:cs="Arial" w:eastAsia="Arial" w:hAnsi="Arial"/>
          <w:sz w:val="15"/>
          <w:szCs w:val="15"/>
          <w:color w:val="auto"/>
        </w:rPr>
        <w:t>amount of Excess Net Proceeds exceeds $20.0 million or (ii) the date when the proceeds of any sale of assets are required, pursuant to the Credit Agreement, to be applied to reduce Indebtedness of Wynn Las Vegas (such Excess Net Proceeds and the proceeds described in the preceding clause (ii) shall collectively constitute “Excess Proceeds”), Wynn Las Vegas will allocate a portion of such Excess Proceeds, determined by multiplying the amount of such Excess Proceeds by a fraction, the numerator of which is the total aggregate principal amount of 2020 Notes then outstanding and all Pari Passu Debt then outstanding, and the denominator of which is the total aggregate principal amount of 2020 Notes then outstanding, all Pari Passu Debt then outstanding and all Indebtedness then outstanding under the Credit Agreement (such amount being the “Asset Sale Offer Amount”), to make an offer (an “Asset Sale Offer”) to all holders of 2020 Notes and, to the extent required, the holders of such Pari Passu Debt to repurchase such 2020 Notes and such Pari Passu Debt at an offer price equal to 100% of the principal amount of the 2020 Notes and such Pari Passu Debt to be purchased plus accrued and unpaid interest and Liquidated Damages, if any, on the 2020 Notes and such other Pari Passu Debt to the date of repurchase, which offer price will be payable in cash. The amount of any such Excess Proceeds less the Asset Sale Offer Amount (the “Asset Sale Repayment Amount”) will concurrently be applied to repay any term Indebtedness outstanding under the Credit Agreement in accordance with the requirements of the Credit Agreement; provided, however, that to the extent that the Asset Sale Repayment Amount exceeds the amount of term Indebtedness then outstanding under the Credit Agreement at the time of repayment, such excess amount (after repayment in full of the term Indebtedness under the Credit Agreement) shall be added to the Asset Sale Offer Amount and offered to the holders of 2020 Notes and, to the extent required, the holders of such Pari Passu Debt pursuant to the Asset Sale Offer as provided in the preceding sentence. If any Excess Proceeds remain after consummation of an Asset Sale Offer and repayment of any term Indebtedness outstanding under the Credit Agreement, Wynn Las Vegas (or such Restricted Subsidiary, as the case may be) may use those Excess Proceeds for any general corporate purpose not prohibited by the Indenture, the Credit Agreement, the 2014 Notes, the 2017 Notes and the Collateral Documents, including, without limitation, to reduce revolving credit Indebtedness (and, if required, commitments) under the Credit Agreement. If the aggregate principal amount of 2020 Notes and such other Pari Passu Debt tendered into such Asset Sale Offer exceeds the Asset Sale Offer Amount that may be applied to the Asset Sale Offer, the trustee will select the 2020 Notes and such other Pari Passu Debt to be purchased as described below under the caption “— Selection and Notice” and in accordance with the Indenture. Upon completion of each Asset Sale Offer, the amount of Excess Proceeds will be reset at zero.</w:t>
      </w:r>
    </w:p>
    <w:p>
      <w:pPr>
        <w:spacing w:after="0" w:line="200" w:lineRule="exact"/>
        <w:rPr>
          <w:sz w:val="20"/>
          <w:szCs w:val="20"/>
          <w:color w:val="auto"/>
        </w:rPr>
      </w:pPr>
    </w:p>
    <w:p>
      <w:pPr>
        <w:spacing w:after="0" w:line="21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Events of Loss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After any Event of Loss with respect to Collateral (other than Events of Loss with respect to Collateral comprising Encore at Wynn Las Vegas at any time prior to the completion of Encore at Wynn Las Vegas in accordance with the Disbursement Agreement, which will be governed by the Disbursement Agreement), Wynn Las Vegas or the applicable Restricted Subsidiary, as the case may be, may apply the Net Loss Proceeds from the Event of Loss to the rebuilding, repair, replacement or construction of improvements to the damaged Collateral, with no obligation to make any purchase of any 2020 Notes; so long as, in the case of any such Collateral with a Fair Market Value (or replacement cost, if higher) in excess of $500.0 million:</w:t>
      </w:r>
    </w:p>
    <w:p>
      <w:pPr>
        <w:spacing w:after="0" w:line="35" w:lineRule="exact"/>
        <w:rPr>
          <w:sz w:val="20"/>
          <w:szCs w:val="20"/>
          <w:color w:val="auto"/>
        </w:rPr>
      </w:pPr>
    </w:p>
    <w:p>
      <w:pPr>
        <w:ind w:left="460" w:right="400" w:firstLine="443"/>
        <w:spacing w:after="0" w:line="332" w:lineRule="auto"/>
        <w:tabs>
          <w:tab w:leader="none" w:pos="1147" w:val="left"/>
        </w:tabs>
        <w:numPr>
          <w:ilvl w:val="0"/>
          <w:numId w:val="241"/>
        </w:numPr>
        <w:rPr>
          <w:rFonts w:ascii="Arial" w:cs="Arial" w:eastAsia="Arial" w:hAnsi="Arial"/>
          <w:sz w:val="16"/>
          <w:szCs w:val="16"/>
          <w:color w:val="auto"/>
        </w:rPr>
      </w:pPr>
      <w:r>
        <w:rPr>
          <w:rFonts w:ascii="Arial" w:cs="Arial" w:eastAsia="Arial" w:hAnsi="Arial"/>
          <w:sz w:val="16"/>
          <w:szCs w:val="16"/>
          <w:color w:val="auto"/>
        </w:rPr>
        <w:t>Wynn Las Vegas delivers to the trustee within 90 days of the Event of Loss a written opinion from a reputable contractor that the damaged Collateral can be rebuilt, repaired, replaced or constructed and operating within 365 days following the delivery of such written opinion to the trustee;</w:t>
      </w:r>
    </w:p>
    <w:p>
      <w:pPr>
        <w:spacing w:after="0" w:line="4" w:lineRule="exact"/>
        <w:rPr>
          <w:rFonts w:ascii="Arial" w:cs="Arial" w:eastAsia="Arial" w:hAnsi="Arial"/>
          <w:sz w:val="16"/>
          <w:szCs w:val="16"/>
          <w:color w:val="auto"/>
        </w:rPr>
      </w:pPr>
    </w:p>
    <w:p>
      <w:pPr>
        <w:ind w:left="460" w:right="40" w:firstLine="443"/>
        <w:spacing w:after="0" w:line="294" w:lineRule="auto"/>
        <w:tabs>
          <w:tab w:leader="none" w:pos="1147" w:val="left"/>
        </w:tabs>
        <w:numPr>
          <w:ilvl w:val="0"/>
          <w:numId w:val="241"/>
        </w:numPr>
        <w:rPr>
          <w:rFonts w:ascii="Arial" w:cs="Arial" w:eastAsia="Arial" w:hAnsi="Arial"/>
          <w:sz w:val="16"/>
          <w:szCs w:val="16"/>
          <w:color w:val="auto"/>
        </w:rPr>
      </w:pPr>
      <w:r>
        <w:rPr>
          <w:rFonts w:ascii="Arial" w:cs="Arial" w:eastAsia="Arial" w:hAnsi="Arial"/>
          <w:sz w:val="16"/>
          <w:szCs w:val="16"/>
          <w:color w:val="auto"/>
        </w:rPr>
        <w:t>Wynn Las Vegas delivers to the trustee within 120 days of the Event of Loss an officers’ certificate certifying that Wynn Las Vegas or the applicable Restricted Subsidiary has available from Net Loss Proceeds, cash on hand or available borrowings under Indebtedness permitted to be incurred under the covenant described below under the caption “—Certain Covenants—Incurrence of Indebtedness and Issuance of Disqualified Stock” to complete the rebuilding, repair, replacement or construction described in clause (1) above and, together with any anticipated revenues projected to be generated during the repair or restoration period, to pay debt service on its Indebtedness during the repair or restoration period; and</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400"/>
          </w:cols>
          <w:pgMar w:left="240" w:top="460" w:right="2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40" w:firstLine="443"/>
        <w:spacing w:after="0" w:line="268" w:lineRule="auto"/>
        <w:tabs>
          <w:tab w:leader="none" w:pos="1147"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damaged Collateral is rebuilt, repaired, replaced or constructed and operating in substantially the manner that it was operating immediately prior to the Event of Loss within 365 days following the delivery of such written opinion to the trustee.</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However, if the damaged Collateral is not necessary for and is not used in the operation of the Wynn Las Vegas Resort or Encore at Wynn Las Vegas, as the case may be, Wynn Las Vegas (or the applicable Restricted Subsidiary, as the case may be) may apply the Net Loss Proceeds to make a capital expenditure, improve real property or acquire long-term assets that are used or useful in a line of business permitted by the covenant described below under the caption “— Certain Covenants—Line of Business.”</w:t>
      </w:r>
    </w:p>
    <w:p>
      <w:pPr>
        <w:spacing w:after="0" w:line="143"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Any Net Loss Proceeds that are (1) not reinvested as provided in the first sentence of this covenant or (2) otherwise required, pursuant to the Credit Agreement, to be applied to reduce Indebtedness of Wynn Las Vegas, in each case, will be deemed “Excess Loss Proceeds.” Within 10 days following the earlier of (i) the date on which the aggregate amount of Excess Loss Proceeds exceeds $500.0 million or (ii) the date when, pursuant to the Credit Agreement, Excess Loss Proceeds are required to be applied to reduce Indebtedness of Wynn Las Vegas, Wynn Las Vegas will allocate a portion of such Excess Loss Proceeds, determined by multiplying the amount of such Excess Loss Proceeds by a fraction, the numerator of which is the total aggregate principal amount of 2020 Notes then outstanding and all Pari Passu Debt then outstanding, and the denominator of which is the total aggregate principal amount of 2020 Notes then outstanding, all Pari Passu Debt then outstanding and all Indebtedness then outstanding under the Credit Agreement (such amount being the “Event of Loss Offer Amount”), to make an offer (an “Event of Loss Offer”) to all holders of 2020 Notes and, to the extent required, the holders of such Pari Passu Debt to repurchase such 2020 Notes and such Pari Passu Debt at an offer price equal to 100% of the principal amount of the 2020 Notes and such Pari Passu Debt to be purchased plus accrued and unpaid interest and Liquidated Damages, if any, on the 2020 Notes and such other Pari Passu Debt to the date of repurchase, which offer price will be payable in cash. The amount of any such Excess Loss Proceeds less the Event of Loss Offer Amount (the “Event of Loss Repayment Amount”) will concurrently be applied to repay any Indebtedness outstanding under the Credit Agreement in accordance with the requirements of the Credit Agreement; provided, however, that to the extent that the Event of Loss Repayment Amount exceeds the amount of term Indebtedness then outstanding under the Credit Agreement at the time of repayment but does not exceed $100.0 million (unless the lenders under the Credit Agreement have waived any requirement of Wynn Las Vegas to prepay revolving credit Indebtedness outstanding under the Credit Agreement and to effect a corresponding permanent reduction of the commitments thereunder), such excess amount (after repayment in full of the term Indebtedness under the Credit Agreement) shall be added to the Event of Loss Offer Amount and offered to the holders of 2020 Notes and, to the extent required, the holders of such Pari Passu Debt pursuant to the Event of Loss Offer as provided in the preceding sentence. If any Excess Loss Proceeds remain after consummation of an Event of Loss Offer and repayment of any term Indebtedness outstanding under the Credit Agreement, Wynn Las Vegas (or such Restricted Subsidiary, as the case may be) may use those Excess Loss Proceeds for any general corporate purpose not prohibited by the Indenture, the Credit Agreement, the 2014 Notes, the 2017 Notes and the Collateral Documents, including, without limitation, to reduce revolving credit Indebtedness (and, if required, commitments) under the Credit Agreement. If the aggregate principal amount of 2020 Notes and such other Pari Passu Debt tendered into such Event of Loss Offer exceeds the Event of Loss Offer Amount that may be applied to the Event of Loss Offer, the trustee will select the 2020 Notes and such other Pari Passu Debt to be purchased as described below under the caption “—Selection and Notice” and in accordance with the Indenture. Upon completion of each Event of Loss Offer, the amount of Excess Loss Proceeds will be reset at zero. Any Event of Loss Offer made pursuant to the terms of the indenture governing the 2014 Notes or the 2017 Notes shall be required to be made to the holders of the 2020 Notes, as holders of Pari Passu Debt (as defined in those indentures).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Event of Loss Offer Amount</w:t>
      </w:r>
    </w:p>
    <w:p>
      <w:pPr>
        <w:spacing w:after="0" w:line="9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 xml:space="preserve">Pending their application, all Net Loss Proceeds will either be (1) applied to temporarily reduce amounts outstanding under any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secured revolving credit Indebtedness under the Credit Agreement, 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8"/>
        <w:spacing w:after="0" w:line="289" w:lineRule="auto"/>
        <w:tabs>
          <w:tab w:leader="none" w:pos="249" w:val="left"/>
        </w:tabs>
        <w:numPr>
          <w:ilvl w:val="0"/>
          <w:numId w:val="243"/>
        </w:numPr>
        <w:rPr>
          <w:rFonts w:ascii="Arial" w:cs="Arial" w:eastAsia="Arial" w:hAnsi="Arial"/>
          <w:sz w:val="16"/>
          <w:szCs w:val="16"/>
          <w:color w:val="auto"/>
        </w:rPr>
      </w:pPr>
      <w:r>
        <w:rPr>
          <w:rFonts w:ascii="Arial" w:cs="Arial" w:eastAsia="Arial" w:hAnsi="Arial"/>
          <w:sz w:val="16"/>
          <w:szCs w:val="16"/>
          <w:color w:val="auto"/>
        </w:rPr>
        <w:t>invested in Cash Equivalents held in an account in which the trustee has a perfected first priority security interest for the benefit of the Holders (equal and ratable with the perfected security interest securing the Credit Agreement, the 2014 Notes, the 2017 Notes, and subject to other Permitted Liens and the terms of the Intercreditor Agreement). These funds and securities will be released to Wynn Las Vegas (or the applicable Restricted Subsidiary, as the case may be) to pay for or reimburse Wynn Las Vegas (or the applicable Restricted Subsidiary, as the case may be) for either (1) the actual cost of a permitted use of Net Loss Proceeds as provided above, or (2) the Event of Loss Offer, pursuant to the terms of the Collateral Documents. Wynn Las Vegas (or the applicable Restricted Subsidiary, as the case may be) will grant to the trustee, on behalf of the Holders, a security interest (equal and ratable with the perfected security interest securing the Credit Agreement, the 2014 Notes, the 2017 Notes, and subject to other Permitted Liens and the terms of the Intercreditor Agreement), on any property or assets rebuilt, repaired, replaced or constructed with such Net Loss Proceeds on the terms set forth in the Indenture and the Collateral Documents.</w:t>
      </w:r>
    </w:p>
    <w:p>
      <w:pPr>
        <w:spacing w:after="0" w:line="11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the event of an Event of Loss pursuant to clause (3) of the definition of “Event of Loss” with respect to property or assets that have a Fair Market Value (or replacement cost, if greater) in excess of $500.0 million, Wynn Las Vegas (or the applicable Restricted Subsidiary, as the case may be) will be required to receive consideration:</w:t>
      </w:r>
    </w:p>
    <w:p>
      <w:pPr>
        <w:spacing w:after="0" w:line="59" w:lineRule="exact"/>
        <w:rPr>
          <w:sz w:val="20"/>
          <w:szCs w:val="20"/>
          <w:color w:val="auto"/>
        </w:rPr>
      </w:pPr>
    </w:p>
    <w:p>
      <w:pPr>
        <w:ind w:left="460" w:right="600" w:firstLine="443"/>
        <w:spacing w:after="0" w:line="268" w:lineRule="auto"/>
        <w:tabs>
          <w:tab w:leader="none" w:pos="1147"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at least equal to the Fair Market Value (evidenced by a resolution of Wynn Capital’s Board of Directors set forth in an officers’ certificate delivered to the trustee) of the property or assets subject to the Event of Loss;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at least 80% of which is in the form of cash or Cash Equivalents.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Restrictions on Repurchase of 2020 Notes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agreements governing our other Indebtedness, including the Credit Agreement, may prohibit certain events, including a Change of Control or an Asset Sale, or provide that such events constitute events of default under such agreements. Similarly, those agreements may prohibit or restrict Wynn Las Vegas and its Restricted Subsidiaries from repairing or restoring the Collateral following an Event of Loss regardless of whether that repair or restoration is permitted under the Indenture. In addition, the exercise by the holders of 2020 Notes of their rights to require Wynn Las Vegas to repurchase the 2020 Notes upon a Change of Control Offer, an Asset Sale Offer or Event of Loss Offer, as the case may be, could cause a default under these other agreements. Finally, Wynn Las Vegas’ ability to pay cash to the holders of 2020 Notes upon a repurchase under a Change of Control Offer, Asset Sale Offer or Event of Loss Offer may be limited by Wynn Las Vegas’ then existing financial resources. See “Risk Factors—Risks Related to the 2020 Notes and the 2017 Notes—We may not be able to fulfill our repurchase obligations with respect to the 2020 Notes upon a change of control.”</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Compliance with Securities Laws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Issuers will comply with the requirements of Rule 14e-1 under the Exchange Act and any other securities laws and regulations thereunder to the extent these laws and regulations are applicable in connection with each repurchase of 2020 Notes pursuant to a Change of Control Offer, an Asset Sale Offer or an Event of Loss Offer. To the extent that the provisions of any securities laws or regulations conflict with the Change of Control, Asset Sale or Event of Loss provisions of the Indenture, the Issuers will comply with the applicable securities laws and regulations and will not be deemed to have breached their obligations under these provisions of the Indenture by virtue of such compliance.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Selection and Notice</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If less than all of the 2020 Notes are to be redeemed at any time, the trustee will select 2020 Notes for redemption on a pro rata basis, by lot or by any other method the trustee deems fair and appropriate, unless otherwise required by law or applicable stock exchange requirements. No 2020 Notes of $1,000 or less can be redeemed or purchased in part. However, if all of the 2020 Notes of a Holder are to be redeemed or purchased,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400"/>
          </w:cols>
          <w:pgMar w:left="240" w:top="459" w:right="2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entire outstanding amount of 2020 Notes held by such Holder, even if not a multiple of $1,000, will be redeemed or purchased. Notices of redemption or purchase will be mailed by first class mail at least 30 but not more than 60 days before the redemption or purchase date to each Holder of 2020 Notes to be redeemed or purchased at its registered address, except that redemption or purchase notices may be mailed more than 60 days prior to a redemption or purchase date if the notice is issued in connection with a defeasance of the 2020 Notes or a satisfaction and discharge of the Indenture. Notices of redemption may not be conditional.</w:t>
      </w:r>
    </w:p>
    <w:p>
      <w:pPr>
        <w:spacing w:after="0" w:line="14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If any 2020 Note is to be redeemed in part only, the notice of redemption that relates to that note will state the portion of the principal amount of that note that is to be redeemed. A note in principal amount equal to the unredeemed portion of the original note will be issued in the name of the Holder of 2020 Notes upon cancellation of the original note. 2020 Notes called for redemption become due on the date fixed for redemption. On and after the redemption date, interest ceases to accrue on 2020 Notes or portions of 2020 Notes called for redemption.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Payments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Las Vegas will not, and will not permit any of its Restricted Subsidiaries to, directly or indirectly:</w:t>
      </w:r>
    </w:p>
    <w:p>
      <w:pPr>
        <w:spacing w:after="0" w:line="90" w:lineRule="exact"/>
        <w:rPr>
          <w:sz w:val="20"/>
          <w:szCs w:val="20"/>
          <w:color w:val="auto"/>
        </w:rPr>
      </w:pPr>
    </w:p>
    <w:p>
      <w:pPr>
        <w:ind w:left="460" w:right="160" w:firstLine="443"/>
        <w:spacing w:after="0" w:line="284" w:lineRule="auto"/>
        <w:tabs>
          <w:tab w:leader="none" w:pos="1147" w:val="left"/>
        </w:tabs>
        <w:numPr>
          <w:ilvl w:val="1"/>
          <w:numId w:val="245"/>
        </w:numPr>
        <w:rPr>
          <w:rFonts w:ascii="Arial" w:cs="Arial" w:eastAsia="Arial" w:hAnsi="Arial"/>
          <w:sz w:val="16"/>
          <w:szCs w:val="16"/>
          <w:color w:val="auto"/>
        </w:rPr>
      </w:pPr>
      <w:r>
        <w:rPr>
          <w:rFonts w:ascii="Arial" w:cs="Arial" w:eastAsia="Arial" w:hAnsi="Arial"/>
          <w:sz w:val="16"/>
          <w:szCs w:val="16"/>
          <w:color w:val="auto"/>
        </w:rPr>
        <w:t>declare or pay any dividend or make any other payment or distribution on account of any Equity Interests of Wynn Las Vegas or any of its Restricted Subsidiaries or to the direct or indirect holders of any Equity Interests of Wynn Las Vegas or any of its Restricted Subsidiaries in their capacity as such, other than (a) dividends or distributions by Wynn Las Vegas payable in Equity Interests (other than Disqualified Stock) of Wynn Las Vegas, and</w:t>
      </w:r>
    </w:p>
    <w:p>
      <w:pPr>
        <w:spacing w:after="0" w:line="1" w:lineRule="exact"/>
        <w:rPr>
          <w:rFonts w:ascii="Arial" w:cs="Arial" w:eastAsia="Arial" w:hAnsi="Arial"/>
          <w:sz w:val="16"/>
          <w:szCs w:val="16"/>
          <w:color w:val="auto"/>
        </w:rPr>
      </w:pPr>
    </w:p>
    <w:p>
      <w:pPr>
        <w:ind w:left="720" w:hanging="256"/>
        <w:spacing w:after="0"/>
        <w:tabs>
          <w:tab w:leader="none" w:pos="72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dividends or distributions payable to Wynn Las Vegas or any of its Restricted Subsidiaries;</w:t>
      </w:r>
    </w:p>
    <w:p>
      <w:pPr>
        <w:spacing w:after="0" w:line="83" w:lineRule="exact"/>
        <w:rPr>
          <w:rFonts w:ascii="Arial" w:cs="Arial" w:eastAsia="Arial" w:hAnsi="Arial"/>
          <w:sz w:val="18"/>
          <w:szCs w:val="18"/>
          <w:color w:val="auto"/>
        </w:rPr>
      </w:pPr>
    </w:p>
    <w:p>
      <w:pPr>
        <w:ind w:left="460" w:right="440" w:firstLine="443"/>
        <w:spacing w:after="0" w:line="268" w:lineRule="auto"/>
        <w:tabs>
          <w:tab w:leader="none" w:pos="1147" w:val="left"/>
        </w:tabs>
        <w:numPr>
          <w:ilvl w:val="1"/>
          <w:numId w:val="246"/>
        </w:numPr>
        <w:rPr>
          <w:rFonts w:ascii="Arial" w:cs="Arial" w:eastAsia="Arial" w:hAnsi="Arial"/>
          <w:sz w:val="18"/>
          <w:szCs w:val="18"/>
          <w:color w:val="auto"/>
        </w:rPr>
      </w:pPr>
      <w:r>
        <w:rPr>
          <w:rFonts w:ascii="Arial" w:cs="Arial" w:eastAsia="Arial" w:hAnsi="Arial"/>
          <w:sz w:val="18"/>
          <w:szCs w:val="18"/>
          <w:color w:val="auto"/>
        </w:rPr>
        <w:t>purchase, redeem or otherwise acquire or retire for value any Equity Interests of Wynn Las Vegas, any direct or indirect parent of Wynn Las Vegas (including, without limitation, Wynn Resorts) or any other direct or indirect Subsidiary of Wynn Resorts;</w:t>
      </w:r>
    </w:p>
    <w:p>
      <w:pPr>
        <w:spacing w:after="0" w:line="50" w:lineRule="exact"/>
        <w:rPr>
          <w:rFonts w:ascii="Arial" w:cs="Arial" w:eastAsia="Arial" w:hAnsi="Arial"/>
          <w:sz w:val="18"/>
          <w:szCs w:val="18"/>
          <w:color w:val="auto"/>
        </w:rPr>
      </w:pPr>
    </w:p>
    <w:p>
      <w:pPr>
        <w:ind w:left="460" w:right="60" w:firstLine="443"/>
        <w:spacing w:after="0" w:line="298" w:lineRule="auto"/>
        <w:tabs>
          <w:tab w:leader="none" w:pos="1147" w:val="left"/>
        </w:tabs>
        <w:numPr>
          <w:ilvl w:val="1"/>
          <w:numId w:val="246"/>
        </w:numPr>
        <w:rPr>
          <w:rFonts w:ascii="Arial" w:cs="Arial" w:eastAsia="Arial" w:hAnsi="Arial"/>
          <w:sz w:val="16"/>
          <w:szCs w:val="16"/>
          <w:color w:val="auto"/>
        </w:rPr>
      </w:pPr>
      <w:r>
        <w:rPr>
          <w:rFonts w:ascii="Arial" w:cs="Arial" w:eastAsia="Arial" w:hAnsi="Arial"/>
          <w:sz w:val="16"/>
          <w:szCs w:val="16"/>
          <w:color w:val="auto"/>
        </w:rPr>
        <w:t>make any payment on or with respect to, or purchase, redeem, defease or otherwise acquire or retire for value any Indebtedness of Wynn Las Vegas or any Guarantor that is secured by a Lien junior to the Lien securing the 2020 Notes or the Guarantees or that is expressly subordinated in right of payment to the 2020 Notes or the Note Guarantees under the Indenture (excluding any intercompany Indebtedness between or among Wynn Las Vegas and any of its Restricted Subsidiaries), except a payment of interest or principal at the Stated Maturity thereof; or</w:t>
      </w:r>
    </w:p>
    <w:p>
      <w:pPr>
        <w:spacing w:after="0" w:line="31" w:lineRule="exact"/>
        <w:rPr>
          <w:rFonts w:ascii="Arial" w:cs="Arial" w:eastAsia="Arial" w:hAnsi="Arial"/>
          <w:sz w:val="16"/>
          <w:szCs w:val="16"/>
          <w:color w:val="auto"/>
        </w:rPr>
      </w:pPr>
    </w:p>
    <w:p>
      <w:pPr>
        <w:ind w:left="1160" w:hanging="257"/>
        <w:spacing w:after="0"/>
        <w:tabs>
          <w:tab w:leader="none" w:pos="1160" w:val="left"/>
        </w:tabs>
        <w:numPr>
          <w:ilvl w:val="1"/>
          <w:numId w:val="246"/>
        </w:numPr>
        <w:rPr>
          <w:rFonts w:ascii="Arial" w:cs="Arial" w:eastAsia="Arial" w:hAnsi="Arial"/>
          <w:sz w:val="18"/>
          <w:szCs w:val="18"/>
          <w:color w:val="auto"/>
        </w:rPr>
      </w:pPr>
      <w:r>
        <w:rPr>
          <w:rFonts w:ascii="Arial" w:cs="Arial" w:eastAsia="Arial" w:hAnsi="Arial"/>
          <w:sz w:val="18"/>
          <w:szCs w:val="18"/>
          <w:color w:val="auto"/>
        </w:rPr>
        <w:t>make any Restricted Investment,</w:t>
      </w:r>
    </w:p>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(all such payments and other actions set forth in these clauses (1) through (4) above being collectively referred to as “Restricted Payments”), unless, at the time of and after giving effect to such Restricted Payment:</w:t>
      </w:r>
    </w:p>
    <w:p>
      <w:pPr>
        <w:spacing w:after="0" w:line="51" w:lineRule="exact"/>
        <w:rPr>
          <w:sz w:val="20"/>
          <w:szCs w:val="20"/>
          <w:color w:val="auto"/>
        </w:rPr>
      </w:pPr>
    </w:p>
    <w:p>
      <w:pPr>
        <w:ind w:left="1160" w:hanging="257"/>
        <w:spacing w:after="0"/>
        <w:tabs>
          <w:tab w:leader="none" w:pos="116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or would occur as a consequence of such Restricted Payment;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47"/>
        </w:numPr>
        <w:rPr>
          <w:rFonts w:ascii="Arial" w:cs="Arial" w:eastAsia="Arial" w:hAnsi="Arial"/>
          <w:sz w:val="16"/>
          <w:szCs w:val="16"/>
          <w:color w:val="auto"/>
        </w:rPr>
      </w:pPr>
      <w:r>
        <w:rPr>
          <w:rFonts w:ascii="Arial" w:cs="Arial" w:eastAsia="Arial" w:hAnsi="Arial"/>
          <w:sz w:val="16"/>
          <w:szCs w:val="16"/>
          <w:color w:val="auto"/>
        </w:rPr>
        <w:t>Wynn Las Vegas would, at the time of such Restricted Payment and after giving pro forma effect thereto, have been permitted to incur at least</w:t>
      </w:r>
    </w:p>
    <w:p>
      <w:pPr>
        <w:spacing w:after="0" w:line="38" w:lineRule="exact"/>
        <w:rPr>
          <w:sz w:val="20"/>
          <w:szCs w:val="20"/>
          <w:color w:val="auto"/>
        </w:rPr>
      </w:pPr>
    </w:p>
    <w:p>
      <w:pPr>
        <w:ind w:left="460"/>
        <w:spacing w:after="0" w:line="261" w:lineRule="auto"/>
        <w:rPr>
          <w:sz w:val="20"/>
          <w:szCs w:val="20"/>
          <w:color w:val="auto"/>
        </w:rPr>
      </w:pPr>
      <w:r>
        <w:rPr>
          <w:rFonts w:ascii="Arial" w:cs="Arial" w:eastAsia="Arial" w:hAnsi="Arial"/>
          <w:sz w:val="18"/>
          <w:szCs w:val="18"/>
          <w:color w:val="auto"/>
        </w:rPr>
        <w:t>$1.00 of additional Indebtedness pursuant to the Fixed Charge Coverage Ratio test set forth in the first paragraph of the covenant described below under the caption “—Incurrence of Indebtedness and Issuance of Disqualified Stock;” and</w:t>
      </w:r>
    </w:p>
    <w:p>
      <w:pPr>
        <w:spacing w:after="0" w:line="57" w:lineRule="exact"/>
        <w:rPr>
          <w:sz w:val="20"/>
          <w:szCs w:val="20"/>
          <w:color w:val="auto"/>
        </w:rPr>
      </w:pPr>
    </w:p>
    <w:p>
      <w:pPr>
        <w:ind w:left="460" w:right="60" w:firstLine="443"/>
        <w:spacing w:after="0" w:line="256" w:lineRule="auto"/>
        <w:tabs>
          <w:tab w:leader="none" w:pos="1147" w:val="left"/>
        </w:tabs>
        <w:numPr>
          <w:ilvl w:val="0"/>
          <w:numId w:val="248"/>
        </w:numPr>
        <w:rPr>
          <w:rFonts w:ascii="Arial" w:cs="Arial" w:eastAsia="Arial" w:hAnsi="Arial"/>
          <w:sz w:val="18"/>
          <w:szCs w:val="18"/>
          <w:color w:val="auto"/>
        </w:rPr>
      </w:pPr>
      <w:r>
        <w:rPr>
          <w:rFonts w:ascii="Arial" w:cs="Arial" w:eastAsia="Arial" w:hAnsi="Arial"/>
          <w:sz w:val="18"/>
          <w:szCs w:val="18"/>
          <w:color w:val="auto"/>
        </w:rPr>
        <w:t>such Restricted Payment, together with the aggregate amount of all other Restricted Payments made by Wynn Las Vegas and its Restricted Subsidiaries after the date of the Indenture (excluding Restricted Payments permitted by clauses (2), (3), (5), (7), (8), (9), (10) and (11) below (with respect to clause (5) to the extent such Restricted Payments were already deducted from Consolidated Net Income) of the next succeeding paragraph), is less than the sum, without duplication, of:</w:t>
      </w:r>
    </w:p>
    <w:p>
      <w:pPr>
        <w:spacing w:after="0" w:line="62" w:lineRule="exact"/>
        <w:rPr>
          <w:rFonts w:ascii="Arial" w:cs="Arial" w:eastAsia="Arial" w:hAnsi="Arial"/>
          <w:sz w:val="18"/>
          <w:szCs w:val="18"/>
          <w:color w:val="auto"/>
        </w:rPr>
      </w:pPr>
    </w:p>
    <w:p>
      <w:pPr>
        <w:ind w:left="920" w:right="320" w:firstLine="421"/>
        <w:spacing w:after="0" w:line="268" w:lineRule="auto"/>
        <w:tabs>
          <w:tab w:leader="none" w:pos="1579" w:val="left"/>
        </w:tabs>
        <w:numPr>
          <w:ilvl w:val="1"/>
          <w:numId w:val="248"/>
        </w:numPr>
        <w:rPr>
          <w:rFonts w:ascii="Arial" w:cs="Arial" w:eastAsia="Arial" w:hAnsi="Arial"/>
          <w:sz w:val="18"/>
          <w:szCs w:val="18"/>
          <w:color w:val="auto"/>
        </w:rPr>
      </w:pPr>
      <w:r>
        <w:rPr>
          <w:rFonts w:ascii="Arial" w:cs="Arial" w:eastAsia="Arial" w:hAnsi="Arial"/>
          <w:sz w:val="18"/>
          <w:szCs w:val="18"/>
          <w:color w:val="auto"/>
        </w:rPr>
        <w:t>50% of the Consolidated Net Income of Wynn Las Vegas and its Restricted Subsidiaries for the period (taken as one accounting period) from the beginning of January 1, 2010 to the end of Wynn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420"/>
          </w:cols>
          <w:pgMar w:left="240" w:top="45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60"/>
        <w:spacing w:after="0" w:line="268" w:lineRule="auto"/>
        <w:rPr>
          <w:sz w:val="20"/>
          <w:szCs w:val="20"/>
          <w:color w:val="auto"/>
        </w:rPr>
      </w:pPr>
      <w:r>
        <w:rPr>
          <w:rFonts w:ascii="Arial" w:cs="Arial" w:eastAsia="Arial" w:hAnsi="Arial"/>
          <w:sz w:val="18"/>
          <w:szCs w:val="18"/>
          <w:color w:val="auto"/>
        </w:rPr>
        <w:t>Las Vegas’ most recently ended fiscal quarter for which internal financial statements are available at the time of such Restricted Payment (or, if such Consolidated Net Income for such period is a deficit, less 100% of such deficit); plus</w:t>
      </w:r>
    </w:p>
    <w:p>
      <w:pPr>
        <w:spacing w:after="0" w:line="51" w:lineRule="exact"/>
        <w:rPr>
          <w:sz w:val="20"/>
          <w:szCs w:val="20"/>
          <w:color w:val="auto"/>
        </w:rPr>
      </w:pPr>
    </w:p>
    <w:p>
      <w:pPr>
        <w:jc w:val="both"/>
        <w:ind w:left="920" w:right="460" w:firstLine="421"/>
        <w:spacing w:after="0" w:line="303" w:lineRule="auto"/>
        <w:tabs>
          <w:tab w:leader="none" w:pos="1588" w:val="left"/>
        </w:tabs>
        <w:numPr>
          <w:ilvl w:val="1"/>
          <w:numId w:val="249"/>
        </w:numPr>
        <w:rPr>
          <w:rFonts w:ascii="Arial" w:cs="Arial" w:eastAsia="Arial" w:hAnsi="Arial"/>
          <w:sz w:val="15"/>
          <w:szCs w:val="15"/>
          <w:color w:val="auto"/>
        </w:rPr>
      </w:pPr>
      <w:r>
        <w:rPr>
          <w:rFonts w:ascii="Arial" w:cs="Arial" w:eastAsia="Arial" w:hAnsi="Arial"/>
          <w:sz w:val="15"/>
          <w:szCs w:val="15"/>
          <w:color w:val="auto"/>
        </w:rPr>
        <w:t>100% of the aggregate net cash proceeds received by Wynn Las Vegas subsequent to January 1, 2010 as a contribution to its common equity capital, excluding (i) any such net cash proceeds received by Wynn Las Vegas subsequent to January 1, 2010 to the extent consisting of capital contributions made to Wynn Las Vegas for the purpose of satisfying the “in-balance” requirements of the Disbursement Agreement and</w:t>
      </w:r>
    </w:p>
    <w:p>
      <w:pPr>
        <w:spacing w:after="0" w:line="1" w:lineRule="exact"/>
        <w:rPr>
          <w:rFonts w:ascii="Arial" w:cs="Arial" w:eastAsia="Arial" w:hAnsi="Arial"/>
          <w:sz w:val="15"/>
          <w:szCs w:val="15"/>
          <w:color w:val="auto"/>
        </w:rPr>
      </w:pPr>
    </w:p>
    <w:p>
      <w:pPr>
        <w:ind w:left="920" w:right="660" w:firstLine="1"/>
        <w:spacing w:after="0" w:line="323" w:lineRule="auto"/>
        <w:tabs>
          <w:tab w:leader="none" w:pos="1178" w:val="left"/>
        </w:tabs>
        <w:numPr>
          <w:ilvl w:val="0"/>
          <w:numId w:val="250"/>
        </w:numPr>
        <w:rPr>
          <w:rFonts w:ascii="Arial" w:cs="Arial" w:eastAsia="Arial" w:hAnsi="Arial"/>
          <w:sz w:val="16"/>
          <w:szCs w:val="16"/>
          <w:color w:val="auto"/>
        </w:rPr>
      </w:pPr>
      <w:r>
        <w:rPr>
          <w:rFonts w:ascii="Arial" w:cs="Arial" w:eastAsia="Arial" w:hAnsi="Arial"/>
          <w:sz w:val="16"/>
          <w:szCs w:val="16"/>
          <w:color w:val="auto"/>
        </w:rPr>
        <w:t>any such net cash proceeds received by Wynn Las Vegas to the extent used to incur Indebtedness pursuant to clause (16) of the covenant described below under the caption “—Incurrence of Indebtedness and Issuance of Disqualified Stock”; plus</w:t>
      </w:r>
    </w:p>
    <w:p>
      <w:pPr>
        <w:spacing w:after="0" w:line="12" w:lineRule="exact"/>
        <w:rPr>
          <w:sz w:val="20"/>
          <w:szCs w:val="20"/>
          <w:color w:val="auto"/>
        </w:rPr>
      </w:pPr>
    </w:p>
    <w:p>
      <w:pPr>
        <w:ind w:left="920" w:firstLine="420"/>
        <w:spacing w:after="0" w:line="291" w:lineRule="auto"/>
        <w:rPr>
          <w:sz w:val="20"/>
          <w:szCs w:val="20"/>
          <w:color w:val="auto"/>
        </w:rPr>
      </w:pPr>
      <w:r>
        <w:rPr>
          <w:rFonts w:ascii="Arial" w:cs="Arial" w:eastAsia="Arial" w:hAnsi="Arial"/>
          <w:sz w:val="16"/>
          <w:szCs w:val="16"/>
          <w:color w:val="auto"/>
        </w:rPr>
        <w:t>(c)(i) to the extent that any Restricted Investment that was made after January 1, 2010 is sold for cash or otherwise liquidated or repaid for cash for an amount in excess of the aggregate amount invested in such Restricted Investment, the sum of (x) 50% of the cash proceeds with respect to such Restricted Investment in excess of the aggregate amount invested in such Restricted Investment (less the cost of disposition, if any) and (y) the aggregate amount invested in such Restricted Investment, and (ii) to the extent that any such Restricted Investment is sold for cash or otherwise liquidated or repaid in cash for an amount equal to or less than the aggregate amount invested in such Restricted Investment, the cash return of capital with respect to such Restricted Investment (less the cost of disposition, if any); plus</w:t>
      </w:r>
    </w:p>
    <w:p>
      <w:pPr>
        <w:spacing w:after="0" w:line="39" w:lineRule="exact"/>
        <w:rPr>
          <w:sz w:val="20"/>
          <w:szCs w:val="20"/>
          <w:color w:val="auto"/>
        </w:rPr>
      </w:pPr>
    </w:p>
    <w:p>
      <w:pPr>
        <w:jc w:val="both"/>
        <w:ind w:left="920" w:right="240" w:firstLine="421"/>
        <w:spacing w:after="0" w:line="306" w:lineRule="auto"/>
        <w:tabs>
          <w:tab w:leader="none" w:pos="1588" w:val="left"/>
        </w:tabs>
        <w:numPr>
          <w:ilvl w:val="0"/>
          <w:numId w:val="251"/>
        </w:numPr>
        <w:rPr>
          <w:rFonts w:ascii="Arial" w:cs="Arial" w:eastAsia="Arial" w:hAnsi="Arial"/>
          <w:sz w:val="16"/>
          <w:szCs w:val="16"/>
          <w:color w:val="auto"/>
        </w:rPr>
      </w:pPr>
      <w:r>
        <w:rPr>
          <w:rFonts w:ascii="Arial" w:cs="Arial" w:eastAsia="Arial" w:hAnsi="Arial"/>
          <w:sz w:val="16"/>
          <w:szCs w:val="16"/>
          <w:color w:val="auto"/>
        </w:rPr>
        <w:t>100% of any cash dividends or cash distributions received by Wynn Las Vegas or any of its Restricted Subsidiaries after January 1, 2010 from any Restricted Investment (including any Investment in an Unrestricted Subsidiary of Wynn Las Vegas), to the extent that such dividends or distributions were not otherwise included in the Consolidated Net Income of Wynn Las Vegas for such period; plus</w:t>
      </w:r>
    </w:p>
    <w:p>
      <w:pPr>
        <w:spacing w:after="0" w:line="25" w:lineRule="exact"/>
        <w:rPr>
          <w:rFonts w:ascii="Arial" w:cs="Arial" w:eastAsia="Arial" w:hAnsi="Arial"/>
          <w:sz w:val="16"/>
          <w:szCs w:val="16"/>
          <w:color w:val="auto"/>
        </w:rPr>
      </w:pPr>
    </w:p>
    <w:p>
      <w:pPr>
        <w:ind w:left="920" w:right="40" w:firstLine="421"/>
        <w:spacing w:after="0" w:line="256" w:lineRule="auto"/>
        <w:tabs>
          <w:tab w:leader="none" w:pos="1579"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to the extent that any Unrestricted Subsidiary of Wynn Las Vegas that is so designated after January 1, 2010 (other than the Completion Guarantor) is redesignated as a Restricted Subsidiary after January 1, 2010, the lesser of (i) the Fair Market Value of Wynn Las Vegas’ Investment in such Subsidiary as of the date of such redesignation or (ii) such Fair Market Value as of the date on which such Subsidiary was originally designated as an Unrestricted Subsidiary.</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With respect to (a) any payments made pursuant to clauses (1), (2), (3), (6), (7), (8), (9) and (10) below, so long as no Default or Event of Default has</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occurred and is continuing or would be caused by the payments, and (b) any payments made pursuant to clauses (4), (5) and (11) below, regardless of whether any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Default or Event of Default has occurred and is continuing or would be caused by the payment, the preceding provisions will not prohibit:</w:t>
      </w:r>
    </w:p>
    <w:p>
      <w:pPr>
        <w:spacing w:after="0" w:line="84" w:lineRule="exact"/>
        <w:rPr>
          <w:sz w:val="20"/>
          <w:szCs w:val="20"/>
          <w:color w:val="auto"/>
        </w:rPr>
      </w:pPr>
    </w:p>
    <w:p>
      <w:pPr>
        <w:ind w:left="460" w:right="100" w:firstLine="443"/>
        <w:spacing w:after="0" w:line="306" w:lineRule="auto"/>
        <w:tabs>
          <w:tab w:leader="none" w:pos="1147" w:val="left"/>
        </w:tabs>
        <w:numPr>
          <w:ilvl w:val="0"/>
          <w:numId w:val="252"/>
        </w:numPr>
        <w:rPr>
          <w:rFonts w:ascii="Arial" w:cs="Arial" w:eastAsia="Arial" w:hAnsi="Arial"/>
          <w:sz w:val="16"/>
          <w:szCs w:val="16"/>
          <w:color w:val="auto"/>
        </w:rPr>
      </w:pPr>
      <w:r>
        <w:rPr>
          <w:rFonts w:ascii="Arial" w:cs="Arial" w:eastAsia="Arial" w:hAnsi="Arial"/>
          <w:sz w:val="16"/>
          <w:szCs w:val="16"/>
          <w:color w:val="auto"/>
        </w:rPr>
        <w:t>the payment of any dividend or distribution (other than any distribution made under clause (5) below) or the consummation of any irrevocable redemption within 60 days after the date of declaration of the dividend or distribution or giving of the redemption notice, as the case may be, if, at the date of declaration or notice, the dividend, distribution or redemption payment would have complied with the provisions of the Indenture;</w:t>
      </w:r>
    </w:p>
    <w:p>
      <w:pPr>
        <w:spacing w:after="0" w:line="25" w:lineRule="exact"/>
        <w:rPr>
          <w:rFonts w:ascii="Arial" w:cs="Arial" w:eastAsia="Arial" w:hAnsi="Arial"/>
          <w:sz w:val="16"/>
          <w:szCs w:val="16"/>
          <w:color w:val="auto"/>
        </w:rPr>
      </w:pPr>
    </w:p>
    <w:p>
      <w:pPr>
        <w:ind w:left="460" w:right="100" w:firstLine="443"/>
        <w:spacing w:after="0" w:line="259" w:lineRule="auto"/>
        <w:tabs>
          <w:tab w:leader="none" w:pos="1147"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making of any Restricted Payment in exchange for, or out of the net cash proceeds from the substantially concurrent contribution of common equity capital to Wynn Las Vegas, provided that the amount of any such net cash proceeds that are utilized for any such Restricted Payment will be excluded from clause (3)(b) of the preceding paragraph;</w:t>
      </w:r>
    </w:p>
    <w:p>
      <w:pPr>
        <w:spacing w:after="0" w:line="59" w:lineRule="exact"/>
        <w:rPr>
          <w:rFonts w:ascii="Arial" w:cs="Arial" w:eastAsia="Arial" w:hAnsi="Arial"/>
          <w:sz w:val="18"/>
          <w:szCs w:val="18"/>
          <w:color w:val="auto"/>
        </w:rPr>
      </w:pPr>
    </w:p>
    <w:p>
      <w:pPr>
        <w:jc w:val="both"/>
        <w:ind w:left="460" w:right="160" w:firstLine="443"/>
        <w:spacing w:after="0" w:line="259" w:lineRule="auto"/>
        <w:tabs>
          <w:tab w:leader="none" w:pos="1147"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repurchase, redemption, defeasance or other acquisition or retirement for value of Indebtedness of Wynn Las Vegas or any Guarantor that is contractually subordinated to the 2020 Notes or to any Note Guarantee with the net cash proceeds from a substantially concurrent incurrence of Permitted Refinancing Indebtedness;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420"/>
          </w:cols>
          <w:pgMar w:left="240" w:top="460" w:right="2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firstLine="443"/>
        <w:spacing w:after="0" w:line="290" w:lineRule="auto"/>
        <w:tabs>
          <w:tab w:leader="none" w:pos="1147" w:val="left"/>
        </w:tabs>
        <w:numPr>
          <w:ilvl w:val="0"/>
          <w:numId w:val="253"/>
        </w:numPr>
        <w:rPr>
          <w:rFonts w:ascii="Arial" w:cs="Arial" w:eastAsia="Arial" w:hAnsi="Arial"/>
          <w:sz w:val="16"/>
          <w:szCs w:val="16"/>
          <w:color w:val="auto"/>
        </w:rPr>
      </w:pPr>
      <w:r>
        <w:rPr>
          <w:rFonts w:ascii="Arial" w:cs="Arial" w:eastAsia="Arial" w:hAnsi="Arial"/>
          <w:sz w:val="16"/>
          <w:szCs w:val="16"/>
          <w:color w:val="auto"/>
        </w:rPr>
        <w:t>the distribution or loan to Wynn Resorts, directly or through any intermediate Wholly Owned Subsidiaries of Wynn Resorts, of amounts necessary to repurchase Equity Interests or Indebtedness of Wynn Resorts (other than Equity Interests held by or Indebtedness owed to the Existing Stockholders) to the extent required by any Gaming Authority having jurisdiction over Wynn Las Vegas or any of its Restricted Subsidiaries for not more than the Fair Market Value thereof in order to avoid the suspension, revocation or denial of a Gaming License by that Gaming Authority, as long as, if such efforts do not jeopardize any Gaming License, Wynn Resorts and its Subsidiaries shall have diligently attempted to find a third-party purchaser for such Equity Interests or Indebtedness and no third-party purchaser acceptable to the applicable Gaming Authority was willing to purchase such Equity Interests or Indebtedness within a time period acceptable to such Gaming Authority;</w:t>
      </w:r>
    </w:p>
    <w:p>
      <w:pPr>
        <w:spacing w:after="0" w:line="37" w:lineRule="exact"/>
        <w:rPr>
          <w:rFonts w:ascii="Arial" w:cs="Arial" w:eastAsia="Arial" w:hAnsi="Arial"/>
          <w:sz w:val="16"/>
          <w:szCs w:val="16"/>
          <w:color w:val="auto"/>
        </w:rPr>
      </w:pPr>
    </w:p>
    <w:p>
      <w:pPr>
        <w:ind w:left="460" w:right="160" w:firstLine="443"/>
        <w:spacing w:after="0" w:line="259" w:lineRule="auto"/>
        <w:tabs>
          <w:tab w:leader="none" w:pos="1147" w:val="left"/>
        </w:tabs>
        <w:numPr>
          <w:ilvl w:val="0"/>
          <w:numId w:val="253"/>
        </w:numPr>
        <w:rPr>
          <w:rFonts w:ascii="Arial" w:cs="Arial" w:eastAsia="Arial" w:hAnsi="Arial"/>
          <w:sz w:val="18"/>
          <w:szCs w:val="18"/>
          <w:color w:val="auto"/>
        </w:rPr>
      </w:pPr>
      <w:r>
        <w:rPr>
          <w:rFonts w:ascii="Arial" w:cs="Arial" w:eastAsia="Arial" w:hAnsi="Arial"/>
          <w:sz w:val="18"/>
          <w:szCs w:val="18"/>
          <w:color w:val="auto"/>
        </w:rPr>
        <w:t>distributions to the direct or indirect owners of Wynn Las Vegas, the Completion Guarantor or any of the Restricted Subsidiaries with respect to any period during which such entity is a Pass Through Entity or a Consolidated Member, such distributions in an aggregate amount not to exceed such owners’ Tax Amounts for such period;</w:t>
      </w:r>
    </w:p>
    <w:p>
      <w:pPr>
        <w:spacing w:after="0" w:line="59" w:lineRule="exact"/>
        <w:rPr>
          <w:sz w:val="20"/>
          <w:szCs w:val="20"/>
          <w:color w:val="auto"/>
        </w:rPr>
      </w:pPr>
    </w:p>
    <w:p>
      <w:pPr>
        <w:ind w:left="460" w:firstLine="438"/>
        <w:spacing w:after="0" w:line="253" w:lineRule="auto"/>
        <w:rPr>
          <w:sz w:val="20"/>
          <w:szCs w:val="20"/>
          <w:color w:val="auto"/>
        </w:rPr>
      </w:pPr>
      <w:r>
        <w:rPr>
          <w:rFonts w:ascii="Arial" w:cs="Arial" w:eastAsia="Arial" w:hAnsi="Arial"/>
          <w:sz w:val="18"/>
          <w:szCs w:val="18"/>
          <w:color w:val="auto"/>
        </w:rPr>
        <w:t>(6)(a) the repurchase, redemption or other acquisition or retirement for value of any Equity Interests of Wynn Resorts, or (b) the distribution to Wynn Resorts, directly or through any intermediate Wholly Owned Subsidiaries of Wynn Resorts, of amounts necessary to repurchase, redeem or otherwise acquire or retire for value Equity Interests of Wynn Resorts, in each case held by any member of management of Wynn Resorts (or the estate or trust for the benefit of any such member of management) pursuant to the provisions of the operating agreement, or comparable governing documents, or employee benefit plans or employment agreements of any such Person; provided that the aggregate consideration for all such repurchased, redeemed, acquired or retired Equity Interests, together with the aggregate amount of all such distributions made to Wynn Resorts, shall not exceed $4.0 million in any calendar year;</w:t>
      </w:r>
    </w:p>
    <w:p>
      <w:pPr>
        <w:spacing w:after="0" w:line="66" w:lineRule="exact"/>
        <w:rPr>
          <w:sz w:val="20"/>
          <w:szCs w:val="20"/>
          <w:color w:val="auto"/>
        </w:rPr>
      </w:pPr>
    </w:p>
    <w:p>
      <w:pPr>
        <w:ind w:left="460" w:right="200" w:firstLine="443"/>
        <w:spacing w:after="0" w:line="332" w:lineRule="auto"/>
        <w:tabs>
          <w:tab w:leader="none" w:pos="1147" w:val="left"/>
        </w:tabs>
        <w:numPr>
          <w:ilvl w:val="0"/>
          <w:numId w:val="254"/>
        </w:numPr>
        <w:rPr>
          <w:rFonts w:ascii="Arial" w:cs="Arial" w:eastAsia="Arial" w:hAnsi="Arial"/>
          <w:sz w:val="16"/>
          <w:szCs w:val="16"/>
          <w:color w:val="auto"/>
        </w:rPr>
      </w:pPr>
      <w:r>
        <w:rPr>
          <w:rFonts w:ascii="Arial" w:cs="Arial" w:eastAsia="Arial" w:hAnsi="Arial"/>
          <w:sz w:val="16"/>
          <w:szCs w:val="16"/>
          <w:color w:val="auto"/>
        </w:rPr>
        <w:t>the payment of Allocable Overhead to Wynn Resorts or any of its Subsidiaries in respect of each Qualifying Project of Wynn Las Vegas and its Restricted Subsidiaries to the extent then due and payable by Wynn Las Vegas or the applicable Restricted Subsidiary, as the case may be;</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payment of amounts permitted to be paid pursuant to the Disbursement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Restricted Payments consisting of transfers and other dispositions of Released Assets;</w:t>
      </w:r>
    </w:p>
    <w:p>
      <w:pPr>
        <w:spacing w:after="0" w:line="90" w:lineRule="exact"/>
        <w:rPr>
          <w:rFonts w:ascii="Arial" w:cs="Arial" w:eastAsia="Arial" w:hAnsi="Arial"/>
          <w:sz w:val="18"/>
          <w:szCs w:val="18"/>
          <w:color w:val="auto"/>
        </w:rPr>
      </w:pPr>
    </w:p>
    <w:p>
      <w:pPr>
        <w:ind w:left="1240" w:hanging="337"/>
        <w:spacing w:after="0"/>
        <w:tabs>
          <w:tab w:leader="none" w:pos="1240" w:val="left"/>
        </w:tabs>
        <w:numPr>
          <w:ilvl w:val="0"/>
          <w:numId w:val="254"/>
        </w:numPr>
        <w:rPr>
          <w:rFonts w:ascii="Arial" w:cs="Arial" w:eastAsia="Arial" w:hAnsi="Arial"/>
          <w:sz w:val="16"/>
          <w:szCs w:val="16"/>
          <w:color w:val="auto"/>
        </w:rPr>
      </w:pPr>
      <w:r>
        <w:rPr>
          <w:rFonts w:ascii="Arial" w:cs="Arial" w:eastAsia="Arial" w:hAnsi="Arial"/>
          <w:sz w:val="16"/>
          <w:szCs w:val="16"/>
          <w:color w:val="auto"/>
        </w:rPr>
        <w:t>Restricted Payments not otherwise permitted by the foregoing clauses (1) through (9) in an aggregate amount of not more than $75.0 million;</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83" w:lineRule="exact"/>
        <w:rPr>
          <w:rFonts w:ascii="Arial" w:cs="Arial" w:eastAsia="Arial" w:hAnsi="Arial"/>
          <w:sz w:val="16"/>
          <w:szCs w:val="16"/>
          <w:color w:val="auto"/>
        </w:rPr>
      </w:pPr>
    </w:p>
    <w:p>
      <w:pPr>
        <w:ind w:left="460" w:right="520" w:firstLine="443"/>
        <w:spacing w:after="0" w:line="332" w:lineRule="auto"/>
        <w:tabs>
          <w:tab w:leader="none" w:pos="1228" w:val="left"/>
        </w:tabs>
        <w:numPr>
          <w:ilvl w:val="0"/>
          <w:numId w:val="254"/>
        </w:numPr>
        <w:rPr>
          <w:rFonts w:ascii="Arial" w:cs="Arial" w:eastAsia="Arial" w:hAnsi="Arial"/>
          <w:sz w:val="16"/>
          <w:szCs w:val="16"/>
          <w:color w:val="auto"/>
        </w:rPr>
      </w:pPr>
      <w:r>
        <w:rPr>
          <w:rFonts w:ascii="Arial" w:cs="Arial" w:eastAsia="Arial" w:hAnsi="Arial"/>
          <w:sz w:val="16"/>
          <w:szCs w:val="16"/>
          <w:color w:val="auto"/>
        </w:rPr>
        <w:t>dividends or distributions to Wynn Resorts, directly or through any intermediate Wholly Owned Subsidiary of Wynn Resorts, of amounts necessary to pay amounts then due and payable under the Tax Indemnification Agreement, as in effect on the date of the Indenture.</w:t>
      </w:r>
    </w:p>
    <w:p>
      <w:pPr>
        <w:spacing w:after="0" w:line="85"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The amount of all Restricted Payments (other than cash) will be the Fair Market Value on the date of the Restricted Payment of the asset(s) or securities proposed to be transferred or issued by Wynn Las Vegas or such Restricted Subsidiary, as the case may be, pursuant to the Restricted Payment.</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Incurrence of Indebtedness and Issuance of Disqualified Stock</w:t>
      </w:r>
    </w:p>
    <w:p>
      <w:pPr>
        <w:spacing w:after="0" w:line="90" w:lineRule="exact"/>
        <w:rPr>
          <w:sz w:val="20"/>
          <w:szCs w:val="20"/>
          <w:color w:val="auto"/>
        </w:rPr>
      </w:pPr>
    </w:p>
    <w:p>
      <w:pPr>
        <w:ind w:right="220" w:firstLine="456"/>
        <w:spacing w:after="0" w:line="286" w:lineRule="auto"/>
        <w:rPr>
          <w:sz w:val="20"/>
          <w:szCs w:val="20"/>
          <w:color w:val="auto"/>
        </w:rPr>
      </w:pPr>
      <w:r>
        <w:rPr>
          <w:rFonts w:ascii="Arial" w:cs="Arial" w:eastAsia="Arial" w:hAnsi="Arial"/>
          <w:sz w:val="16"/>
          <w:szCs w:val="16"/>
          <w:color w:val="auto"/>
        </w:rPr>
        <w:t>Wynn Las Vegas will not, and will not permit any of its Restricted Subsidiaries to, directly or indirectly, (1) create, incur, issue, assume, guarantee or otherwise become directly or indirectly liable, contingently or otherwise, with respect to (collectively, “incur”) any Indebtedness (including Acquired Debt), or</w:t>
      </w:r>
    </w:p>
    <w:p>
      <w:pPr>
        <w:ind w:right="120" w:firstLine="8"/>
        <w:spacing w:after="0" w:line="295" w:lineRule="auto"/>
        <w:tabs>
          <w:tab w:leader="none" w:pos="249" w:val="left"/>
        </w:tabs>
        <w:numPr>
          <w:ilvl w:val="0"/>
          <w:numId w:val="255"/>
        </w:numPr>
        <w:rPr>
          <w:rFonts w:ascii="Arial" w:cs="Arial" w:eastAsia="Arial" w:hAnsi="Arial"/>
          <w:sz w:val="16"/>
          <w:szCs w:val="16"/>
          <w:color w:val="auto"/>
        </w:rPr>
      </w:pPr>
      <w:r>
        <w:rPr>
          <w:rFonts w:ascii="Arial" w:cs="Arial" w:eastAsia="Arial" w:hAnsi="Arial"/>
          <w:sz w:val="16"/>
          <w:szCs w:val="16"/>
          <w:color w:val="auto"/>
        </w:rPr>
        <w:t>issue any Disqualified Stock. Notwithstanding the foregoing, Wynn Las Vegas and its Restricted Subsidiaries may incur Indebtedness (including Acquired Debt), or issue Disqualified Stock, if the Fixed Charge Coverage Ratio of Wynn Las Vegas for Wynn Las Vegas’ most recently ended four full fiscal quarters for which internal financial statements are available immediately preceding the date on which such additional Indebtedness is incurred or such Disqualified Stock is issued, as the case may be, would have been at least 2.0 to 1.0, determined on a pro</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400"/>
          </w:cols>
          <w:pgMar w:left="240" w:top="460" w:right="2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forma basis, including a pro forma application of the net proceeds therefrom, as if the additional Indebtedness had been incurred or the Disqualified Stock had been issued, as the case may be, at the beginning of such four-quarter period.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first paragraph of this covenant will not prohibit the incurrence of any of the following items of Indebtedness (collectively, “Permitted Debt”):</w:t>
      </w:r>
    </w:p>
    <w:p>
      <w:pPr>
        <w:spacing w:after="0" w:line="113" w:lineRule="exact"/>
        <w:rPr>
          <w:sz w:val="20"/>
          <w:szCs w:val="20"/>
          <w:color w:val="auto"/>
        </w:rPr>
      </w:pPr>
    </w:p>
    <w:p>
      <w:pPr>
        <w:ind w:left="460" w:right="60" w:firstLine="443"/>
        <w:spacing w:after="0" w:line="303" w:lineRule="auto"/>
        <w:tabs>
          <w:tab w:leader="none" w:pos="1147" w:val="left"/>
        </w:tabs>
        <w:numPr>
          <w:ilvl w:val="1"/>
          <w:numId w:val="256"/>
        </w:numPr>
        <w:rPr>
          <w:rFonts w:ascii="Arial" w:cs="Arial" w:eastAsia="Arial" w:hAnsi="Arial"/>
          <w:sz w:val="15"/>
          <w:szCs w:val="15"/>
          <w:color w:val="auto"/>
        </w:rPr>
      </w:pPr>
      <w:r>
        <w:rPr>
          <w:rFonts w:ascii="Arial" w:cs="Arial" w:eastAsia="Arial" w:hAnsi="Arial"/>
          <w:sz w:val="15"/>
          <w:szCs w:val="15"/>
          <w:color w:val="auto"/>
        </w:rPr>
        <w:t>the incurrence by Wynn Las Vegas or any of its Restricted Subsidiaries of Indebtedness under the Credit Agreement in an aggregate principal amount at any one time outstanding (with letters of credit being deemed to have a principal amount equal to the sum of the face amount thereof and related unpaid reimbursement obligations), to the extent then classified as having been incurred in reliance on this clause (1) not to exceed (i) $1.0 billion less</w:t>
      </w:r>
    </w:p>
    <w:p>
      <w:pPr>
        <w:spacing w:after="0" w:line="1" w:lineRule="exact"/>
        <w:rPr>
          <w:rFonts w:ascii="Arial" w:cs="Arial" w:eastAsia="Arial" w:hAnsi="Arial"/>
          <w:sz w:val="15"/>
          <w:szCs w:val="15"/>
          <w:color w:val="auto"/>
        </w:rPr>
      </w:pPr>
    </w:p>
    <w:p>
      <w:pPr>
        <w:ind w:left="460" w:firstLine="4"/>
        <w:spacing w:after="0" w:line="254" w:lineRule="auto"/>
        <w:tabs>
          <w:tab w:leader="none" w:pos="719"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the aggregate amount of all Net Proceeds of Assets Sales applied by Wynn Las Vegas or any of its Restricted Subsidiaries since the date of the Indenture to repay any term Indebtedness under the Credit Agreement or repay any revolving credit Indebtedness under the Credit Agreement and effect a corresponding permanent reduction of commitments thereunder pursuant to the covenant described above under the caption “—Repurchase at the Option of Holders—Asset Sales” or otherwise;</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1"/>
          <w:numId w:val="257"/>
        </w:numPr>
        <w:rPr>
          <w:rFonts w:ascii="Arial" w:cs="Arial" w:eastAsia="Arial" w:hAnsi="Arial"/>
          <w:sz w:val="18"/>
          <w:szCs w:val="18"/>
          <w:color w:val="auto"/>
        </w:rPr>
      </w:pPr>
      <w:r>
        <w:rPr>
          <w:rFonts w:ascii="Arial" w:cs="Arial" w:eastAsia="Arial" w:hAnsi="Arial"/>
          <w:sz w:val="18"/>
          <w:szCs w:val="18"/>
          <w:color w:val="auto"/>
        </w:rPr>
        <w:t>the incurrence by the Issuers and the Restricted Subsidiaries of Wynn Las Vegas of the Existing Indebtedness;</w:t>
      </w:r>
    </w:p>
    <w:p>
      <w:pPr>
        <w:spacing w:after="0" w:line="90" w:lineRule="exact"/>
        <w:rPr>
          <w:rFonts w:ascii="Arial" w:cs="Arial" w:eastAsia="Arial" w:hAnsi="Arial"/>
          <w:sz w:val="18"/>
          <w:szCs w:val="18"/>
          <w:color w:val="auto"/>
        </w:rPr>
      </w:pPr>
    </w:p>
    <w:p>
      <w:pPr>
        <w:ind w:left="460" w:right="160" w:firstLine="443"/>
        <w:spacing w:after="0" w:line="306" w:lineRule="auto"/>
        <w:tabs>
          <w:tab w:leader="none" w:pos="1147" w:val="left"/>
        </w:tabs>
        <w:numPr>
          <w:ilvl w:val="1"/>
          <w:numId w:val="257"/>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Permitted Refinancing Indebtedness in exchange for, or the net proceeds of which are used to refund, refinance or replace Indebtedness (other than intercompany Indebtedness) that was permitted by the Indenture to be incurred under the first paragraph of this covenant, under clause (2), (7), (8), (9), (12), (13) or (14) of this paragraph or under this clause (3);</w:t>
      </w:r>
    </w:p>
    <w:p>
      <w:pPr>
        <w:spacing w:after="0" w:line="25" w:lineRule="exact"/>
        <w:rPr>
          <w:rFonts w:ascii="Arial" w:cs="Arial" w:eastAsia="Arial" w:hAnsi="Arial"/>
          <w:sz w:val="16"/>
          <w:szCs w:val="16"/>
          <w:color w:val="auto"/>
        </w:rPr>
      </w:pPr>
    </w:p>
    <w:p>
      <w:pPr>
        <w:ind w:left="460" w:right="260" w:firstLine="443"/>
        <w:spacing w:after="0" w:line="268" w:lineRule="auto"/>
        <w:tabs>
          <w:tab w:leader="none" w:pos="1147" w:val="left"/>
        </w:tabs>
        <w:numPr>
          <w:ilvl w:val="1"/>
          <w:numId w:val="257"/>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of intercompany Indebtedness between or among Wynn Las Vegas and any of its Restricted Subsidiaries; provided, however, that:</w:t>
      </w:r>
    </w:p>
    <w:p>
      <w:pPr>
        <w:spacing w:after="0" w:line="50" w:lineRule="exact"/>
        <w:rPr>
          <w:rFonts w:ascii="Arial" w:cs="Arial" w:eastAsia="Arial" w:hAnsi="Arial"/>
          <w:sz w:val="18"/>
          <w:szCs w:val="18"/>
          <w:color w:val="auto"/>
        </w:rPr>
      </w:pPr>
    </w:p>
    <w:p>
      <w:pPr>
        <w:ind w:left="920" w:right="120" w:firstLine="421"/>
        <w:spacing w:after="0" w:line="255" w:lineRule="auto"/>
        <w:tabs>
          <w:tab w:leader="none" w:pos="1579" w:val="left"/>
        </w:tabs>
        <w:numPr>
          <w:ilvl w:val="2"/>
          <w:numId w:val="257"/>
        </w:numPr>
        <w:rPr>
          <w:rFonts w:ascii="Arial" w:cs="Arial" w:eastAsia="Arial" w:hAnsi="Arial"/>
          <w:sz w:val="18"/>
          <w:szCs w:val="18"/>
          <w:color w:val="auto"/>
        </w:rPr>
      </w:pPr>
      <w:r>
        <w:rPr>
          <w:rFonts w:ascii="Arial" w:cs="Arial" w:eastAsia="Arial" w:hAnsi="Arial"/>
          <w:sz w:val="18"/>
          <w:szCs w:val="18"/>
          <w:color w:val="auto"/>
        </w:rPr>
        <w:t>if Wynn Las Vegas or any Guarantor is the obligor on such Indebtedness and the payee is not Wynn Las Vegas or a Guarantor, such Indebtedness must be expressly subordinated in right of payment to the prior payment in full in cash of all Obligations then due with respect to the 2020 Notes, in the case of Wynn Las Vegas, or its Note Guarantee under the Indenture, in the case of a Guarantor, except that no Indebtedness of Wynn Las Vegas or any Guarantor will be deemed to be subordinated in right of payment to any other Indebtedness of Wynn Las Vegas or any such Guarantor solely by virtue of being unsecured; and</w:t>
      </w:r>
    </w:p>
    <w:p>
      <w:pPr>
        <w:spacing w:after="0" w:line="62" w:lineRule="exact"/>
        <w:rPr>
          <w:sz w:val="20"/>
          <w:szCs w:val="20"/>
          <w:color w:val="auto"/>
        </w:rPr>
      </w:pPr>
    </w:p>
    <w:p>
      <w:pPr>
        <w:ind w:left="920" w:right="20" w:firstLine="420"/>
        <w:spacing w:after="0" w:line="298" w:lineRule="auto"/>
        <w:rPr>
          <w:sz w:val="20"/>
          <w:szCs w:val="20"/>
          <w:color w:val="auto"/>
        </w:rPr>
      </w:pPr>
      <w:r>
        <w:rPr>
          <w:rFonts w:ascii="Arial" w:cs="Arial" w:eastAsia="Arial" w:hAnsi="Arial"/>
          <w:sz w:val="16"/>
          <w:szCs w:val="16"/>
          <w:color w:val="auto"/>
        </w:rPr>
        <w:t>(b)(i) any subsequent issuance or transfer of Equity Interests that results in any such Indebtedness being held by a Person other than Wynn Las Vegas or a Restricted Subsidiary of Wynn Las Vegas, and (ii) any sale or other transfer of any such Indebtedness to a Person that is not either Wynn Las Vegas or a Restricted Subsidiary of Wynn Las Vegas will be deemed, in each case, to constitute an incurrence of such Indebtedness by Wynn Las Vegas or such Restricted Subsidiary, as the case may be, that was not permitted by this clause (4);</w:t>
      </w:r>
    </w:p>
    <w:p>
      <w:pPr>
        <w:spacing w:after="0" w:line="32" w:lineRule="exact"/>
        <w:rPr>
          <w:sz w:val="20"/>
          <w:szCs w:val="20"/>
          <w:color w:val="auto"/>
        </w:rPr>
      </w:pPr>
    </w:p>
    <w:p>
      <w:pPr>
        <w:ind w:left="1160" w:hanging="257"/>
        <w:spacing w:after="0"/>
        <w:tabs>
          <w:tab w:leader="none" w:pos="1160" w:val="left"/>
        </w:tabs>
        <w:numPr>
          <w:ilvl w:val="0"/>
          <w:numId w:val="258"/>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Hedging Obligations in the ordinary course of business;</w:t>
      </w:r>
    </w:p>
    <w:p>
      <w:pPr>
        <w:spacing w:after="0" w:line="113" w:lineRule="exact"/>
        <w:rPr>
          <w:rFonts w:ascii="Arial" w:cs="Arial" w:eastAsia="Arial" w:hAnsi="Arial"/>
          <w:sz w:val="16"/>
          <w:szCs w:val="16"/>
          <w:color w:val="auto"/>
        </w:rPr>
      </w:pPr>
    </w:p>
    <w:p>
      <w:pPr>
        <w:jc w:val="both"/>
        <w:ind w:left="460" w:right="20" w:firstLine="443"/>
        <w:spacing w:after="0" w:line="306" w:lineRule="auto"/>
        <w:tabs>
          <w:tab w:leader="none" w:pos="1147" w:val="left"/>
        </w:tabs>
        <w:numPr>
          <w:ilvl w:val="0"/>
          <w:numId w:val="258"/>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Indebtedness solely in respect of performance, surety, appeal or similar bonds or commercial or standby letters of credit, so long as such indebtedness is incurred in the ordinary course of business and the aggregate amount of all such bonds and standby letters of credit is not greater than $60.0 million at any time outstanding;</w:t>
      </w:r>
    </w:p>
    <w:p>
      <w:pPr>
        <w:spacing w:after="0" w:line="25" w:lineRule="exact"/>
        <w:rPr>
          <w:rFonts w:ascii="Arial" w:cs="Arial" w:eastAsia="Arial" w:hAnsi="Arial"/>
          <w:sz w:val="16"/>
          <w:szCs w:val="16"/>
          <w:color w:val="auto"/>
        </w:rPr>
      </w:pPr>
    </w:p>
    <w:p>
      <w:pPr>
        <w:ind w:left="460" w:right="440" w:firstLine="443"/>
        <w:spacing w:after="0" w:line="259" w:lineRule="auto"/>
        <w:tabs>
          <w:tab w:leader="none" w:pos="1147"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of Indebtedness represented by Capital Lease Obligations, mortgage financings or purchase money obligations, in each case, incurred for the purpose of financing all or any part of the purchase price or cost of design, construction, installation or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420"/>
          </w:cols>
          <w:pgMar w:left="240" w:top="460" w:right="2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20"/>
        <w:spacing w:after="0" w:line="298" w:lineRule="auto"/>
        <w:rPr>
          <w:sz w:val="20"/>
          <w:szCs w:val="20"/>
          <w:color w:val="auto"/>
        </w:rPr>
      </w:pPr>
      <w:r>
        <w:rPr>
          <w:rFonts w:ascii="Arial" w:cs="Arial" w:eastAsia="Arial" w:hAnsi="Arial"/>
          <w:sz w:val="16"/>
          <w:szCs w:val="16"/>
          <w:color w:val="auto"/>
        </w:rPr>
        <w:t>improvement of property, plant or equipment (including acquisitions of Capital Stock of a Person that becomes a Restricted Subsidiary to the extent of the Fair Market Value of the property, plant or equipment of such Person) used in the Projects by Wynn Las Vegas or any of its Restricted Subsidiaries, in an aggregate principal amount, including all Permitted Refinancing Indebtedness incurred to renew, refund, refinance, replace, defease or discharge any Indebtedness incurred pursuant to this clause (7), not to exceed $100.0 million at any time outstanding;</w:t>
      </w:r>
    </w:p>
    <w:p>
      <w:pPr>
        <w:spacing w:after="0" w:line="32" w:lineRule="exact"/>
        <w:rPr>
          <w:sz w:val="20"/>
          <w:szCs w:val="20"/>
          <w:color w:val="auto"/>
        </w:rPr>
      </w:pPr>
    </w:p>
    <w:p>
      <w:pPr>
        <w:ind w:left="1160" w:hanging="257"/>
        <w:spacing w:after="0"/>
        <w:tabs>
          <w:tab w:leader="none" w:pos="1160" w:val="left"/>
        </w:tabs>
        <w:numPr>
          <w:ilvl w:val="1"/>
          <w:numId w:val="259"/>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Indebtedness in a principal amount, including all Permitted</w:t>
      </w:r>
    </w:p>
    <w:p>
      <w:pPr>
        <w:spacing w:after="0" w:line="38" w:lineRule="exact"/>
        <w:rPr>
          <w:rFonts w:ascii="Arial" w:cs="Arial" w:eastAsia="Arial" w:hAnsi="Arial"/>
          <w:sz w:val="16"/>
          <w:szCs w:val="16"/>
          <w:color w:val="auto"/>
        </w:rPr>
      </w:pPr>
    </w:p>
    <w:p>
      <w:pPr>
        <w:jc w:val="both"/>
        <w:ind w:left="460" w:right="220"/>
        <w:spacing w:after="0" w:line="302" w:lineRule="auto"/>
        <w:rPr>
          <w:rFonts w:ascii="Arial" w:cs="Arial" w:eastAsia="Arial" w:hAnsi="Arial"/>
          <w:sz w:val="16"/>
          <w:szCs w:val="16"/>
          <w:color w:val="auto"/>
        </w:rPr>
      </w:pPr>
      <w:r>
        <w:rPr>
          <w:rFonts w:ascii="Arial" w:cs="Arial" w:eastAsia="Arial" w:hAnsi="Arial"/>
          <w:sz w:val="16"/>
          <w:szCs w:val="16"/>
          <w:color w:val="auto"/>
        </w:rPr>
        <w:t>Refinancing Indebtedness incurred to renew, refund, refinance, replace, defease or discharge any Indebtedness incurred pursuant to this clause (8), not to exceed, at any time, 75% of the aggregate cost of the Phase III Project to pay the costs and expenses of designing, developing and constructing the Phase III Project, so long as the holders of the 2020 Notes continue to have a perfected first priority security interest in the Golf Course Land;</w:t>
      </w:r>
    </w:p>
    <w:p>
      <w:pPr>
        <w:spacing w:after="0" w:line="28" w:lineRule="exact"/>
        <w:rPr>
          <w:rFonts w:ascii="Arial" w:cs="Arial" w:eastAsia="Arial" w:hAnsi="Arial"/>
          <w:sz w:val="16"/>
          <w:szCs w:val="16"/>
          <w:color w:val="auto"/>
        </w:rPr>
      </w:pPr>
    </w:p>
    <w:p>
      <w:pPr>
        <w:ind w:left="460" w:firstLine="443"/>
        <w:spacing w:after="0" w:line="259" w:lineRule="auto"/>
        <w:tabs>
          <w:tab w:leader="none" w:pos="1147" w:val="left"/>
        </w:tabs>
        <w:numPr>
          <w:ilvl w:val="1"/>
          <w:numId w:val="259"/>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of Indebtedness in connection with the repurchase, redemption or other acquisition or retirement for value of Equity Interests of Wynn Resorts or any Restricted Subsidiary permitted pursuant to the provisions of clause (6) of the covenant described above under the caption “—Restricted Payments;”</w:t>
      </w:r>
    </w:p>
    <w:p>
      <w:pPr>
        <w:spacing w:after="0" w:line="59" w:lineRule="exact"/>
        <w:rPr>
          <w:rFonts w:ascii="Arial" w:cs="Arial" w:eastAsia="Arial" w:hAnsi="Arial"/>
          <w:sz w:val="18"/>
          <w:szCs w:val="18"/>
          <w:color w:val="auto"/>
        </w:rPr>
      </w:pPr>
    </w:p>
    <w:p>
      <w:pPr>
        <w:ind w:left="1240" w:hanging="337"/>
        <w:spacing w:after="0"/>
        <w:tabs>
          <w:tab w:leader="none" w:pos="124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90" w:lineRule="exact"/>
        <w:rPr>
          <w:rFonts w:ascii="Arial" w:cs="Arial" w:eastAsia="Arial" w:hAnsi="Arial"/>
          <w:sz w:val="18"/>
          <w:szCs w:val="18"/>
          <w:color w:val="auto"/>
        </w:rPr>
      </w:pPr>
    </w:p>
    <w:p>
      <w:pPr>
        <w:ind w:left="460" w:right="120" w:firstLine="443"/>
        <w:spacing w:after="0" w:line="268" w:lineRule="auto"/>
        <w:tabs>
          <w:tab w:leader="none" w:pos="1228" w:val="left"/>
        </w:tabs>
        <w:numPr>
          <w:ilvl w:val="1"/>
          <w:numId w:val="259"/>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of additional Indebtedness in an aggregate principal amount at any time outstanding, not to exceed $100.0 million;</w:t>
      </w:r>
    </w:p>
    <w:p>
      <w:pPr>
        <w:spacing w:after="0" w:line="50" w:lineRule="exact"/>
        <w:rPr>
          <w:rFonts w:ascii="Arial" w:cs="Arial" w:eastAsia="Arial" w:hAnsi="Arial"/>
          <w:sz w:val="18"/>
          <w:szCs w:val="18"/>
          <w:color w:val="auto"/>
        </w:rPr>
      </w:pPr>
    </w:p>
    <w:p>
      <w:pPr>
        <w:ind w:left="1240" w:hanging="337"/>
        <w:spacing w:after="0"/>
        <w:tabs>
          <w:tab w:leader="none" w:pos="124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the 2014 Notes;</w:t>
      </w:r>
    </w:p>
    <w:p>
      <w:pPr>
        <w:spacing w:after="0" w:line="90" w:lineRule="exact"/>
        <w:rPr>
          <w:rFonts w:ascii="Arial" w:cs="Arial" w:eastAsia="Arial" w:hAnsi="Arial"/>
          <w:sz w:val="18"/>
          <w:szCs w:val="18"/>
          <w:color w:val="auto"/>
        </w:rPr>
      </w:pPr>
    </w:p>
    <w:p>
      <w:pPr>
        <w:ind w:left="1240" w:hanging="337"/>
        <w:spacing w:after="0"/>
        <w:tabs>
          <w:tab w:leader="none" w:pos="124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the 2017 Notes;</w:t>
      </w:r>
    </w:p>
    <w:p>
      <w:pPr>
        <w:spacing w:after="0" w:line="90" w:lineRule="exact"/>
        <w:rPr>
          <w:rFonts w:ascii="Arial" w:cs="Arial" w:eastAsia="Arial" w:hAnsi="Arial"/>
          <w:sz w:val="18"/>
          <w:szCs w:val="18"/>
          <w:color w:val="auto"/>
        </w:rPr>
      </w:pPr>
    </w:p>
    <w:p>
      <w:pPr>
        <w:ind w:left="1240" w:hanging="337"/>
        <w:spacing w:after="0"/>
        <w:tabs>
          <w:tab w:leader="none" w:pos="124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the 2020 Notes;</w:t>
      </w:r>
    </w:p>
    <w:p>
      <w:pPr>
        <w:spacing w:after="0" w:line="90" w:lineRule="exact"/>
        <w:rPr>
          <w:rFonts w:ascii="Arial" w:cs="Arial" w:eastAsia="Arial" w:hAnsi="Arial"/>
          <w:sz w:val="18"/>
          <w:szCs w:val="18"/>
          <w:color w:val="auto"/>
        </w:rPr>
      </w:pPr>
    </w:p>
    <w:p>
      <w:pPr>
        <w:ind w:left="460" w:right="460" w:firstLine="443"/>
        <w:spacing w:after="0" w:line="332" w:lineRule="auto"/>
        <w:tabs>
          <w:tab w:leader="none" w:pos="1235" w:val="left"/>
        </w:tabs>
        <w:numPr>
          <w:ilvl w:val="1"/>
          <w:numId w:val="259"/>
        </w:numPr>
        <w:rPr>
          <w:rFonts w:ascii="Arial" w:cs="Arial" w:eastAsia="Arial" w:hAnsi="Arial"/>
          <w:sz w:val="16"/>
          <w:szCs w:val="16"/>
          <w:color w:val="auto"/>
        </w:rPr>
      </w:pPr>
      <w:r>
        <w:rPr>
          <w:rFonts w:ascii="Arial" w:cs="Arial" w:eastAsia="Arial" w:hAnsi="Arial"/>
          <w:sz w:val="16"/>
          <w:szCs w:val="16"/>
          <w:color w:val="auto"/>
        </w:rPr>
        <w:t>the incurrence of Indebtedness (and the Guarantee of such Indebtedness by Wynn Las Vegas) in an amount not to exceed 100% of the Fair Market Value of the Aircraft, which is secured only by Liens permitted by clause (26) of the definition of “Permitted Liens;”</w:t>
      </w:r>
    </w:p>
    <w:p>
      <w:pPr>
        <w:spacing w:after="0" w:line="4" w:lineRule="exact"/>
        <w:rPr>
          <w:rFonts w:ascii="Arial" w:cs="Arial" w:eastAsia="Arial" w:hAnsi="Arial"/>
          <w:sz w:val="16"/>
          <w:szCs w:val="16"/>
          <w:color w:val="auto"/>
        </w:rPr>
      </w:pPr>
    </w:p>
    <w:p>
      <w:pPr>
        <w:ind w:left="460" w:right="100" w:firstLine="443"/>
        <w:spacing w:after="0" w:line="289" w:lineRule="auto"/>
        <w:tabs>
          <w:tab w:leader="none" w:pos="1235" w:val="left"/>
        </w:tabs>
        <w:numPr>
          <w:ilvl w:val="1"/>
          <w:numId w:val="259"/>
        </w:numPr>
        <w:rPr>
          <w:rFonts w:ascii="Arial" w:cs="Arial" w:eastAsia="Arial" w:hAnsi="Arial"/>
          <w:sz w:val="16"/>
          <w:szCs w:val="16"/>
          <w:color w:val="auto"/>
        </w:rPr>
      </w:pPr>
      <w:r>
        <w:rPr>
          <w:rFonts w:ascii="Arial" w:cs="Arial" w:eastAsia="Arial" w:hAnsi="Arial"/>
          <w:sz w:val="16"/>
          <w:szCs w:val="16"/>
          <w:color w:val="auto"/>
        </w:rPr>
        <w:t xml:space="preserve">the incurrence by Wynn Las Vegas or any of its Restricted Subsidiaries of additional Indebtedness (so long as such Indebtedness is incurred under the Credit Agreement, through the issuance of additional 2020 Notes under the Indenture, is unsecured Indebtedness or is Permitted Junior Debt) to be used to develop and construct an Additional Entertainment Facility and/or a Retail Facility on land included in the Projects in an aggregate principal amount (or original accreted value, as applicable) at any time not to exceed 66 </w:t>
      </w:r>
      <w:r>
        <w:rPr>
          <w:rFonts w:ascii="Arial" w:cs="Arial" w:eastAsia="Arial" w:hAnsi="Arial"/>
          <w:sz w:val="10"/>
          <w:szCs w:val="10"/>
          <w:color w:val="auto"/>
        </w:rPr>
        <w:t>2</w:t>
      </w:r>
      <w:r>
        <w:rPr>
          <w:rFonts w:ascii="Arial" w:cs="Arial" w:eastAsia="Arial" w:hAnsi="Arial"/>
          <w:sz w:val="16"/>
          <w:szCs w:val="16"/>
          <w:color w:val="auto"/>
        </w:rPr>
        <w:t xml:space="preserve">/3% of the aggregate cost of such Additional Entertainment Facility and/or Retail Facility; provided that, subsequent to the date of the Indenture and on or prior to the date of the incurrence of such Indebtedness, net cash proceeds have been received by Wynn Las Vegas as a contribution to its common equity capital in an amount equal to at least 33 </w:t>
      </w:r>
      <w:r>
        <w:rPr>
          <w:rFonts w:ascii="Arial" w:cs="Arial" w:eastAsia="Arial" w:hAnsi="Arial"/>
          <w:sz w:val="10"/>
          <w:szCs w:val="10"/>
          <w:color w:val="auto"/>
        </w:rPr>
        <w:t>1</w:t>
      </w:r>
      <w:r>
        <w:rPr>
          <w:rFonts w:ascii="Arial" w:cs="Arial" w:eastAsia="Arial" w:hAnsi="Arial"/>
          <w:sz w:val="16"/>
          <w:szCs w:val="16"/>
          <w:color w:val="auto"/>
        </w:rPr>
        <w:t>/3% of the aggregate cost of such Additional Entertainment Facility and/or Retail Facility, which proceeds have been irrevocably committed at the time of such contribution for use in the development and construction of such Additional Entertainment Facility and/or a Retail Facility; and</w:t>
      </w:r>
    </w:p>
    <w:p>
      <w:pPr>
        <w:spacing w:after="0" w:line="37" w:lineRule="exact"/>
        <w:rPr>
          <w:rFonts w:ascii="Arial" w:cs="Arial" w:eastAsia="Arial" w:hAnsi="Arial"/>
          <w:sz w:val="16"/>
          <w:szCs w:val="16"/>
          <w:color w:val="auto"/>
        </w:rPr>
      </w:pPr>
    </w:p>
    <w:p>
      <w:pPr>
        <w:ind w:left="460" w:right="480" w:firstLine="443"/>
        <w:spacing w:after="0" w:line="268" w:lineRule="auto"/>
        <w:tabs>
          <w:tab w:leader="none" w:pos="1235" w:val="left"/>
        </w:tabs>
        <w:numPr>
          <w:ilvl w:val="1"/>
          <w:numId w:val="259"/>
        </w:numPr>
        <w:rPr>
          <w:rFonts w:ascii="Arial" w:cs="Arial" w:eastAsia="Arial" w:hAnsi="Arial"/>
          <w:sz w:val="18"/>
          <w:szCs w:val="18"/>
          <w:color w:val="auto"/>
        </w:rPr>
      </w:pPr>
      <w:r>
        <w:rPr>
          <w:rFonts w:ascii="Arial" w:cs="Arial" w:eastAsia="Arial" w:hAnsi="Arial"/>
          <w:sz w:val="18"/>
          <w:szCs w:val="18"/>
          <w:color w:val="auto"/>
        </w:rPr>
        <w:t>the incurrence by Wynn Capital, as co-obligor, of any Indebtedness which Wynn Las Vegas is permitted to incur pursuant to the foregoing provisions.</w:t>
      </w:r>
    </w:p>
    <w:p>
      <w:pPr>
        <w:spacing w:after="0" w:line="132"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For purposes of determining compliance with this “Incurrence of Indebtedness and Issuance of Disqualified Stock” covenant, in the event that an item of proposed Indebtedness meets the criteria of more than one of the categories of Permitted Debt described in clauses (1) through (16) above, or is entitled to be incurred pursuant to the first paragraph of this covenant, the Issuers will be permitted to classify such item of Indebtedness on the date of its incurrence, or later reclassify all or a portion of such item of Indebtedness, in any manner that complies with this covenant as of the date of such classification or reclassification. Indebtedness under the Credit Agreement outstanding on the date on which the 2020 Notes are first issued and authenticated under the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420"/>
          </w:cols>
          <w:pgMar w:left="240" w:top="460" w:right="2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Indenture will initially be deemed to have been incurred on such date in reliance on the exception provided by clause (1) of the definition of “Permitted Debt.” The accrual of interest, the accretion or amortization of original issue discount, the payment of interest on any Indebtedness in the form of additional Indebtedness with the same terms, the reclassification of preferred stock as Indebtedness due to a change in accounting principles, and the payment of dividends on Disqualified Stock in the form of additional shares of the same class of Disqualified Stock will not be deemed to be an incurrence of Indebtedness or an issuance of Disqualified Stock for purposes of this covenant. Notwithstanding any other provision of this covenant, the maximum amount of Indebtedness that Wynn Las Vegas or any of its Restricted Subsidiaries may incur pursuant to this covenant shall not be exceeded solely as a result of fluctuations in exchange rates or currency values. In addition, any Indebtedness which is permitted to be incurred by Wynn Las Vegas or any of its Restricted Subsidiaries under clause (7) set forth above may be incurred under the Credit Agreement or through the issuance of additional 2020 Notes under the Indenture.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90" w:lineRule="exact"/>
        <w:rPr>
          <w:sz w:val="20"/>
          <w:szCs w:val="20"/>
          <w:color w:val="auto"/>
        </w:rPr>
      </w:pPr>
    </w:p>
    <w:p>
      <w:pPr>
        <w:ind w:left="1160" w:hanging="257"/>
        <w:spacing w:after="0"/>
        <w:tabs>
          <w:tab w:leader="none" w:pos="116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the accreted value of the Indebtedness, in the case of any Indebtedness issued with original issue discount;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the principal amount of the Indebtedness, in the case of any other Indebtedness;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in respect of Indebtedness of another Person secured by a Lien on the assets of the specified Person, the lesser of:</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260"/>
        </w:numPr>
        <w:rPr>
          <w:rFonts w:ascii="Arial" w:cs="Arial" w:eastAsia="Arial" w:hAnsi="Arial"/>
          <w:sz w:val="18"/>
          <w:szCs w:val="18"/>
          <w:color w:val="auto"/>
        </w:rPr>
      </w:pPr>
      <w:r>
        <w:rPr>
          <w:rFonts w:ascii="Arial" w:cs="Arial" w:eastAsia="Arial" w:hAnsi="Arial"/>
          <w:sz w:val="18"/>
          <w:szCs w:val="18"/>
          <w:color w:val="auto"/>
        </w:rPr>
        <w:t>the Fair Market Value of such assets at the date of determination; and</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260"/>
        </w:numPr>
        <w:rPr>
          <w:rFonts w:ascii="Arial" w:cs="Arial" w:eastAsia="Arial" w:hAnsi="Arial"/>
          <w:sz w:val="18"/>
          <w:szCs w:val="18"/>
          <w:color w:val="auto"/>
        </w:rPr>
      </w:pPr>
      <w:r>
        <w:rPr>
          <w:rFonts w:ascii="Arial" w:cs="Arial" w:eastAsia="Arial" w:hAnsi="Arial"/>
          <w:sz w:val="18"/>
          <w:szCs w:val="18"/>
          <w:color w:val="auto"/>
        </w:rPr>
        <w:t>the amount of the Indebtedness of the other Person.</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Liens</w:t>
      </w:r>
    </w:p>
    <w:p>
      <w:pPr>
        <w:spacing w:after="0" w:line="9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Wynn Las Vegas will not, and will not permit any of its Restricted Subsidiaries to, directly or indirectly, create, incur, assume or suffer to exist any Lien of any kind on any asset owned on the date of the Indenture or thereafter acquired, or on any proceeds, income or profits therefrom or assign or convey any right to receive income therefrom, except Permitted Liens.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Dividend and Other Payment Restrictions Affecting Subsidiaries of Wynn Las Vegas</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Wynn Las Vegas will not, and will not permit any of its Restricted Subsidiaries to, directly or indirectly, create or permit to exist or become effective any consensual encumbrance or restriction on the ability of any Restricted Subsidiary to:</w:t>
      </w:r>
    </w:p>
    <w:p>
      <w:pPr>
        <w:spacing w:after="0" w:line="51" w:lineRule="exact"/>
        <w:rPr>
          <w:sz w:val="20"/>
          <w:szCs w:val="20"/>
          <w:color w:val="auto"/>
        </w:rPr>
      </w:pPr>
    </w:p>
    <w:p>
      <w:pPr>
        <w:ind w:left="460" w:right="40" w:firstLine="443"/>
        <w:spacing w:after="0" w:line="332" w:lineRule="auto"/>
        <w:tabs>
          <w:tab w:leader="none" w:pos="1147" w:val="left"/>
        </w:tabs>
        <w:numPr>
          <w:ilvl w:val="0"/>
          <w:numId w:val="261"/>
        </w:numPr>
        <w:rPr>
          <w:rFonts w:ascii="Arial" w:cs="Arial" w:eastAsia="Arial" w:hAnsi="Arial"/>
          <w:sz w:val="16"/>
          <w:szCs w:val="16"/>
          <w:color w:val="auto"/>
        </w:rPr>
      </w:pPr>
      <w:r>
        <w:rPr>
          <w:rFonts w:ascii="Arial" w:cs="Arial" w:eastAsia="Arial" w:hAnsi="Arial"/>
          <w:sz w:val="16"/>
          <w:szCs w:val="16"/>
          <w:color w:val="auto"/>
        </w:rPr>
        <w:t>pay dividends or make any other distributions on its Capital Stock to Wynn Las Vegas or any of its Restricted Subsidiaries, or with respect to any other interest or participation in, or measured by, its profits, or pay any indebtedness owed to Wynn Las Vegas or any of its Restricted Subsidiaries;</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make loans or advances to Wynn Las Vegas or any of its Restricted Subsidiaries;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sell, lease or transfer any of its properties or assets to Wynn Las Vegas or any of its Restricted Subsidiaries.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the preceding restrictions will not apply to encumbrances or restrictions existing under or by reason of:</w:t>
      </w:r>
    </w:p>
    <w:p>
      <w:pPr>
        <w:spacing w:after="0" w:line="90" w:lineRule="exact"/>
        <w:rPr>
          <w:sz w:val="20"/>
          <w:szCs w:val="20"/>
          <w:color w:val="auto"/>
        </w:rPr>
      </w:pPr>
    </w:p>
    <w:p>
      <w:pPr>
        <w:ind w:left="460" w:right="100" w:firstLine="443"/>
        <w:spacing w:after="0" w:line="268" w:lineRule="auto"/>
        <w:tabs>
          <w:tab w:leader="none" w:pos="1147"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the 2020 Notes, the 2020 Notes Indenture, the 2014 Notes, the 2014 Notes Indenture, the 2017 Notes, the 2017 Notes Indenture, any Guarantees of such notes, or the Collateral Documents;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applicable law, including rules, regulations and orders issued by any Gaming Authority;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400"/>
          </w:cols>
          <w:pgMar w:left="240" w:top="459" w:right="2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firstLine="443"/>
        <w:spacing w:after="0" w:line="268" w:lineRule="auto"/>
        <w:tabs>
          <w:tab w:leader="none" w:pos="1147" w:val="left"/>
        </w:tabs>
        <w:numPr>
          <w:ilvl w:val="0"/>
          <w:numId w:val="263"/>
        </w:numPr>
        <w:rPr>
          <w:rFonts w:ascii="Arial" w:cs="Arial" w:eastAsia="Arial" w:hAnsi="Arial"/>
          <w:sz w:val="18"/>
          <w:szCs w:val="18"/>
          <w:color w:val="auto"/>
        </w:rPr>
      </w:pPr>
      <w:r>
        <w:rPr>
          <w:rFonts w:ascii="Arial" w:cs="Arial" w:eastAsia="Arial" w:hAnsi="Arial"/>
          <w:sz w:val="18"/>
          <w:szCs w:val="18"/>
          <w:color w:val="auto"/>
        </w:rPr>
        <w:t>customary non-assignment provisions in contracts, licenses or leases entered into in the ordinary course of business and consistent with practices that are customary in the gaming, lodging or entertainment industry;</w:t>
      </w:r>
    </w:p>
    <w:p>
      <w:pPr>
        <w:spacing w:after="0" w:line="50" w:lineRule="exact"/>
        <w:rPr>
          <w:rFonts w:ascii="Arial" w:cs="Arial" w:eastAsia="Arial" w:hAnsi="Arial"/>
          <w:sz w:val="18"/>
          <w:szCs w:val="18"/>
          <w:color w:val="auto"/>
        </w:rPr>
      </w:pPr>
    </w:p>
    <w:p>
      <w:pPr>
        <w:ind w:left="460" w:firstLine="443"/>
        <w:spacing w:after="0" w:line="294" w:lineRule="auto"/>
        <w:tabs>
          <w:tab w:leader="none" w:pos="1147" w:val="left"/>
        </w:tabs>
        <w:numPr>
          <w:ilvl w:val="0"/>
          <w:numId w:val="263"/>
        </w:numPr>
        <w:rPr>
          <w:rFonts w:ascii="Arial" w:cs="Arial" w:eastAsia="Arial" w:hAnsi="Arial"/>
          <w:sz w:val="16"/>
          <w:szCs w:val="16"/>
          <w:color w:val="auto"/>
        </w:rPr>
      </w:pPr>
      <w:r>
        <w:rPr>
          <w:rFonts w:ascii="Arial" w:cs="Arial" w:eastAsia="Arial" w:hAnsi="Arial"/>
          <w:sz w:val="16"/>
          <w:szCs w:val="16"/>
          <w:color w:val="auto"/>
        </w:rPr>
        <w:t>the Credit Agreement as in effect on the date of the Indenture and any other Indebtedness permitted to be incurred by the Indenture and any amendments, modifications, restatements, renewals, increases, supplements, refundings, replacements or refinancings of those agreements, so long as the applicable provisions of amendments, modifications, restatements, renewals, increases, supplements, refundings, replacements, refinancings or agreements governing other Indebtedness are no more restrictive, taken as a whole, with respect to such dividend and other payment restrictions than those contained in the Credit Agreement as in effect on the date of the Indenture;</w:t>
      </w:r>
    </w:p>
    <w:p>
      <w:pPr>
        <w:spacing w:after="0" w:line="34" w:lineRule="exact"/>
        <w:rPr>
          <w:rFonts w:ascii="Arial" w:cs="Arial" w:eastAsia="Arial" w:hAnsi="Arial"/>
          <w:sz w:val="16"/>
          <w:szCs w:val="16"/>
          <w:color w:val="auto"/>
        </w:rPr>
      </w:pPr>
    </w:p>
    <w:p>
      <w:pPr>
        <w:ind w:left="460" w:right="80" w:firstLine="443"/>
        <w:spacing w:after="0" w:line="335" w:lineRule="auto"/>
        <w:tabs>
          <w:tab w:leader="none" w:pos="1147" w:val="left"/>
        </w:tabs>
        <w:numPr>
          <w:ilvl w:val="0"/>
          <w:numId w:val="263"/>
        </w:numPr>
        <w:rPr>
          <w:rFonts w:ascii="Arial" w:cs="Arial" w:eastAsia="Arial" w:hAnsi="Arial"/>
          <w:sz w:val="15"/>
          <w:szCs w:val="15"/>
          <w:color w:val="auto"/>
        </w:rPr>
      </w:pPr>
      <w:r>
        <w:rPr>
          <w:rFonts w:ascii="Arial" w:cs="Arial" w:eastAsia="Arial" w:hAnsi="Arial"/>
          <w:sz w:val="15"/>
          <w:szCs w:val="15"/>
          <w:color w:val="auto"/>
        </w:rPr>
        <w:t>the acquisition of the Capital Stock of any Person, or property or assets of any Person by Wynn Las Vegas or any of its Restricted Subsidiaries, if the encumbrances or restrictions (a) existed at the time of the acquisition and were not incurred in contemplation thereof and (b) are not applicable to and are not spread to cover any Person or the property or assets of any Person other than the Person acquired or the property or assets of the Person acquired;</w:t>
      </w:r>
    </w:p>
    <w:p>
      <w:pPr>
        <w:spacing w:after="0" w:line="7" w:lineRule="exact"/>
        <w:rPr>
          <w:rFonts w:ascii="Arial" w:cs="Arial" w:eastAsia="Arial" w:hAnsi="Arial"/>
          <w:sz w:val="15"/>
          <w:szCs w:val="15"/>
          <w:color w:val="auto"/>
        </w:rPr>
      </w:pPr>
    </w:p>
    <w:p>
      <w:pPr>
        <w:ind w:left="460" w:right="280" w:firstLine="443"/>
        <w:spacing w:after="0" w:line="259" w:lineRule="auto"/>
        <w:tabs>
          <w:tab w:leader="none" w:pos="1147" w:val="left"/>
        </w:tabs>
        <w:numPr>
          <w:ilvl w:val="0"/>
          <w:numId w:val="263"/>
        </w:numPr>
        <w:rPr>
          <w:rFonts w:ascii="Arial" w:cs="Arial" w:eastAsia="Arial" w:hAnsi="Arial"/>
          <w:sz w:val="18"/>
          <w:szCs w:val="18"/>
          <w:color w:val="auto"/>
        </w:rPr>
      </w:pPr>
      <w:r>
        <w:rPr>
          <w:rFonts w:ascii="Arial" w:cs="Arial" w:eastAsia="Arial" w:hAnsi="Arial"/>
          <w:sz w:val="18"/>
          <w:szCs w:val="18"/>
          <w:color w:val="auto"/>
        </w:rPr>
        <w:t>purchase money obligations or Capital Lease Obligations for Indebtedness permitted under clause (7) of the second paragraph of the covenant described above under the caption “—Incurrence of Indebtedness and Issuance of Disqualified Stock” that impose restrictions of the type described in clause (3) of the first paragraph of this covenant on the assets so acquired;</w:t>
      </w:r>
    </w:p>
    <w:p>
      <w:pPr>
        <w:spacing w:after="0" w:line="59"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263"/>
        </w:numPr>
        <w:rPr>
          <w:rFonts w:ascii="Arial" w:cs="Arial" w:eastAsia="Arial" w:hAnsi="Arial"/>
          <w:sz w:val="18"/>
          <w:szCs w:val="18"/>
          <w:color w:val="auto"/>
        </w:rPr>
      </w:pPr>
      <w:r>
        <w:rPr>
          <w:rFonts w:ascii="Arial" w:cs="Arial" w:eastAsia="Arial" w:hAnsi="Arial"/>
          <w:sz w:val="18"/>
          <w:szCs w:val="18"/>
          <w:color w:val="auto"/>
        </w:rPr>
        <w:t>any agreement for the sale or other disposition of a Restricted Subsidiary permitted hereby that restricts distributions by that Restricted Subsidiary pending its sale or other disposition;</w:t>
      </w:r>
    </w:p>
    <w:p>
      <w:pPr>
        <w:spacing w:after="0" w:line="50" w:lineRule="exact"/>
        <w:rPr>
          <w:rFonts w:ascii="Arial" w:cs="Arial" w:eastAsia="Arial" w:hAnsi="Arial"/>
          <w:sz w:val="18"/>
          <w:szCs w:val="18"/>
          <w:color w:val="auto"/>
        </w:rPr>
      </w:pPr>
    </w:p>
    <w:p>
      <w:pPr>
        <w:ind w:left="460" w:right="500" w:firstLine="443"/>
        <w:spacing w:after="0" w:line="306" w:lineRule="auto"/>
        <w:tabs>
          <w:tab w:leader="none" w:pos="1147" w:val="left"/>
        </w:tabs>
        <w:numPr>
          <w:ilvl w:val="0"/>
          <w:numId w:val="263"/>
        </w:numPr>
        <w:rPr>
          <w:rFonts w:ascii="Arial" w:cs="Arial" w:eastAsia="Arial" w:hAnsi="Arial"/>
          <w:sz w:val="16"/>
          <w:szCs w:val="16"/>
          <w:color w:val="auto"/>
        </w:rPr>
      </w:pPr>
      <w:r>
        <w:rPr>
          <w:rFonts w:ascii="Arial" w:cs="Arial" w:eastAsia="Arial" w:hAnsi="Arial"/>
          <w:sz w:val="16"/>
          <w:szCs w:val="16"/>
          <w:color w:val="auto"/>
        </w:rPr>
        <w:t>Liens permitted to be incurred under the provisions of the covenant described above under the caption “—Liens,” securing Indebtedness otherwise permitted to be incurred under the second paragraph of the covenant described above under the caption “—Incurrence of Indebtedness and Issuance of Disqualified Stock,” that limit the right of the debtor to dispose of the assets subject to such Liens; or</w:t>
      </w:r>
    </w:p>
    <w:p>
      <w:pPr>
        <w:spacing w:after="0" w:line="25" w:lineRule="exact"/>
        <w:rPr>
          <w:rFonts w:ascii="Arial" w:cs="Arial" w:eastAsia="Arial" w:hAnsi="Arial"/>
          <w:sz w:val="16"/>
          <w:szCs w:val="16"/>
          <w:color w:val="auto"/>
        </w:rPr>
      </w:pPr>
    </w:p>
    <w:p>
      <w:pPr>
        <w:ind w:left="460" w:right="360" w:firstLine="443"/>
        <w:spacing w:after="0" w:line="332" w:lineRule="auto"/>
        <w:tabs>
          <w:tab w:leader="none" w:pos="1147" w:val="left"/>
        </w:tabs>
        <w:numPr>
          <w:ilvl w:val="0"/>
          <w:numId w:val="263"/>
        </w:numPr>
        <w:rPr>
          <w:rFonts w:ascii="Arial" w:cs="Arial" w:eastAsia="Arial" w:hAnsi="Arial"/>
          <w:sz w:val="16"/>
          <w:szCs w:val="16"/>
          <w:color w:val="auto"/>
        </w:rPr>
      </w:pPr>
      <w:r>
        <w:rPr>
          <w:rFonts w:ascii="Arial" w:cs="Arial" w:eastAsia="Arial" w:hAnsi="Arial"/>
          <w:sz w:val="16"/>
          <w:szCs w:val="16"/>
          <w:color w:val="auto"/>
        </w:rPr>
        <w:t>customary provisions with respect to the disposition or distribution of assets or property in partnership or joint venture agreements, asset sale agreements, stock sale agreements and other similar agreements entered into in the ordinary course of business.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Merger, Consolidation or Sale of Assets</w:t>
      </w:r>
    </w:p>
    <w:p>
      <w:pPr>
        <w:spacing w:after="0" w:line="9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Neither Issuer will, directly or indirectly, (1) consolidate or merge with or into another Person (whether or not such Issuer is the surviving entity) or (2) sell, assign, transfer, convey or otherwise dispose of all or substantially all of its properties or assets, in one or more related transactions, to another Person, unless:</w:t>
      </w:r>
    </w:p>
    <w:p>
      <w:pPr>
        <w:spacing w:after="0" w:line="4" w:lineRule="exact"/>
        <w:rPr>
          <w:sz w:val="20"/>
          <w:szCs w:val="20"/>
          <w:color w:val="auto"/>
        </w:rPr>
      </w:pPr>
    </w:p>
    <w:p>
      <w:pPr>
        <w:ind w:left="460" w:right="120" w:firstLine="443"/>
        <w:spacing w:after="0" w:line="259" w:lineRule="auto"/>
        <w:tabs>
          <w:tab w:leader="none" w:pos="1147" w:val="left"/>
        </w:tabs>
        <w:numPr>
          <w:ilvl w:val="0"/>
          <w:numId w:val="264"/>
        </w:numPr>
        <w:rPr>
          <w:rFonts w:ascii="Arial" w:cs="Arial" w:eastAsia="Arial" w:hAnsi="Arial"/>
          <w:sz w:val="18"/>
          <w:szCs w:val="18"/>
          <w:color w:val="auto"/>
        </w:rPr>
      </w:pPr>
      <w:r>
        <w:rPr>
          <w:rFonts w:ascii="Arial" w:cs="Arial" w:eastAsia="Arial" w:hAnsi="Arial"/>
          <w:sz w:val="18"/>
          <w:szCs w:val="18"/>
          <w:color w:val="auto"/>
        </w:rPr>
        <w:t>either (a) such Issuer is the surviving entity or (b) the Person formed by or surviving any such consolidation or merger (if other than such Issuer) or to which such sale, assignment, transfer, conveyance or other disposition shall have been made is a corporation organized or existing under the laws of the United States, any state of the United States or the District of Columbia;</w:t>
      </w:r>
    </w:p>
    <w:p>
      <w:pPr>
        <w:spacing w:after="0" w:line="59" w:lineRule="exact"/>
        <w:rPr>
          <w:rFonts w:ascii="Arial" w:cs="Arial" w:eastAsia="Arial" w:hAnsi="Arial"/>
          <w:sz w:val="18"/>
          <w:szCs w:val="18"/>
          <w:color w:val="auto"/>
        </w:rPr>
      </w:pPr>
    </w:p>
    <w:p>
      <w:pPr>
        <w:ind w:left="460" w:right="400" w:firstLine="443"/>
        <w:spacing w:after="0" w:line="306" w:lineRule="auto"/>
        <w:tabs>
          <w:tab w:leader="none" w:pos="1147" w:val="left"/>
        </w:tabs>
        <w:numPr>
          <w:ilvl w:val="0"/>
          <w:numId w:val="264"/>
        </w:numPr>
        <w:rPr>
          <w:rFonts w:ascii="Arial" w:cs="Arial" w:eastAsia="Arial" w:hAnsi="Arial"/>
          <w:sz w:val="16"/>
          <w:szCs w:val="16"/>
          <w:color w:val="auto"/>
        </w:rPr>
      </w:pPr>
      <w:r>
        <w:rPr>
          <w:rFonts w:ascii="Arial" w:cs="Arial" w:eastAsia="Arial" w:hAnsi="Arial"/>
          <w:sz w:val="16"/>
          <w:szCs w:val="16"/>
          <w:color w:val="auto"/>
        </w:rPr>
        <w:t>the Person formed by or surviving any such consolidation or merger (if other than such Issuer) or the Person to which such sale, assignment, transfer, conveyance or other disposition shall have been made assumes all the obligations of such Issuer under the 2020 Notes, the Indenture, the registration rights agreement and the Collateral Documents pursuant to agreements reasonably satisfactory to the trustee;</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immediately after such transaction, no Default or Event of Default exists;</w:t>
      </w:r>
    </w:p>
    <w:p>
      <w:pPr>
        <w:spacing w:after="0" w:line="90" w:lineRule="exact"/>
        <w:rPr>
          <w:rFonts w:ascii="Arial" w:cs="Arial" w:eastAsia="Arial" w:hAnsi="Arial"/>
          <w:sz w:val="18"/>
          <w:szCs w:val="18"/>
          <w:color w:val="auto"/>
        </w:rPr>
      </w:pPr>
    </w:p>
    <w:p>
      <w:pPr>
        <w:ind w:left="460" w:right="420" w:firstLine="443"/>
        <w:spacing w:after="0" w:line="268" w:lineRule="auto"/>
        <w:tabs>
          <w:tab w:leader="none" w:pos="1147" w:val="left"/>
        </w:tabs>
        <w:numPr>
          <w:ilvl w:val="0"/>
          <w:numId w:val="264"/>
        </w:numPr>
        <w:rPr>
          <w:rFonts w:ascii="Arial" w:cs="Arial" w:eastAsia="Arial" w:hAnsi="Arial"/>
          <w:sz w:val="18"/>
          <w:szCs w:val="18"/>
          <w:color w:val="auto"/>
        </w:rPr>
      </w:pPr>
      <w:r>
        <w:rPr>
          <w:rFonts w:ascii="Arial" w:cs="Arial" w:eastAsia="Arial" w:hAnsi="Arial"/>
          <w:sz w:val="18"/>
          <w:szCs w:val="18"/>
          <w:color w:val="auto"/>
        </w:rPr>
        <w:t>such transaction would not result in the loss or suspension or material impairment of any Gaming License unless a comparable new Gaming License is effective prior to or simultaneously with such loss, suspension or material impairment;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420"/>
          </w:cols>
          <w:pgMar w:left="240" w:top="460" w:right="2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20" w:firstLine="443"/>
        <w:spacing w:after="0" w:line="268" w:lineRule="auto"/>
        <w:tabs>
          <w:tab w:leader="none" w:pos="1147" w:val="left"/>
        </w:tabs>
        <w:numPr>
          <w:ilvl w:val="0"/>
          <w:numId w:val="265"/>
        </w:numPr>
        <w:rPr>
          <w:rFonts w:ascii="Arial" w:cs="Arial" w:eastAsia="Arial" w:hAnsi="Arial"/>
          <w:sz w:val="18"/>
          <w:szCs w:val="18"/>
          <w:color w:val="auto"/>
        </w:rPr>
      </w:pPr>
      <w:r>
        <w:rPr>
          <w:rFonts w:ascii="Arial" w:cs="Arial" w:eastAsia="Arial" w:hAnsi="Arial"/>
          <w:sz w:val="18"/>
          <w:szCs w:val="18"/>
          <w:color w:val="auto"/>
        </w:rPr>
        <w:t>such Issuer or the Person formed by or surviving any such consolidation or merger (if other than such Issuer), or to which such sale, assignment, transfer, conveyance or other disposition shall have been made;</w:t>
      </w:r>
    </w:p>
    <w:p>
      <w:pPr>
        <w:spacing w:after="0" w:line="50" w:lineRule="exact"/>
        <w:rPr>
          <w:rFonts w:ascii="Arial" w:cs="Arial" w:eastAsia="Arial" w:hAnsi="Arial"/>
          <w:sz w:val="18"/>
          <w:szCs w:val="18"/>
          <w:color w:val="auto"/>
        </w:rPr>
      </w:pPr>
    </w:p>
    <w:p>
      <w:pPr>
        <w:ind w:left="920" w:right="400" w:firstLine="421"/>
        <w:spacing w:after="0" w:line="259" w:lineRule="auto"/>
        <w:tabs>
          <w:tab w:leader="none" w:pos="1579" w:val="left"/>
        </w:tabs>
        <w:numPr>
          <w:ilvl w:val="1"/>
          <w:numId w:val="265"/>
        </w:numPr>
        <w:rPr>
          <w:rFonts w:ascii="Arial" w:cs="Arial" w:eastAsia="Arial" w:hAnsi="Arial"/>
          <w:sz w:val="18"/>
          <w:szCs w:val="18"/>
          <w:color w:val="auto"/>
        </w:rPr>
      </w:pPr>
      <w:r>
        <w:rPr>
          <w:rFonts w:ascii="Arial" w:cs="Arial" w:eastAsia="Arial" w:hAnsi="Arial"/>
          <w:sz w:val="18"/>
          <w:szCs w:val="18"/>
          <w:color w:val="auto"/>
        </w:rPr>
        <w:t>will have Consolidated Net Worth immediately after the transaction equal to or greater than the Consolidated Net Worth of such Issuer immediately preceding the transaction (excluding the effect of the related professional fees, commissions, sales and other taxes, and other transactional costs that would otherwise reduce Consolidated Net Worth); and</w:t>
      </w:r>
    </w:p>
    <w:p>
      <w:pPr>
        <w:spacing w:after="0" w:line="59" w:lineRule="exact"/>
        <w:rPr>
          <w:rFonts w:ascii="Arial" w:cs="Arial" w:eastAsia="Arial" w:hAnsi="Arial"/>
          <w:sz w:val="18"/>
          <w:szCs w:val="18"/>
          <w:color w:val="auto"/>
        </w:rPr>
      </w:pPr>
    </w:p>
    <w:p>
      <w:pPr>
        <w:ind w:left="920" w:right="80" w:firstLine="421"/>
        <w:spacing w:after="0" w:line="256" w:lineRule="auto"/>
        <w:tabs>
          <w:tab w:leader="none" w:pos="1588" w:val="left"/>
        </w:tabs>
        <w:numPr>
          <w:ilvl w:val="1"/>
          <w:numId w:val="265"/>
        </w:numPr>
        <w:rPr>
          <w:rFonts w:ascii="Arial" w:cs="Arial" w:eastAsia="Arial" w:hAnsi="Arial"/>
          <w:sz w:val="18"/>
          <w:szCs w:val="18"/>
          <w:color w:val="auto"/>
        </w:rPr>
      </w:pPr>
      <w:r>
        <w:rPr>
          <w:rFonts w:ascii="Arial" w:cs="Arial" w:eastAsia="Arial" w:hAnsi="Arial"/>
          <w:sz w:val="18"/>
          <w:szCs w:val="18"/>
          <w:color w:val="auto"/>
        </w:rPr>
        <w:t>will, on the date of such transaction after giving pro forma effect thereto and any related financing transactions as if the same had occurred at the beginning of the applicable four-quarter period, be permitted to incur at least $1.00 of additional Indebtedness pursuant to the Fixed Charge Coverage Ratio test set forth in the first paragraph of the covenant described above under the caption “—Incurrence of Indebtedness and Issuance of Disqualified Stock”; and</w:t>
      </w:r>
    </w:p>
    <w:p>
      <w:pPr>
        <w:spacing w:after="0" w:line="62" w:lineRule="exact"/>
        <w:rPr>
          <w:rFonts w:ascii="Arial" w:cs="Arial" w:eastAsia="Arial" w:hAnsi="Arial"/>
          <w:sz w:val="18"/>
          <w:szCs w:val="18"/>
          <w:color w:val="auto"/>
        </w:rPr>
      </w:pPr>
    </w:p>
    <w:p>
      <w:pPr>
        <w:ind w:left="460" w:firstLine="443"/>
        <w:spacing w:after="0" w:line="306" w:lineRule="auto"/>
        <w:tabs>
          <w:tab w:leader="none" w:pos="1147" w:val="left"/>
        </w:tabs>
        <w:numPr>
          <w:ilvl w:val="0"/>
          <w:numId w:val="265"/>
        </w:numPr>
        <w:rPr>
          <w:rFonts w:ascii="Arial" w:cs="Arial" w:eastAsia="Arial" w:hAnsi="Arial"/>
          <w:sz w:val="16"/>
          <w:szCs w:val="16"/>
          <w:color w:val="auto"/>
        </w:rPr>
      </w:pPr>
      <w:r>
        <w:rPr>
          <w:rFonts w:ascii="Arial" w:cs="Arial" w:eastAsia="Arial" w:hAnsi="Arial"/>
          <w:sz w:val="16"/>
          <w:szCs w:val="16"/>
          <w:color w:val="auto"/>
        </w:rPr>
        <w:t>such transaction, at the time it is undertaken, would not require any holder or beneficial owner of 2020 Notes to obtain a Gaming License or be qualified or found suitable under the law of any applicable gaming jurisdiction; provided that such holder or beneficial owner would not have been required to obtain a Gaming License or be qualified or found suitable under the laws of any applicable gaming jurisdiction in the absence of such transaction.</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no Issuer may, directly or indirectly, lease all or substantially all of its properties or assets, taken as a whole, in one or more related transactions, to any other Person.</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Notwithstanding the foregoing, Wynn Las Vegas or any of its Restricted Subsidiaries that is not a subchapter “C” corporation is permitted to convert into a corporation pursuant to a Permitted C-Corp. Conversion.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Designation of Restricted and Unrestricted Subsidiaries</w:t>
      </w:r>
    </w:p>
    <w:p>
      <w:pPr>
        <w:spacing w:after="0" w:line="9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Board of Directors of Wynn Capital may designate any Restricted Subsidiary, other than Wynn Capital, to be an Unrestricted Subsidiary of Wynn Las Vegas if that designation would not cause a Default or an Event of Default. If a Restricted Subsidiary of Wynn Las Vegas is designated as an Unrestricted Subsidiary, the aggregate Fair Market Value of all outstanding Investments owned by Wynn Las Vegas and its Restricted Subsidiaries in the Subsidiary properly designated will be deemed to be an Investment made in an Unrestricted Subsidiary as of the time of the designation and will reduce the amount available for Restricted Payments under the covenant described above under the caption “—Restricted Payments” or under one or more clauses of the definition of “Permitted Investments,” as determined by Wynn Las Vegas. That designation will only be permitted if the Investment would be permitted at that time and if the Restricted Subsidiary of Wynn Las Vegas otherwise meets the definition of an “Unrestricted Subsidiary.” The Board of Directors of Wynn Capital may redesignate any Unrestricted Subsidiary of Wynn Las Vegas to be a Restricted Subsidiary of Wynn Las Vegas if the redesignation would not cause a Default or an Event of Default.</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Any designation of a Subsidiary of Wynn Las Vegas as an Unrestricted Subsidiary will be evidenced to the trustee by filing with the trustee a certified copy of a resolution of the Board of Directors giving effect to such designation and an officers’ certificate certifying that such designation complied with the preceding conditions and was permitted by the covenant described above under the caption “—Restricted Payments.” If, at any time, any Unrestricted Subsidiary would fail to meet the preceding requirements as an Unrestricted Subsidiary, it will thereafter cease to be an Unrestricted Subsidiary for purposes of the Indenture and any Indebtedness of such Subsidiary will be deemed to be incurred by a Restricted Subsidiary of Wynn Las Vegas as of such date and, if such Indebtedness is not permitted to be incurred as of such date under the covenant described above under the caption “—Incurrence of Indebtedness and Issuance of Disqualified Stock,” Wynn Las Vegas will be in default of such covenant. The Board of Directors of Wynn Capital may at any time redesignate any Unrestricted Subsidiary of Wynn Las Vegas to be a Restricted Subsidiary of Wynn Las Vegas; provided that such designation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420"/>
          </w:cols>
          <w:pgMar w:left="240" w:top="460" w:right="2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will be deemed to be an incurrence of Indebtedness by a Restricted Subsidiary of Wynn Las Vegas of any outstanding Indebtedness of such Unrestricted Subsidiary, and such designation will only be permitted if (1) such Indebtedness is permitted under the covenant described above under the caption “—Incurrence of Indebtedness and Issuance of Disqualified Stock,” calculated on a pro forma basis as if such designation had occurred at the beginning of the four-quarter reference period; and (2) no Default or Event of Default would be in existence following such designation.</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Transactions with Affiliates</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Wynn Las Vegas will not, and will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of Wynn Las Vegas (each, an “Affiliate Transaction”), unless:</w:t>
      </w:r>
    </w:p>
    <w:p>
      <w:pPr>
        <w:spacing w:after="0" w:line="26" w:lineRule="exact"/>
        <w:rPr>
          <w:sz w:val="20"/>
          <w:szCs w:val="20"/>
          <w:color w:val="auto"/>
        </w:rPr>
      </w:pPr>
    </w:p>
    <w:p>
      <w:pPr>
        <w:ind w:left="460" w:right="400" w:firstLine="443"/>
        <w:spacing w:after="0" w:line="268" w:lineRule="auto"/>
        <w:tabs>
          <w:tab w:leader="none" w:pos="1147" w:val="left"/>
        </w:tabs>
        <w:numPr>
          <w:ilvl w:val="0"/>
          <w:numId w:val="266"/>
        </w:numPr>
        <w:rPr>
          <w:rFonts w:ascii="Arial" w:cs="Arial" w:eastAsia="Arial" w:hAnsi="Arial"/>
          <w:sz w:val="18"/>
          <w:szCs w:val="18"/>
          <w:color w:val="auto"/>
        </w:rPr>
      </w:pPr>
      <w:r>
        <w:rPr>
          <w:rFonts w:ascii="Arial" w:cs="Arial" w:eastAsia="Arial" w:hAnsi="Arial"/>
          <w:sz w:val="18"/>
          <w:szCs w:val="18"/>
          <w:color w:val="auto"/>
        </w:rPr>
        <w:t>the Affiliate Transaction is on terms that are no less favorable to Wynn Las Vegas than those that would have been obtained in a comparable transaction by Wynn Las Vegas or such Restricted Subsidiary with an unrelated Person;</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Wynn Las Vegas or the applicable Restricted Subsidiary delivers to the trustee:</w:t>
      </w:r>
    </w:p>
    <w:p>
      <w:pPr>
        <w:spacing w:after="0" w:line="90" w:lineRule="exact"/>
        <w:rPr>
          <w:rFonts w:ascii="Arial" w:cs="Arial" w:eastAsia="Arial" w:hAnsi="Arial"/>
          <w:sz w:val="18"/>
          <w:szCs w:val="18"/>
          <w:color w:val="auto"/>
        </w:rPr>
      </w:pPr>
    </w:p>
    <w:p>
      <w:pPr>
        <w:ind w:left="920" w:right="80" w:firstLine="421"/>
        <w:spacing w:after="0" w:line="298" w:lineRule="auto"/>
        <w:tabs>
          <w:tab w:leader="none" w:pos="1579" w:val="left"/>
        </w:tabs>
        <w:numPr>
          <w:ilvl w:val="1"/>
          <w:numId w:val="266"/>
        </w:numPr>
        <w:rPr>
          <w:rFonts w:ascii="Arial" w:cs="Arial" w:eastAsia="Arial" w:hAnsi="Arial"/>
          <w:sz w:val="16"/>
          <w:szCs w:val="16"/>
          <w:color w:val="auto"/>
        </w:rPr>
      </w:pPr>
      <w:r>
        <w:rPr>
          <w:rFonts w:ascii="Arial" w:cs="Arial" w:eastAsia="Arial" w:hAnsi="Arial"/>
          <w:sz w:val="16"/>
          <w:szCs w:val="16"/>
          <w:color w:val="auto"/>
        </w:rPr>
        <w:t>with respect to any Affiliate Transaction or series of related Affiliate Transactions involving aggregate consideration in excess of $10.0 million, a resolution of the Board of Directors of Wynn Capital set forth in an officers’ certificate certifying that such Affiliate Transaction complies with this covenant and that such Affiliate Transaction has been approved by a majority of the disinterested members of the Board of Directors of Wynn Capital, to the extent that there are any such disinterested members of such Boards of Directors; and</w:t>
      </w:r>
    </w:p>
    <w:p>
      <w:pPr>
        <w:spacing w:after="0" w:line="31" w:lineRule="exact"/>
        <w:rPr>
          <w:rFonts w:ascii="Arial" w:cs="Arial" w:eastAsia="Arial" w:hAnsi="Arial"/>
          <w:sz w:val="16"/>
          <w:szCs w:val="16"/>
          <w:color w:val="auto"/>
        </w:rPr>
      </w:pPr>
    </w:p>
    <w:p>
      <w:pPr>
        <w:ind w:left="920" w:right="200" w:firstLine="421"/>
        <w:spacing w:after="0" w:line="306" w:lineRule="auto"/>
        <w:tabs>
          <w:tab w:leader="none" w:pos="1588" w:val="left"/>
        </w:tabs>
        <w:numPr>
          <w:ilvl w:val="1"/>
          <w:numId w:val="266"/>
        </w:numPr>
        <w:rPr>
          <w:rFonts w:ascii="Arial" w:cs="Arial" w:eastAsia="Arial" w:hAnsi="Arial"/>
          <w:sz w:val="16"/>
          <w:szCs w:val="16"/>
          <w:color w:val="auto"/>
        </w:rPr>
      </w:pPr>
      <w:r>
        <w:rPr>
          <w:rFonts w:ascii="Arial" w:cs="Arial" w:eastAsia="Arial" w:hAnsi="Arial"/>
          <w:sz w:val="16"/>
          <w:szCs w:val="16"/>
          <w:color w:val="auto"/>
        </w:rPr>
        <w:t>with respect to any Affiliate Transaction or series of related Affiliate Transactions involving aggregate consideration in excess of $25.0 million, an opinion as to the fairness to Wynn Las Vegas or such Restricted Subsidiary of such Affiliate Transaction from a financial point of view issued by an accounting, appraisal or investment banking firm of national standing prior to the consummation of such Affiliate Transaction; and</w:t>
      </w:r>
    </w:p>
    <w:p>
      <w:pPr>
        <w:spacing w:after="0" w:line="25" w:lineRule="exact"/>
        <w:rPr>
          <w:rFonts w:ascii="Arial" w:cs="Arial" w:eastAsia="Arial" w:hAnsi="Arial"/>
          <w:sz w:val="16"/>
          <w:szCs w:val="16"/>
          <w:color w:val="auto"/>
        </w:rPr>
      </w:pPr>
    </w:p>
    <w:p>
      <w:pPr>
        <w:ind w:left="460" w:right="180" w:firstLine="443"/>
        <w:spacing w:after="0" w:line="256" w:lineRule="auto"/>
        <w:tabs>
          <w:tab w:leader="none" w:pos="1147" w:val="left"/>
        </w:tabs>
        <w:numPr>
          <w:ilvl w:val="0"/>
          <w:numId w:val="266"/>
        </w:numPr>
        <w:rPr>
          <w:rFonts w:ascii="Arial" w:cs="Arial" w:eastAsia="Arial" w:hAnsi="Arial"/>
          <w:sz w:val="18"/>
          <w:szCs w:val="18"/>
          <w:color w:val="auto"/>
        </w:rPr>
      </w:pPr>
      <w:r>
        <w:rPr>
          <w:rFonts w:ascii="Arial" w:cs="Arial" w:eastAsia="Arial" w:hAnsi="Arial"/>
          <w:sz w:val="18"/>
          <w:szCs w:val="18"/>
          <w:color w:val="auto"/>
        </w:rPr>
        <w:t>in the case of any Affiliate Transaction involving the use of the Aircraft (if such aircraft is owned by Wynn Las Vegas or any Restricted Subsidiary) for any purpose not reasonably related to the Projects or the Permitted Businesses of Wynn Las Vegas or the applicable Restricted Subsidiary relating to or in connection with the Projects, Wynn Las Vegas or the applicable Restricted Subsidiary, as the case may be, is reimbursed promptly for actual costs and expenses incurred by such Person in connection with such use.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items will not be deemed to be Affiliate Transactions and, therefore, will not be subject to the provisions of the prior paragraph:</w:t>
      </w:r>
    </w:p>
    <w:p>
      <w:pPr>
        <w:spacing w:after="0" w:line="113" w:lineRule="exact"/>
        <w:rPr>
          <w:sz w:val="20"/>
          <w:szCs w:val="20"/>
          <w:color w:val="auto"/>
        </w:rPr>
      </w:pPr>
    </w:p>
    <w:p>
      <w:pPr>
        <w:ind w:left="460" w:right="20" w:firstLine="443"/>
        <w:spacing w:after="0" w:line="268" w:lineRule="auto"/>
        <w:tabs>
          <w:tab w:leader="none" w:pos="1147" w:val="left"/>
        </w:tabs>
        <w:numPr>
          <w:ilvl w:val="0"/>
          <w:numId w:val="267"/>
        </w:numPr>
        <w:rPr>
          <w:rFonts w:ascii="Arial" w:cs="Arial" w:eastAsia="Arial" w:hAnsi="Arial"/>
          <w:sz w:val="18"/>
          <w:szCs w:val="18"/>
          <w:color w:val="auto"/>
        </w:rPr>
      </w:pPr>
      <w:r>
        <w:rPr>
          <w:rFonts w:ascii="Arial" w:cs="Arial" w:eastAsia="Arial" w:hAnsi="Arial"/>
          <w:sz w:val="18"/>
          <w:szCs w:val="18"/>
          <w:color w:val="auto"/>
        </w:rPr>
        <w:t>any employment agreement entered into by Wynn Las Vegas or any of its Restricted Subsidiaries with any Person (other than the Principal) in the ordinary course of business;</w:t>
      </w:r>
    </w:p>
    <w:p>
      <w:pPr>
        <w:spacing w:after="0" w:line="50" w:lineRule="exact"/>
        <w:rPr>
          <w:rFonts w:ascii="Arial" w:cs="Arial" w:eastAsia="Arial" w:hAnsi="Arial"/>
          <w:sz w:val="18"/>
          <w:szCs w:val="18"/>
          <w:color w:val="auto"/>
        </w:rPr>
      </w:pPr>
    </w:p>
    <w:p>
      <w:pPr>
        <w:ind w:left="460" w:firstLine="443"/>
        <w:spacing w:after="0" w:line="332" w:lineRule="auto"/>
        <w:tabs>
          <w:tab w:leader="none" w:pos="1147" w:val="left"/>
        </w:tabs>
        <w:numPr>
          <w:ilvl w:val="0"/>
          <w:numId w:val="267"/>
        </w:numPr>
        <w:rPr>
          <w:rFonts w:ascii="Arial" w:cs="Arial" w:eastAsia="Arial" w:hAnsi="Arial"/>
          <w:sz w:val="16"/>
          <w:szCs w:val="16"/>
          <w:color w:val="auto"/>
        </w:rPr>
      </w:pPr>
      <w:r>
        <w:rPr>
          <w:rFonts w:ascii="Arial" w:cs="Arial" w:eastAsia="Arial" w:hAnsi="Arial"/>
          <w:sz w:val="16"/>
          <w:szCs w:val="16"/>
          <w:color w:val="auto"/>
        </w:rPr>
        <w:t>the payment of reasonable directors’/managers’ fees to directors or managers of Wynn Las Vegas, Wynn Capital or any Guarantor, and customary indemnification and insurance arrangements in favor of such directors or managers, in each case in the ordinary course of business;</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transactions between or among Wynn Las Vegas and/or its Restricted Subsidiaries;</w:t>
      </w:r>
    </w:p>
    <w:p>
      <w:pPr>
        <w:spacing w:after="0" w:line="90" w:lineRule="exact"/>
        <w:rPr>
          <w:rFonts w:ascii="Arial" w:cs="Arial" w:eastAsia="Arial" w:hAnsi="Arial"/>
          <w:sz w:val="18"/>
          <w:szCs w:val="18"/>
          <w:color w:val="auto"/>
        </w:rPr>
      </w:pPr>
    </w:p>
    <w:p>
      <w:pPr>
        <w:ind w:left="460" w:right="780" w:firstLine="443"/>
        <w:spacing w:after="0" w:line="268" w:lineRule="auto"/>
        <w:tabs>
          <w:tab w:leader="none" w:pos="1147" w:val="left"/>
        </w:tabs>
        <w:numPr>
          <w:ilvl w:val="0"/>
          <w:numId w:val="267"/>
        </w:numPr>
        <w:rPr>
          <w:rFonts w:ascii="Arial" w:cs="Arial" w:eastAsia="Arial" w:hAnsi="Arial"/>
          <w:sz w:val="18"/>
          <w:szCs w:val="18"/>
          <w:color w:val="auto"/>
        </w:rPr>
      </w:pPr>
      <w:r>
        <w:rPr>
          <w:rFonts w:ascii="Arial" w:cs="Arial" w:eastAsia="Arial" w:hAnsi="Arial"/>
          <w:sz w:val="18"/>
          <w:szCs w:val="18"/>
          <w:color w:val="auto"/>
        </w:rPr>
        <w:t>Restricted Payments that are made in compliance with the provisions of the Indenture described above under the caption “—Restricted Payments”;</w:t>
      </w:r>
    </w:p>
    <w:p>
      <w:pPr>
        <w:spacing w:after="0" w:line="50" w:lineRule="exact"/>
        <w:rPr>
          <w:rFonts w:ascii="Arial" w:cs="Arial" w:eastAsia="Arial" w:hAnsi="Arial"/>
          <w:sz w:val="18"/>
          <w:szCs w:val="18"/>
          <w:color w:val="auto"/>
        </w:rPr>
      </w:pPr>
    </w:p>
    <w:p>
      <w:pPr>
        <w:ind w:left="460" w:right="60" w:firstLine="443"/>
        <w:spacing w:after="0" w:line="259" w:lineRule="auto"/>
        <w:tabs>
          <w:tab w:leader="none" w:pos="1147" w:val="left"/>
        </w:tabs>
        <w:numPr>
          <w:ilvl w:val="0"/>
          <w:numId w:val="267"/>
        </w:numPr>
        <w:rPr>
          <w:rFonts w:ascii="Arial" w:cs="Arial" w:eastAsia="Arial" w:hAnsi="Arial"/>
          <w:sz w:val="18"/>
          <w:szCs w:val="18"/>
          <w:color w:val="auto"/>
        </w:rPr>
      </w:pPr>
      <w:r>
        <w:rPr>
          <w:rFonts w:ascii="Arial" w:cs="Arial" w:eastAsia="Arial" w:hAnsi="Arial"/>
          <w:sz w:val="18"/>
          <w:szCs w:val="18"/>
          <w:color w:val="auto"/>
        </w:rPr>
        <w:t>leases by Wynn Las Vegas to one or more of its Affiliates of space at the Wynn Las Vegas Resort, at market rental rates, for the development and operation of a Ferrari and Maserati automobile dealership pursuant to the Dealership Lease Agreement, to the extent permitted under the Collateral Documents;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400"/>
          </w:cols>
          <w:pgMar w:left="240" w:top="459" w:right="2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firstLine="438"/>
        <w:spacing w:after="0" w:line="256" w:lineRule="auto"/>
        <w:rPr>
          <w:sz w:val="20"/>
          <w:szCs w:val="20"/>
          <w:color w:val="auto"/>
        </w:rPr>
      </w:pPr>
      <w:r>
        <w:rPr>
          <w:rFonts w:ascii="Arial" w:cs="Arial" w:eastAsia="Arial" w:hAnsi="Arial"/>
          <w:sz w:val="18"/>
          <w:szCs w:val="18"/>
          <w:color w:val="auto"/>
        </w:rPr>
        <w:t>(6)(i) the payment of Allocable Overhead to Wynn Resorts in respect of each Qualifying Project of Wynn Las Vegas and its Restricted Subsidiaries and (ii) other payments made pursuant to the Affiliate Agreements, in each case, as in effect on the date of the Indenture or as such Affiliate Agreements may be amended, modified or supplemented in any manner that is not in contravention of the covenant described below under the caption “—Amendments to Certain Agreements”;</w:t>
      </w:r>
    </w:p>
    <w:p>
      <w:pPr>
        <w:spacing w:after="0" w:line="62" w:lineRule="exact"/>
        <w:rPr>
          <w:sz w:val="20"/>
          <w:szCs w:val="20"/>
          <w:color w:val="auto"/>
        </w:rPr>
      </w:pPr>
    </w:p>
    <w:p>
      <w:pPr>
        <w:ind w:left="1160" w:hanging="257"/>
        <w:spacing w:after="0"/>
        <w:tabs>
          <w:tab w:leader="none" w:pos="116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any Permitted Investment made pursuant to clause (12), (13) or (14) of the definition thereof; and</w:t>
      </w:r>
    </w:p>
    <w:p>
      <w:pPr>
        <w:spacing w:after="0" w:line="90" w:lineRule="exact"/>
        <w:rPr>
          <w:rFonts w:ascii="Arial" w:cs="Arial" w:eastAsia="Arial" w:hAnsi="Arial"/>
          <w:sz w:val="18"/>
          <w:szCs w:val="18"/>
          <w:color w:val="auto"/>
        </w:rPr>
      </w:pPr>
    </w:p>
    <w:p>
      <w:pPr>
        <w:ind w:left="460" w:right="480" w:firstLine="443"/>
        <w:spacing w:after="0" w:line="268" w:lineRule="auto"/>
        <w:tabs>
          <w:tab w:leader="none" w:pos="1147"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the issuance by Wynn Las Vegas of any Equity Interests (other than Disqualified Stock) to any Affiliate if such issuance is otherwise not in contravention of the terms of the Indenture.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Additional Note Guarantees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If Wynn Las Vegas or any of its Restricted Subsidiaries acquires or creates another Domestic Subsidiary after the date of the Indenture, then that newly acquired or created Domestic Subsidiary will become a Guarantor and execute a supplemental indenture within 10 business days of the date on which it was acquired or created; provided that any Domestic Subsidiary that constitutes an Immaterial Subsidiary need not become a Guarantor until such time as it ceases to be an Immaterial Subsidiary.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Limitation on Status as Investment Company</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Issuers and Guarantors will not be or become required to register as an “investment company” (as that term is defined in the Investment Company Act of 1940, as amended), or otherwise become subject to regulation under the Investment Company Act of 1940.</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Limitation on Sale and Leaseback Transactions</w:t>
      </w:r>
    </w:p>
    <w:p>
      <w:pPr>
        <w:spacing w:after="0" w:line="9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Wynn Las Vegas will not, and will not permit any of its Restricted Subsidiaries to, enter into any sale and leaseback transaction (except with respect to the Aircraft Assets so long as, and to the extent that, such Aircraft Assets are not Collateral); provided that Wynn Las Vegas or any Restricted Subsidiary may enter into a sale and leaseback transaction if:</w:t>
      </w:r>
    </w:p>
    <w:p>
      <w:pPr>
        <w:spacing w:after="0" w:line="59" w:lineRule="exact"/>
        <w:rPr>
          <w:sz w:val="20"/>
          <w:szCs w:val="20"/>
          <w:color w:val="auto"/>
        </w:rPr>
      </w:pPr>
    </w:p>
    <w:p>
      <w:pPr>
        <w:ind w:left="460" w:right="140" w:firstLine="443"/>
        <w:spacing w:after="0" w:line="298" w:lineRule="auto"/>
        <w:tabs>
          <w:tab w:leader="none" w:pos="1147" w:val="left"/>
        </w:tabs>
        <w:numPr>
          <w:ilvl w:val="0"/>
          <w:numId w:val="269"/>
        </w:numPr>
        <w:rPr>
          <w:rFonts w:ascii="Arial" w:cs="Arial" w:eastAsia="Arial" w:hAnsi="Arial"/>
          <w:sz w:val="16"/>
          <w:szCs w:val="16"/>
          <w:color w:val="auto"/>
        </w:rPr>
      </w:pPr>
      <w:r>
        <w:rPr>
          <w:rFonts w:ascii="Arial" w:cs="Arial" w:eastAsia="Arial" w:hAnsi="Arial"/>
          <w:sz w:val="16"/>
          <w:szCs w:val="16"/>
          <w:color w:val="auto"/>
        </w:rPr>
        <w:t>Wynn Las Vegas or that Restricted Subsidiary, as applicable, could have (a) incurred Indebtedness in an amount equal to the Attributable Debt relating to such sale and leaseback transaction under the Fixed Charge Coverage Ratio test set forth in the first paragraph of the covenant described above under the caption “—Incurrence of Indebtedness and Issuance of Disqualified Stock” and (b) incurred a Lien to secure such Indebtedness in an amount equal to the Attributable Debt pursuant to the covenant described above under the caption “—Liens;”</w:t>
      </w:r>
    </w:p>
    <w:p>
      <w:pPr>
        <w:spacing w:after="0" w:line="31"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gross cash proceeds of that sale and leaseback transaction are at least equal to the Fair Market Value, as determined in good faith by the Board of Directors of Wynn Capital or that Restricted Subsidiary, as the case may be, and set forth in an officers’ certificate delivered to the trustee, of the property that is the subject of that sale and leaseback transaction; and</w:t>
      </w:r>
    </w:p>
    <w:p>
      <w:pPr>
        <w:spacing w:after="0" w:line="59" w:lineRule="exact"/>
        <w:rPr>
          <w:rFonts w:ascii="Arial" w:cs="Arial" w:eastAsia="Arial" w:hAnsi="Arial"/>
          <w:sz w:val="18"/>
          <w:szCs w:val="18"/>
          <w:color w:val="auto"/>
        </w:rPr>
      </w:pPr>
    </w:p>
    <w:p>
      <w:pPr>
        <w:ind w:left="460" w:right="160" w:firstLine="443"/>
        <w:spacing w:after="0" w:line="370" w:lineRule="auto"/>
        <w:tabs>
          <w:tab w:leader="none" w:pos="1147" w:val="left"/>
        </w:tabs>
        <w:numPr>
          <w:ilvl w:val="0"/>
          <w:numId w:val="269"/>
        </w:numPr>
        <w:rPr>
          <w:rFonts w:ascii="Arial" w:cs="Arial" w:eastAsia="Arial" w:hAnsi="Arial"/>
          <w:sz w:val="15"/>
          <w:szCs w:val="15"/>
          <w:color w:val="auto"/>
        </w:rPr>
      </w:pPr>
      <w:r>
        <w:rPr>
          <w:rFonts w:ascii="Arial" w:cs="Arial" w:eastAsia="Arial" w:hAnsi="Arial"/>
          <w:sz w:val="15"/>
          <w:szCs w:val="15"/>
          <w:color w:val="auto"/>
        </w:rPr>
        <w:t>the transfer of assets in that sale and leaseback transaction is permitted by, and Wynn Las Vegas or such Restricted Subsidiary applies the proceeds of such transaction in compliance with, the covenant described above under the caption “—Repurchase at the Option of Holders—Asset Sales.”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Line of Business</w:t>
      </w:r>
    </w:p>
    <w:p>
      <w:pPr>
        <w:spacing w:after="0" w:line="9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Wynn Las Vegas will not, and will not permit any of its Restricted Subsidiaries to, engage in any business or investment activities other than the Permitted Business. Wynn Las Vegas will not, and will not permit any of its Subsidiaries to, conduct a Permitted Business in any gaming jurisdiction in which such entity is not licensed on the date of the Indenture if the holders of the 2020 Notes would be required to be licensed as a result thereof,</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400"/>
          </w:cols>
          <w:pgMar w:left="240" w:top="460" w:right="25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except that this sentence will not prohibit any entity from conducting a Permitted Business in any jurisdiction that does not require the licensing or qualification of all the holders of 2020 Notes, but reserves the discretionary right to require the licensing or qualification of any holders of 2020 Notes.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Restrictions on Payments of Management Fees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Las Vegas will not, and will not permit any of its Restricted Subsidiaries to, directly or indirectly:</w:t>
      </w:r>
    </w:p>
    <w:p>
      <w:pPr>
        <w:spacing w:after="0" w:line="90" w:lineRule="exact"/>
        <w:rPr>
          <w:sz w:val="20"/>
          <w:szCs w:val="20"/>
          <w:color w:val="auto"/>
        </w:rPr>
      </w:pPr>
    </w:p>
    <w:p>
      <w:pPr>
        <w:ind w:left="1160" w:hanging="257"/>
        <w:spacing w:after="0"/>
        <w:tabs>
          <w:tab w:leader="none" w:pos="116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pay Management Fees:</w:t>
      </w:r>
    </w:p>
    <w:p>
      <w:pPr>
        <w:spacing w:after="0" w:line="90" w:lineRule="exact"/>
        <w:rPr>
          <w:rFonts w:ascii="Arial" w:cs="Arial" w:eastAsia="Arial" w:hAnsi="Arial"/>
          <w:sz w:val="18"/>
          <w:szCs w:val="18"/>
          <w:color w:val="auto"/>
        </w:rPr>
      </w:pPr>
    </w:p>
    <w:p>
      <w:pPr>
        <w:ind w:left="920" w:right="60" w:firstLine="421"/>
        <w:spacing w:after="0" w:line="298" w:lineRule="auto"/>
        <w:tabs>
          <w:tab w:leader="none" w:pos="1579" w:val="left"/>
        </w:tabs>
        <w:numPr>
          <w:ilvl w:val="1"/>
          <w:numId w:val="270"/>
        </w:numPr>
        <w:rPr>
          <w:rFonts w:ascii="Arial" w:cs="Arial" w:eastAsia="Arial" w:hAnsi="Arial"/>
          <w:sz w:val="16"/>
          <w:szCs w:val="16"/>
          <w:color w:val="auto"/>
        </w:rPr>
      </w:pPr>
      <w:r>
        <w:rPr>
          <w:rFonts w:ascii="Arial" w:cs="Arial" w:eastAsia="Arial" w:hAnsi="Arial"/>
          <w:sz w:val="16"/>
          <w:szCs w:val="16"/>
          <w:color w:val="auto"/>
        </w:rPr>
        <w:t>to the extent such payment would cause the Consolidated Leverage Ratio of the Issuers and the Restricted Subsidiaries for the most recently ended four full fiscal quarters of Wynn Las Vegas for which internal financial statements are available immediately preceding the date on which such Management Fee is proposed to be paid to be greater than 6.5 to 1.0 (calculated on a pro forma basis, giving effect to the payment of the Management Fees proposed to be paid and any Indebtedness proposed to be incurred to finance the payment of such Management Fees); or</w:t>
      </w:r>
    </w:p>
    <w:p>
      <w:pPr>
        <w:spacing w:after="0" w:line="31" w:lineRule="exact"/>
        <w:rPr>
          <w:rFonts w:ascii="Arial" w:cs="Arial" w:eastAsia="Arial" w:hAnsi="Arial"/>
          <w:sz w:val="16"/>
          <w:szCs w:val="16"/>
          <w:color w:val="auto"/>
        </w:rPr>
      </w:pPr>
    </w:p>
    <w:p>
      <w:pPr>
        <w:ind w:left="920" w:right="300" w:firstLine="421"/>
        <w:spacing w:after="0" w:line="268" w:lineRule="auto"/>
        <w:tabs>
          <w:tab w:leader="none" w:pos="1588" w:val="left"/>
        </w:tabs>
        <w:numPr>
          <w:ilvl w:val="1"/>
          <w:numId w:val="270"/>
        </w:numPr>
        <w:rPr>
          <w:rFonts w:ascii="Arial" w:cs="Arial" w:eastAsia="Arial" w:hAnsi="Arial"/>
          <w:sz w:val="18"/>
          <w:szCs w:val="18"/>
          <w:color w:val="auto"/>
        </w:rPr>
      </w:pPr>
      <w:r>
        <w:rPr>
          <w:rFonts w:ascii="Arial" w:cs="Arial" w:eastAsia="Arial" w:hAnsi="Arial"/>
          <w:sz w:val="18"/>
          <w:szCs w:val="18"/>
          <w:color w:val="auto"/>
        </w:rPr>
        <w:t>if, at the time of payment of such Management Fees, a Default or an Event of Default has occurred and is continuing or shall occur as a result thereof; or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prepay any Management Fees.</w:t>
      </w:r>
    </w:p>
    <w:p>
      <w:pPr>
        <w:spacing w:after="0" w:line="17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Any Management Fees not permitted to be paid during a particular 12-month period pursuant to this covenant shall be deferred and shall accrue. Such accrued and unpaid Management Fees may be paid in any subsequent 12-month period to the extent such payment would be permitted under this covenant and the Management Fees Subordination Agreement.</w:t>
      </w:r>
    </w:p>
    <w:p>
      <w:pPr>
        <w:spacing w:after="0" w:line="14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Under the Management Fees Subordination Agreement, the right to receive payment of the Management Fees will be subordinated in right of payment to the right of the holders of 2020 Notes to receive payments pursuant to the 2020 Notes and the Guarantees. Under this agreement, Management Fees will be payable semi-annually in arrears on the tenth business day following the date on which interest payments are payable on the 2020 Notes. Management Fees may be paid only if, among other things, the interest payable on the 2020 Notes through the applicable interest payment date and the interest payable on the loans under the Credit Agreement through such interest payment date has been paid in full.</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Limitation on Issuances and Sales of Equity Interests in Wholly Owned Restricted Subsidiaries</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Wynn Las Vegas will not, and will not permit any of its Restricted Subsidiaries to, transfer, convey, sell, lease or otherwise dispose of any Equity Interests in any Wholly Owned Restricted Subsidiary of Wynn Las Vegas to any Person (other than Wynn Las Vegas or a Wholly Owned Restricted Subsidiary of Wynn Las Vegas that is a Guarantor), unless:</w:t>
      </w:r>
    </w:p>
    <w:p>
      <w:pPr>
        <w:spacing w:after="0" w:line="59" w:lineRule="exact"/>
        <w:rPr>
          <w:sz w:val="20"/>
          <w:szCs w:val="20"/>
          <w:color w:val="auto"/>
        </w:rPr>
      </w:pPr>
    </w:p>
    <w:p>
      <w:pPr>
        <w:ind w:left="1160" w:hanging="257"/>
        <w:spacing w:after="0"/>
        <w:tabs>
          <w:tab w:leader="none" w:pos="1160" w:val="left"/>
        </w:tabs>
        <w:numPr>
          <w:ilvl w:val="0"/>
          <w:numId w:val="271"/>
        </w:numPr>
        <w:rPr>
          <w:rFonts w:ascii="Arial" w:cs="Arial" w:eastAsia="Arial" w:hAnsi="Arial"/>
          <w:sz w:val="16"/>
          <w:szCs w:val="16"/>
          <w:color w:val="auto"/>
        </w:rPr>
      </w:pPr>
      <w:r>
        <w:rPr>
          <w:rFonts w:ascii="Arial" w:cs="Arial" w:eastAsia="Arial" w:hAnsi="Arial"/>
          <w:sz w:val="16"/>
          <w:szCs w:val="16"/>
          <w:color w:val="auto"/>
        </w:rPr>
        <w:t>such transfer, conveyance, sale, lease or other disposition is of all the Equity Interests in such Wholly Owned Restricted Subsidiary; and</w:t>
      </w:r>
    </w:p>
    <w:p>
      <w:pPr>
        <w:spacing w:after="0" w:line="113" w:lineRule="exact"/>
        <w:rPr>
          <w:rFonts w:ascii="Arial" w:cs="Arial" w:eastAsia="Arial" w:hAnsi="Arial"/>
          <w:sz w:val="16"/>
          <w:szCs w:val="16"/>
          <w:color w:val="auto"/>
        </w:rPr>
      </w:pPr>
    </w:p>
    <w:p>
      <w:pPr>
        <w:ind w:left="460" w:right="300" w:firstLine="443"/>
        <w:spacing w:after="0" w:line="268" w:lineRule="auto"/>
        <w:tabs>
          <w:tab w:leader="none" w:pos="1147"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the Net Proceeds from such transfer, conveyance, sale, lease or other disposition are applied in accordance with the covenant described above under the caption “—Repurchase at the Option of Holders—Asset Sales.”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Wynn Las Vegas will not permit any Wholly Owned Restricted Subsidiary of Wynn Las Vegas to issue any of its Equity Interests (other than, if necessary, shares of its Capital Stock constituting directors’ qualifying shares) to any Person other than to Wynn Las Vegas or a Wholly Owned Restricted Subsidiary of Wynn Las Vegas that is a Guarantor.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400"/>
          </w:cols>
          <w:pgMar w:left="240" w:top="459" w:right="2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Amendments to Certain Agreements</w:t>
      </w:r>
    </w:p>
    <w:p>
      <w:pPr>
        <w:spacing w:after="0" w:line="90" w:lineRule="exact"/>
        <w:rPr>
          <w:sz w:val="20"/>
          <w:szCs w:val="20"/>
          <w:color w:val="auto"/>
        </w:rPr>
      </w:pPr>
    </w:p>
    <w:p>
      <w:pPr>
        <w:jc w:val="both"/>
        <w:ind w:right="180" w:firstLine="456"/>
        <w:spacing w:after="0" w:line="298" w:lineRule="auto"/>
        <w:rPr>
          <w:sz w:val="20"/>
          <w:szCs w:val="20"/>
          <w:color w:val="auto"/>
        </w:rPr>
      </w:pPr>
      <w:r>
        <w:rPr>
          <w:rFonts w:ascii="Arial" w:cs="Arial" w:eastAsia="Arial" w:hAnsi="Arial"/>
          <w:sz w:val="16"/>
          <w:szCs w:val="16"/>
          <w:color w:val="auto"/>
        </w:rPr>
        <w:t>Wynn Las Vegas will not, and will not permit any of its Restricted Subsidiaries to, amend, modify, waive or otherwise change, or consent or agree to any amendment, modification, waiver or other change to, or otherwise fail to enforce, or terminate or abandon, any of the provisions of any Affiliate Agreement if such amendment, modification, waiver or other change, failure to enforce, termination or abandonment (individually or collectively with all such amendments, modifications, waivers and other changes, failures to enforce, terminations or abandonments taken as a whole) would:</w:t>
      </w:r>
    </w:p>
    <w:p>
      <w:pPr>
        <w:spacing w:after="0" w:line="32" w:lineRule="exact"/>
        <w:rPr>
          <w:sz w:val="20"/>
          <w:szCs w:val="20"/>
          <w:color w:val="auto"/>
        </w:rPr>
      </w:pPr>
    </w:p>
    <w:p>
      <w:pPr>
        <w:ind w:left="460" w:right="140" w:firstLine="443"/>
        <w:spacing w:after="0" w:line="268" w:lineRule="auto"/>
        <w:tabs>
          <w:tab w:leader="none" w:pos="1147" w:val="left"/>
        </w:tabs>
        <w:numPr>
          <w:ilvl w:val="0"/>
          <w:numId w:val="272"/>
        </w:numPr>
        <w:rPr>
          <w:rFonts w:ascii="Arial" w:cs="Arial" w:eastAsia="Arial" w:hAnsi="Arial"/>
          <w:sz w:val="18"/>
          <w:szCs w:val="18"/>
          <w:color w:val="auto"/>
        </w:rPr>
      </w:pPr>
      <w:r>
        <w:rPr>
          <w:rFonts w:ascii="Arial" w:cs="Arial" w:eastAsia="Arial" w:hAnsi="Arial"/>
          <w:sz w:val="18"/>
          <w:szCs w:val="18"/>
          <w:color w:val="auto"/>
        </w:rPr>
        <w:t>increase the amounts payable to Persons other than Wynn Las Vegas and its Restricted Subsidiaries thereunder by Wynn Las Vegas or any of its Restricted Subsidiaries,</w:t>
      </w:r>
    </w:p>
    <w:p>
      <w:pPr>
        <w:spacing w:after="0" w:line="50" w:lineRule="exact"/>
        <w:rPr>
          <w:rFonts w:ascii="Arial" w:cs="Arial" w:eastAsia="Arial" w:hAnsi="Arial"/>
          <w:sz w:val="18"/>
          <w:szCs w:val="18"/>
          <w:color w:val="auto"/>
        </w:rPr>
      </w:pPr>
    </w:p>
    <w:p>
      <w:pPr>
        <w:ind w:left="460" w:right="480" w:firstLine="443"/>
        <w:spacing w:after="0" w:line="268" w:lineRule="auto"/>
        <w:tabs>
          <w:tab w:leader="none" w:pos="1147" w:val="left"/>
        </w:tabs>
        <w:numPr>
          <w:ilvl w:val="0"/>
          <w:numId w:val="272"/>
        </w:numPr>
        <w:rPr>
          <w:rFonts w:ascii="Arial" w:cs="Arial" w:eastAsia="Arial" w:hAnsi="Arial"/>
          <w:sz w:val="18"/>
          <w:szCs w:val="18"/>
          <w:color w:val="auto"/>
        </w:rPr>
      </w:pPr>
      <w:r>
        <w:rPr>
          <w:rFonts w:ascii="Arial" w:cs="Arial" w:eastAsia="Arial" w:hAnsi="Arial"/>
          <w:sz w:val="18"/>
          <w:szCs w:val="18"/>
          <w:color w:val="auto"/>
        </w:rPr>
        <w:t>change the dates on which such amounts are to be paid to dates earlier than those set forth in such agreement, as in effect on the date of the Indenture,</w:t>
      </w:r>
    </w:p>
    <w:p>
      <w:pPr>
        <w:spacing w:after="0" w:line="50"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272"/>
        </w:numPr>
        <w:rPr>
          <w:rFonts w:ascii="Arial" w:cs="Arial" w:eastAsia="Arial" w:hAnsi="Arial"/>
          <w:sz w:val="18"/>
          <w:szCs w:val="18"/>
          <w:color w:val="auto"/>
        </w:rPr>
      </w:pPr>
      <w:r>
        <w:rPr>
          <w:rFonts w:ascii="Arial" w:cs="Arial" w:eastAsia="Arial" w:hAnsi="Arial"/>
          <w:sz w:val="18"/>
          <w:szCs w:val="18"/>
          <w:color w:val="auto"/>
        </w:rPr>
        <w:t>reduce the services provided thereunder to Wynn Las Vegas or any of its Restricted Subsidiaries unless accompanied by a corresponding decrease in the amounts payable by Wynn Las Vegas or any of its Restricted Subsidiaries thereunder,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materially impair the rights or remedies of the holders of the 2020 Notes under the Indenture or the Collateral Documents,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materially impair the development, use or operation of the Projects.</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Any other amendment, modification, waiver or other change to, or any failure to enforce, or termination or abandonment of the provisions of any Affiliate Agreement shall be made in accordance with the requirements of the first paragraph of the covenant described above under the caption “—Transactions with Affiliates.”</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Notwithstanding the foregoing, in connection with any development, improvement or construction of the Golf Course Land as provided in clause (6) of the second paragraph of the covenant described above under the caption “—Limitation on Development of Golf Course Land,” or any release of all or any portion of the Golf Course Land as provided above under the captions “—Security—Release of Collateral,” “—Security—Release of Golf Course Land,” “—Security— Release of Homesite Acreage” or “—Release of Portions of the Golf Course Land,” Wynn Las Vegas and its Restricted Subsidiaries may terminate or amend the Golf Course Lease, the Access Easement Agreement or any other agreement with respect to the Golf Course Land or any other related assets or property.</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Amendments to Operating Agreements and Charter Documents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Except in connection with a Permitted C-Corp. Conversion, Wynn Las Vegas will not, and will not permit any of its Restricted Subsidiaries to:</w:t>
      </w:r>
    </w:p>
    <w:p>
      <w:pPr>
        <w:spacing w:after="0" w:line="113" w:lineRule="exact"/>
        <w:rPr>
          <w:sz w:val="20"/>
          <w:szCs w:val="20"/>
          <w:color w:val="auto"/>
        </w:rPr>
      </w:pPr>
    </w:p>
    <w:p>
      <w:pPr>
        <w:ind w:left="1160" w:hanging="257"/>
        <w:spacing w:after="0"/>
        <w:tabs>
          <w:tab w:leader="none" w:pos="116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dissolve,</w:t>
      </w:r>
    </w:p>
    <w:p>
      <w:pPr>
        <w:spacing w:after="0" w:line="90" w:lineRule="exact"/>
        <w:rPr>
          <w:rFonts w:ascii="Arial" w:cs="Arial" w:eastAsia="Arial" w:hAnsi="Arial"/>
          <w:sz w:val="18"/>
          <w:szCs w:val="18"/>
          <w:color w:val="auto"/>
        </w:rPr>
      </w:pPr>
    </w:p>
    <w:p>
      <w:pPr>
        <w:ind w:left="460" w:right="180" w:firstLine="443"/>
        <w:spacing w:after="0" w:line="298" w:lineRule="auto"/>
        <w:tabs>
          <w:tab w:leader="none" w:pos="1147" w:val="left"/>
        </w:tabs>
        <w:numPr>
          <w:ilvl w:val="0"/>
          <w:numId w:val="273"/>
        </w:numPr>
        <w:rPr>
          <w:rFonts w:ascii="Arial" w:cs="Arial" w:eastAsia="Arial" w:hAnsi="Arial"/>
          <w:sz w:val="16"/>
          <w:szCs w:val="16"/>
          <w:color w:val="auto"/>
        </w:rPr>
      </w:pPr>
      <w:r>
        <w:rPr>
          <w:rFonts w:ascii="Arial" w:cs="Arial" w:eastAsia="Arial" w:hAnsi="Arial"/>
          <w:sz w:val="16"/>
          <w:szCs w:val="16"/>
          <w:color w:val="auto"/>
        </w:rPr>
        <w:t>with respect to any entity that is a limited liability company, amend, modify or otherwise change, its operating agreement or other charter documents, or otherwise permit any such agreement or document, to provide that the death, retirement, resignation, expulsion, bankruptcy, dissolution or dissociation of a member of that limited liability company or any other event affecting a member of that limited liability company either terminates the status of that Person as a member of the limited liability company or causes the limited liability company to be dissolved or its affairs wound up, or</w:t>
      </w:r>
    </w:p>
    <w:p>
      <w:pPr>
        <w:spacing w:after="0" w:line="31" w:lineRule="exact"/>
        <w:rPr>
          <w:rFonts w:ascii="Arial" w:cs="Arial" w:eastAsia="Arial" w:hAnsi="Arial"/>
          <w:sz w:val="16"/>
          <w:szCs w:val="16"/>
          <w:color w:val="auto"/>
        </w:rPr>
      </w:pPr>
    </w:p>
    <w:p>
      <w:pPr>
        <w:ind w:left="460" w:right="100" w:firstLine="443"/>
        <w:spacing w:after="0" w:line="259" w:lineRule="auto"/>
        <w:tabs>
          <w:tab w:leader="none" w:pos="1147" w:val="left"/>
        </w:tabs>
        <w:numPr>
          <w:ilvl w:val="0"/>
          <w:numId w:val="273"/>
        </w:numPr>
        <w:rPr>
          <w:rFonts w:ascii="Arial" w:cs="Arial" w:eastAsia="Arial" w:hAnsi="Arial"/>
          <w:sz w:val="18"/>
          <w:szCs w:val="18"/>
          <w:color w:val="auto"/>
        </w:rPr>
      </w:pPr>
      <w:r>
        <w:rPr>
          <w:rFonts w:ascii="Arial" w:cs="Arial" w:eastAsia="Arial" w:hAnsi="Arial"/>
          <w:sz w:val="18"/>
          <w:szCs w:val="18"/>
          <w:color w:val="auto"/>
        </w:rPr>
        <w:t>amend, modify or otherwise change the separateness covenants and company restrictions in its operating agreement relating to conduct, or any comparable provisions contained in its other charter documents, or fail to include similar provisions in the operating agreement or other applicable charter documents of any future Restricted Subsidiary.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380"/>
          </w:cols>
          <w:pgMar w:left="240" w:top="460" w:right="27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Insurance</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Wynn Las Vegas will, and will cause its Restricted Subsidiaries to, maintain insurance with reputable and financially sound carriers against such risks and in such amounts as are customarily carried by similarly situated businesses, including, without limitation, property and casualty insurance, so long as such insurance coverage (including deductibles, retentions and self-insurance amounts) at all times complies with the insurance coverage required under the Disbursement Agreement.</w:t>
      </w:r>
    </w:p>
    <w:p>
      <w:pPr>
        <w:spacing w:after="0" w:line="143" w:lineRule="exact"/>
        <w:rPr>
          <w:sz w:val="20"/>
          <w:szCs w:val="20"/>
          <w:color w:val="auto"/>
        </w:rPr>
      </w:pPr>
    </w:p>
    <w:p>
      <w:pPr>
        <w:ind w:left="240" w:right="680"/>
        <w:spacing w:after="0" w:line="268" w:lineRule="auto"/>
        <w:rPr>
          <w:sz w:val="20"/>
          <w:szCs w:val="20"/>
          <w:color w:val="auto"/>
        </w:rPr>
      </w:pPr>
      <w:r>
        <w:rPr>
          <w:rFonts w:ascii="Arial" w:cs="Arial" w:eastAsia="Arial" w:hAnsi="Arial"/>
          <w:sz w:val="18"/>
          <w:szCs w:val="18"/>
          <w:b w:val="1"/>
          <w:bCs w:val="1"/>
          <w:i w:val="1"/>
          <w:iCs w:val="1"/>
          <w:color w:val="auto"/>
        </w:rPr>
        <w:t>Additional Collateral; Formation or Acquisition of Restricted Subsidiaries; Designation of Unrestricted Subsidiaries as Restricted Subsidiaries or Permitted C-Corp. Conversion</w:t>
      </w:r>
    </w:p>
    <w:p>
      <w:pPr>
        <w:spacing w:after="0" w:line="5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Concurrently with (1) the formation or acquisition of any Restricted Subsidiary of Wynn Las Vegas that becomes or is required under the Credit Agreement to become a Guarantor of any of the obligations under the Credit Agreement, (2) the designation of an Unrestricted Subsidiary of Wynn Las Vegas as a Restricted Subsidiary, or (3) the conversion by Wynn Las Vegas or any of its Restricted Subsidiaries into a subchapter “C” corporation in a Permitted C-Corp. Conversion, Wynn Las Vegas shall, to the extent not prohibited by Gaming Authorities or applicable Gaming Laws and subject to the Intercreditor Agreement:</w:t>
      </w:r>
    </w:p>
    <w:p>
      <w:pPr>
        <w:spacing w:after="0" w:line="32" w:lineRule="exact"/>
        <w:rPr>
          <w:sz w:val="20"/>
          <w:szCs w:val="20"/>
          <w:color w:val="auto"/>
        </w:rPr>
      </w:pPr>
    </w:p>
    <w:p>
      <w:pPr>
        <w:ind w:left="1500" w:firstLine="397"/>
        <w:spacing w:after="0" w:line="259" w:lineRule="auto"/>
        <w:rPr>
          <w:sz w:val="20"/>
          <w:szCs w:val="20"/>
          <w:color w:val="auto"/>
        </w:rPr>
      </w:pPr>
      <w:r>
        <w:rPr>
          <w:rFonts w:ascii="Arial" w:cs="Arial" w:eastAsia="Arial" w:hAnsi="Arial"/>
          <w:sz w:val="18"/>
          <w:szCs w:val="18"/>
          <w:color w:val="auto"/>
        </w:rPr>
        <w:t>(1)(a) cause such Restricted Subsidiary or subchapter “C” corporation (if such subchapter “C” corporation is not an Issuer) to guarantee all obligations of the Issuers under the Indenture and the 2020 Notes by executing and delivering to the trustee a supplemental indenture in the form of an exhibit to the Indenture; or</w:t>
      </w:r>
    </w:p>
    <w:p>
      <w:pPr>
        <w:spacing w:after="0" w:line="59" w:lineRule="exact"/>
        <w:rPr>
          <w:sz w:val="20"/>
          <w:szCs w:val="20"/>
          <w:color w:val="auto"/>
        </w:rPr>
      </w:pPr>
    </w:p>
    <w:p>
      <w:pPr>
        <w:ind w:left="1500" w:right="20" w:firstLine="389"/>
        <w:spacing w:after="0" w:line="291" w:lineRule="auto"/>
        <w:tabs>
          <w:tab w:leader="none" w:pos="2146" w:val="left"/>
        </w:tabs>
        <w:numPr>
          <w:ilvl w:val="2"/>
          <w:numId w:val="274"/>
        </w:numPr>
        <w:rPr>
          <w:rFonts w:ascii="Arial" w:cs="Arial" w:eastAsia="Arial" w:hAnsi="Arial"/>
          <w:sz w:val="16"/>
          <w:szCs w:val="16"/>
          <w:color w:val="auto"/>
        </w:rPr>
      </w:pPr>
      <w:r>
        <w:rPr>
          <w:rFonts w:ascii="Arial" w:cs="Arial" w:eastAsia="Arial" w:hAnsi="Arial"/>
          <w:sz w:val="16"/>
          <w:szCs w:val="16"/>
          <w:color w:val="auto"/>
        </w:rPr>
        <w:t>if such subchapter “C” corporation is an Issuer, cause such subchapter “C” corporation to execute and deliver to the trustee (i) a supplemental indenture substantially in the form of an exhibit to the Indenture, (ii) an assumption agreement unconditionally and irrevocably assuming all of the right, title and interest of the Issuer that was so reorganized as a subchapter “C” corporation in, to and under the Indenture and the 2020 Notes, and (iii) replacement notes for the 2020 Notes previously issued by the Issuer that was so reorganized as a subchapter “C” corporation to be issued to the holders upon request and the concurrent return by such holders of the 2020 Notes previously issued to them by such Issuer that was so reorganized as a “C” corporation;</w:t>
      </w:r>
    </w:p>
    <w:p>
      <w:pPr>
        <w:spacing w:after="0" w:line="39" w:lineRule="exact"/>
        <w:rPr>
          <w:rFonts w:ascii="Arial" w:cs="Arial" w:eastAsia="Arial" w:hAnsi="Arial"/>
          <w:sz w:val="16"/>
          <w:szCs w:val="16"/>
          <w:color w:val="auto"/>
        </w:rPr>
      </w:pPr>
    </w:p>
    <w:p>
      <w:pPr>
        <w:ind w:left="1580" w:hanging="239"/>
        <w:spacing w:after="0"/>
        <w:tabs>
          <w:tab w:leader="none" w:pos="1580" w:val="left"/>
        </w:tabs>
        <w:numPr>
          <w:ilvl w:val="1"/>
          <w:numId w:val="275"/>
        </w:numPr>
        <w:rPr>
          <w:rFonts w:ascii="Arial" w:cs="Arial" w:eastAsia="Arial" w:hAnsi="Arial"/>
          <w:sz w:val="18"/>
          <w:szCs w:val="18"/>
          <w:color w:val="auto"/>
        </w:rPr>
      </w:pPr>
      <w:r>
        <w:rPr>
          <w:rFonts w:ascii="Arial" w:cs="Arial" w:eastAsia="Arial" w:hAnsi="Arial"/>
          <w:sz w:val="18"/>
          <w:szCs w:val="18"/>
          <w:color w:val="auto"/>
        </w:rPr>
        <w:t>cause such Restricted Subsidiary or subchapter “C” corporation to execute and deliver to the trustee,</w:t>
      </w:r>
    </w:p>
    <w:p>
      <w:pPr>
        <w:spacing w:after="0" w:line="90" w:lineRule="exact"/>
        <w:rPr>
          <w:rFonts w:ascii="Arial" w:cs="Arial" w:eastAsia="Arial" w:hAnsi="Arial"/>
          <w:sz w:val="18"/>
          <w:szCs w:val="18"/>
          <w:color w:val="auto"/>
        </w:rPr>
      </w:pPr>
    </w:p>
    <w:p>
      <w:pPr>
        <w:ind w:left="1500" w:right="580" w:firstLine="389"/>
        <w:spacing w:after="0" w:line="357" w:lineRule="auto"/>
        <w:tabs>
          <w:tab w:leader="none" w:pos="2136" w:val="left"/>
        </w:tabs>
        <w:numPr>
          <w:ilvl w:val="2"/>
          <w:numId w:val="275"/>
        </w:numPr>
        <w:rPr>
          <w:rFonts w:ascii="Arial" w:cs="Arial" w:eastAsia="Arial" w:hAnsi="Arial"/>
          <w:sz w:val="15"/>
          <w:szCs w:val="15"/>
          <w:color w:val="auto"/>
        </w:rPr>
      </w:pPr>
      <w:r>
        <w:rPr>
          <w:rFonts w:ascii="Arial" w:cs="Arial" w:eastAsia="Arial" w:hAnsi="Arial"/>
          <w:sz w:val="15"/>
          <w:szCs w:val="15"/>
          <w:color w:val="auto"/>
        </w:rPr>
        <w:t>an assumption agreement in the form of an exhibit to the Security Agreement (under which such Restricted Subsidiary or subchapter “C” corporation will grant a security interest to the trustee in those of its assets described in the Security Agreement), and</w:t>
      </w:r>
    </w:p>
    <w:p>
      <w:pPr>
        <w:ind w:left="2140" w:hanging="251"/>
        <w:spacing w:after="0"/>
        <w:tabs>
          <w:tab w:leader="none" w:pos="2140" w:val="left"/>
        </w:tabs>
        <w:numPr>
          <w:ilvl w:val="2"/>
          <w:numId w:val="275"/>
        </w:numPr>
        <w:rPr>
          <w:rFonts w:ascii="Arial" w:cs="Arial" w:eastAsia="Arial" w:hAnsi="Arial"/>
          <w:sz w:val="16"/>
          <w:szCs w:val="16"/>
          <w:color w:val="auto"/>
        </w:rPr>
      </w:pPr>
      <w:r>
        <w:rPr>
          <w:rFonts w:ascii="Arial" w:cs="Arial" w:eastAsia="Arial" w:hAnsi="Arial"/>
          <w:sz w:val="16"/>
          <w:szCs w:val="16"/>
          <w:color w:val="auto"/>
        </w:rPr>
        <w:t>such Uniform Commercial Code financing statements as are necessary to perfect the trustee’s security interest in such assets;</w:t>
      </w:r>
    </w:p>
    <w:p>
      <w:pPr>
        <w:spacing w:after="0" w:line="113" w:lineRule="exact"/>
        <w:rPr>
          <w:rFonts w:ascii="Arial" w:cs="Arial" w:eastAsia="Arial" w:hAnsi="Arial"/>
          <w:sz w:val="16"/>
          <w:szCs w:val="16"/>
          <w:color w:val="auto"/>
        </w:rPr>
      </w:pPr>
    </w:p>
    <w:p>
      <w:pPr>
        <w:ind w:left="460" w:firstLine="443"/>
        <w:spacing w:after="0" w:line="306" w:lineRule="auto"/>
        <w:tabs>
          <w:tab w:leader="none" w:pos="1147" w:val="left"/>
        </w:tabs>
        <w:numPr>
          <w:ilvl w:val="0"/>
          <w:numId w:val="276"/>
        </w:numPr>
        <w:rPr>
          <w:rFonts w:ascii="Arial" w:cs="Arial" w:eastAsia="Arial" w:hAnsi="Arial"/>
          <w:sz w:val="16"/>
          <w:szCs w:val="16"/>
          <w:color w:val="auto"/>
        </w:rPr>
      </w:pPr>
      <w:r>
        <w:rPr>
          <w:rFonts w:ascii="Arial" w:cs="Arial" w:eastAsia="Arial" w:hAnsi="Arial"/>
          <w:sz w:val="16"/>
          <w:szCs w:val="16"/>
          <w:color w:val="auto"/>
        </w:rPr>
        <w:t>in the event such Restricted Subsidiary or subchapter “C” corporation owns real property that (i) is contiguous to any real property included in the Collateral, (ii) has a Fair Market Value in excess of $50.0 million in the aggregate or $25.0 million individually or (iii) is required pursuant to the terms of the Credit Agreement to be included in the Collateral, cause such Restricted Subsidiary or subchapter “C” corporation to execute and deliver to the trustee:</w:t>
      </w:r>
    </w:p>
    <w:p>
      <w:pPr>
        <w:spacing w:after="0" w:line="26" w:lineRule="exact"/>
        <w:rPr>
          <w:sz w:val="20"/>
          <w:szCs w:val="20"/>
          <w:color w:val="auto"/>
        </w:rPr>
      </w:pPr>
    </w:p>
    <w:p>
      <w:pPr>
        <w:ind w:left="920" w:right="320" w:firstLine="421"/>
        <w:spacing w:after="0" w:line="259" w:lineRule="auto"/>
        <w:tabs>
          <w:tab w:leader="none" w:pos="1579" w:val="left"/>
        </w:tabs>
        <w:numPr>
          <w:ilvl w:val="0"/>
          <w:numId w:val="277"/>
        </w:numPr>
        <w:rPr>
          <w:rFonts w:ascii="Arial" w:cs="Arial" w:eastAsia="Arial" w:hAnsi="Arial"/>
          <w:sz w:val="18"/>
          <w:szCs w:val="18"/>
          <w:color w:val="auto"/>
        </w:rPr>
      </w:pPr>
      <w:r>
        <w:rPr>
          <w:rFonts w:ascii="Arial" w:cs="Arial" w:eastAsia="Arial" w:hAnsi="Arial"/>
          <w:sz w:val="18"/>
          <w:szCs w:val="18"/>
          <w:color w:val="auto"/>
        </w:rPr>
        <w:t>a deed of trust, substantially in the form of the Deeds of Trust (with such modifications as are necessary to comply with applicable law) (under which such Restricted Subsidiary or subchapter “C” corporation will grant a security interest to the trustee in such real property and any related fixtures);</w:t>
      </w:r>
    </w:p>
    <w:p>
      <w:pPr>
        <w:spacing w:after="0" w:line="59" w:lineRule="exact"/>
        <w:rPr>
          <w:rFonts w:ascii="Arial" w:cs="Arial" w:eastAsia="Arial" w:hAnsi="Arial"/>
          <w:sz w:val="18"/>
          <w:szCs w:val="18"/>
          <w:color w:val="auto"/>
        </w:rPr>
      </w:pPr>
    </w:p>
    <w:p>
      <w:pPr>
        <w:ind w:left="920" w:right="80" w:firstLine="421"/>
        <w:spacing w:after="0" w:line="268" w:lineRule="auto"/>
        <w:tabs>
          <w:tab w:leader="none" w:pos="1588" w:val="left"/>
        </w:tabs>
        <w:numPr>
          <w:ilvl w:val="0"/>
          <w:numId w:val="277"/>
        </w:numPr>
        <w:rPr>
          <w:rFonts w:ascii="Arial" w:cs="Arial" w:eastAsia="Arial" w:hAnsi="Arial"/>
          <w:sz w:val="18"/>
          <w:szCs w:val="18"/>
          <w:color w:val="auto"/>
        </w:rPr>
      </w:pPr>
      <w:r>
        <w:rPr>
          <w:rFonts w:ascii="Arial" w:cs="Arial" w:eastAsia="Arial" w:hAnsi="Arial"/>
          <w:sz w:val="18"/>
          <w:szCs w:val="18"/>
          <w:color w:val="auto"/>
        </w:rPr>
        <w:t>in the case of any such Restricted Subsidiary, title and extended coverage insurance covering such real property in an amount at least equal to the purchase price of such real property; and</w:t>
      </w:r>
    </w:p>
    <w:p>
      <w:pPr>
        <w:spacing w:after="0" w:line="50" w:lineRule="exact"/>
        <w:rPr>
          <w:rFonts w:ascii="Arial" w:cs="Arial" w:eastAsia="Arial" w:hAnsi="Arial"/>
          <w:sz w:val="18"/>
          <w:szCs w:val="18"/>
          <w:color w:val="auto"/>
        </w:rPr>
      </w:pPr>
    </w:p>
    <w:p>
      <w:pPr>
        <w:ind w:left="920" w:right="440" w:firstLine="421"/>
        <w:spacing w:after="0" w:line="268" w:lineRule="auto"/>
        <w:tabs>
          <w:tab w:leader="none" w:pos="1579" w:val="left"/>
        </w:tabs>
        <w:numPr>
          <w:ilvl w:val="0"/>
          <w:numId w:val="277"/>
        </w:numPr>
        <w:rPr>
          <w:rFonts w:ascii="Arial" w:cs="Arial" w:eastAsia="Arial" w:hAnsi="Arial"/>
          <w:sz w:val="18"/>
          <w:szCs w:val="18"/>
          <w:color w:val="auto"/>
        </w:rPr>
      </w:pPr>
      <w:r>
        <w:rPr>
          <w:rFonts w:ascii="Arial" w:cs="Arial" w:eastAsia="Arial" w:hAnsi="Arial"/>
          <w:sz w:val="18"/>
          <w:szCs w:val="18"/>
          <w:color w:val="auto"/>
        </w:rPr>
        <w:t>in the case of any such subchapter “C” corporation, an agreement executed and delivered by the title company that issued the title and extended coverage insurance covering the real property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420"/>
          </w:cols>
          <w:pgMar w:left="240" w:top="460" w:right="2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owned by such subchapter “C” corporation naming such subchapter “C” corporation as an additional insured under such insurance;</w:t>
      </w:r>
    </w:p>
    <w:p>
      <w:pPr>
        <w:spacing w:after="0" w:line="90" w:lineRule="exact"/>
        <w:rPr>
          <w:sz w:val="20"/>
          <w:szCs w:val="20"/>
          <w:color w:val="auto"/>
        </w:rPr>
      </w:pPr>
    </w:p>
    <w:p>
      <w:pPr>
        <w:ind w:left="460" w:right="40" w:firstLine="443"/>
        <w:spacing w:after="0" w:line="256" w:lineRule="auto"/>
        <w:tabs>
          <w:tab w:leader="none" w:pos="1147" w:val="left"/>
        </w:tabs>
        <w:numPr>
          <w:ilvl w:val="0"/>
          <w:numId w:val="278"/>
        </w:numPr>
        <w:rPr>
          <w:rFonts w:ascii="Arial" w:cs="Arial" w:eastAsia="Arial" w:hAnsi="Arial"/>
          <w:sz w:val="18"/>
          <w:szCs w:val="18"/>
          <w:color w:val="auto"/>
        </w:rPr>
      </w:pPr>
      <w:r>
        <w:rPr>
          <w:rFonts w:ascii="Arial" w:cs="Arial" w:eastAsia="Arial" w:hAnsi="Arial"/>
          <w:sz w:val="18"/>
          <w:szCs w:val="18"/>
          <w:color w:val="auto"/>
        </w:rPr>
        <w:t>promptly pledge, or cause to be pledged, to the trustee (i) all of the outstanding Capital Stock of such entity or subchapter “C” corporation owned by Wynn Las Vegas or any of its Restricted Subsidiaries and (ii) all of the outstanding Capital Stock owned by such Restricted Subsidiary or subchapter “C” corporation, to secure Wynn Las Vegas’ obligations under the Indenture and the 2020 Notes or such Restricted Subsidiary’s Guarantee obligations under the applicable Security Agreement, as the case may be;</w:t>
      </w:r>
    </w:p>
    <w:p>
      <w:pPr>
        <w:spacing w:after="0" w:line="62" w:lineRule="exact"/>
        <w:rPr>
          <w:rFonts w:ascii="Arial" w:cs="Arial" w:eastAsia="Arial" w:hAnsi="Arial"/>
          <w:sz w:val="18"/>
          <w:szCs w:val="18"/>
          <w:color w:val="auto"/>
        </w:rPr>
      </w:pPr>
    </w:p>
    <w:p>
      <w:pPr>
        <w:ind w:left="460" w:right="440" w:firstLine="443"/>
        <w:spacing w:after="0" w:line="259" w:lineRule="auto"/>
        <w:tabs>
          <w:tab w:leader="none" w:pos="1147" w:val="left"/>
        </w:tabs>
        <w:numPr>
          <w:ilvl w:val="0"/>
          <w:numId w:val="278"/>
        </w:numPr>
        <w:rPr>
          <w:rFonts w:ascii="Arial" w:cs="Arial" w:eastAsia="Arial" w:hAnsi="Arial"/>
          <w:sz w:val="18"/>
          <w:szCs w:val="18"/>
          <w:color w:val="auto"/>
        </w:rPr>
      </w:pPr>
      <w:r>
        <w:rPr>
          <w:rFonts w:ascii="Arial" w:cs="Arial" w:eastAsia="Arial" w:hAnsi="Arial"/>
          <w:sz w:val="18"/>
          <w:szCs w:val="18"/>
          <w:color w:val="auto"/>
        </w:rPr>
        <w:t>promptly take, and cause such Restricted Subsidiary or subchapter “C” corporation and each other Restricted Subsidiary to take all action necessary or, in the opinion of the trustee, desirable to perfect and protect the security interests intended to be created by the Collateral Documents, as modified under this paragraph; and</w:t>
      </w:r>
    </w:p>
    <w:p>
      <w:pPr>
        <w:spacing w:after="0" w:line="59" w:lineRule="exact"/>
        <w:rPr>
          <w:rFonts w:ascii="Arial" w:cs="Arial" w:eastAsia="Arial" w:hAnsi="Arial"/>
          <w:sz w:val="18"/>
          <w:szCs w:val="18"/>
          <w:color w:val="auto"/>
        </w:rPr>
      </w:pPr>
    </w:p>
    <w:p>
      <w:pPr>
        <w:ind w:left="460" w:right="360" w:firstLine="443"/>
        <w:spacing w:after="0" w:line="268" w:lineRule="auto"/>
        <w:tabs>
          <w:tab w:leader="none" w:pos="1147" w:val="left"/>
        </w:tabs>
        <w:numPr>
          <w:ilvl w:val="0"/>
          <w:numId w:val="278"/>
        </w:numPr>
        <w:rPr>
          <w:rFonts w:ascii="Arial" w:cs="Arial" w:eastAsia="Arial" w:hAnsi="Arial"/>
          <w:sz w:val="18"/>
          <w:szCs w:val="18"/>
          <w:color w:val="auto"/>
        </w:rPr>
      </w:pPr>
      <w:r>
        <w:rPr>
          <w:rFonts w:ascii="Arial" w:cs="Arial" w:eastAsia="Arial" w:hAnsi="Arial"/>
          <w:sz w:val="18"/>
          <w:szCs w:val="18"/>
          <w:color w:val="auto"/>
        </w:rPr>
        <w:t>promptly deliver to the trustee such opinions of counsel, if any, as the trustee may reasonably require with respect to the foregoing (including opinions as to enforceability and perfection of security interests).</w:t>
      </w:r>
    </w:p>
    <w:p>
      <w:pPr>
        <w:spacing w:after="0" w:line="132"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Notwithstanding the foregoing, no Restricted Subsidiary shall be required to take the actions specified in clauses (2) through (6) above during any Collateral Release Period.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Additional Collateral; Acquisition of Assets or Property</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At any time other than during any Collateral Release Period, and concurrently with the acquisition by Wynn Las Vegas or any of its Restricted Subsidiaries of any assets or property (other than a Subsidiary of Wynn Las Vegas) that would constitute Collateral, to the extent not prohibited by Gaming Authorities or applicable Gaming Laws and subject to the Intercreditor Agreement, Wynn Las Vegas will, and will cause its Restricted Subsidiaries to, cause the applicable entity to:</w:t>
      </w:r>
    </w:p>
    <w:p>
      <w:pPr>
        <w:spacing w:after="0" w:line="62" w:lineRule="exact"/>
        <w:rPr>
          <w:sz w:val="20"/>
          <w:szCs w:val="20"/>
          <w:color w:val="auto"/>
        </w:rPr>
      </w:pPr>
    </w:p>
    <w:p>
      <w:pPr>
        <w:ind w:left="460" w:right="180" w:firstLine="443"/>
        <w:spacing w:after="0" w:line="306" w:lineRule="auto"/>
        <w:tabs>
          <w:tab w:leader="none" w:pos="1147" w:val="left"/>
        </w:tabs>
        <w:numPr>
          <w:ilvl w:val="0"/>
          <w:numId w:val="279"/>
        </w:numPr>
        <w:rPr>
          <w:rFonts w:ascii="Arial" w:cs="Arial" w:eastAsia="Arial" w:hAnsi="Arial"/>
          <w:sz w:val="16"/>
          <w:szCs w:val="16"/>
          <w:color w:val="auto"/>
        </w:rPr>
      </w:pPr>
      <w:r>
        <w:rPr>
          <w:rFonts w:ascii="Arial" w:cs="Arial" w:eastAsia="Arial" w:hAnsi="Arial"/>
          <w:sz w:val="16"/>
          <w:szCs w:val="16"/>
          <w:color w:val="auto"/>
        </w:rPr>
        <w:t>in the case of the acquisition of personal property with an aggregate fair market value in excess of $50,000 (other than Aircraft Assets) for all such acquired personal property, execute and deliver to the collateral agent such Uniform Commercial Code financing statements, if any, as are necessary or, in the opinion of the trustee, desirable to perfect and protect the trustee’s security interest in such assets or property;</w:t>
      </w:r>
    </w:p>
    <w:p>
      <w:pPr>
        <w:spacing w:after="0" w:line="25" w:lineRule="exact"/>
        <w:rPr>
          <w:rFonts w:ascii="Arial" w:cs="Arial" w:eastAsia="Arial" w:hAnsi="Arial"/>
          <w:sz w:val="16"/>
          <w:szCs w:val="16"/>
          <w:color w:val="auto"/>
        </w:rPr>
      </w:pPr>
    </w:p>
    <w:p>
      <w:pPr>
        <w:ind w:left="460" w:firstLine="443"/>
        <w:spacing w:after="0" w:line="268" w:lineRule="auto"/>
        <w:tabs>
          <w:tab w:leader="none" w:pos="1147" w:val="left"/>
        </w:tabs>
        <w:numPr>
          <w:ilvl w:val="0"/>
          <w:numId w:val="279"/>
        </w:numPr>
        <w:rPr>
          <w:rFonts w:ascii="Arial" w:cs="Arial" w:eastAsia="Arial" w:hAnsi="Arial"/>
          <w:sz w:val="18"/>
          <w:szCs w:val="18"/>
          <w:color w:val="auto"/>
        </w:rPr>
      </w:pPr>
      <w:r>
        <w:rPr>
          <w:rFonts w:ascii="Arial" w:cs="Arial" w:eastAsia="Arial" w:hAnsi="Arial"/>
          <w:sz w:val="18"/>
          <w:szCs w:val="18"/>
          <w:color w:val="auto"/>
        </w:rPr>
        <w:t>in the case of the acquisition of real property, that (i) is contiguous to any real property included in the Collateral or (ii) has a Fair Market Value in excess of $5.0 million in the aggregate or $2.5 million individually, execute and deliver to the trustee:</w:t>
      </w:r>
    </w:p>
    <w:p>
      <w:pPr>
        <w:spacing w:after="0" w:line="50" w:lineRule="exact"/>
        <w:rPr>
          <w:rFonts w:ascii="Arial" w:cs="Arial" w:eastAsia="Arial" w:hAnsi="Arial"/>
          <w:sz w:val="18"/>
          <w:szCs w:val="18"/>
          <w:color w:val="auto"/>
        </w:rPr>
      </w:pPr>
    </w:p>
    <w:p>
      <w:pPr>
        <w:ind w:left="920" w:right="320" w:firstLine="421"/>
        <w:spacing w:after="0" w:line="259" w:lineRule="auto"/>
        <w:tabs>
          <w:tab w:leader="none" w:pos="1579" w:val="left"/>
        </w:tabs>
        <w:numPr>
          <w:ilvl w:val="1"/>
          <w:numId w:val="279"/>
        </w:numPr>
        <w:rPr>
          <w:rFonts w:ascii="Arial" w:cs="Arial" w:eastAsia="Arial" w:hAnsi="Arial"/>
          <w:sz w:val="18"/>
          <w:szCs w:val="18"/>
          <w:color w:val="auto"/>
        </w:rPr>
      </w:pPr>
      <w:r>
        <w:rPr>
          <w:rFonts w:ascii="Arial" w:cs="Arial" w:eastAsia="Arial" w:hAnsi="Arial"/>
          <w:sz w:val="18"/>
          <w:szCs w:val="18"/>
          <w:color w:val="auto"/>
        </w:rPr>
        <w:t>a deed of trust, substantially in the form of the Deeds of Trust (with such modifications as are necessary to comply with applicable law) (under which Wynn Las Vegas or such Restricted Subsidiary will grant a security interest to the trustee in such real property and any related fixtures), and</w:t>
      </w:r>
    </w:p>
    <w:p>
      <w:pPr>
        <w:spacing w:after="0" w:line="59" w:lineRule="exact"/>
        <w:rPr>
          <w:rFonts w:ascii="Arial" w:cs="Arial" w:eastAsia="Arial" w:hAnsi="Arial"/>
          <w:sz w:val="18"/>
          <w:szCs w:val="18"/>
          <w:color w:val="auto"/>
        </w:rPr>
      </w:pPr>
    </w:p>
    <w:p>
      <w:pPr>
        <w:ind w:left="1580" w:hanging="239"/>
        <w:spacing w:after="0"/>
        <w:tabs>
          <w:tab w:leader="none" w:pos="1580" w:val="left"/>
        </w:tabs>
        <w:numPr>
          <w:ilvl w:val="1"/>
          <w:numId w:val="279"/>
        </w:numPr>
        <w:rPr>
          <w:rFonts w:ascii="Arial" w:cs="Arial" w:eastAsia="Arial" w:hAnsi="Arial"/>
          <w:sz w:val="16"/>
          <w:szCs w:val="16"/>
          <w:color w:val="auto"/>
        </w:rPr>
      </w:pPr>
      <w:r>
        <w:rPr>
          <w:rFonts w:ascii="Arial" w:cs="Arial" w:eastAsia="Arial" w:hAnsi="Arial"/>
          <w:sz w:val="16"/>
          <w:szCs w:val="16"/>
          <w:color w:val="auto"/>
        </w:rPr>
        <w:t>title and extended coverage insurance covering such real property in an amount at least equal to the purchase price of such real property;</w:t>
      </w:r>
    </w:p>
    <w:p>
      <w:pPr>
        <w:spacing w:after="0" w:line="3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83" w:lineRule="exact"/>
        <w:rPr>
          <w:rFonts w:ascii="Arial" w:cs="Arial" w:eastAsia="Arial" w:hAnsi="Arial"/>
          <w:sz w:val="16"/>
          <w:szCs w:val="16"/>
          <w:color w:val="auto"/>
        </w:rPr>
      </w:pPr>
    </w:p>
    <w:p>
      <w:pPr>
        <w:ind w:left="460" w:right="80" w:firstLine="443"/>
        <w:spacing w:after="0" w:line="306" w:lineRule="auto"/>
        <w:tabs>
          <w:tab w:leader="none" w:pos="1147" w:val="left"/>
        </w:tabs>
        <w:numPr>
          <w:ilvl w:val="0"/>
          <w:numId w:val="279"/>
        </w:numPr>
        <w:rPr>
          <w:rFonts w:ascii="Arial" w:cs="Arial" w:eastAsia="Arial" w:hAnsi="Arial"/>
          <w:sz w:val="16"/>
          <w:szCs w:val="16"/>
          <w:color w:val="auto"/>
        </w:rPr>
      </w:pPr>
      <w:r>
        <w:rPr>
          <w:rFonts w:ascii="Arial" w:cs="Arial" w:eastAsia="Arial" w:hAnsi="Arial"/>
          <w:sz w:val="16"/>
          <w:szCs w:val="16"/>
          <w:color w:val="auto"/>
        </w:rPr>
        <w:t>in the case of the acquisition of personal property (other than personal property in which the trustee has a perfected security interest (subject only to Permitted Liens)) or real property subject to clauses (1) and (2) above, as applicable, promptly deliver to the trustee such opinions of counsel, if any, as the trustee may reasonably require with respect to the foregoing (including opinions as to enforceability and perfection of security interests).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Further Assurances</w:t>
      </w:r>
    </w:p>
    <w:p>
      <w:pPr>
        <w:spacing w:after="0" w:line="90"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Except during any Collateral Release Period, Wynn Las Vegas will, and will cause its Restricted Subsidiaries to, execute and deliver such additional instruments, certificates or documents, and take all such actions as may be reasonably required from time to time in order to:</w:t>
      </w:r>
    </w:p>
    <w:p>
      <w:pPr>
        <w:spacing w:after="0" w:line="4" w:lineRule="exact"/>
        <w:rPr>
          <w:sz w:val="20"/>
          <w:szCs w:val="20"/>
          <w:color w:val="auto"/>
        </w:rPr>
      </w:pPr>
    </w:p>
    <w:p>
      <w:pPr>
        <w:ind w:left="5580" w:right="5440" w:hanging="4677"/>
        <w:spacing w:after="0" w:line="525" w:lineRule="auto"/>
        <w:tabs>
          <w:tab w:leader="none" w:pos="1149" w:val="left"/>
        </w:tabs>
        <w:numPr>
          <w:ilvl w:val="0"/>
          <w:numId w:val="280"/>
        </w:numPr>
        <w:rPr>
          <w:rFonts w:ascii="Arial" w:cs="Arial" w:eastAsia="Arial" w:hAnsi="Arial"/>
          <w:sz w:val="16"/>
          <w:szCs w:val="16"/>
          <w:color w:val="auto"/>
        </w:rPr>
      </w:pPr>
      <w:r>
        <w:rPr>
          <w:rFonts w:ascii="Arial" w:cs="Arial" w:eastAsia="Arial" w:hAnsi="Arial"/>
          <w:sz w:val="16"/>
          <w:szCs w:val="16"/>
          <w:color w:val="auto"/>
        </w:rPr>
        <w:t>carry out more effectively the purposes of the Collateral Documents; 201</w:t>
      </w:r>
    </w:p>
    <w:p>
      <w:pPr>
        <w:sectPr>
          <w:pgSz w:w="11900" w:h="16838" w:orient="portrait"/>
          <w:cols w:equalWidth="0" w:num="1">
            <w:col w:w="11420"/>
          </w:cols>
          <w:pgMar w:left="240" w:top="459" w:right="2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firstLine="443"/>
        <w:spacing w:after="0" w:line="268" w:lineRule="auto"/>
        <w:tabs>
          <w:tab w:leader="none" w:pos="1147" w:val="left"/>
        </w:tabs>
        <w:numPr>
          <w:ilvl w:val="0"/>
          <w:numId w:val="281"/>
        </w:numPr>
        <w:rPr>
          <w:rFonts w:ascii="Arial" w:cs="Arial" w:eastAsia="Arial" w:hAnsi="Arial"/>
          <w:sz w:val="18"/>
          <w:szCs w:val="18"/>
          <w:color w:val="auto"/>
        </w:rPr>
      </w:pPr>
      <w:r>
        <w:rPr>
          <w:rFonts w:ascii="Arial" w:cs="Arial" w:eastAsia="Arial" w:hAnsi="Arial"/>
          <w:sz w:val="18"/>
          <w:szCs w:val="18"/>
          <w:color w:val="auto"/>
        </w:rPr>
        <w:t>create, grant, perfect and maintain the validity, effectiveness, perfection and priority of any of the Collateral Documents and the Liens created, or intended to be created, by the Collateral Documents; and</w:t>
      </w:r>
    </w:p>
    <w:p>
      <w:pPr>
        <w:spacing w:after="0" w:line="50" w:lineRule="exact"/>
        <w:rPr>
          <w:rFonts w:ascii="Arial" w:cs="Arial" w:eastAsia="Arial" w:hAnsi="Arial"/>
          <w:sz w:val="18"/>
          <w:szCs w:val="18"/>
          <w:color w:val="auto"/>
        </w:rPr>
      </w:pPr>
    </w:p>
    <w:p>
      <w:pPr>
        <w:ind w:left="460" w:right="160" w:firstLine="443"/>
        <w:spacing w:after="0" w:line="259" w:lineRule="auto"/>
        <w:tabs>
          <w:tab w:leader="none" w:pos="1147" w:val="left"/>
        </w:tabs>
        <w:numPr>
          <w:ilvl w:val="0"/>
          <w:numId w:val="281"/>
        </w:numPr>
        <w:rPr>
          <w:rFonts w:ascii="Arial" w:cs="Arial" w:eastAsia="Arial" w:hAnsi="Arial"/>
          <w:sz w:val="18"/>
          <w:szCs w:val="18"/>
          <w:color w:val="auto"/>
        </w:rPr>
      </w:pPr>
      <w:r>
        <w:rPr>
          <w:rFonts w:ascii="Arial" w:cs="Arial" w:eastAsia="Arial" w:hAnsi="Arial"/>
          <w:sz w:val="18"/>
          <w:szCs w:val="18"/>
          <w:color w:val="auto"/>
        </w:rPr>
        <w:t>ensure that any of the rights granted or intended to be granted to the trustee or any holder under the Collateral Documents or under any other instrument executed in connection therewith or granted to Wynn Las Vegas or any of its Restricted Subsidiaries under the Collateral Documents or under any other instrument executed in connection therewith are protected and enforced.</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Upon the exercise by the trustee or any holder of any power, right, privilege or remedy under the Indenture or any of the Collateral Documents which requires any consent, approval, recording, qualification or authorization of any governmental authority (including any Gaming Authority), Wynn Las Vegas will, and will cause its Restricted Subsidiaries to, execute and deliver all applications, certifications, instruments and other documents and papers that may be required from Wynn Resorts, Wynn Las Vegas or any of Wynn Las Vegas’ Restricted Subsidiaries for such governmental consent, approval, recording, qualification or authorization.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Payments for Consent</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Wynn Las Vegas will not, and will not permit any of its Restricted Subsidiaries to, directly or indirectly, pay or cause to be paid any consideration to, or for the benefit of, any Holder of 2020 Notes for or as an inducement to any consent, waiver or amendment of any of the terms or provisions of the Indenture, the 2020 Notes or the Collateral Documents unless such consideration is offered to be paid and is paid to all Holders of 2020 Notes that consent, waive or agree to amend in the time frame set forth in the solicitation documents relating to such consent, waiver or agreement. Notwithstanding the foregoing, in any offer or payment of consideration for, or as an inducement to, any consent, waiver or amendment of any of the terms or provisions of the Indenture or the Notes in connection with an exchange offer, Wynn Las Vegas may exclude (i) Holders or beneficial owners of the Notes that are not institutional “accredited investors” as defined in subparagraphs (a)(1), (2), (3) or (7) of Rule 501 under the Securities Act, and (ii) Holders or beneficial owners of the Notes in any jurisdiction where the inclusion of such Holders or beneficial owners would require Wynn Las Vegas to comply with the registration requirements or other similar requirements under any securities laws of such jurisdiction, or the solicitation of such consent, waiver or amendment from, or the granting of such consent or waiver, or the approval of such amendment by, Holders or beneficial owners in such jurisdiction would be unlawful, in each case as determined by Wynn Las Vegas in its sole discretion.</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Restrictions on Activities of Wynn Capital</w:t>
      </w:r>
    </w:p>
    <w:p>
      <w:pPr>
        <w:spacing w:after="0" w:line="90"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Wynn Capital will not hold any material assets, hold any Equity Interests, incur any Indebtedness, become liable for any obligations, engage in any business activities or have any Subsidiaries. However, Wynn Capital may incur Indebtedness to the extent that it is a co-obligor with respect to Indebtedness which Wynn Las Vegas is permitted to incur under the Indenture, but only if the Net Proceeds of such Indebtedness are received by Wynn Las Vegas or one or more of Wynn Las Vegas’ Wholly Owned Restricted Subsidiaries other than Wynn Capital. At all times while 2020 Notes issued under the Indenture remain outstanding, Wynn Capital shall maintain a Board of Directors composed of individuals who serve on the Board of Directors of Wynn Resorts, and such other disinterested or independent members as the Board of Directors deems appropriate from time to time.</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Reports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Whether or not required by the rules and regulations of the SEC, so long as any 2020 Notes are outstanding, the Issuers will furnish to the Holders of 2020</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Notes or cause the trustee to furnish to the Holders of 2020 Notes, within the time periods specified in the SEC’s rules and regulations:</w:t>
      </w:r>
    </w:p>
    <w:p>
      <w:pPr>
        <w:spacing w:after="0" w:line="84" w:lineRule="exact"/>
        <w:rPr>
          <w:sz w:val="20"/>
          <w:szCs w:val="20"/>
          <w:color w:val="auto"/>
        </w:rPr>
      </w:pPr>
    </w:p>
    <w:p>
      <w:pPr>
        <w:ind w:left="460" w:firstLine="443"/>
        <w:spacing w:after="0" w:line="268" w:lineRule="auto"/>
        <w:tabs>
          <w:tab w:leader="none" w:pos="1147" w:val="left"/>
        </w:tabs>
        <w:numPr>
          <w:ilvl w:val="0"/>
          <w:numId w:val="282"/>
        </w:numPr>
        <w:rPr>
          <w:rFonts w:ascii="Arial" w:cs="Arial" w:eastAsia="Arial" w:hAnsi="Arial"/>
          <w:sz w:val="18"/>
          <w:szCs w:val="18"/>
          <w:color w:val="auto"/>
        </w:rPr>
      </w:pPr>
      <w:r>
        <w:rPr>
          <w:rFonts w:ascii="Arial" w:cs="Arial" w:eastAsia="Arial" w:hAnsi="Arial"/>
          <w:sz w:val="18"/>
          <w:szCs w:val="18"/>
          <w:color w:val="auto"/>
        </w:rPr>
        <w:t>all quarterly and annual reports that would be required to be filed with the SEC on Forms 10-Q and 10-K, including a “Management’s Discussion and Analysis of Financial Condition and Results of</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380"/>
          </w:cols>
          <w:pgMar w:left="240" w:top="460" w:right="27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80"/>
        <w:spacing w:after="0" w:line="268" w:lineRule="auto"/>
        <w:rPr>
          <w:sz w:val="20"/>
          <w:szCs w:val="20"/>
          <w:color w:val="auto"/>
        </w:rPr>
      </w:pPr>
      <w:r>
        <w:rPr>
          <w:rFonts w:ascii="Arial" w:cs="Arial" w:eastAsia="Arial" w:hAnsi="Arial"/>
          <w:sz w:val="18"/>
          <w:szCs w:val="18"/>
          <w:color w:val="auto"/>
        </w:rPr>
        <w:t>Operations” and, with respect to the annual report only, a report on the annual financial statements by Wynn Las Vegas’ and the Restricted Subsidiaries’ certified independent accountants; and</w:t>
      </w:r>
    </w:p>
    <w:p>
      <w:pPr>
        <w:spacing w:after="0" w:line="5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(2) all current reports that would be required to be filed with the SEC on Form 8-K if the Issuers were required to file such reports.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All such reports will be prepared in all material respects in accordance with all of the rules and regulations applicable to such reports. Each annual report on Form 10-K will include a report on Wynn Las Vegas’ and its Restricted Subsidiaries’ consolidated financial statements by Wynn Las Vegas’ certified independent accountants. In addition, Wynn Las Vegas will file a copy of each of the reports referred to in clauses (1) and (2) above with the SEC for public availability within the time periods specified in the rules and regulations applicable to such reports (unless the SEC will not accept such a filing) and will post the reports on its website within those time periods.</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If, at any time Wynn Las Vegas is no longer subject to the periodic reporting requirements of the Exchange Act for any reason, Wynn Las Vegas will nevertheless continue filing the reports specified in the preceding paragraph of this covenant with the SEC within the time periods specified above unless the SEC will not accept such a filing. Wynn Las Vegas will not take any action for the purpose of causing the SEC not to accept any such filings. If, notwithstanding the foregoing, the SEC will not accept Wynn Las Vegas’ filings for any reason, Wynn Las Vegas will post the reports referred to in the preceding paragraphs on its website within the time periods that would apply if Wynn Las Vegas were required to file those reports with the SEC.</w:t>
      </w:r>
    </w:p>
    <w:p>
      <w:pPr>
        <w:spacing w:after="0" w:line="11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 addition, the Issuers and the Guarantors agree that, for so long as any 2020 Notes remain outstanding, if at any time they are not required to file with the SEC the reports required by the preceding paragraphs, they will furnish to the holders of 2020 Notes and to securities analysts and prospective investors, upon their request, the information required to be delivered pursuant to Rule 144A(d)(4) under the Securities Act.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and Remedies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following is an “Event of Default”:</w:t>
      </w:r>
    </w:p>
    <w:p>
      <w:pPr>
        <w:spacing w:after="0" w:line="90" w:lineRule="exact"/>
        <w:rPr>
          <w:sz w:val="20"/>
          <w:szCs w:val="20"/>
          <w:color w:val="auto"/>
        </w:rPr>
      </w:pPr>
    </w:p>
    <w:p>
      <w:pPr>
        <w:ind w:left="1160" w:hanging="257"/>
        <w:spacing w:after="0"/>
        <w:tabs>
          <w:tab w:leader="none" w:pos="116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default for 30 days in the payment when due of interest on, or Liquidated Damages, if any, with respect to the 2020 Notes;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83"/>
        </w:numPr>
        <w:rPr>
          <w:rFonts w:ascii="Arial" w:cs="Arial" w:eastAsia="Arial" w:hAnsi="Arial"/>
          <w:sz w:val="16"/>
          <w:szCs w:val="16"/>
          <w:color w:val="auto"/>
        </w:rPr>
      </w:pPr>
      <w:r>
        <w:rPr>
          <w:rFonts w:ascii="Arial" w:cs="Arial" w:eastAsia="Arial" w:hAnsi="Arial"/>
          <w:sz w:val="16"/>
          <w:szCs w:val="16"/>
          <w:color w:val="auto"/>
        </w:rPr>
        <w:t>default in the payment when due (at maturity, upon redemption, repurchase or otherwise) of the principal of, or premium, if any, on, the 2020</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Notes;</w:t>
      </w:r>
    </w:p>
    <w:p>
      <w:pPr>
        <w:spacing w:after="0" w:line="83" w:lineRule="exact"/>
        <w:rPr>
          <w:rFonts w:ascii="Arial" w:cs="Arial" w:eastAsia="Arial" w:hAnsi="Arial"/>
          <w:sz w:val="16"/>
          <w:szCs w:val="16"/>
          <w:color w:val="auto"/>
        </w:rPr>
      </w:pPr>
    </w:p>
    <w:p>
      <w:pPr>
        <w:ind w:left="1160" w:hanging="257"/>
        <w:spacing w:after="0"/>
        <w:tabs>
          <w:tab w:leader="none" w:pos="116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failure by Wynn Capital, Wynn Las Vegas or any of its Restricted Subsidiaries:</w:t>
      </w:r>
    </w:p>
    <w:p>
      <w:pPr>
        <w:spacing w:after="0" w:line="90" w:lineRule="exact"/>
        <w:rPr>
          <w:rFonts w:ascii="Arial" w:cs="Arial" w:eastAsia="Arial" w:hAnsi="Arial"/>
          <w:sz w:val="18"/>
          <w:szCs w:val="18"/>
          <w:color w:val="auto"/>
        </w:rPr>
      </w:pPr>
    </w:p>
    <w:p>
      <w:pPr>
        <w:ind w:left="920" w:right="80" w:firstLine="421"/>
        <w:spacing w:after="0" w:line="259" w:lineRule="auto"/>
        <w:tabs>
          <w:tab w:leader="none" w:pos="1579" w:val="left"/>
        </w:tabs>
        <w:numPr>
          <w:ilvl w:val="1"/>
          <w:numId w:val="283"/>
        </w:numPr>
        <w:rPr>
          <w:rFonts w:ascii="Arial" w:cs="Arial" w:eastAsia="Arial" w:hAnsi="Arial"/>
          <w:sz w:val="18"/>
          <w:szCs w:val="18"/>
          <w:color w:val="auto"/>
        </w:rPr>
      </w:pPr>
      <w:r>
        <w:rPr>
          <w:rFonts w:ascii="Arial" w:cs="Arial" w:eastAsia="Arial" w:hAnsi="Arial"/>
          <w:sz w:val="18"/>
          <w:szCs w:val="18"/>
          <w:color w:val="auto"/>
        </w:rPr>
        <w:t>to comply with any payment obligations (including, without limitation, obligations as to the timing or amount of such payments) described under the captions “—Repurchase at the Option of Holders—Change of Control,” “—Repurchase at the Option of Holders—Asset Sales” or “— Repurchase at the Option of Holders—Events of Loss,” or</w:t>
      </w:r>
    </w:p>
    <w:p>
      <w:pPr>
        <w:spacing w:after="0" w:line="59" w:lineRule="exact"/>
        <w:rPr>
          <w:rFonts w:ascii="Arial" w:cs="Arial" w:eastAsia="Arial" w:hAnsi="Arial"/>
          <w:sz w:val="18"/>
          <w:szCs w:val="18"/>
          <w:color w:val="auto"/>
        </w:rPr>
      </w:pPr>
    </w:p>
    <w:p>
      <w:pPr>
        <w:ind w:left="920" w:right="580" w:firstLine="421"/>
        <w:spacing w:after="0" w:line="332" w:lineRule="auto"/>
        <w:tabs>
          <w:tab w:leader="none" w:pos="1588" w:val="left"/>
        </w:tabs>
        <w:numPr>
          <w:ilvl w:val="1"/>
          <w:numId w:val="283"/>
        </w:numPr>
        <w:rPr>
          <w:rFonts w:ascii="Arial" w:cs="Arial" w:eastAsia="Arial" w:hAnsi="Arial"/>
          <w:sz w:val="16"/>
          <w:szCs w:val="16"/>
          <w:color w:val="auto"/>
        </w:rPr>
      </w:pPr>
      <w:r>
        <w:rPr>
          <w:rFonts w:ascii="Arial" w:cs="Arial" w:eastAsia="Arial" w:hAnsi="Arial"/>
          <w:sz w:val="16"/>
          <w:szCs w:val="16"/>
          <w:color w:val="auto"/>
        </w:rPr>
        <w:t>to comply with the provisions described under the captions “—Certain Covenants—Restricted Payments,” “—Certain Covenants— Incurrence of Indebtedness and Issuance of Disqualified Stock” or “—Certain Covenants—Merger, Consolidation or Sale of Assets”;</w:t>
      </w:r>
    </w:p>
    <w:p>
      <w:pPr>
        <w:spacing w:after="0" w:line="4" w:lineRule="exact"/>
        <w:rPr>
          <w:rFonts w:ascii="Arial" w:cs="Arial" w:eastAsia="Arial" w:hAnsi="Arial"/>
          <w:sz w:val="16"/>
          <w:szCs w:val="16"/>
          <w:color w:val="auto"/>
        </w:rPr>
      </w:pPr>
    </w:p>
    <w:p>
      <w:pPr>
        <w:ind w:left="460" w:right="240" w:firstLine="443"/>
        <w:spacing w:after="0" w:line="259" w:lineRule="auto"/>
        <w:tabs>
          <w:tab w:leader="none" w:pos="1147" w:val="left"/>
        </w:tabs>
        <w:numPr>
          <w:ilvl w:val="0"/>
          <w:numId w:val="283"/>
        </w:numPr>
        <w:rPr>
          <w:rFonts w:ascii="Arial" w:cs="Arial" w:eastAsia="Arial" w:hAnsi="Arial"/>
          <w:sz w:val="18"/>
          <w:szCs w:val="18"/>
          <w:color w:val="auto"/>
        </w:rPr>
      </w:pPr>
      <w:r>
        <w:rPr>
          <w:rFonts w:ascii="Arial" w:cs="Arial" w:eastAsia="Arial" w:hAnsi="Arial"/>
          <w:sz w:val="18"/>
          <w:szCs w:val="18"/>
          <w:color w:val="auto"/>
        </w:rPr>
        <w:t>failure by Wynn Capital, Wynn Las Vegas or any of its Restricted Subsidiaries for 60 days after receipt of written notice from the trustee or the holders of at least 25% in aggregate principal amount of the 2020 Notes then outstanding voting as a single class to comply with any of the other agreements in the Indenture not set forth in clause (3) above;</w:t>
      </w:r>
    </w:p>
    <w:p>
      <w:pPr>
        <w:spacing w:after="0" w:line="59" w:lineRule="exact"/>
        <w:rPr>
          <w:rFonts w:ascii="Arial" w:cs="Arial" w:eastAsia="Arial" w:hAnsi="Arial"/>
          <w:sz w:val="18"/>
          <w:szCs w:val="18"/>
          <w:color w:val="auto"/>
        </w:rPr>
      </w:pPr>
    </w:p>
    <w:p>
      <w:pPr>
        <w:ind w:left="460" w:right="60" w:firstLine="443"/>
        <w:spacing w:after="0" w:line="259" w:lineRule="auto"/>
        <w:tabs>
          <w:tab w:leader="none" w:pos="1147" w:val="left"/>
        </w:tabs>
        <w:numPr>
          <w:ilvl w:val="0"/>
          <w:numId w:val="283"/>
        </w:numPr>
        <w:rPr>
          <w:rFonts w:ascii="Arial" w:cs="Arial" w:eastAsia="Arial" w:hAnsi="Arial"/>
          <w:sz w:val="18"/>
          <w:szCs w:val="18"/>
          <w:color w:val="auto"/>
        </w:rPr>
      </w:pPr>
      <w:r>
        <w:rPr>
          <w:rFonts w:ascii="Arial" w:cs="Arial" w:eastAsia="Arial" w:hAnsi="Arial"/>
          <w:sz w:val="18"/>
          <w:szCs w:val="18"/>
          <w:color w:val="auto"/>
        </w:rPr>
        <w:t>failure by Wynn Capital, Wynn Las Vegas or any of its Restricted Subsidiaries, the Completion Guarantor or any other party to any Collateral Document (other than the trustee or any representative of the lenders under the Credit Agreement or other lenders party thereto) for 60 days after receipt of written notice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420"/>
          </w:cols>
          <w:pgMar w:left="240" w:top="459" w:right="2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color w:val="auto"/>
        </w:rPr>
        <w:t>from the trustee or the holders of at least 25% in aggregate principal amount of the 2020 Notes then outstanding voting as a single class to comply with any of its agreements, as applicable, in any Collateral Document;</w:t>
      </w:r>
    </w:p>
    <w:p>
      <w:pPr>
        <w:spacing w:after="0" w:line="51" w:lineRule="exact"/>
        <w:rPr>
          <w:sz w:val="20"/>
          <w:szCs w:val="20"/>
          <w:color w:val="auto"/>
        </w:rPr>
      </w:pPr>
    </w:p>
    <w:p>
      <w:pPr>
        <w:ind w:left="460" w:right="40" w:firstLine="443"/>
        <w:spacing w:after="0" w:line="256" w:lineRule="auto"/>
        <w:tabs>
          <w:tab w:leader="none" w:pos="1147" w:val="left"/>
        </w:tabs>
        <w:numPr>
          <w:ilvl w:val="0"/>
          <w:numId w:val="284"/>
        </w:numPr>
        <w:rPr>
          <w:rFonts w:ascii="Arial" w:cs="Arial" w:eastAsia="Arial" w:hAnsi="Arial"/>
          <w:sz w:val="18"/>
          <w:szCs w:val="18"/>
          <w:color w:val="auto"/>
        </w:rPr>
      </w:pPr>
      <w:r>
        <w:rPr>
          <w:rFonts w:ascii="Arial" w:cs="Arial" w:eastAsia="Arial" w:hAnsi="Arial"/>
          <w:sz w:val="18"/>
          <w:szCs w:val="18"/>
          <w:color w:val="auto"/>
        </w:rPr>
        <w:t>default under any mortgage, indenture or instrument under which there may be issued or by which there may be secured or evidenced any Indebtedness for money borrowed by Wynn Las Vegas or any of its Restricted Subsidiaries (or the payment of which is guaranteed by Wynn Las Vegas or any of its Restricted Subsidiaries), whether such Indebtedness or guarantee existed on the date of the Indenture, or is created after the date of the Indenture, if that default:</w:t>
      </w:r>
    </w:p>
    <w:p>
      <w:pPr>
        <w:spacing w:after="0" w:line="62" w:lineRule="exact"/>
        <w:rPr>
          <w:rFonts w:ascii="Arial" w:cs="Arial" w:eastAsia="Arial" w:hAnsi="Arial"/>
          <w:sz w:val="18"/>
          <w:szCs w:val="18"/>
          <w:color w:val="auto"/>
        </w:rPr>
      </w:pPr>
    </w:p>
    <w:p>
      <w:pPr>
        <w:ind w:left="920" w:right="280" w:firstLine="421"/>
        <w:spacing w:after="0" w:line="268" w:lineRule="auto"/>
        <w:tabs>
          <w:tab w:leader="none" w:pos="1579" w:val="left"/>
        </w:tabs>
        <w:numPr>
          <w:ilvl w:val="1"/>
          <w:numId w:val="284"/>
        </w:numPr>
        <w:rPr>
          <w:rFonts w:ascii="Arial" w:cs="Arial" w:eastAsia="Arial" w:hAnsi="Arial"/>
          <w:sz w:val="18"/>
          <w:szCs w:val="18"/>
          <w:color w:val="auto"/>
        </w:rPr>
      </w:pPr>
      <w:r>
        <w:rPr>
          <w:rFonts w:ascii="Arial" w:cs="Arial" w:eastAsia="Arial" w:hAnsi="Arial"/>
          <w:sz w:val="18"/>
          <w:szCs w:val="18"/>
          <w:color w:val="auto"/>
        </w:rPr>
        <w:t>is caused by a failure to pay principal of, or interest or premium, if any, on, such Indebtedness prior to the expiration of the grace period provided in such Indebtedness on the date of such default (a “Payment Default”); or</w:t>
      </w:r>
    </w:p>
    <w:p>
      <w:pPr>
        <w:spacing w:after="0" w:line="50" w:lineRule="exact"/>
        <w:rPr>
          <w:rFonts w:ascii="Arial" w:cs="Arial" w:eastAsia="Arial" w:hAnsi="Arial"/>
          <w:sz w:val="18"/>
          <w:szCs w:val="18"/>
          <w:color w:val="auto"/>
        </w:rPr>
      </w:pPr>
    </w:p>
    <w:p>
      <w:pPr>
        <w:ind w:left="920" w:right="240" w:firstLine="421"/>
        <w:spacing w:after="0" w:line="259" w:lineRule="auto"/>
        <w:tabs>
          <w:tab w:leader="none" w:pos="1588" w:val="left"/>
        </w:tabs>
        <w:numPr>
          <w:ilvl w:val="1"/>
          <w:numId w:val="284"/>
        </w:numPr>
        <w:rPr>
          <w:rFonts w:ascii="Arial" w:cs="Arial" w:eastAsia="Arial" w:hAnsi="Arial"/>
          <w:sz w:val="18"/>
          <w:szCs w:val="18"/>
          <w:color w:val="auto"/>
        </w:rPr>
      </w:pPr>
      <w:r>
        <w:rPr>
          <w:rFonts w:ascii="Arial" w:cs="Arial" w:eastAsia="Arial" w:hAnsi="Arial"/>
          <w:sz w:val="18"/>
          <w:szCs w:val="18"/>
          <w:color w:val="auto"/>
        </w:rPr>
        <w:t>results in the acceleration of such Indebtedness prior to its express maturity, and, in each case, the principal amount of any such Indebtedness, together with the principal amount of any other such Indebtedness under which there has been a Payment Default or the maturity of which has been so accelerated, aggregates $20.0 million or more;</w:t>
      </w:r>
    </w:p>
    <w:p>
      <w:pPr>
        <w:spacing w:after="0" w:line="59" w:lineRule="exact"/>
        <w:rPr>
          <w:rFonts w:ascii="Arial" w:cs="Arial" w:eastAsia="Arial" w:hAnsi="Arial"/>
          <w:sz w:val="18"/>
          <w:szCs w:val="18"/>
          <w:color w:val="auto"/>
        </w:rPr>
      </w:pPr>
    </w:p>
    <w:p>
      <w:pPr>
        <w:ind w:left="460" w:right="80" w:firstLine="443"/>
        <w:spacing w:after="0" w:line="259" w:lineRule="auto"/>
        <w:tabs>
          <w:tab w:leader="none" w:pos="1147" w:val="left"/>
        </w:tabs>
        <w:numPr>
          <w:ilvl w:val="0"/>
          <w:numId w:val="284"/>
        </w:numPr>
        <w:rPr>
          <w:rFonts w:ascii="Arial" w:cs="Arial" w:eastAsia="Arial" w:hAnsi="Arial"/>
          <w:sz w:val="18"/>
          <w:szCs w:val="18"/>
          <w:color w:val="auto"/>
        </w:rPr>
      </w:pPr>
      <w:r>
        <w:rPr>
          <w:rFonts w:ascii="Arial" w:cs="Arial" w:eastAsia="Arial" w:hAnsi="Arial"/>
          <w:sz w:val="18"/>
          <w:szCs w:val="18"/>
          <w:color w:val="auto"/>
        </w:rPr>
        <w:t>failure by Wynn Capital, Wynn Las Vegas or any of its Restricted Subsidiaries to pay final non-appealable judgments (not paid or covered by insurance as to which the relevant insurance company has not denied responsibility) aggregating in excess of $20.0 million, which judgments are not paid, bonded, discharged or stayed for a period of 60 days;</w:t>
      </w:r>
    </w:p>
    <w:p>
      <w:pPr>
        <w:spacing w:after="0" w:line="59" w:lineRule="exact"/>
        <w:rPr>
          <w:rFonts w:ascii="Arial" w:cs="Arial" w:eastAsia="Arial" w:hAnsi="Arial"/>
          <w:sz w:val="18"/>
          <w:szCs w:val="18"/>
          <w:color w:val="auto"/>
        </w:rPr>
      </w:pPr>
    </w:p>
    <w:p>
      <w:pPr>
        <w:ind w:left="460" w:firstLine="443"/>
        <w:spacing w:after="0" w:line="255" w:lineRule="auto"/>
        <w:tabs>
          <w:tab w:leader="none" w:pos="1147" w:val="left"/>
        </w:tabs>
        <w:numPr>
          <w:ilvl w:val="0"/>
          <w:numId w:val="284"/>
        </w:numPr>
        <w:rPr>
          <w:rFonts w:ascii="Arial" w:cs="Arial" w:eastAsia="Arial" w:hAnsi="Arial"/>
          <w:sz w:val="18"/>
          <w:szCs w:val="18"/>
          <w:color w:val="auto"/>
        </w:rPr>
      </w:pPr>
      <w:r>
        <w:rPr>
          <w:rFonts w:ascii="Arial" w:cs="Arial" w:eastAsia="Arial" w:hAnsi="Arial"/>
          <w:sz w:val="18"/>
          <w:szCs w:val="18"/>
          <w:color w:val="auto"/>
        </w:rPr>
        <w:t>any event of default under any of the Collateral Documents or any of the Collateral Documents shall cease, for any reason (other than pursuant to their terms), to be in full force and effect, or Wynn Capital, Wynn Las Vegas or any of its Restricted Subsidiaries or any Affiliate of any such Person or any Person acting on behalf of any such Person, shall so assert as to any of such Person’s properties or assets, or any security interest created, or purported to be created, by any of the Collateral Documents shall cease to be enforceable and of the same effect and priority purported to be created by the Collateral Documents;</w:t>
      </w:r>
    </w:p>
    <w:p>
      <w:pPr>
        <w:spacing w:after="0" w:line="61" w:lineRule="exact"/>
        <w:rPr>
          <w:rFonts w:ascii="Arial" w:cs="Arial" w:eastAsia="Arial" w:hAnsi="Arial"/>
          <w:sz w:val="18"/>
          <w:szCs w:val="18"/>
          <w:color w:val="auto"/>
        </w:rPr>
      </w:pPr>
    </w:p>
    <w:p>
      <w:pPr>
        <w:ind w:left="460" w:right="40" w:firstLine="443"/>
        <w:spacing w:after="0" w:line="294" w:lineRule="auto"/>
        <w:tabs>
          <w:tab w:leader="none" w:pos="1147" w:val="left"/>
        </w:tabs>
        <w:numPr>
          <w:ilvl w:val="0"/>
          <w:numId w:val="284"/>
        </w:numPr>
        <w:rPr>
          <w:rFonts w:ascii="Arial" w:cs="Arial" w:eastAsia="Arial" w:hAnsi="Arial"/>
          <w:sz w:val="16"/>
          <w:szCs w:val="16"/>
          <w:color w:val="auto"/>
        </w:rPr>
      </w:pPr>
      <w:r>
        <w:rPr>
          <w:rFonts w:ascii="Arial" w:cs="Arial" w:eastAsia="Arial" w:hAnsi="Arial"/>
          <w:sz w:val="16"/>
          <w:szCs w:val="16"/>
          <w:color w:val="auto"/>
        </w:rPr>
        <w:t>any material representation or warranty made or deemed made by Wynn Capital, Wynn Las Vegas or any of its Restricted Subsidiaries in any Collateral Document or that is contained in any certificate, document or financial or other statement furnished by it at any time under or in connection with any such Collateral Document shall prove to have been inaccurate in any material respect on or as of the date made or deemed made, except that the inaccuracy of any representation or warranty contained only in the Disbursement Agreement shall constitute an Event of Default hereunder only to the extent such inaccuracy constitutes an event of default under the Disbursement Agreement;</w:t>
      </w:r>
    </w:p>
    <w:p>
      <w:pPr>
        <w:spacing w:after="0" w:line="34" w:lineRule="exact"/>
        <w:rPr>
          <w:rFonts w:ascii="Arial" w:cs="Arial" w:eastAsia="Arial" w:hAnsi="Arial"/>
          <w:sz w:val="16"/>
          <w:szCs w:val="16"/>
          <w:color w:val="auto"/>
        </w:rPr>
      </w:pPr>
    </w:p>
    <w:p>
      <w:pPr>
        <w:jc w:val="both"/>
        <w:ind w:left="460" w:right="200" w:firstLine="443"/>
        <w:spacing w:after="0" w:line="256" w:lineRule="auto"/>
        <w:tabs>
          <w:tab w:leader="none" w:pos="1235" w:val="left"/>
        </w:tabs>
        <w:numPr>
          <w:ilvl w:val="0"/>
          <w:numId w:val="284"/>
        </w:numPr>
        <w:rPr>
          <w:rFonts w:ascii="Arial" w:cs="Arial" w:eastAsia="Arial" w:hAnsi="Arial"/>
          <w:sz w:val="18"/>
          <w:szCs w:val="18"/>
          <w:color w:val="auto"/>
        </w:rPr>
      </w:pPr>
      <w:r>
        <w:rPr>
          <w:rFonts w:ascii="Arial" w:cs="Arial" w:eastAsia="Arial" w:hAnsi="Arial"/>
          <w:sz w:val="18"/>
          <w:szCs w:val="18"/>
          <w:color w:val="auto"/>
        </w:rPr>
        <w:t>except as expressly permitted therein or by the Indenture, the Completion Guarantee or any Note Guarantee issued by a Significant Restricted Subsidiary of Wynn Las Vegas shall be held in any judicial proceeding to be unenforceable or invalid or shall cease for any reason to be in full force and effect or the Completion Guarantor or any Restricted Subsidiary of Wynn Las Vegas, or any Person acting on behalf of any such Person, shall deny or disaffirm its obligations under its Note Guarantee;</w:t>
      </w:r>
    </w:p>
    <w:p>
      <w:pPr>
        <w:spacing w:after="0" w:line="62" w:lineRule="exact"/>
        <w:rPr>
          <w:rFonts w:ascii="Arial" w:cs="Arial" w:eastAsia="Arial" w:hAnsi="Arial"/>
          <w:sz w:val="18"/>
          <w:szCs w:val="18"/>
          <w:color w:val="auto"/>
        </w:rPr>
      </w:pPr>
    </w:p>
    <w:p>
      <w:pPr>
        <w:ind w:left="460" w:firstLine="443"/>
        <w:spacing w:after="0" w:line="259" w:lineRule="auto"/>
        <w:tabs>
          <w:tab w:leader="none" w:pos="1228" w:val="left"/>
        </w:tabs>
        <w:numPr>
          <w:ilvl w:val="0"/>
          <w:numId w:val="284"/>
        </w:numPr>
        <w:rPr>
          <w:rFonts w:ascii="Arial" w:cs="Arial" w:eastAsia="Arial" w:hAnsi="Arial"/>
          <w:sz w:val="18"/>
          <w:szCs w:val="18"/>
          <w:color w:val="auto"/>
        </w:rPr>
      </w:pPr>
      <w:r>
        <w:rPr>
          <w:rFonts w:ascii="Arial" w:cs="Arial" w:eastAsia="Arial" w:hAnsi="Arial"/>
          <w:sz w:val="18"/>
          <w:szCs w:val="18"/>
          <w:color w:val="auto"/>
        </w:rPr>
        <w:t>certain events of bankruptcy or insolvency described in the Indenture with respect to (a) either Issuer, (b) any Significant Restricted Subsidiary of Wynn Las Vegas or (c) any group of Restricted Subsidiaries of Wynn Las Vegas that, taken together, would constitute a Significant Restricted Subsidiary of Wynn Las Vegas;</w:t>
      </w:r>
    </w:p>
    <w:p>
      <w:pPr>
        <w:spacing w:after="0" w:line="59" w:lineRule="exact"/>
        <w:rPr>
          <w:rFonts w:ascii="Arial" w:cs="Arial" w:eastAsia="Arial" w:hAnsi="Arial"/>
          <w:sz w:val="18"/>
          <w:szCs w:val="18"/>
          <w:color w:val="auto"/>
        </w:rPr>
      </w:pPr>
    </w:p>
    <w:p>
      <w:pPr>
        <w:ind w:left="460" w:firstLine="443"/>
        <w:spacing w:after="0" w:line="268" w:lineRule="auto"/>
        <w:tabs>
          <w:tab w:leader="none" w:pos="1235"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the revocation, termination, suspension or other cessation of effectiveness of any Gaming License which results in the cessation or suspension of gaming operations at any Gaming Facility for a period of more than 90 consecutive days; or</w:t>
      </w:r>
    </w:p>
    <w:p>
      <w:pPr>
        <w:spacing w:after="0" w:line="50" w:lineRule="exact"/>
        <w:rPr>
          <w:rFonts w:ascii="Arial" w:cs="Arial" w:eastAsia="Arial" w:hAnsi="Arial"/>
          <w:sz w:val="18"/>
          <w:szCs w:val="18"/>
          <w:color w:val="auto"/>
        </w:rPr>
      </w:pPr>
    </w:p>
    <w:p>
      <w:pPr>
        <w:ind w:left="1240" w:hanging="337"/>
        <w:spacing w:after="0"/>
        <w:tabs>
          <w:tab w:leader="none" w:pos="124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if Wynn Las Vegas ever fails to own, directly or indirectly, 100% of the issued and outstanding Equity Interests of Wynn Capital.</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400"/>
          </w:cols>
          <w:pgMar w:left="240" w:top="460" w:right="25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the case of an Event of Default arising from certain events of bankruptcy or insolvency, with respect to either Issuer, any Significant Restricted Subsidiary or any group of Restricted Subsidiaries that, taken together, would constitute a Significant Restricted Subsidiary, all outstanding 2020 Notes will become due and payable immediately without further action or notice. If any other Event of Default occurs and is continuing, the trustee or the holders of at least 25% in aggregate principal amount of the then outstanding 2020 Notes may declare all the 2020 Notes to be due and payable immediately.</w:t>
      </w:r>
    </w:p>
    <w:p>
      <w:pPr>
        <w:spacing w:after="0" w:line="11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Holders of the 2020 Notes may not enforce the Indenture or the 2020 Notes except as provided in the Indenture, the Intercreditor Agreement and the other Collateral Documents. Subject to certain limitations, holders of a majority in aggregate principal amount of the then outstanding 2020 Notes may direct the trustee in its exercise of any trust or power. The trustee may withhold from holders of the 2020 Notes notice of any continuing Default or Event of Default if it determines that withholding notice is in their interest, except a Default or Event of Default relating to the payment of principal, interest or premium, if any, or Liquidated Damages, if any.</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Subject to the provisions of the Indenture relating to the duties of the trustee, in case an Event of Default occurs and is continuing, the trustee will be under no obligation to exercise any of the rights or powers under the Indenture at the request or direction of any holders of 2020 Notes unless such holders have offered to the trustee reasonable indemnity or security against any loss, liability or expense. Except to enforce the right to receive payment of principal, interest or premium, if any, or Liquidated Damages, if any, when due, no holder of a 2020 Note may pursue any remedy with respect to the Indenture or the 2020 Notes unless:</w:t>
      </w:r>
    </w:p>
    <w:p>
      <w:pPr>
        <w:spacing w:after="0" w:line="62" w:lineRule="exact"/>
        <w:rPr>
          <w:sz w:val="20"/>
          <w:szCs w:val="20"/>
          <w:color w:val="auto"/>
        </w:rPr>
      </w:pPr>
    </w:p>
    <w:p>
      <w:pPr>
        <w:ind w:left="1160" w:hanging="257"/>
        <w:spacing w:after="0"/>
        <w:tabs>
          <w:tab w:leader="none" w:pos="116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such holder has previously given the trustee notice that an Event of Default is continuing;</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85"/>
        </w:numPr>
        <w:rPr>
          <w:rFonts w:ascii="Arial" w:cs="Arial" w:eastAsia="Arial" w:hAnsi="Arial"/>
          <w:sz w:val="16"/>
          <w:szCs w:val="16"/>
          <w:color w:val="auto"/>
        </w:rPr>
      </w:pPr>
      <w:r>
        <w:rPr>
          <w:rFonts w:ascii="Arial" w:cs="Arial" w:eastAsia="Arial" w:hAnsi="Arial"/>
          <w:sz w:val="16"/>
          <w:szCs w:val="16"/>
          <w:color w:val="auto"/>
        </w:rPr>
        <w:t>holders of at least 25% in aggregate principal amount of the then outstanding 2020 Notes have requested the trustee to pursue the remedy;</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such holders have offered the trustee reasonable security or indemnity against any loss, liability or expense;</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85"/>
        </w:numPr>
        <w:rPr>
          <w:rFonts w:ascii="Arial" w:cs="Arial" w:eastAsia="Arial" w:hAnsi="Arial"/>
          <w:sz w:val="16"/>
          <w:szCs w:val="16"/>
          <w:color w:val="auto"/>
        </w:rPr>
      </w:pPr>
      <w:r>
        <w:rPr>
          <w:rFonts w:ascii="Arial" w:cs="Arial" w:eastAsia="Arial" w:hAnsi="Arial"/>
          <w:sz w:val="16"/>
          <w:szCs w:val="16"/>
          <w:color w:val="auto"/>
        </w:rPr>
        <w:t>the trustee has not complied with such request within 60 days after the receipt of the request and the offer of security or indemnity; and</w:t>
      </w:r>
    </w:p>
    <w:p>
      <w:pPr>
        <w:spacing w:after="0" w:line="113" w:lineRule="exact"/>
        <w:rPr>
          <w:rFonts w:ascii="Arial" w:cs="Arial" w:eastAsia="Arial" w:hAnsi="Arial"/>
          <w:sz w:val="16"/>
          <w:szCs w:val="16"/>
          <w:color w:val="auto"/>
        </w:rPr>
      </w:pPr>
    </w:p>
    <w:p>
      <w:pPr>
        <w:ind w:left="460" w:right="200" w:firstLine="443"/>
        <w:spacing w:after="0" w:line="268" w:lineRule="auto"/>
        <w:tabs>
          <w:tab w:leader="none" w:pos="1147" w:val="left"/>
        </w:tabs>
        <w:numPr>
          <w:ilvl w:val="0"/>
          <w:numId w:val="285"/>
        </w:numPr>
        <w:rPr>
          <w:rFonts w:ascii="Arial" w:cs="Arial" w:eastAsia="Arial" w:hAnsi="Arial"/>
          <w:sz w:val="18"/>
          <w:szCs w:val="18"/>
          <w:color w:val="auto"/>
        </w:rPr>
      </w:pPr>
      <w:r>
        <w:rPr>
          <w:rFonts w:ascii="Arial" w:cs="Arial" w:eastAsia="Arial" w:hAnsi="Arial"/>
          <w:sz w:val="18"/>
          <w:szCs w:val="18"/>
          <w:color w:val="auto"/>
        </w:rPr>
        <w:t>holders of a majority in aggregate principal amount of the then outstanding 2020 Notes have not given the trustee a direction inconsistent with such request within such 60-day period.</w:t>
      </w:r>
    </w:p>
    <w:p>
      <w:pPr>
        <w:spacing w:after="0" w:line="132"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The holders of a majority in aggregate principal amount of the then outstanding 2020 Notes by notice to the trustee may, on behalf of the holders of all of the 2020 Notes, rescind an acceleration or waive any existing Default or Event of Default and its consequences under the Indenture, except a continuing Default or Event of Default in the payment of interest or premium, if any, or Liquidated Damages, if any, on, or the principal of, the 2020 Notes.</w:t>
      </w:r>
    </w:p>
    <w:p>
      <w:pPr>
        <w:spacing w:after="0" w:line="107" w:lineRule="exact"/>
        <w:rPr>
          <w:sz w:val="20"/>
          <w:szCs w:val="20"/>
          <w:color w:val="auto"/>
        </w:rPr>
      </w:pPr>
    </w:p>
    <w:p>
      <w:pPr>
        <w:ind w:right="340" w:firstLine="456"/>
        <w:spacing w:after="0" w:line="370" w:lineRule="auto"/>
        <w:rPr>
          <w:sz w:val="20"/>
          <w:szCs w:val="20"/>
          <w:color w:val="auto"/>
        </w:rPr>
      </w:pPr>
      <w:r>
        <w:rPr>
          <w:rFonts w:ascii="Arial" w:cs="Arial" w:eastAsia="Arial" w:hAnsi="Arial"/>
          <w:sz w:val="15"/>
          <w:szCs w:val="15"/>
          <w:color w:val="auto"/>
        </w:rPr>
        <w:t>The Issuers are required to deliver to the trustee annually a statement regarding compliance with the Indenture and the Collateral Documents. Upon becoming aware of any Default or Event of Default, the Issuers are required to deliver to the trustee a statement specifying such Default or Event of Default.</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Remedies upon Default Under the 2020 Notes</w:t>
      </w:r>
    </w:p>
    <w:p>
      <w:pPr>
        <w:spacing w:after="0" w:line="90"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Under certain circumstances, the trustee may initiate a foreclosure against all or a portion of the Collateral if an Event of Default has occurred and is continuing. A foreclosure against the Collateral will be subject to certain notice and other procedural limitations under Gaming Laws and laws applicable to secured creditors generally, and to the provisions of the Intercreditor Agreement.</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340"/>
          </w:cols>
          <w:pgMar w:left="240" w:top="460" w:right="31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Enforcement of Collateral Documents</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Generally, if an Event of Default occurs, subject to the provisions of the Intercreditor Agreement and the Indenture, the trustee, acting on behalf of the holders, can enforce its rights and remedies under the Indenture and the Collateral Documents. These remedies include (1) commencing a judicial proceeding to seek monetary judgments against either Issuer, any Restricted Subsidiary of Wynn Las Vegas or any Guarantor, (2) foreclosing on and selling the Collateral covered by the Deeds of Trust and perfected Liens on personal property Collateral, and (3) enforcing the assignments of rents and leases. However, as long as any Indebtedness is outstanding under our credit facilities or any of the 2014 Notes remain outstanding, the holders of the 2020 Notes will not have right to direct the collateral agent to enforce remedies against the Collateral. All proceeds of the Collateral must be shared on a pari passu basis with the lenders under our Credit Agreement, the holders of the 2017 Notes, the holders of the 2014 Notes and any other Pari Passu Debt in accordance with the sharing provisions of the Indenture and the Intercreditor Agreement. In addition, legal and procedural restrictions may impair the exercise by the trustee of its rights and remedies. See “—Gaming Law Limitations on Foreclosure,” “—Bankruptcy Limitations on Foreclosure” and “—Real Property Collateral.”</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Rights in the Pledged Collateral</w:t>
      </w:r>
    </w:p>
    <w:p>
      <w:pPr>
        <w:spacing w:after="0" w:line="90" w:lineRule="exact"/>
        <w:rPr>
          <w:sz w:val="20"/>
          <w:szCs w:val="20"/>
          <w:color w:val="auto"/>
        </w:rPr>
      </w:pPr>
    </w:p>
    <w:p>
      <w:pPr>
        <w:ind w:right="240" w:firstLine="456"/>
        <w:spacing w:after="0" w:line="254" w:lineRule="auto"/>
        <w:rPr>
          <w:sz w:val="20"/>
          <w:szCs w:val="20"/>
          <w:color w:val="auto"/>
        </w:rPr>
      </w:pPr>
      <w:r>
        <w:rPr>
          <w:rFonts w:ascii="Arial" w:cs="Arial" w:eastAsia="Arial" w:hAnsi="Arial"/>
          <w:sz w:val="18"/>
          <w:szCs w:val="18"/>
          <w:color w:val="auto"/>
        </w:rPr>
        <w:t>So long as no Event of Default shall have occurred and be continuing, and subject to certain terms and conditions in the Indenture, the Intercreditor Agreement and the other Collateral Documents, Wynn Las Vegas and each Guarantor will be entitled to receive the benefit of all cash dividends, interest and other payments made upon or with respect to the Collateral pledged by that entity and to exercise any voting and other consensual rights pertaining to the Collateral pledged by that entity. Upon the occurrence and during the continuance of an Event of Default and, subject to the terms of the Collateral Documents and the limitations in the Intercreditor Agreement and the exercise by the trustee of its rights under the Collateral Documents and subject to applicable Gaming Laws:</w:t>
      </w:r>
    </w:p>
    <w:p>
      <w:pPr>
        <w:spacing w:after="0" w:line="63" w:lineRule="exact"/>
        <w:rPr>
          <w:sz w:val="20"/>
          <w:szCs w:val="20"/>
          <w:color w:val="auto"/>
        </w:rPr>
      </w:pPr>
    </w:p>
    <w:p>
      <w:pPr>
        <w:ind w:left="460" w:right="120" w:firstLine="443"/>
        <w:spacing w:after="0" w:line="357" w:lineRule="auto"/>
        <w:tabs>
          <w:tab w:leader="none" w:pos="1147" w:val="left"/>
        </w:tabs>
        <w:numPr>
          <w:ilvl w:val="0"/>
          <w:numId w:val="286"/>
        </w:numPr>
        <w:rPr>
          <w:rFonts w:ascii="Arial" w:cs="Arial" w:eastAsia="Arial" w:hAnsi="Arial"/>
          <w:sz w:val="15"/>
          <w:szCs w:val="15"/>
          <w:color w:val="auto"/>
        </w:rPr>
      </w:pPr>
      <w:r>
        <w:rPr>
          <w:rFonts w:ascii="Arial" w:cs="Arial" w:eastAsia="Arial" w:hAnsi="Arial"/>
          <w:sz w:val="15"/>
          <w:szCs w:val="15"/>
          <w:color w:val="auto"/>
        </w:rPr>
        <w:t>upon receipt by the affected entity of notice from the trustee so stating, all rights of such entity to exercise such voting or other consensual rights will cease, and all such rights shall become vested in the trustee which, to the extent permitted by law, will have the sole right to exercise such rights;</w:t>
      </w:r>
    </w:p>
    <w:p>
      <w:pPr>
        <w:ind w:left="460" w:right="120" w:firstLine="443"/>
        <w:spacing w:after="0" w:line="268" w:lineRule="auto"/>
        <w:tabs>
          <w:tab w:leader="none" w:pos="1147" w:val="left"/>
        </w:tabs>
        <w:numPr>
          <w:ilvl w:val="0"/>
          <w:numId w:val="286"/>
        </w:numPr>
        <w:rPr>
          <w:rFonts w:ascii="Arial" w:cs="Arial" w:eastAsia="Arial" w:hAnsi="Arial"/>
          <w:sz w:val="18"/>
          <w:szCs w:val="18"/>
          <w:color w:val="auto"/>
        </w:rPr>
      </w:pPr>
      <w:r>
        <w:rPr>
          <w:rFonts w:ascii="Arial" w:cs="Arial" w:eastAsia="Arial" w:hAnsi="Arial"/>
          <w:sz w:val="18"/>
          <w:szCs w:val="18"/>
          <w:color w:val="auto"/>
        </w:rPr>
        <w:t>all rights of the entity to receive all cash dividends, interest and other payments made upon, or with respect to, the Collateral will cease and such cash dividends, interest and other payments will be paid to the trustee; and</w:t>
      </w:r>
    </w:p>
    <w:p>
      <w:pPr>
        <w:spacing w:after="0" w:line="50" w:lineRule="exact"/>
        <w:rPr>
          <w:rFonts w:ascii="Arial" w:cs="Arial" w:eastAsia="Arial" w:hAnsi="Arial"/>
          <w:sz w:val="18"/>
          <w:szCs w:val="18"/>
          <w:color w:val="auto"/>
        </w:rPr>
      </w:pPr>
    </w:p>
    <w:p>
      <w:pPr>
        <w:ind w:left="460" w:right="320" w:firstLine="443"/>
        <w:spacing w:after="0" w:line="332" w:lineRule="auto"/>
        <w:tabs>
          <w:tab w:leader="none" w:pos="1147" w:val="left"/>
        </w:tabs>
        <w:numPr>
          <w:ilvl w:val="0"/>
          <w:numId w:val="286"/>
        </w:numPr>
        <w:rPr>
          <w:rFonts w:ascii="Arial" w:cs="Arial" w:eastAsia="Arial" w:hAnsi="Arial"/>
          <w:sz w:val="16"/>
          <w:szCs w:val="16"/>
          <w:color w:val="auto"/>
        </w:rPr>
      </w:pPr>
      <w:r>
        <w:rPr>
          <w:rFonts w:ascii="Arial" w:cs="Arial" w:eastAsia="Arial" w:hAnsi="Arial"/>
          <w:sz w:val="16"/>
          <w:szCs w:val="16"/>
          <w:color w:val="auto"/>
        </w:rPr>
        <w:t>subject to applicable law, including procedural restraints imposed on sales of collateral by secured creditors generally, the trustee may sell the Collateral or any part thereof in accordance with the terms of the Indenture, the Intercreditor Agreement and the other Collateral Documents.</w:t>
      </w:r>
    </w:p>
    <w:p>
      <w:pPr>
        <w:spacing w:after="0" w:line="85"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Nothing contained in this paragraph shall be deemed to restrict the ability of Wynn Las Vegas to make the Restricted Payments permitted to be made during the occurrence of an Event of Default under the covenant described above under the caption “—Certain Covenants—Restricted Payments.”</w:t>
      </w:r>
    </w:p>
    <w:p>
      <w:pPr>
        <w:spacing w:after="0" w:line="85" w:lineRule="exact"/>
        <w:rPr>
          <w:sz w:val="20"/>
          <w:szCs w:val="20"/>
          <w:color w:val="auto"/>
        </w:rPr>
      </w:pPr>
    </w:p>
    <w:p>
      <w:pPr>
        <w:jc w:val="both"/>
        <w:ind w:right="380" w:firstLine="456"/>
        <w:spacing w:after="0" w:line="335" w:lineRule="auto"/>
        <w:rPr>
          <w:sz w:val="20"/>
          <w:szCs w:val="20"/>
          <w:color w:val="auto"/>
        </w:rPr>
      </w:pPr>
      <w:r>
        <w:rPr>
          <w:rFonts w:ascii="Arial" w:cs="Arial" w:eastAsia="Arial" w:hAnsi="Arial"/>
          <w:sz w:val="15"/>
          <w:szCs w:val="15"/>
          <w:color w:val="auto"/>
        </w:rPr>
        <w:t>The trustee may appoint one or more collateral agents, who may be delegated any one or more of the duties or rights of the trustee under the Collateral Documents, or who may enter into one or more of the Collateral Documents on behalf of the trustee. The initial collateral agent will be Deutsche Bank Trust Company Americas. The same collateral agent may also act on behalf of the lenders under the Credit Agreement and other creditors of Wynn Las Vegas.</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Intercreditor Agreement</w:t>
      </w:r>
    </w:p>
    <w:p>
      <w:pPr>
        <w:spacing w:after="0" w:line="90"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The Intercreditor Agreement imposes restrictions on the exercise of rights and remedies by the holders of the 2020 Notes with respect to the Collateral, including the ability to amend or modify the Collateral Documents and the ability to release the Collateral. See “Intercreditor Agreement.”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420"/>
          </w:cols>
          <w:pgMar w:left="240" w:top="460" w:right="2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Gaming Law Limitations on Granting of Security Interests</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ability of Wynn Las Vegas or any Guarantor to grant security interests in the Collateral is limited by Nevada Gaming Laws. Under Nevada Gaming Laws, none of Wynn Las Vegas or the Guarantors may grant a security interest in (1) the gaming, liquor and other licenses issued to them by the Nevada Gaming Authorities or (2) unless consented to in advance by the Nevada Gaming Authorities, the ownership interests of any person that holds any such license.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Gaming Law Limitations on Foreclosure</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trustee’s ability to foreclose upon the Collateral will be limited by Nevada Gaming Laws. These laws require that persons who own or operate a casino or own or lease gambling equipment or gambling supplies hold a Gaming License. No person can hold a Gaming License in Nevada unless the person is found qualified or suitable by the Nevada Gaming Authorities. During any foreclosure proceeding, the trustee could seek the appointment of a receiver through a petition to the appropriate Nevada state court to take possession of the Collateral. The receiver may be required to obtain the approval of the Nevada Gaming Authorities to continue gaming operations until the foreclosure sale. If the trustee acquired the Collateral in a foreclosure sale, it may contract for the operation of the Collateral by an independent operator who would be required to comply with the licensing requirements and other restrictions imposed by the Nevada Gaming Authorities, pursuant to an arrangement under which the holders of the 2020 Notes would not share in the profits or losses of gaming operations. In addition, if the trustee acquires and operates the Collateral, the trustee and the holders of the 2020 Notes will, if they share in the profits and losses, and may, in any event, be required to comply with the licensing requirements under the Nevada Gaming Laws. In any foreclosure sale, licensing requirements under the Nevada Gaming Control Act may limit the number of potential bidders and may delay the sale of the Collateral, either of which could adversely affect the sale price of the Collateral. See “Risk Factors—Risks Related to the 2020 Notes—Bankruptcy laws may significantly impair your rights to repossess and dispose of collateral securing the 2020 Notes, and otherwise collect on any amounts due thereunder” and “—In the event that a bankruptcy court orders the substantive consolidation of us with certain affiliated parties, payments on the 2020 Notes could be delayed or reduced.”</w:t>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Bankruptcy Limitations on Foreclosure</w:t>
      </w:r>
    </w:p>
    <w:p>
      <w:pPr>
        <w:spacing w:after="0" w:line="90"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The right of the trustee to repossess and dispose of Collateral upon the occurrence of an Event of Default is likely to be significantly impaired by applicable bankruptcy and insolvency laws if a proceeding under those laws were to be commenced by or against Wynn Resorts or any of its Subsidiaries prior to the trustee having repossessed and disposed of the Collateral. Under the Bankruptcy Code, a secured creditor, such as the trustee, is prohibited from repossessing its security from a debtor in a bankruptcy case, or from disposing of security repossessed from such debtor, without bankruptcy court approval.</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addition, the Bankruptcy Code permits a debtor to continue to retain and to use collateral (and the proceeds, products, offspring, rents or profits of that collateral) even though the debtor is in default under the applicable debt instruments, so long as the secured creditor is given “adequate protection.” The meaning of the term “adequate protection” may vary according to the circumstances, but it is intended in general to protect the value of the secured creditor’s interest in the collateral and may include, if approved by the bankruptcy court, cash payments or the granting of replacement liens or additional security for any diminution in the value of the collateral as a result of the stay of repossession or the disposition or any use of the collateral by the debtor during the pendency of the bankruptcy case. The bankruptcy court has broad discretionary powers in all these matters, including the valuation of the collateral and the nature, accessibility or value of any other collateral that may be substituted for it. Also, since the enforcement of the trustee’s security interest in the Collateral consisting of cash, deposit accounts and cash equivalents may be limited in a bankruptcy proceeding, the holders may not have any consent rights with respect to the use of those funds by Wynn Resorts or any of its Subsidiaries during the pendency of the proceeding.</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420"/>
          </w:cols>
          <w:pgMar w:left="240" w:top="459" w:right="2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view of these considerations, we cannot predict how long payments under the 2020 Notes could be delayed following commencement of a bankruptcy case, whether or when the trustee could repossess or dispose of the Collateral or whether or to what extent holders would be compensated for any delay in payment or loss of value of the Collateral.</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Real Property Collateral</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Before pursuing any foreclosures or otherwise executing on any of the Collateral, the trustee will need to consider the effect of Nevada law, which requires that where a debt is secured by real property, the debtor may require the creditor to exhaust its real property security before pursuing a judicial proceeding to obtain a monetary judgment against the debtor. If a creditor attempts to collect the indebtedness without first exercising its remedies under its deed of trust, the debtor could defend such action by requiring the creditor to first exhaust its rights under the deed of trust through statutory foreclosure proceedings. If, however, the debtor permitted the creditor to obtain a judgment without first exhausting remedies under the deed of trust, assuming such action was not stayed or dismissed before the entry of a final monetary judgment, then under Nevada law the security interest granted by the deed of trust would be released and discharged. This Nevada law is referred to as the “one action” rule.</w:t>
      </w:r>
    </w:p>
    <w:p>
      <w:pPr>
        <w:spacing w:after="0" w:line="118"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Real property pledged as security may be subject to known and unknown environmental risks or liabilities which can adversely affect the property’s value. In addition, under the federal Comprehensive Environmental Response Compensation and Liability Act, as amended, known as CERCLA, for example, a secured lender may be held liable, in certain limited circumstances, for the costs of remediating a release of or preventing a threatened release of hazardous substances at a mortgaged property. There may be similar risks under state laws or common law theories.</w:t>
      </w:r>
    </w:p>
    <w:p>
      <w:pPr>
        <w:spacing w:after="0" w:line="11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Under CERCLA, a person “who, without participating in the management of a facility, holds indicia of ownership primarily to protect his security interest” is not a property owner, and thus not a responsible person under CERCLA. Lenders have seldom been held liable under CERCLA. The lenders who have been found liable have generally been found to have been sufficiently involved in the mortgagor’s operations so that they have “participated in the management of the borrower.” CERCLA does not specify the level of actual participation in management. CERCLA was amended in 1996 to provide certain “safe harbors” for foreclosing lenders. However, the courts have not yet issued any definitive interpretations of the extent of these safe harbors. There is currently no controlling authority on this matter.</w:t>
      </w:r>
    </w:p>
    <w:p>
      <w:pPr>
        <w:spacing w:after="0" w:line="144"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trustee may appoint one or more collateral agents, who may be delegated any one or more of the duties or rights of the trustee under the Collateral Documents or which are specified in any Collateral Documents.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and Stockholders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No past, present or future director, officer, employee, incorporator, organizer, equity holder or member of either Issuer, any Restricted Subsidiary or any Guarantor, as such, will have any liability for any obligations of either Issuer, any Restricted Subsidiary or any Guarantor under the 2020 Notes, the Indenture, the Note Guarantees, the Collateral Documents or for any claim based on, in respect of, or by reason of, such obligations or their creation. Each holder of 2020 Notes by accepting a 2020 Note waives and releases all such liability. The waiver and release are part of the consideration for issuance of the 2020 Notes. The waiver may not be effective to waive liabilities under the federal securities laws.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420"/>
          </w:cols>
          <w:pgMar w:left="240" w:top="459" w:right="2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Issuers may, at their option and at any time, elect to have all of their obligations discharged with respect to the outstanding 2020 Notes, all of the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obligations of the Guarantors discharged with respect to their Note Guarantees, and all obligations of the Issuers and the Guarantors discharged with respect to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Collateral Documents (“Legal Defeasance”) except for:</w:t>
      </w:r>
    </w:p>
    <w:p>
      <w:pPr>
        <w:spacing w:after="0" w:line="84" w:lineRule="exact"/>
        <w:rPr>
          <w:sz w:val="20"/>
          <w:szCs w:val="20"/>
          <w:color w:val="auto"/>
        </w:rPr>
      </w:pPr>
    </w:p>
    <w:p>
      <w:pPr>
        <w:ind w:left="460" w:right="700" w:firstLine="443"/>
        <w:spacing w:after="0" w:line="268" w:lineRule="auto"/>
        <w:tabs>
          <w:tab w:leader="none" w:pos="1147"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rights of holders of outstanding 2020 Notes to receive payments in respect of the principal of, or interest or premium and Liquidated Damages, if any, on, such 2020 Notes when such payments are due from the trust referred to below;</w:t>
      </w:r>
    </w:p>
    <w:p>
      <w:pPr>
        <w:spacing w:after="0" w:line="50" w:lineRule="exact"/>
        <w:rPr>
          <w:rFonts w:ascii="Arial" w:cs="Arial" w:eastAsia="Arial" w:hAnsi="Arial"/>
          <w:sz w:val="18"/>
          <w:szCs w:val="18"/>
          <w:color w:val="auto"/>
        </w:rPr>
      </w:pPr>
    </w:p>
    <w:p>
      <w:pPr>
        <w:ind w:left="460" w:right="340" w:firstLine="443"/>
        <w:spacing w:after="0" w:line="332" w:lineRule="auto"/>
        <w:tabs>
          <w:tab w:leader="none" w:pos="1147" w:val="left"/>
        </w:tabs>
        <w:numPr>
          <w:ilvl w:val="0"/>
          <w:numId w:val="287"/>
        </w:numPr>
        <w:rPr>
          <w:rFonts w:ascii="Arial" w:cs="Arial" w:eastAsia="Arial" w:hAnsi="Arial"/>
          <w:sz w:val="16"/>
          <w:szCs w:val="16"/>
          <w:color w:val="auto"/>
        </w:rPr>
      </w:pPr>
      <w:r>
        <w:rPr>
          <w:rFonts w:ascii="Arial" w:cs="Arial" w:eastAsia="Arial" w:hAnsi="Arial"/>
          <w:sz w:val="16"/>
          <w:szCs w:val="16"/>
          <w:color w:val="auto"/>
        </w:rPr>
        <w:t>the Issuers’ obligations with respect to the 2020 Notes concerning issuing temporary notes, registration of notes, mutilated, destroyed, lost or stolen notes and the maintenance of an office or agency for payment and money for security payments held in trust;</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0"/>
          <w:numId w:val="287"/>
        </w:numPr>
        <w:rPr>
          <w:rFonts w:ascii="Arial" w:cs="Arial" w:eastAsia="Arial" w:hAnsi="Arial"/>
          <w:sz w:val="16"/>
          <w:szCs w:val="16"/>
          <w:color w:val="auto"/>
        </w:rPr>
      </w:pPr>
      <w:r>
        <w:rPr>
          <w:rFonts w:ascii="Arial" w:cs="Arial" w:eastAsia="Arial" w:hAnsi="Arial"/>
          <w:sz w:val="16"/>
          <w:szCs w:val="16"/>
          <w:color w:val="auto"/>
        </w:rPr>
        <w:t>the rights, powers, trusts, duties and immunities of the trustee, the Issuers’ and the Guarantors’ obligations in connection therewith; and</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Legal Defeasance and Covenant Defeasance provisions of the Indenture.</w:t>
      </w:r>
    </w:p>
    <w:p>
      <w:pPr>
        <w:spacing w:after="0" w:line="17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addition, the Issuers may, at their option and at any time, elect to have the obligations of the Issuers, the Restricted Subsidiaries of Wynn Las Vegas and the Guarantors released with respect to certain covenants (including its obligation to make Change of Control Offers, Asset Sale Offers and Event of Loss Offers) that are described in the Indenture (“Covenant Defeasance”) and thereafter any omission to comply with those covenants will not constitute a Default or Event of Default with respect to the 2020 Notes. In the event Covenant Defeasance occurs, certain events (not including non-payment, bankruptcy, receivership, rehabilitation and insolvency events) described under the caption “—Events of Default and Remedies” will no longer constitute an Event of Default with respect to the 2020 Notes.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exercise either Legal Defeasance or Covenant Defeasance:</w:t>
      </w:r>
    </w:p>
    <w:p>
      <w:pPr>
        <w:spacing w:after="0" w:line="90" w:lineRule="exact"/>
        <w:rPr>
          <w:sz w:val="20"/>
          <w:szCs w:val="20"/>
          <w:color w:val="auto"/>
        </w:rPr>
      </w:pPr>
    </w:p>
    <w:p>
      <w:pPr>
        <w:ind w:left="460" w:right="40" w:firstLine="443"/>
        <w:spacing w:after="0" w:line="294" w:lineRule="auto"/>
        <w:tabs>
          <w:tab w:leader="none" w:pos="1147" w:val="left"/>
        </w:tabs>
        <w:numPr>
          <w:ilvl w:val="1"/>
          <w:numId w:val="288"/>
        </w:numPr>
        <w:rPr>
          <w:rFonts w:ascii="Arial" w:cs="Arial" w:eastAsia="Arial" w:hAnsi="Arial"/>
          <w:sz w:val="16"/>
          <w:szCs w:val="16"/>
          <w:color w:val="auto"/>
        </w:rPr>
      </w:pPr>
      <w:r>
        <w:rPr>
          <w:rFonts w:ascii="Arial" w:cs="Arial" w:eastAsia="Arial" w:hAnsi="Arial"/>
          <w:sz w:val="16"/>
          <w:szCs w:val="16"/>
          <w:color w:val="auto"/>
        </w:rPr>
        <w:t>the Issuers must irrevocably deposit with the trustee, in trust, for the benefit of the holders of the 2020 Notes, cash in U.S. dollars, non-callable Government Securities, or a combination of cash in U.S. dollars and non-callable Government Securities, in amounts as will be sufficient, in the opinion of a nationally recognized investment bank, appraisal firm or firm of independent public accountants, to pay the principal of, or interest and premium and Liquidated Damages, if any, on, the outstanding 2020 Notes on the stated date for payment thereof or on the applicable redemption date, as the case may be, and the Issuers must specify whether the 2020 Notes are being defeased to such stated date for payment or to a particular redemption date;</w:t>
      </w:r>
    </w:p>
    <w:p>
      <w:pPr>
        <w:spacing w:after="0" w:line="34" w:lineRule="exact"/>
        <w:rPr>
          <w:rFonts w:ascii="Arial" w:cs="Arial" w:eastAsia="Arial" w:hAnsi="Arial"/>
          <w:sz w:val="16"/>
          <w:szCs w:val="16"/>
          <w:color w:val="auto"/>
        </w:rPr>
      </w:pPr>
    </w:p>
    <w:p>
      <w:pPr>
        <w:ind w:left="1160" w:hanging="257"/>
        <w:spacing w:after="0"/>
        <w:tabs>
          <w:tab w:leader="none" w:pos="1160" w:val="left"/>
        </w:tabs>
        <w:numPr>
          <w:ilvl w:val="1"/>
          <w:numId w:val="288"/>
        </w:numPr>
        <w:rPr>
          <w:rFonts w:ascii="Arial" w:cs="Arial" w:eastAsia="Arial" w:hAnsi="Arial"/>
          <w:sz w:val="15"/>
          <w:szCs w:val="15"/>
          <w:color w:val="auto"/>
        </w:rPr>
      </w:pPr>
      <w:r>
        <w:rPr>
          <w:rFonts w:ascii="Arial" w:cs="Arial" w:eastAsia="Arial" w:hAnsi="Arial"/>
          <w:sz w:val="15"/>
          <w:szCs w:val="15"/>
          <w:color w:val="auto"/>
        </w:rPr>
        <w:t>in the case of Legal Defeasance, the Issuers must deliver to the trustee an opinion of counsel reasonably acceptable to the trustee confirming that</w:t>
      </w:r>
    </w:p>
    <w:p>
      <w:pPr>
        <w:spacing w:after="0" w:line="49" w:lineRule="exact"/>
        <w:rPr>
          <w:rFonts w:ascii="Arial" w:cs="Arial" w:eastAsia="Arial" w:hAnsi="Arial"/>
          <w:sz w:val="15"/>
          <w:szCs w:val="15"/>
          <w:color w:val="auto"/>
        </w:rPr>
      </w:pPr>
    </w:p>
    <w:p>
      <w:pPr>
        <w:ind w:left="460" w:right="100" w:firstLine="4"/>
        <w:spacing w:after="0" w:line="292" w:lineRule="auto"/>
        <w:tabs>
          <w:tab w:leader="none" w:pos="699" w:val="left"/>
        </w:tabs>
        <w:numPr>
          <w:ilvl w:val="0"/>
          <w:numId w:val="289"/>
        </w:numPr>
        <w:rPr>
          <w:rFonts w:ascii="Arial" w:cs="Arial" w:eastAsia="Arial" w:hAnsi="Arial"/>
          <w:sz w:val="16"/>
          <w:szCs w:val="16"/>
          <w:color w:val="auto"/>
        </w:rPr>
      </w:pPr>
      <w:r>
        <w:rPr>
          <w:rFonts w:ascii="Arial" w:cs="Arial" w:eastAsia="Arial" w:hAnsi="Arial"/>
          <w:sz w:val="16"/>
          <w:szCs w:val="16"/>
          <w:color w:val="auto"/>
        </w:rPr>
        <w:t>the Issuers have received from, or there has been published by, the Internal Revenue Service a ruling or (b) since the date of the Indenture, there has been a change in the applicable United States federal income tax law, in either case to the effect that, and based thereon such opinion of counsel shall confirm that, the holders of the outstanding 2020 Notes will not recognize income, gain or loss for United States federal income tax purposes as a result of such Legal Defeasance and will be subject to United States federal income tax on the same amounts, in the same manner and at the same times as would have been the case if such Legal Defeasance had not occurred;</w:t>
      </w:r>
    </w:p>
    <w:p>
      <w:pPr>
        <w:spacing w:after="0" w:line="35" w:lineRule="exact"/>
        <w:rPr>
          <w:rFonts w:ascii="Arial" w:cs="Arial" w:eastAsia="Arial" w:hAnsi="Arial"/>
          <w:sz w:val="16"/>
          <w:szCs w:val="16"/>
          <w:color w:val="auto"/>
        </w:rPr>
      </w:pPr>
    </w:p>
    <w:p>
      <w:pPr>
        <w:ind w:left="460" w:right="120" w:firstLine="443"/>
        <w:spacing w:after="0" w:line="256" w:lineRule="auto"/>
        <w:tabs>
          <w:tab w:leader="none" w:pos="1147" w:val="left"/>
        </w:tabs>
        <w:numPr>
          <w:ilvl w:val="1"/>
          <w:numId w:val="289"/>
        </w:numPr>
        <w:rPr>
          <w:rFonts w:ascii="Arial" w:cs="Arial" w:eastAsia="Arial" w:hAnsi="Arial"/>
          <w:sz w:val="18"/>
          <w:szCs w:val="18"/>
          <w:color w:val="auto"/>
        </w:rPr>
      </w:pPr>
      <w:r>
        <w:rPr>
          <w:rFonts w:ascii="Arial" w:cs="Arial" w:eastAsia="Arial" w:hAnsi="Arial"/>
          <w:sz w:val="18"/>
          <w:szCs w:val="18"/>
          <w:color w:val="auto"/>
        </w:rPr>
        <w:t>in the case of Covenant Defeasance, the Issuers must deliver to the trustee an opinion of counsel reasonably acceptable to the trustee confirming that the holders of the outstanding 2020 Notes will not recognize income, gain or loss for United States federal income tax purposes as a result of such Covenant Defeasance and will be subject to United States federal income tax on the same amounts, in the same manner and at the same times as would have been the case if such Covenant Defeasance had not occurred;</w:t>
      </w:r>
    </w:p>
    <w:p>
      <w:pPr>
        <w:spacing w:after="0" w:line="62" w:lineRule="exact"/>
        <w:rPr>
          <w:rFonts w:ascii="Arial" w:cs="Arial" w:eastAsia="Arial" w:hAnsi="Arial"/>
          <w:sz w:val="18"/>
          <w:szCs w:val="18"/>
          <w:color w:val="auto"/>
        </w:rPr>
      </w:pPr>
    </w:p>
    <w:p>
      <w:pPr>
        <w:ind w:left="460" w:right="40" w:firstLine="443"/>
        <w:spacing w:after="0" w:line="268" w:lineRule="auto"/>
        <w:tabs>
          <w:tab w:leader="none" w:pos="1147" w:val="left"/>
        </w:tabs>
        <w:numPr>
          <w:ilvl w:val="1"/>
          <w:numId w:val="289"/>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on the date of such deposit (other than a Default or Event of Default resulting from the borrowing of funds to be applied to such deposit)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400"/>
          </w:cols>
          <w:pgMar w:left="240" w:top="460" w:right="25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spacing w:after="0" w:line="268" w:lineRule="auto"/>
        <w:rPr>
          <w:sz w:val="20"/>
          <w:szCs w:val="20"/>
          <w:color w:val="auto"/>
        </w:rPr>
      </w:pPr>
      <w:r>
        <w:rPr>
          <w:rFonts w:ascii="Arial" w:cs="Arial" w:eastAsia="Arial" w:hAnsi="Arial"/>
          <w:sz w:val="18"/>
          <w:szCs w:val="18"/>
          <w:color w:val="auto"/>
        </w:rPr>
        <w:t>the deposit will not result in a breach or violation of, or constitute a default under, any other instrument to which either Issuer, any Restricted Subsidiary or any Guarantor is a party or by which either Issuer, any Restricted Subsidiary or any Guarantor is bound;</w:t>
      </w:r>
    </w:p>
    <w:p>
      <w:pPr>
        <w:spacing w:after="0" w:line="51" w:lineRule="exact"/>
        <w:rPr>
          <w:sz w:val="20"/>
          <w:szCs w:val="20"/>
          <w:color w:val="auto"/>
        </w:rPr>
      </w:pPr>
    </w:p>
    <w:p>
      <w:pPr>
        <w:jc w:val="both"/>
        <w:ind w:left="460" w:firstLine="443"/>
        <w:spacing w:after="0" w:line="259" w:lineRule="auto"/>
        <w:tabs>
          <w:tab w:leader="none" w:pos="1147" w:val="left"/>
        </w:tabs>
        <w:numPr>
          <w:ilvl w:val="0"/>
          <w:numId w:val="290"/>
        </w:numPr>
        <w:rPr>
          <w:rFonts w:ascii="Arial" w:cs="Arial" w:eastAsia="Arial" w:hAnsi="Arial"/>
          <w:sz w:val="18"/>
          <w:szCs w:val="18"/>
          <w:color w:val="auto"/>
        </w:rPr>
      </w:pPr>
      <w:r>
        <w:rPr>
          <w:rFonts w:ascii="Arial" w:cs="Arial" w:eastAsia="Arial" w:hAnsi="Arial"/>
          <w:sz w:val="18"/>
          <w:szCs w:val="18"/>
          <w:color w:val="auto"/>
        </w:rPr>
        <w:t>such Legal Defeasance or Covenant Defeasance will not result in a breach or violation of, or constitute a default under, any material agreement or instrument (other than the Indenture) to which either Issuer, any Restricted Subsidiary of Wynn Las Vegas or any Guarantor is a party or by which any such Person is bound;</w:t>
      </w:r>
    </w:p>
    <w:p>
      <w:pPr>
        <w:spacing w:after="0" w:line="59" w:lineRule="exact"/>
        <w:rPr>
          <w:rFonts w:ascii="Arial" w:cs="Arial" w:eastAsia="Arial" w:hAnsi="Arial"/>
          <w:sz w:val="18"/>
          <w:szCs w:val="18"/>
          <w:color w:val="auto"/>
        </w:rPr>
      </w:pPr>
    </w:p>
    <w:p>
      <w:pPr>
        <w:ind w:left="460" w:firstLine="443"/>
        <w:spacing w:after="0" w:line="298" w:lineRule="auto"/>
        <w:tabs>
          <w:tab w:leader="none" w:pos="1147" w:val="left"/>
        </w:tabs>
        <w:numPr>
          <w:ilvl w:val="0"/>
          <w:numId w:val="290"/>
        </w:numPr>
        <w:rPr>
          <w:rFonts w:ascii="Arial" w:cs="Arial" w:eastAsia="Arial" w:hAnsi="Arial"/>
          <w:sz w:val="16"/>
          <w:szCs w:val="16"/>
          <w:color w:val="auto"/>
        </w:rPr>
      </w:pPr>
      <w:r>
        <w:rPr>
          <w:rFonts w:ascii="Arial" w:cs="Arial" w:eastAsia="Arial" w:hAnsi="Arial"/>
          <w:sz w:val="16"/>
          <w:szCs w:val="16"/>
          <w:color w:val="auto"/>
        </w:rPr>
        <w:t>in the case of Legal Defeasance, the Issuers must deliver to the trustee an opinion of counsel to the effect that, assuming no intervening bankruptcy of the Issuers or any Guarantor between the date of deposit and the 91st day following the deposit and assuming that no holder of 2020 Notes is an “insider” of either Issuer under applicable bankruptcy law, after the 91st day following the deposit, the trust funds will not be subject to the effect of any applicable bankruptcy, insolvency, reorganization or similar laws affecting creditors’ rights generally;</w:t>
      </w:r>
    </w:p>
    <w:p>
      <w:pPr>
        <w:spacing w:after="0" w:line="31" w:lineRule="exact"/>
        <w:rPr>
          <w:rFonts w:ascii="Arial" w:cs="Arial" w:eastAsia="Arial" w:hAnsi="Arial"/>
          <w:sz w:val="16"/>
          <w:szCs w:val="16"/>
          <w:color w:val="auto"/>
        </w:rPr>
      </w:pPr>
    </w:p>
    <w:p>
      <w:pPr>
        <w:jc w:val="both"/>
        <w:ind w:left="460" w:right="140" w:firstLine="443"/>
        <w:spacing w:after="0" w:line="259" w:lineRule="auto"/>
        <w:tabs>
          <w:tab w:leader="none" w:pos="1147"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the Issuers must deliver to the trustee an officers’ certificate stating that the deposit was not made by the Issuers with the intent of preferring the holders of 2020 Notes over the other creditors of the Issuers with the intent of defeating, hindering, delaying or defrauding any creditors of the Issuers or others; and</w:t>
      </w:r>
    </w:p>
    <w:p>
      <w:pPr>
        <w:spacing w:after="0" w:line="59" w:lineRule="exact"/>
        <w:rPr>
          <w:rFonts w:ascii="Arial" w:cs="Arial" w:eastAsia="Arial" w:hAnsi="Arial"/>
          <w:sz w:val="18"/>
          <w:szCs w:val="18"/>
          <w:color w:val="auto"/>
        </w:rPr>
      </w:pPr>
    </w:p>
    <w:p>
      <w:pPr>
        <w:ind w:left="460" w:right="220" w:firstLine="443"/>
        <w:spacing w:after="0" w:line="268" w:lineRule="auto"/>
        <w:tabs>
          <w:tab w:leader="none" w:pos="1147"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the Issuers must deliver to the trustee an officers’ certificate and an opinion of counsel, each stating that all conditions precedent relating to the Legal Defeasance or the Covenant Defeasance have been complied with.</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 Release Mechanics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Under the terms of the Collateral Documents but subject to the provisions of the Intercreditor Agreement and the Indenture, the trustee will determine the circumstances and manner in which the Collateral will be disposed of, including the determination of whether to release all of the Collateral from the security interests created by the Collateral Documents and whether to foreclose on the Collateral following an Event of Default. The Collateral may be released from the Liens and the security interests created by the Collateral Documents upon the request of the Issuers pursuant to an officers’ certificate certifying that all terms for release and conditions precedent under the Indenture and under any applicable Collateral Document have been met and specifying (1) the identity of the Collateral to be released and (2) the provisions of the Indenture or the applicable Collateral Document which authorize that release.</w:t>
      </w:r>
    </w:p>
    <w:p>
      <w:pPr>
        <w:spacing w:after="0" w:line="12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Subject to the provisions of the Intercreditor Agreement and the Indenture, the trustee will release the Liens in favor of the trustee (at the sole cost and expense of the Issuers) on:</w:t>
      </w:r>
    </w:p>
    <w:p>
      <w:pPr>
        <w:spacing w:after="0" w:line="51" w:lineRule="exact"/>
        <w:rPr>
          <w:sz w:val="20"/>
          <w:szCs w:val="20"/>
          <w:color w:val="auto"/>
        </w:rPr>
      </w:pPr>
    </w:p>
    <w:p>
      <w:pPr>
        <w:ind w:left="1160" w:hanging="257"/>
        <w:spacing w:after="0"/>
        <w:tabs>
          <w:tab w:leader="none" w:pos="1160" w:val="left"/>
        </w:tabs>
        <w:numPr>
          <w:ilvl w:val="0"/>
          <w:numId w:val="291"/>
        </w:numPr>
        <w:rPr>
          <w:rFonts w:ascii="Arial" w:cs="Arial" w:eastAsia="Arial" w:hAnsi="Arial"/>
          <w:sz w:val="16"/>
          <w:szCs w:val="16"/>
          <w:color w:val="auto"/>
        </w:rPr>
      </w:pPr>
      <w:r>
        <w:rPr>
          <w:rFonts w:ascii="Arial" w:cs="Arial" w:eastAsia="Arial" w:hAnsi="Arial"/>
          <w:sz w:val="16"/>
          <w:szCs w:val="16"/>
          <w:color w:val="auto"/>
        </w:rPr>
        <w:t>all Collateral that is contributed, sold, leased, conveyed, transferred or otherwise disposed of (a) in an Asset Sale, Permitted Disposition,</w:t>
      </w:r>
    </w:p>
    <w:p>
      <w:pPr>
        <w:spacing w:after="0" w:line="38" w:lineRule="exact"/>
        <w:rPr>
          <w:rFonts w:ascii="Arial" w:cs="Arial" w:eastAsia="Arial" w:hAnsi="Arial"/>
          <w:sz w:val="16"/>
          <w:szCs w:val="16"/>
          <w:color w:val="auto"/>
        </w:rPr>
      </w:pPr>
    </w:p>
    <w:p>
      <w:pPr>
        <w:ind w:left="460"/>
        <w:spacing w:after="0" w:line="323" w:lineRule="auto"/>
        <w:rPr>
          <w:rFonts w:ascii="Arial" w:cs="Arial" w:eastAsia="Arial" w:hAnsi="Arial"/>
          <w:sz w:val="16"/>
          <w:szCs w:val="16"/>
          <w:color w:val="auto"/>
        </w:rPr>
      </w:pPr>
      <w:r>
        <w:rPr>
          <w:rFonts w:ascii="Arial" w:cs="Arial" w:eastAsia="Arial" w:hAnsi="Arial"/>
          <w:sz w:val="16"/>
          <w:szCs w:val="16"/>
          <w:color w:val="auto"/>
        </w:rPr>
        <w:t>Permitted Investment or Restricted Payment in accordance with the Indenture and the Collateral Documents, (b) to an Unrestricted Subsidiary of Wynn Las Vegas in accordance with the Indenture and the Collateral Documents or (c) as expressly permitted by the Collateral Documents;</w:t>
      </w:r>
    </w:p>
    <w:p>
      <w:pPr>
        <w:spacing w:after="0" w:line="11"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291"/>
        </w:numPr>
        <w:rPr>
          <w:rFonts w:ascii="Arial" w:cs="Arial" w:eastAsia="Arial" w:hAnsi="Arial"/>
          <w:sz w:val="18"/>
          <w:szCs w:val="18"/>
          <w:color w:val="auto"/>
        </w:rPr>
      </w:pPr>
      <w:r>
        <w:rPr>
          <w:rFonts w:ascii="Arial" w:cs="Arial" w:eastAsia="Arial" w:hAnsi="Arial"/>
          <w:sz w:val="18"/>
          <w:szCs w:val="18"/>
          <w:color w:val="auto"/>
        </w:rPr>
        <w:t>all Collateral that is condemned, seized or taken by the power of eminent domain or otherwise confiscated pursuant to an Event of Loss; provided that the Net Loss Proceeds, if any, from the Event of Loss are or will be applied in accordance with the covenant described above under the caption “— Repurchase at the Option of Holders—Events of Loss”;</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147" w:val="left"/>
        </w:tabs>
        <w:numPr>
          <w:ilvl w:val="0"/>
          <w:numId w:val="291"/>
        </w:numPr>
        <w:rPr>
          <w:rFonts w:ascii="Arial" w:cs="Arial" w:eastAsia="Arial" w:hAnsi="Arial"/>
          <w:sz w:val="18"/>
          <w:szCs w:val="18"/>
          <w:color w:val="auto"/>
        </w:rPr>
      </w:pPr>
      <w:r>
        <w:rPr>
          <w:rFonts w:ascii="Arial" w:cs="Arial" w:eastAsia="Arial" w:hAnsi="Arial"/>
          <w:sz w:val="18"/>
          <w:szCs w:val="18"/>
          <w:color w:val="auto"/>
        </w:rPr>
        <w:t>all Collateral (except as provided in the discharge and defeasance provisions of the Indenture) upon Legal Defeasance as described under the caption set forth above under “—Legal Defeasance and Covenant Defeasance” or satisfaction and discharge of the Indenture as described under the caption set forth below under “—Satisfaction and Discharge”;</w:t>
      </w:r>
    </w:p>
    <w:p>
      <w:pPr>
        <w:spacing w:after="0" w:line="59" w:lineRule="exact"/>
        <w:rPr>
          <w:rFonts w:ascii="Arial" w:cs="Arial" w:eastAsia="Arial" w:hAnsi="Arial"/>
          <w:sz w:val="18"/>
          <w:szCs w:val="18"/>
          <w:color w:val="auto"/>
        </w:rPr>
      </w:pPr>
    </w:p>
    <w:p>
      <w:pPr>
        <w:ind w:left="460" w:right="140" w:firstLine="443"/>
        <w:spacing w:after="0" w:line="268" w:lineRule="auto"/>
        <w:tabs>
          <w:tab w:leader="none" w:pos="1147" w:val="left"/>
        </w:tabs>
        <w:numPr>
          <w:ilvl w:val="0"/>
          <w:numId w:val="291"/>
        </w:numPr>
        <w:rPr>
          <w:rFonts w:ascii="Arial" w:cs="Arial" w:eastAsia="Arial" w:hAnsi="Arial"/>
          <w:sz w:val="18"/>
          <w:szCs w:val="18"/>
          <w:color w:val="auto"/>
        </w:rPr>
      </w:pPr>
      <w:r>
        <w:rPr>
          <w:rFonts w:ascii="Arial" w:cs="Arial" w:eastAsia="Arial" w:hAnsi="Arial"/>
          <w:sz w:val="18"/>
          <w:szCs w:val="18"/>
          <w:color w:val="auto"/>
        </w:rPr>
        <w:t>all Collateral upon the payment in full in cash of all Obligations of the Issuers and the Guarantors under the Indenture, the 2020 Notes, the Note Guarantees and the Collateral Documents;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400"/>
          </w:cols>
          <w:pgMar w:left="240" w:top="460" w:right="25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520" w:firstLine="443"/>
        <w:spacing w:after="0" w:line="268" w:lineRule="auto"/>
        <w:tabs>
          <w:tab w:leader="none" w:pos="1147" w:val="left"/>
        </w:tabs>
        <w:numPr>
          <w:ilvl w:val="0"/>
          <w:numId w:val="292"/>
        </w:numPr>
        <w:rPr>
          <w:rFonts w:ascii="Arial" w:cs="Arial" w:eastAsia="Arial" w:hAnsi="Arial"/>
          <w:sz w:val="18"/>
          <w:szCs w:val="18"/>
          <w:color w:val="auto"/>
        </w:rPr>
      </w:pPr>
      <w:r>
        <w:rPr>
          <w:rFonts w:ascii="Arial" w:cs="Arial" w:eastAsia="Arial" w:hAnsi="Arial"/>
          <w:sz w:val="18"/>
          <w:szCs w:val="18"/>
          <w:color w:val="auto"/>
        </w:rPr>
        <w:t>except as otherwise provided in the Indenture or the Collateral Documents, Collateral of a Guarantor, whose Note Guarantee is released or terminated pursuant to the terms of the Indenture;</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Released Assets;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Government Transfers consisting of transfers of fee interests in real property;</w:t>
      </w:r>
    </w:p>
    <w:p>
      <w:pPr>
        <w:spacing w:after="0" w:line="90" w:lineRule="exact"/>
        <w:rPr>
          <w:rFonts w:ascii="Arial" w:cs="Arial" w:eastAsia="Arial" w:hAnsi="Arial"/>
          <w:sz w:val="18"/>
          <w:szCs w:val="18"/>
          <w:color w:val="auto"/>
        </w:rPr>
      </w:pPr>
    </w:p>
    <w:p>
      <w:pPr>
        <w:ind w:left="460" w:right="280" w:firstLine="443"/>
        <w:spacing w:after="0" w:line="256" w:lineRule="auto"/>
        <w:tabs>
          <w:tab w:leader="none" w:pos="1147" w:val="left"/>
        </w:tabs>
        <w:numPr>
          <w:ilvl w:val="0"/>
          <w:numId w:val="292"/>
        </w:numPr>
        <w:rPr>
          <w:rFonts w:ascii="Arial" w:cs="Arial" w:eastAsia="Arial" w:hAnsi="Arial"/>
          <w:sz w:val="18"/>
          <w:szCs w:val="18"/>
          <w:color w:val="auto"/>
        </w:rPr>
      </w:pPr>
      <w:r>
        <w:rPr>
          <w:rFonts w:ascii="Arial" w:cs="Arial" w:eastAsia="Arial" w:hAnsi="Arial"/>
          <w:sz w:val="18"/>
          <w:szCs w:val="18"/>
          <w:color w:val="auto"/>
        </w:rPr>
        <w:t>in connection with any sale, lease or other disposition of any assets in connection with (i) any timeshare, interval ownership or similar development or (ii) any condominium or similar development with respect to the Phase III Project, on any assets or interests in any assets so long as the lenders under the Credit Agreement concurrently release their security interest in such assets, so long as no Default or Event of Default exists or is continuing immediately prior to or after giving effect to such release; and</w:t>
      </w:r>
    </w:p>
    <w:p>
      <w:pPr>
        <w:spacing w:after="0" w:line="62"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292"/>
        </w:numPr>
        <w:rPr>
          <w:rFonts w:ascii="Arial" w:cs="Arial" w:eastAsia="Arial" w:hAnsi="Arial"/>
          <w:sz w:val="18"/>
          <w:szCs w:val="18"/>
          <w:color w:val="auto"/>
        </w:rPr>
      </w:pPr>
      <w:r>
        <w:rPr>
          <w:rFonts w:ascii="Arial" w:cs="Arial" w:eastAsia="Arial" w:hAnsi="Arial"/>
          <w:sz w:val="18"/>
          <w:szCs w:val="18"/>
          <w:color w:val="auto"/>
        </w:rPr>
        <w:t>any Water Rights covered by or relating to any water permits so long as such Water Rights are covered by or related to other water permits owned by Wynn Las Vegas or any of its Restricted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Supplement and Waiver</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Except as provided in the next three succeeding paragraphs, the Indenture, the 2020 Notes, the Note Guarantees or, subject to the terms of the Intercreditor Agreement and the Indenture, the Collateral Documents may be amended or supplemented with the consent of the holders of at least a majority in aggregate principal amount of the 2020 Notes then outstanding (including, without limitation, consents obtained in connection with a purchase of, or tender offer or exchange offer for, 2020 Notes), and any existing Default or Event of Default or compliance with any provision of the Indenture, the 2020 Notes, the Note Guarantees or, subject to the terms of the Intercreditor Agreement, the Collateral Documents may be waived with the consent of the holders of a majority in aggregate principal amount of the then outstanding 2020 Notes (including, without limitation, consents obtained in connection with a purchase of, or tender offer or exchange offer for, 2020 Notes).</w:t>
      </w:r>
    </w:p>
    <w:p>
      <w:pPr>
        <w:spacing w:after="0" w:line="118"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The indenture provides that any amendment or modification to the definition of “Excluded Assets” in the Security Agreements or the definition of “Excluded Property” in the Deeds of Trust shall require the consent of the trustee if as a result of such amendment or modification the 2020 Notes will not be secured by substantially all of our and the guarantors’ assets.</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Under the Intercreditor Agreement and the Indenture, the agent under the Credit Agreement has the right, subject to certain limited exceptions, to direct the collateral agent to enter into amendments of, or waive defaults under, the Collateral Documents that grant Liens on the Collateral without obtaining the consent of the trustee or the holders of the 2020 Notes. In addition, the Indenture authorizes the trustee to enter into amendments, restatements and modifications of the Collateral Documents from time to time in connection with the grant of any Permitted Liens; provided, however, that any such amended, restated or modified Collateral Documents contain terms no less favorable to the trustee or the holders of the 2020 Notes than the terms contained in the Collateral Documents being amended, restated or modified (except as expressly provided for in the Indenture); provided, further, that any such amendment, restatement or modification does not otherwise adversely affect the rights or remedies of the trustee or the holders of the 2020 Notes in any material respect (except as expressly provided for in the Indenture). At any time when at least $100.0 million of Indebtedness remains outstanding under the Credit Agreement, the agent under the Credit Agreement will also have the right to amend the Intercreditor Agreement without the consent of the trustee or the holders of the 2020 Notes, so long as such amendment only affects the subordination provisions in respect of any junior Indebtedness but does not affect the provisions governing the relationship between the lenders under the Credit Agreement and the holders of the 2020 Notes. See “Intercreditor Agreement.”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400"/>
          </w:cols>
          <w:pgMar w:left="240" w:top="460" w:right="25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Without the consent of each holder of 2020 Notes affected or, in the case of clauses (8), (9) and (10) below only, without the consent of the holders of at least 95% in the aggregate principal amount of the 2020 Notes then outstanding, an amendment, supplement or waiver may not (with respect to any 2020 Notes held by a non-consenting holder):</w:t>
      </w:r>
    </w:p>
    <w:p>
      <w:pPr>
        <w:spacing w:after="0" w:line="59" w:lineRule="exact"/>
        <w:rPr>
          <w:sz w:val="20"/>
          <w:szCs w:val="20"/>
          <w:color w:val="auto"/>
        </w:rPr>
      </w:pPr>
    </w:p>
    <w:p>
      <w:pPr>
        <w:ind w:left="1160" w:hanging="257"/>
        <w:spacing w:after="0"/>
        <w:tabs>
          <w:tab w:leader="none" w:pos="1160" w:val="left"/>
        </w:tabs>
        <w:numPr>
          <w:ilvl w:val="1"/>
          <w:numId w:val="293"/>
        </w:numPr>
        <w:rPr>
          <w:rFonts w:ascii="Arial" w:cs="Arial" w:eastAsia="Arial" w:hAnsi="Arial"/>
          <w:sz w:val="18"/>
          <w:szCs w:val="18"/>
          <w:color w:val="auto"/>
        </w:rPr>
      </w:pPr>
      <w:r>
        <w:rPr>
          <w:rFonts w:ascii="Arial" w:cs="Arial" w:eastAsia="Arial" w:hAnsi="Arial"/>
          <w:sz w:val="18"/>
          <w:szCs w:val="18"/>
          <w:color w:val="auto"/>
        </w:rPr>
        <w:t>reduce the principal amount of 2020 Notes whose holders must consent to an amendment, supplement or waiver;</w:t>
      </w:r>
    </w:p>
    <w:p>
      <w:pPr>
        <w:spacing w:after="0" w:line="90" w:lineRule="exact"/>
        <w:rPr>
          <w:rFonts w:ascii="Arial" w:cs="Arial" w:eastAsia="Arial" w:hAnsi="Arial"/>
          <w:sz w:val="18"/>
          <w:szCs w:val="18"/>
          <w:color w:val="auto"/>
        </w:rPr>
      </w:pPr>
    </w:p>
    <w:p>
      <w:pPr>
        <w:ind w:left="460" w:right="300" w:firstLine="443"/>
        <w:spacing w:after="0" w:line="332" w:lineRule="auto"/>
        <w:tabs>
          <w:tab w:leader="none" w:pos="1147" w:val="left"/>
        </w:tabs>
        <w:numPr>
          <w:ilvl w:val="1"/>
          <w:numId w:val="293"/>
        </w:numPr>
        <w:rPr>
          <w:rFonts w:ascii="Arial" w:cs="Arial" w:eastAsia="Arial" w:hAnsi="Arial"/>
          <w:sz w:val="16"/>
          <w:szCs w:val="16"/>
          <w:color w:val="auto"/>
        </w:rPr>
      </w:pPr>
      <w:r>
        <w:rPr>
          <w:rFonts w:ascii="Arial" w:cs="Arial" w:eastAsia="Arial" w:hAnsi="Arial"/>
          <w:sz w:val="16"/>
          <w:szCs w:val="16"/>
          <w:color w:val="auto"/>
        </w:rPr>
        <w:t>reduce the principal of or change the fixed maturity of any 2020 Note or alter the provisions with respect to the redemption of the 2020 Notes (other than provisions relating to the covenants described above under the caption “—Repurchase at the Option of Holders”);</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1"/>
          <w:numId w:val="293"/>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including default interest, on any 2020 Note;</w:t>
      </w:r>
    </w:p>
    <w:p>
      <w:pPr>
        <w:spacing w:after="0" w:line="90" w:lineRule="exact"/>
        <w:rPr>
          <w:rFonts w:ascii="Arial" w:cs="Arial" w:eastAsia="Arial" w:hAnsi="Arial"/>
          <w:sz w:val="18"/>
          <w:szCs w:val="18"/>
          <w:color w:val="auto"/>
        </w:rPr>
      </w:pPr>
    </w:p>
    <w:p>
      <w:pPr>
        <w:ind w:left="460" w:firstLine="443"/>
        <w:spacing w:after="0" w:line="259" w:lineRule="auto"/>
        <w:tabs>
          <w:tab w:leader="none" w:pos="1147" w:val="left"/>
        </w:tabs>
        <w:numPr>
          <w:ilvl w:val="1"/>
          <w:numId w:val="293"/>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principal of, or interest, premium, or Liquidated Damages, if any, on, the 2020 Notes (except a rescission of acceleration of the 2020 Notes by the holders of at least a majority in aggregate principal amount of the then outstanding 2020 Notes and a waiver of the payment default that resulted from such acceleration);</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293"/>
        </w:numPr>
        <w:rPr>
          <w:rFonts w:ascii="Arial" w:cs="Arial" w:eastAsia="Arial" w:hAnsi="Arial"/>
          <w:sz w:val="18"/>
          <w:szCs w:val="18"/>
          <w:color w:val="auto"/>
        </w:rPr>
      </w:pPr>
      <w:r>
        <w:rPr>
          <w:rFonts w:ascii="Arial" w:cs="Arial" w:eastAsia="Arial" w:hAnsi="Arial"/>
          <w:sz w:val="18"/>
          <w:szCs w:val="18"/>
          <w:color w:val="auto"/>
        </w:rPr>
        <w:t>make any 2020 Note payable in money other than that stated in the 2020 Notes;</w:t>
      </w:r>
    </w:p>
    <w:p>
      <w:pPr>
        <w:spacing w:after="0" w:line="90" w:lineRule="exact"/>
        <w:rPr>
          <w:rFonts w:ascii="Arial" w:cs="Arial" w:eastAsia="Arial" w:hAnsi="Arial"/>
          <w:sz w:val="18"/>
          <w:szCs w:val="18"/>
          <w:color w:val="auto"/>
        </w:rPr>
      </w:pPr>
    </w:p>
    <w:p>
      <w:pPr>
        <w:ind w:left="460" w:right="20" w:firstLine="443"/>
        <w:spacing w:after="0" w:line="268" w:lineRule="auto"/>
        <w:tabs>
          <w:tab w:leader="none" w:pos="1147" w:val="left"/>
        </w:tabs>
        <w:numPr>
          <w:ilvl w:val="1"/>
          <w:numId w:val="293"/>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2020 Notes to receive payments of principal of, or interest, premium or Liquidated Damages, if any, on, the 2020 Notes;</w:t>
      </w:r>
    </w:p>
    <w:p>
      <w:pPr>
        <w:spacing w:after="0" w:line="50" w:lineRule="exact"/>
        <w:rPr>
          <w:rFonts w:ascii="Arial" w:cs="Arial" w:eastAsia="Arial" w:hAnsi="Arial"/>
          <w:sz w:val="18"/>
          <w:szCs w:val="18"/>
          <w:color w:val="auto"/>
        </w:rPr>
      </w:pPr>
    </w:p>
    <w:p>
      <w:pPr>
        <w:ind w:left="460" w:right="260" w:firstLine="443"/>
        <w:spacing w:after="0" w:line="268" w:lineRule="auto"/>
        <w:tabs>
          <w:tab w:leader="none" w:pos="1147" w:val="left"/>
        </w:tabs>
        <w:numPr>
          <w:ilvl w:val="1"/>
          <w:numId w:val="293"/>
        </w:numPr>
        <w:rPr>
          <w:rFonts w:ascii="Arial" w:cs="Arial" w:eastAsia="Arial" w:hAnsi="Arial"/>
          <w:sz w:val="18"/>
          <w:szCs w:val="18"/>
          <w:color w:val="auto"/>
        </w:rPr>
      </w:pPr>
      <w:r>
        <w:rPr>
          <w:rFonts w:ascii="Arial" w:cs="Arial" w:eastAsia="Arial" w:hAnsi="Arial"/>
          <w:sz w:val="18"/>
          <w:szCs w:val="18"/>
          <w:color w:val="auto"/>
        </w:rPr>
        <w:t>waive a redemption payment with respect to any 2020 Note (other than a payment required by one of the covenants described above under the caption “—Repurchase at the Option of Holders”);</w:t>
      </w:r>
    </w:p>
    <w:p>
      <w:pPr>
        <w:spacing w:after="0" w:line="50" w:lineRule="exact"/>
        <w:rPr>
          <w:rFonts w:ascii="Arial" w:cs="Arial" w:eastAsia="Arial" w:hAnsi="Arial"/>
          <w:sz w:val="18"/>
          <w:szCs w:val="18"/>
          <w:color w:val="auto"/>
        </w:rPr>
      </w:pPr>
    </w:p>
    <w:p>
      <w:pPr>
        <w:ind w:left="460" w:right="360" w:firstLine="443"/>
        <w:spacing w:after="0" w:line="268" w:lineRule="auto"/>
        <w:tabs>
          <w:tab w:leader="none" w:pos="1147" w:val="left"/>
        </w:tabs>
        <w:numPr>
          <w:ilvl w:val="1"/>
          <w:numId w:val="293"/>
        </w:numPr>
        <w:rPr>
          <w:rFonts w:ascii="Arial" w:cs="Arial" w:eastAsia="Arial" w:hAnsi="Arial"/>
          <w:sz w:val="18"/>
          <w:szCs w:val="18"/>
          <w:color w:val="auto"/>
        </w:rPr>
      </w:pPr>
      <w:r>
        <w:rPr>
          <w:rFonts w:ascii="Arial" w:cs="Arial" w:eastAsia="Arial" w:hAnsi="Arial"/>
          <w:sz w:val="18"/>
          <w:szCs w:val="18"/>
          <w:color w:val="auto"/>
        </w:rPr>
        <w:t>release all or substantially all of the Collateral or any Material Project Assets from the Collateral, in each case, except in accordance with the provisions of the Collateral Documents;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293"/>
        </w:numPr>
        <w:rPr>
          <w:rFonts w:ascii="Arial" w:cs="Arial" w:eastAsia="Arial" w:hAnsi="Arial"/>
          <w:sz w:val="16"/>
          <w:szCs w:val="16"/>
          <w:color w:val="auto"/>
        </w:rPr>
      </w:pPr>
      <w:r>
        <w:rPr>
          <w:rFonts w:ascii="Arial" w:cs="Arial" w:eastAsia="Arial" w:hAnsi="Arial"/>
          <w:sz w:val="16"/>
          <w:szCs w:val="16"/>
          <w:color w:val="auto"/>
        </w:rPr>
        <w:t>release any Guarantor from any of its obligations under its Note Guarantee or the Indenture if the assets or properties of that Guarantor</w:t>
      </w:r>
    </w:p>
    <w:p>
      <w:pPr>
        <w:spacing w:after="0" w:line="38" w:lineRule="exact"/>
        <w:rPr>
          <w:rFonts w:ascii="Arial" w:cs="Arial" w:eastAsia="Arial" w:hAnsi="Arial"/>
          <w:sz w:val="16"/>
          <w:szCs w:val="16"/>
          <w:color w:val="auto"/>
        </w:rPr>
      </w:pPr>
    </w:p>
    <w:p>
      <w:pPr>
        <w:ind w:left="700" w:hanging="236"/>
        <w:spacing w:after="0"/>
        <w:tabs>
          <w:tab w:leader="none" w:pos="700" w:val="left"/>
        </w:tabs>
        <w:numPr>
          <w:ilvl w:val="0"/>
          <w:numId w:val="294"/>
        </w:numPr>
        <w:rPr>
          <w:rFonts w:ascii="Arial" w:cs="Arial" w:eastAsia="Arial" w:hAnsi="Arial"/>
          <w:sz w:val="16"/>
          <w:szCs w:val="16"/>
          <w:color w:val="auto"/>
        </w:rPr>
      </w:pPr>
      <w:r>
        <w:rPr>
          <w:rFonts w:ascii="Arial" w:cs="Arial" w:eastAsia="Arial" w:hAnsi="Arial"/>
          <w:sz w:val="16"/>
          <w:szCs w:val="16"/>
          <w:color w:val="auto"/>
        </w:rPr>
        <w:t>constitute all or substantially all of the Collateral or (b) include Material Project Assets, except in accordance with the terms of the Indenture;</w:t>
      </w:r>
    </w:p>
    <w:p>
      <w:pPr>
        <w:spacing w:after="0" w:line="106" w:lineRule="exact"/>
        <w:rPr>
          <w:rFonts w:ascii="Arial" w:cs="Arial" w:eastAsia="Arial" w:hAnsi="Arial"/>
          <w:sz w:val="16"/>
          <w:szCs w:val="16"/>
          <w:color w:val="auto"/>
        </w:rPr>
      </w:pPr>
    </w:p>
    <w:p>
      <w:pPr>
        <w:ind w:left="1240" w:hanging="337"/>
        <w:spacing w:after="0"/>
        <w:tabs>
          <w:tab w:leader="none" w:pos="1240" w:val="left"/>
        </w:tabs>
        <w:numPr>
          <w:ilvl w:val="1"/>
          <w:numId w:val="294"/>
        </w:numPr>
        <w:rPr>
          <w:rFonts w:ascii="Arial" w:cs="Arial" w:eastAsia="Arial" w:hAnsi="Arial"/>
          <w:sz w:val="18"/>
          <w:szCs w:val="18"/>
          <w:color w:val="auto"/>
        </w:rPr>
      </w:pPr>
      <w:r>
        <w:rPr>
          <w:rFonts w:ascii="Arial" w:cs="Arial" w:eastAsia="Arial" w:hAnsi="Arial"/>
          <w:sz w:val="18"/>
          <w:szCs w:val="18"/>
          <w:color w:val="auto"/>
        </w:rPr>
        <w:t>amend the provisions of the Indenture described above under the caption “—Security—Release of Collateral;” or</w:t>
      </w:r>
    </w:p>
    <w:p>
      <w:pPr>
        <w:spacing w:after="0" w:line="90" w:lineRule="exact"/>
        <w:rPr>
          <w:rFonts w:ascii="Arial" w:cs="Arial" w:eastAsia="Arial" w:hAnsi="Arial"/>
          <w:sz w:val="18"/>
          <w:szCs w:val="18"/>
          <w:color w:val="auto"/>
        </w:rPr>
      </w:pPr>
    </w:p>
    <w:p>
      <w:pPr>
        <w:ind w:left="1240" w:hanging="337"/>
        <w:spacing w:after="0"/>
        <w:tabs>
          <w:tab w:leader="none" w:pos="1240" w:val="left"/>
        </w:tabs>
        <w:numPr>
          <w:ilvl w:val="1"/>
          <w:numId w:val="294"/>
        </w:numPr>
        <w:rPr>
          <w:rFonts w:ascii="Arial" w:cs="Arial" w:eastAsia="Arial" w:hAnsi="Arial"/>
          <w:sz w:val="18"/>
          <w:szCs w:val="18"/>
          <w:color w:val="auto"/>
        </w:rPr>
      </w:pPr>
      <w:r>
        <w:rPr>
          <w:rFonts w:ascii="Arial" w:cs="Arial" w:eastAsia="Arial" w:hAnsi="Arial"/>
          <w:sz w:val="18"/>
          <w:szCs w:val="18"/>
          <w:color w:val="auto"/>
        </w:rPr>
        <w:t>make any change in the preceding amendment and waiver provisions.</w:t>
      </w:r>
    </w:p>
    <w:p>
      <w:pPr>
        <w:spacing w:after="0" w:line="171"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Notwithstanding the preceding, without the consent of any holder of 2020 Notes, the Issuers, the Restricted Subsidiaries, the Guarantors and the trustee may amend or supplement the Indenture, the 2020 Notes or the Note Guarantees or, subject to the terms of the Intercreditor Agreement, the Collateral Documents:</w:t>
      </w:r>
    </w:p>
    <w:p>
      <w:pPr>
        <w:spacing w:after="0" w:line="59" w:lineRule="exact"/>
        <w:rPr>
          <w:sz w:val="20"/>
          <w:szCs w:val="20"/>
          <w:color w:val="auto"/>
        </w:rPr>
      </w:pPr>
    </w:p>
    <w:p>
      <w:pPr>
        <w:ind w:left="1160" w:hanging="257"/>
        <w:spacing w:after="0"/>
        <w:tabs>
          <w:tab w:leader="none" w:pos="116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to provide for uncertificated 2020 Notes in addition to or in place of certificated 2020 Notes;</w:t>
      </w:r>
    </w:p>
    <w:p>
      <w:pPr>
        <w:spacing w:after="0" w:line="90" w:lineRule="exact"/>
        <w:rPr>
          <w:rFonts w:ascii="Arial" w:cs="Arial" w:eastAsia="Arial" w:hAnsi="Arial"/>
          <w:sz w:val="18"/>
          <w:szCs w:val="18"/>
          <w:color w:val="auto"/>
        </w:rPr>
      </w:pPr>
    </w:p>
    <w:p>
      <w:pPr>
        <w:ind w:left="460" w:right="20" w:firstLine="443"/>
        <w:spacing w:after="0" w:line="268" w:lineRule="auto"/>
        <w:tabs>
          <w:tab w:leader="none" w:pos="1147" w:val="left"/>
        </w:tabs>
        <w:numPr>
          <w:ilvl w:val="0"/>
          <w:numId w:val="295"/>
        </w:numPr>
        <w:rPr>
          <w:rFonts w:ascii="Arial" w:cs="Arial" w:eastAsia="Arial" w:hAnsi="Arial"/>
          <w:sz w:val="18"/>
          <w:szCs w:val="18"/>
          <w:color w:val="auto"/>
        </w:rPr>
      </w:pPr>
      <w:r>
        <w:rPr>
          <w:rFonts w:ascii="Arial" w:cs="Arial" w:eastAsia="Arial" w:hAnsi="Arial"/>
          <w:sz w:val="18"/>
          <w:szCs w:val="18"/>
          <w:color w:val="auto"/>
        </w:rPr>
        <w:t>to provide for the assumption of either Issuers’ or a Guarantor’s obligations to holders of 2020 Notes and Note Guarantees in the case of a merger or consolidation or sale of all or substantially all of Wynn Las Vegas’ or such Guarantor’s assets, as applicable;</w:t>
      </w:r>
    </w:p>
    <w:p>
      <w:pPr>
        <w:spacing w:after="0" w:line="50" w:lineRule="exact"/>
        <w:rPr>
          <w:rFonts w:ascii="Arial" w:cs="Arial" w:eastAsia="Arial" w:hAnsi="Arial"/>
          <w:sz w:val="18"/>
          <w:szCs w:val="18"/>
          <w:color w:val="auto"/>
        </w:rPr>
      </w:pPr>
    </w:p>
    <w:p>
      <w:pPr>
        <w:ind w:left="460" w:right="240" w:firstLine="443"/>
        <w:spacing w:after="0" w:line="298" w:lineRule="auto"/>
        <w:tabs>
          <w:tab w:leader="none" w:pos="1147" w:val="left"/>
        </w:tabs>
        <w:numPr>
          <w:ilvl w:val="0"/>
          <w:numId w:val="295"/>
        </w:numPr>
        <w:rPr>
          <w:rFonts w:ascii="Arial" w:cs="Arial" w:eastAsia="Arial" w:hAnsi="Arial"/>
          <w:sz w:val="16"/>
          <w:szCs w:val="16"/>
          <w:color w:val="auto"/>
        </w:rPr>
      </w:pPr>
      <w:r>
        <w:rPr>
          <w:rFonts w:ascii="Arial" w:cs="Arial" w:eastAsia="Arial" w:hAnsi="Arial"/>
          <w:sz w:val="16"/>
          <w:szCs w:val="16"/>
          <w:color w:val="auto"/>
        </w:rPr>
        <w:t>to make any change that would provide any additional rights or benefits to the holders of 2020 Notes or that does not adversely affect the legal rights under the Indenture of any such holder, including any amendment or modification to the Intercreditor Agreement that gives or provides for any additional rights to the holders of the 2020 Notes to direct the collateral agent to enforce remedies against the Collateral and/or participate in other decisions regarding collateral and/or the enforcement of security documents;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400"/>
          </w:cols>
          <w:pgMar w:left="240" w:top="459" w:right="25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296"/>
        </w:numPr>
        <w:rPr>
          <w:rFonts w:ascii="Arial" w:cs="Arial" w:eastAsia="Arial" w:hAnsi="Arial"/>
          <w:sz w:val="16"/>
          <w:szCs w:val="16"/>
          <w:color w:val="auto"/>
        </w:rPr>
      </w:pPr>
      <w:r>
        <w:rPr>
          <w:rFonts w:ascii="Arial" w:cs="Arial" w:eastAsia="Arial" w:hAnsi="Arial"/>
          <w:sz w:val="16"/>
          <w:szCs w:val="16"/>
          <w:color w:val="auto"/>
        </w:rPr>
        <w:t>to comply with requirements of the SEC in order to effect or maintain the qualification of the Indenture under the Trust Indenture Act;</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296"/>
        </w:numPr>
        <w:rPr>
          <w:rFonts w:ascii="Arial" w:cs="Arial" w:eastAsia="Arial" w:hAnsi="Arial"/>
          <w:sz w:val="16"/>
          <w:szCs w:val="16"/>
          <w:color w:val="auto"/>
        </w:rPr>
      </w:pPr>
      <w:r>
        <w:rPr>
          <w:rFonts w:ascii="Arial" w:cs="Arial" w:eastAsia="Arial" w:hAnsi="Arial"/>
          <w:sz w:val="16"/>
          <w:szCs w:val="16"/>
          <w:color w:val="auto"/>
        </w:rPr>
        <w:t>to provide for the issuance of additional 2020 Notes in accordance with the limitations set forth in the Indenture as of the date of the Indenture;</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to allow any Guarantor to execute a supplemental indenture and/or a Note Guarantee with respect to the 2020 Notes;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enter into additional or supplemental Collateral Documents or Guarantees or an intercreditor agreement with respect thereto.</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Indenture and the Collateral Documents will be discharged and will cease to be of further effect as to all 2020 Notes issued thereunder, when:</w:t>
      </w:r>
    </w:p>
    <w:p>
      <w:pPr>
        <w:spacing w:after="0" w:line="113" w:lineRule="exact"/>
        <w:rPr>
          <w:sz w:val="20"/>
          <w:szCs w:val="20"/>
          <w:color w:val="auto"/>
        </w:rPr>
      </w:pPr>
    </w:p>
    <w:p>
      <w:pPr>
        <w:ind w:left="1160" w:hanging="257"/>
        <w:spacing w:after="0"/>
        <w:tabs>
          <w:tab w:leader="none" w:pos="116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920" w:firstLine="421"/>
        <w:spacing w:after="0" w:line="332" w:lineRule="auto"/>
        <w:tabs>
          <w:tab w:leader="none" w:pos="1579" w:val="left"/>
        </w:tabs>
        <w:numPr>
          <w:ilvl w:val="1"/>
          <w:numId w:val="297"/>
        </w:numPr>
        <w:rPr>
          <w:rFonts w:ascii="Arial" w:cs="Arial" w:eastAsia="Arial" w:hAnsi="Arial"/>
          <w:sz w:val="16"/>
          <w:szCs w:val="16"/>
          <w:color w:val="auto"/>
        </w:rPr>
      </w:pPr>
      <w:r>
        <w:rPr>
          <w:rFonts w:ascii="Arial" w:cs="Arial" w:eastAsia="Arial" w:hAnsi="Arial"/>
          <w:sz w:val="16"/>
          <w:szCs w:val="16"/>
          <w:color w:val="auto"/>
        </w:rPr>
        <w:t>all 2020 Notes that have been authenticated, except lost, stolen or destroyed 2020 Notes that have been replaced or paid and 2020 Notes for whose payment money has been deposited in trust and thereafter repaid to the Issuers, have been delivered to the trustee for cancellation; or</w:t>
      </w:r>
    </w:p>
    <w:p>
      <w:pPr>
        <w:spacing w:after="0" w:line="4" w:lineRule="exact"/>
        <w:rPr>
          <w:rFonts w:ascii="Arial" w:cs="Arial" w:eastAsia="Arial" w:hAnsi="Arial"/>
          <w:sz w:val="16"/>
          <w:szCs w:val="16"/>
          <w:color w:val="auto"/>
        </w:rPr>
      </w:pPr>
    </w:p>
    <w:p>
      <w:pPr>
        <w:ind w:left="920" w:right="20" w:firstLine="421"/>
        <w:spacing w:after="0" w:line="291" w:lineRule="auto"/>
        <w:tabs>
          <w:tab w:leader="none" w:pos="1588" w:val="left"/>
        </w:tabs>
        <w:numPr>
          <w:ilvl w:val="1"/>
          <w:numId w:val="297"/>
        </w:numPr>
        <w:rPr>
          <w:rFonts w:ascii="Arial" w:cs="Arial" w:eastAsia="Arial" w:hAnsi="Arial"/>
          <w:sz w:val="16"/>
          <w:szCs w:val="16"/>
          <w:color w:val="auto"/>
        </w:rPr>
      </w:pPr>
      <w:r>
        <w:rPr>
          <w:rFonts w:ascii="Arial" w:cs="Arial" w:eastAsia="Arial" w:hAnsi="Arial"/>
          <w:sz w:val="16"/>
          <w:szCs w:val="16"/>
          <w:color w:val="auto"/>
        </w:rPr>
        <w:t>all 2020 Notes that have not been delivered to the trustee for cancellation will become due and payable by reason of the mailing of a notice of redemption or otherwise or will become due and payable within one year and the Issuers have or any Guarantor has irrevocably deposited or caused to be deposited with the trustee as trust funds in trust solely for the benefit of the holders, cash in U.S. dollars, non-callable Government Securities, or a combination of cash in U.S. dollars and non-callable Government Securities, in amounts as will be sufficient, without consideration of any reinvestment of interest, to pay and discharge the entire Indebtedness on the 2020 Notes not delivered to the trustee for cancellation for principal, premium and Liquidated Damages, if any, and accrued interest to the date of maturity or redemption;</w:t>
      </w:r>
    </w:p>
    <w:p>
      <w:pPr>
        <w:spacing w:after="0" w:line="39" w:lineRule="exact"/>
        <w:rPr>
          <w:rFonts w:ascii="Arial" w:cs="Arial" w:eastAsia="Arial" w:hAnsi="Arial"/>
          <w:sz w:val="16"/>
          <w:szCs w:val="16"/>
          <w:color w:val="auto"/>
        </w:rPr>
      </w:pPr>
    </w:p>
    <w:p>
      <w:pPr>
        <w:ind w:left="460" w:right="140" w:firstLine="443"/>
        <w:spacing w:after="0" w:line="306" w:lineRule="auto"/>
        <w:tabs>
          <w:tab w:leader="none" w:pos="1147" w:val="left"/>
        </w:tabs>
        <w:numPr>
          <w:ilvl w:val="0"/>
          <w:numId w:val="297"/>
        </w:numPr>
        <w:rPr>
          <w:rFonts w:ascii="Arial" w:cs="Arial" w:eastAsia="Arial" w:hAnsi="Arial"/>
          <w:sz w:val="16"/>
          <w:szCs w:val="16"/>
          <w:color w:val="auto"/>
        </w:rPr>
      </w:pPr>
      <w:r>
        <w:rPr>
          <w:rFonts w:ascii="Arial" w:cs="Arial" w:eastAsia="Arial" w:hAnsi="Arial"/>
          <w:sz w:val="16"/>
          <w:szCs w:val="16"/>
          <w:color w:val="auto"/>
        </w:rPr>
        <w:t>no Default or Event of Default has occurred and is continuing on the date of the deposit or will occur as a result of the deposit (other than a Default or Event of Default resulting from the borrowing of funds to be applied to such deposit) and the deposit will not result in a breach or violation of, or constitute a default under, any other instrument to which either Issuer or any Guarantor is a party or by which either Issuer or any Guarantor is bound;</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the Issuers or any Guarantor has paid or caused to be paid all sums payable by the Issuers under the Indenture; and</w:t>
      </w:r>
    </w:p>
    <w:p>
      <w:pPr>
        <w:spacing w:after="0" w:line="90" w:lineRule="exact"/>
        <w:rPr>
          <w:rFonts w:ascii="Arial" w:cs="Arial" w:eastAsia="Arial" w:hAnsi="Arial"/>
          <w:sz w:val="18"/>
          <w:szCs w:val="18"/>
          <w:color w:val="auto"/>
        </w:rPr>
      </w:pPr>
    </w:p>
    <w:p>
      <w:pPr>
        <w:ind w:left="460" w:right="340" w:firstLine="443"/>
        <w:spacing w:after="0" w:line="268" w:lineRule="auto"/>
        <w:tabs>
          <w:tab w:leader="none" w:pos="1147"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the Issuers have delivered irrevocable instructions to the trustee under the Indenture to apply the deposited money toward the payment of the 2020 Notes at maturity or on the redemption date, as the case may be.</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addition, the Issuers must deliver an officers’ certificate and an opinion of counsel to the trustee stating that all conditions precedent to satisfaction and discharge have been satisfied.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If the trustee becomes a creditor of either Issuer or any Guarantor, the Indenture limits the right of the trustee to obtain payment of claims in certain cases, or to realize on certain property received in respect of any such claim as security or otherwise. The trustee will be permitted to engage in other transactions. However, if it acquires any conflicting interest it must eliminate such conflict within 90 days, apply to the SEC for permission to continue as trustee (if the Indenture has been qualified under the Trust Indenture Act) or resign.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380"/>
          </w:cols>
          <w:pgMar w:left="240" w:top="460" w:right="27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holders of a majority in aggregate principal amount of the then outstanding 2020 Notes will have the right to direct the time, method and place of conducting any proceeding for exercising any remedy available to the trustee, subject to certain exceptions. However, as long as any Indebtedness is outstanding under our credit facilities and as long as any of the 2014 Notes remain outstanding, the holders of the 2020 Notes will not have any right to direct the collateral agent to enforce remedies against the Collateral. The Indenture provides that in case an Event of Default occurs and is continuing, the trustee will be required, in the exercise of its power, to use the degree of care of a prudent person in the conduct of his/her own affairs.</w:t>
      </w:r>
    </w:p>
    <w:p>
      <w:pPr>
        <w:spacing w:after="0" w:line="11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Subject to such provisions, the trustee will be under no obligation to exercise any of its rights or powers under the Indenture at the request of any holder of 2020 Notes, unless such holder has offered to the trustee security and indemnity satisfactory to it against any loss, liability or expense.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Collateral Documents generally provide for the application of the internal laws of the State of New York, except to the extent that (1) the laws of Nevada are mandatory or (2) the validity or perfection of security interests in respect of certain items of Collateral (such as real property) is governed by the laws of the jurisdiction where that collateral is located. The Indenture, the 2020 Notes, the Note Guarantees and the Collateral Documents provide, with certain exceptions, for the application of the internal laws of the State of New York. There is no certainty regarding whether New York or Nevada law would be applied by any court with respect to the enforcement of remedies under the 2020 Notes, the Indenture, the Note Guarantees or the Collateral Documents.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96"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Anyone who receives this offering memorandum may obtain a copy of the Indenture, the Collateral Documents and the registration rights agreement without charge by writing to Wynn Las Vegas, LLC, 3131 Las Vegas Boulevard South, Las Vegas, NV 89109, Attention: Legal Department.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Delivery and Form</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new 2020 notes will be issued in the form of one or more notes in global form (the “Gobal Notes”). The new 2020 notes will be issued in minimum denominations of $2,000 and integral multiples of $1,000 in excess thereof.</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Global Notes will be deposited upon issuance with the trustee as custodian for DTC, in New York, New York, and registered in the name of DTC or its nominee (such nominee being referred to as the “Global Note Holder”), in each case, for credit to an account of a direct or indirect participant in DTC as described below.</w:t>
      </w:r>
    </w:p>
    <w:p>
      <w:pPr>
        <w:spacing w:after="0" w:line="14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Except as set forth below, the Global Notes may be transferred, in whole and not in part, only to another nominee of DTC or to a successor of DTC or its nominee. Beneficial interests in the Global Notes may not be exchanged for new 2020 notes in certificated form except in the limited circumstances described below. See “—Exchange of Global Notes for Certificated Notes.” Except in the limited circumstances described below, owners of beneficial interests in the Global Notes will not be entitled to receive physical delivery of notes in certificated form.</w:t>
      </w:r>
    </w:p>
    <w:p>
      <w:pPr>
        <w:spacing w:after="0" w:line="11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In addition, transfers of beneficial interests in the Global Notes will be subject to the applicable rules and procedures of DTC and its direct or indirect participants (including, if applicable, those of Euroclear and Clearstream), which may change from time to time.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380"/>
          </w:cols>
          <w:pgMar w:left="240" w:top="460" w:right="27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Depository Procedures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following description of the operations and procedures of DTC, Euroclear and Clearstream are provided solely as a matter of convenience. These operations and procedures are solely within the control of the respective settlement systems and are subject to changes by them. The Issuers take no responsibility for these operations and procedures and urges investors to contact the system or their participants directly to discuss these matters.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DTC has advised the Issuers that DTC is a limited-purpose trust company created to hold securities for its participating organizations (collectively,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Participants</w:t>
      </w:r>
      <w:r>
        <w:rPr>
          <w:rFonts w:ascii="Arial" w:cs="Arial" w:eastAsia="Arial" w:hAnsi="Arial"/>
          <w:sz w:val="16"/>
          <w:szCs w:val="16"/>
          <w:color w:val="auto"/>
        </w:rPr>
        <w:t>”) and to facilitate the clearance and settlement of transactions in those securities between the Participants through electronic book-entry changes in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accounts of its Participants. The Participants include securities brokers and dealers, banks, trust companies, clearing corporations and certain other organizations.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Access to DTC’s system is also available to other entities such as banks, brokers, dealers and trust companies that clear through or maintain a custodial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relationship with a Participant, either directly or indirectly (collectively, the “</w:t>
      </w:r>
      <w:r>
        <w:rPr>
          <w:rFonts w:ascii="Arial" w:cs="Arial" w:eastAsia="Arial" w:hAnsi="Arial"/>
          <w:sz w:val="16"/>
          <w:szCs w:val="16"/>
          <w:i w:val="1"/>
          <w:iCs w:val="1"/>
          <w:color w:val="auto"/>
        </w:rPr>
        <w:t>Indirect Participants</w:t>
      </w:r>
      <w:r>
        <w:rPr>
          <w:rFonts w:ascii="Arial" w:cs="Arial" w:eastAsia="Arial" w:hAnsi="Arial"/>
          <w:sz w:val="16"/>
          <w:szCs w:val="16"/>
          <w:color w:val="auto"/>
        </w:rPr>
        <w:t>”). Persons who are not Participants may beneficially own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held by or on behalf of DTC only through the Participants or the Indirect Participants. The ownership interests in, and transfers of ownership interests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each security held by or on behalf of DTC are recorded on the records of the Participants and Indirect Participants.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DTC has also advised the Issuers that, pursuant to procedures established by it:</w:t>
      </w:r>
    </w:p>
    <w:p>
      <w:pPr>
        <w:spacing w:after="0" w:line="90" w:lineRule="exact"/>
        <w:rPr>
          <w:sz w:val="20"/>
          <w:szCs w:val="20"/>
          <w:color w:val="auto"/>
        </w:rPr>
      </w:pPr>
    </w:p>
    <w:p>
      <w:pPr>
        <w:ind w:left="460" w:right="520" w:firstLine="443"/>
        <w:spacing w:after="0" w:line="268" w:lineRule="auto"/>
        <w:tabs>
          <w:tab w:leader="none" w:pos="1147" w:val="left"/>
        </w:tabs>
        <w:numPr>
          <w:ilvl w:val="0"/>
          <w:numId w:val="298"/>
        </w:numPr>
        <w:rPr>
          <w:rFonts w:ascii="Arial" w:cs="Arial" w:eastAsia="Arial" w:hAnsi="Arial"/>
          <w:sz w:val="18"/>
          <w:szCs w:val="18"/>
          <w:color w:val="auto"/>
        </w:rPr>
      </w:pPr>
      <w:r>
        <w:rPr>
          <w:rFonts w:ascii="Arial" w:cs="Arial" w:eastAsia="Arial" w:hAnsi="Arial"/>
          <w:sz w:val="18"/>
          <w:szCs w:val="18"/>
          <w:color w:val="auto"/>
        </w:rPr>
        <w:t>upon deposit of the Global Notes, DTC will credit the accounts of the Participants designated by the initial purchasers with portions of the principal amount of the Global Notes; and</w:t>
      </w:r>
    </w:p>
    <w:p>
      <w:pPr>
        <w:spacing w:after="0" w:line="50" w:lineRule="exact"/>
        <w:rPr>
          <w:rFonts w:ascii="Arial" w:cs="Arial" w:eastAsia="Arial" w:hAnsi="Arial"/>
          <w:sz w:val="18"/>
          <w:szCs w:val="18"/>
          <w:color w:val="auto"/>
        </w:rPr>
      </w:pPr>
    </w:p>
    <w:p>
      <w:pPr>
        <w:ind w:left="460" w:right="60" w:firstLine="443"/>
        <w:spacing w:after="0" w:line="259" w:lineRule="auto"/>
        <w:tabs>
          <w:tab w:leader="none" w:pos="1147" w:val="left"/>
        </w:tabs>
        <w:numPr>
          <w:ilvl w:val="0"/>
          <w:numId w:val="298"/>
        </w:numPr>
        <w:rPr>
          <w:rFonts w:ascii="Arial" w:cs="Arial" w:eastAsia="Arial" w:hAnsi="Arial"/>
          <w:sz w:val="18"/>
          <w:szCs w:val="18"/>
          <w:color w:val="auto"/>
        </w:rPr>
      </w:pPr>
      <w:r>
        <w:rPr>
          <w:rFonts w:ascii="Arial" w:cs="Arial" w:eastAsia="Arial" w:hAnsi="Arial"/>
          <w:sz w:val="18"/>
          <w:szCs w:val="18"/>
          <w:color w:val="auto"/>
        </w:rPr>
        <w:t>ownership of these interests in the Global Notes will be shown on, and the transfer of ownership of these interests will be effected only through, records maintained by DTC (with respect to the Participants) or by the Participants and the Indirect Participants (with respect to other owners of beneficial interest in the Global Notes).</w:t>
      </w:r>
    </w:p>
    <w:p>
      <w:pPr>
        <w:spacing w:after="0" w:line="140"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Investors in the Global Notes who are Participants may hold their interests therein directly through DTC. Investors in the Global Notes who are not Participants may hold their interests therein indirectly through organizations (including Euroclear and Clearstream) which are Participants. All interests in a Global Note, including those held through Euroclear or Clearstream, may be subject to the procedures and requirements of DTC. Those interests held through Euroclear or Clearstream may also be subject to the procedures and requirements of such systems. The laws of some states require that certain Persons take physical delivery in definitive form of securities that they own. Consequently, the ability to transfer beneficial interests in a Global Note to such Persons will be limited to that extent. Because DTC can act only on behalf of the Participants, which in turn act on behalf of the Indirect Participants, the ability of a Person having beneficial interests in a Global Note to pledge such interests to Persons that do not participate in the DTC system, or otherwise take actions in respect of such interests, may be affected by the lack of a physical certificate evidencing such interests.</w:t>
      </w:r>
    </w:p>
    <w:p>
      <w:pPr>
        <w:spacing w:after="0" w:line="112"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b w:val="1"/>
          <w:bCs w:val="1"/>
          <w:color w:val="auto"/>
        </w:rPr>
        <w:t>Except as described below, owners of interests in the Global Notes will not have new 2020 notes registered in their names, will not receive physical delivery of new 2020 notes in certificated form and will not be considered the registered owners or “holders” thereof under the indenture for any purpose.</w:t>
      </w:r>
    </w:p>
    <w:p>
      <w:pPr>
        <w:spacing w:after="0" w:line="13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Payments in respect of the principal of, and interest and premium, if any, and Liquidated Damages, if any, on, a Global Note registered in the name of DTC or its nominee will be payable to DTC in its capacity as the registered holder under the Indenture. Under the terms of the Indenture, the Issuers and the trustee will treat the Persons in whose names the 2020 Notes, including the Global Notes, are registered as the owners of the 2020 Notes for the purpose of receiving payments and for all other purposes. Consequently, neither the Issuers, the trustee nor any agent of the Issuers or the trustee has or will have any responsibility or liability for:</w:t>
      </w:r>
    </w:p>
    <w:p>
      <w:pPr>
        <w:spacing w:after="0" w:line="62" w:lineRule="exact"/>
        <w:rPr>
          <w:sz w:val="20"/>
          <w:szCs w:val="20"/>
          <w:color w:val="auto"/>
        </w:rPr>
      </w:pPr>
    </w:p>
    <w:p>
      <w:pPr>
        <w:ind w:left="460" w:right="380" w:firstLine="443"/>
        <w:spacing w:after="0" w:line="259" w:lineRule="auto"/>
        <w:tabs>
          <w:tab w:leader="none" w:pos="1147" w:val="left"/>
        </w:tabs>
        <w:numPr>
          <w:ilvl w:val="0"/>
          <w:numId w:val="299"/>
        </w:numPr>
        <w:rPr>
          <w:rFonts w:ascii="Arial" w:cs="Arial" w:eastAsia="Arial" w:hAnsi="Arial"/>
          <w:sz w:val="18"/>
          <w:szCs w:val="18"/>
          <w:color w:val="auto"/>
        </w:rPr>
      </w:pPr>
      <w:r>
        <w:rPr>
          <w:rFonts w:ascii="Arial" w:cs="Arial" w:eastAsia="Arial" w:hAnsi="Arial"/>
          <w:sz w:val="18"/>
          <w:szCs w:val="18"/>
          <w:color w:val="auto"/>
        </w:rPr>
        <w:t>any aspect of DTC’s records or any Participant’s or Indirect Participant’s records relating to or payments made on account of beneficial ownership interest in the Global Notes or for maintaining, supervising or reviewing any of DTC’s records or any Participant’s or Indirect Participant’s records relating to the beneficial ownership interests in the Global Notes; or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380"/>
          </w:cols>
          <w:pgMar w:left="240" w:top="459" w:right="27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(2) any other matter relating to the actions and practices of DTC or any of its Participants or Indirect Participants.</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DTC has advised the Issuers that its current practice, upon receipt of any payment in respect of securities such as the 2020 Notes (including principal and interest), is to credit the accounts of the relevant Participants with the payment on the payment date unless DTC has reason to believe that it will not receive payment on such payment date. Each relevant Participant is credited with an amount proportionate to its beneficial ownership of an interest in the principal amount of the relevant security as shown on the records of DTC. Payments by the Participants and the Indirect Participants to the beneficial owners of 2020 Notes will be governed by standing instructions and customary practices and will be the responsibility of the Participants or the Indirect Participants and will not be the responsibility of DTC, the trustee or the Issuers. Neither the Issuers nor the trustee will be liable for any delay by DTC or any of the Participants or the Indirect Participants in identifying the beneficial owners of the 2020 Notes, and the Issuers and the trustee may conclusively rely on and will be protected in relying on instructions from DTC or its nominee for all purposes.</w:t>
      </w:r>
    </w:p>
    <w:p>
      <w:pPr>
        <w:spacing w:after="0" w:line="118"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Transfers between the Participants will be effected in accordance with DTC’s procedures, and will be settled in same-day funds, and transfers between participants in Euroclear and Clearstream will be effected in accordance with their respective rules and operating procedures.</w:t>
      </w:r>
    </w:p>
    <w:p>
      <w:pPr>
        <w:spacing w:after="0" w:line="85"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Subject to compliance with the transfer restrictions applicable to the 2020 Notes described herein, cross-market transfers between the Participants, on the one hand, and Euroclear or Clearstream participants, on the other hand, will be effected through DTC in accordance with DTC’s rules on behalf of Euroclear or Clearstream, as the case may be, by their respective depositaries; however, such cross-market transactions will require delivery of instructions to Euroclear or Clearstream, as the case may be, by the counterparty in such system in accordance with the rules and procedures and within the established deadlines (Brussels time) of such system. Euroclear or Clearstream, as the case may be, will, if the transaction meets its settlement requirements, deliver instructions to its respective depositary to take action to effect final settlement on its behalf by delivering or receiving interests in the relevant Global Note in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118"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DTC has advised the Issuers that it will take any action permitted to be taken by a holder of 2020 Notes only at the direction of one or more Participants to whose account DTC has credited the interests in the Global Notes and only in respect of such portion of the aggregate principal amount of the 2020 Notes as to which such Participant or Participants has or have given such direction. However, if there is an Event of Default under the 2020 Notes, DTC reserves the right to exchange the Global Notes for legended notes in certificated form, and to distribute such notes to its Participants.</w:t>
      </w:r>
    </w:p>
    <w:p>
      <w:pPr>
        <w:spacing w:after="0" w:line="11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Although DTC, Euroclear and Clearstream have agreed to the foregoing procedures to facilitate transfers of interests in the Global Notes among participants in DTC, Euroclear and Clearstream, they are under no obligation to perform or to continue to perform such procedures, and may discontinue such procedures at any time. None of the Issuers, the trustee and any of their respective agents will have any responsibility for the performance by DTC, Euroclear or Clearstream or their respective participants or indirect participants of their respective obligations under the rules and procedures governing their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Global Notes for Certificated Notes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Global Note is exchangeable for Certificated Notes if:</w:t>
      </w:r>
    </w:p>
    <w:p>
      <w:pPr>
        <w:spacing w:after="0" w:line="90" w:lineRule="exact"/>
        <w:rPr>
          <w:sz w:val="20"/>
          <w:szCs w:val="20"/>
          <w:color w:val="auto"/>
        </w:rPr>
      </w:pPr>
    </w:p>
    <w:p>
      <w:pPr>
        <w:ind w:left="460" w:right="120" w:firstLine="443"/>
        <w:spacing w:after="0" w:line="268" w:lineRule="auto"/>
        <w:tabs>
          <w:tab w:leader="none" w:pos="1147" w:val="left"/>
        </w:tabs>
        <w:numPr>
          <w:ilvl w:val="0"/>
          <w:numId w:val="300"/>
        </w:numPr>
        <w:rPr>
          <w:rFonts w:ascii="Arial" w:cs="Arial" w:eastAsia="Arial" w:hAnsi="Arial"/>
          <w:sz w:val="18"/>
          <w:szCs w:val="18"/>
          <w:color w:val="auto"/>
        </w:rPr>
      </w:pPr>
      <w:r>
        <w:rPr>
          <w:rFonts w:ascii="Arial" w:cs="Arial" w:eastAsia="Arial" w:hAnsi="Arial"/>
          <w:sz w:val="18"/>
          <w:szCs w:val="18"/>
          <w:color w:val="auto"/>
        </w:rPr>
        <w:t>DTC (a) notifies the Issuers that it is unwilling or unable to continue as depositary for the Global Notes or (b) has ceased to be a clearing agency registered under the Exchange Act and, in either case, the Issuers fail to appoint a successor depositary;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420"/>
          </w:cols>
          <w:pgMar w:left="240" w:top="460" w:right="2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the Issuers, at their option, notify the trustee in writing that they elect to cause the issuance of the Certificated Notes;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there has occurred and is continuing a Default or Event of Default with respect to the 2020 Notes.</w:t>
      </w:r>
    </w:p>
    <w:p>
      <w:pPr>
        <w:spacing w:after="0" w:line="171" w:lineRule="exact"/>
        <w:rPr>
          <w:sz w:val="20"/>
          <w:szCs w:val="20"/>
          <w:color w:val="auto"/>
        </w:rPr>
      </w:pPr>
    </w:p>
    <w:p>
      <w:pPr>
        <w:jc w:val="both"/>
        <w:ind w:right="160" w:firstLine="456"/>
        <w:spacing w:after="0" w:line="335" w:lineRule="auto"/>
        <w:rPr>
          <w:sz w:val="20"/>
          <w:szCs w:val="20"/>
          <w:color w:val="auto"/>
        </w:rPr>
      </w:pPr>
      <w:r>
        <w:rPr>
          <w:rFonts w:ascii="Arial" w:cs="Arial" w:eastAsia="Arial" w:hAnsi="Arial"/>
          <w:sz w:val="15"/>
          <w:szCs w:val="15"/>
          <w:color w:val="auto"/>
        </w:rPr>
        <w:t>In addition, beneficial interests in a Global Note may be exchanged for Certificated Notes upon prior written notice given to the trustee by or on behalf of DTC in accordance with the Indenture. In all cases, Certificated Notes delivered in exchange for any Global Note or beneficial interests in Global Notes will be registered in the names, and issued in any approved denominations, requested by or on behalf of the depositary (in accordance with its customary procedures).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Certificated Notes for Global Notes</w:t>
      </w:r>
    </w:p>
    <w:p>
      <w:pPr>
        <w:spacing w:after="0" w:line="9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Certificated Notes may not be exchanged for beneficial interests in any Global Note unless the transferor first delivers to the trustee a written certificate (in the form provided in the indenture) to the effect that such transfer will comply with the appropriate transfer restrictions applicable to such notes.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 Day Settlement and Payment</w:t>
      </w:r>
    </w:p>
    <w:p>
      <w:pPr>
        <w:spacing w:after="0" w:line="9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Issuers will make payments in respect of the 2020 Notes represented by the Global Notes (including principal, premium, if any, and interest and Liquidated Damages, if any), by wire transfer of immediately available funds to the accounts specified by DTC or its nominee. The Issuers will make all payments of principal, interest and premium, if any, and Liquidated Damages, if any, with respect to Certificated Notes by wire transfer of immediately available funds to the accounts specified by the holders of the Certificated Notes or, if no such account is specified, by mailing a check to each such holder’s registered address. The 2020 Notes represented by the Global Notes are expected to be eligible to trade in The PORTAL Alliance and to trade in DTC’s Same-Day Funds Settlement System, and any permitted secondary market trading activity in such notes will, therefore, be required by DTC to be settled in immediately available funds. The Issuers expect that secondary trading in any Certificated Notes will also be settled in immediately available funds.</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Because of time zone differences, the securities account of a Euroclear or Clearstream participant purchasing an interest in a Global Note from a Participant will be credited, and any such crediting will be reported to the relevant Euroclear or Clearstream participant, during the securities settlement processing day (which must be a business day for Euroclear and Clearstream) immediately following the settlement date of DTC. DTC has advised the Issuers that cash received in Euroclear or Clearstream as a result of sales of interests in a Global Note by or through a Euroclear or Clearstream participant to a Participant will be received with value on the settlement date of DTC but will be available in the relevant Euroclear or Clearstream cash account only as of the business day for Euroclear or Clearstream following DTC’s settlement date.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Set forth below are certain defined terms used in the Indenture. Reference is made to the Indenture for a full disclosure of all defined terms used therein, as well as any other capitalized terms used herein for which no definition is provided.</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Access Easement Agreement</w:t>
      </w:r>
      <w:r>
        <w:rPr>
          <w:rFonts w:ascii="Arial" w:cs="Arial" w:eastAsia="Arial" w:hAnsi="Arial"/>
          <w:sz w:val="18"/>
          <w:szCs w:val="18"/>
          <w:color w:val="auto"/>
        </w:rPr>
        <w:t>” means that certain Access Easement Agreement, dated as of December 14, 2004, by and between Wynn Golf and Wynn Las Vegas, as amended, modified or otherwise supplemented from time to time in any manner that is not in contravention of the covenant described above under the caption “—Certain Covenants—Amendments to Certain Agreements.”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Acquired Debt</w:t>
      </w:r>
      <w:r>
        <w:rPr>
          <w:rFonts w:ascii="Arial" w:cs="Arial" w:eastAsia="Arial" w:hAnsi="Arial"/>
          <w:sz w:val="18"/>
          <w:szCs w:val="18"/>
          <w:color w:val="auto"/>
        </w:rPr>
        <w:t>” means, with respect to any specified Person:</w:t>
      </w:r>
    </w:p>
    <w:p>
      <w:pPr>
        <w:spacing w:after="0" w:line="90" w:lineRule="exact"/>
        <w:rPr>
          <w:sz w:val="20"/>
          <w:szCs w:val="20"/>
          <w:color w:val="auto"/>
        </w:rPr>
      </w:pPr>
    </w:p>
    <w:p>
      <w:pPr>
        <w:jc w:val="both"/>
        <w:ind w:left="460" w:right="140" w:firstLine="443"/>
        <w:spacing w:after="0" w:line="259" w:lineRule="auto"/>
        <w:tabs>
          <w:tab w:leader="none" w:pos="1147" w:val="left"/>
        </w:tabs>
        <w:numPr>
          <w:ilvl w:val="1"/>
          <w:numId w:val="302"/>
        </w:numPr>
        <w:rPr>
          <w:rFonts w:ascii="Arial" w:cs="Arial" w:eastAsia="Arial" w:hAnsi="Arial"/>
          <w:sz w:val="18"/>
          <w:szCs w:val="18"/>
          <w:color w:val="auto"/>
        </w:rPr>
      </w:pPr>
      <w:r>
        <w:rPr>
          <w:rFonts w:ascii="Arial" w:cs="Arial" w:eastAsia="Arial" w:hAnsi="Arial"/>
          <w:sz w:val="18"/>
          <w:szCs w:val="18"/>
          <w:color w:val="auto"/>
        </w:rPr>
        <w:t>Indebtedness of any other Person existing at the time such other Person is merged with or into or became a Subsidiary of such specified Person, whether or not such Indebtedness is incurred in connection with, or in contemplation of, such other Person merging with or into, or becoming a Restricted Subsidiary of, such specified Person;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420"/>
          </w:cols>
          <w:pgMar w:left="240" w:top="459" w:right="2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303"/>
        </w:numPr>
        <w:rPr>
          <w:rFonts w:ascii="Arial" w:cs="Arial" w:eastAsia="Arial" w:hAnsi="Arial"/>
          <w:sz w:val="16"/>
          <w:szCs w:val="16"/>
          <w:color w:val="auto"/>
        </w:rPr>
      </w:pPr>
      <w:r>
        <w:rPr>
          <w:rFonts w:ascii="Arial" w:cs="Arial" w:eastAsia="Arial" w:hAnsi="Arial"/>
          <w:sz w:val="16"/>
          <w:szCs w:val="16"/>
          <w:color w:val="auto"/>
        </w:rPr>
        <w:t>Indebtedness secured by a Lien encumbering any asset acquired by such specified Person at the time such asset is acquired by such specified</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Person.</w:t>
      </w:r>
    </w:p>
    <w:p>
      <w:pPr>
        <w:spacing w:after="0" w:line="16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Entertainment Facility</w:t>
      </w:r>
      <w:r>
        <w:rPr>
          <w:rFonts w:ascii="Arial" w:cs="Arial" w:eastAsia="Arial" w:hAnsi="Arial"/>
          <w:sz w:val="18"/>
          <w:szCs w:val="18"/>
          <w:color w:val="auto"/>
        </w:rPr>
        <w:t>” means a showroom or entertainment facility adjoining the Wynn Las Vegas hotel and casino resort on the Project Site other than the Entertainment Facility.</w:t>
      </w:r>
    </w:p>
    <w:p>
      <w:pPr>
        <w:spacing w:after="0" w:line="132"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Affiliate</w:t>
      </w:r>
      <w:r>
        <w:rPr>
          <w:rFonts w:ascii="Arial" w:cs="Arial" w:eastAsia="Arial" w:hAnsi="Arial"/>
          <w:sz w:val="16"/>
          <w:szCs w:val="16"/>
          <w:color w:val="auto"/>
        </w:rPr>
        <w:t>” of any specified Person means any other Person directly or indirectly controlling or controlled by or under direct or indirect common control with such specified Person. For purposes of this definition, “control,” as used with respect to any Person, means the possession, directly or indirectly, of the power to direct or cause the direction of the management or policies of such Person, whether through the ownership of voting securities, by agreement or otherwise; provided that beneficial ownership of 10% or more of the Voting Stock of a Person will be deemed to be control. For purposes of this definition, the terms “controlling,” “controlled by” and “under common control with” have correlative meanings.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Affiliate Agreements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1"/>
          <w:numId w:val="304"/>
        </w:numPr>
        <w:rPr>
          <w:rFonts w:ascii="Arial" w:cs="Arial" w:eastAsia="Arial" w:hAnsi="Arial"/>
          <w:sz w:val="18"/>
          <w:szCs w:val="18"/>
          <w:color w:val="auto"/>
        </w:rPr>
      </w:pPr>
      <w:r>
        <w:rPr>
          <w:rFonts w:ascii="Arial" w:cs="Arial" w:eastAsia="Arial" w:hAnsi="Arial"/>
          <w:sz w:val="18"/>
          <w:szCs w:val="18"/>
          <w:color w:val="auto"/>
        </w:rPr>
        <w:t>the Management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304"/>
        </w:numPr>
        <w:rPr>
          <w:rFonts w:ascii="Arial" w:cs="Arial" w:eastAsia="Arial" w:hAnsi="Arial"/>
          <w:sz w:val="18"/>
          <w:szCs w:val="18"/>
          <w:color w:val="auto"/>
        </w:rPr>
      </w:pPr>
      <w:r>
        <w:rPr>
          <w:rFonts w:ascii="Arial" w:cs="Arial" w:eastAsia="Arial" w:hAnsi="Arial"/>
          <w:sz w:val="18"/>
          <w:szCs w:val="18"/>
          <w:color w:val="auto"/>
        </w:rPr>
        <w:t>the Project Lease and Easement Agreements,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304"/>
        </w:numPr>
        <w:rPr>
          <w:rFonts w:ascii="Arial" w:cs="Arial" w:eastAsia="Arial" w:hAnsi="Arial"/>
          <w:sz w:val="18"/>
          <w:szCs w:val="18"/>
          <w:color w:val="auto"/>
        </w:rPr>
      </w:pPr>
      <w:r>
        <w:rPr>
          <w:rFonts w:ascii="Arial" w:cs="Arial" w:eastAsia="Arial" w:hAnsi="Arial"/>
          <w:sz w:val="18"/>
          <w:szCs w:val="18"/>
          <w:color w:val="auto"/>
        </w:rPr>
        <w:t>the Art Rental and Licensing Agreement,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304"/>
        </w:numPr>
        <w:rPr>
          <w:rFonts w:ascii="Arial" w:cs="Arial" w:eastAsia="Arial" w:hAnsi="Arial"/>
          <w:sz w:val="18"/>
          <w:szCs w:val="18"/>
          <w:color w:val="auto"/>
        </w:rPr>
      </w:pPr>
      <w:r>
        <w:rPr>
          <w:rFonts w:ascii="Arial" w:cs="Arial" w:eastAsia="Arial" w:hAnsi="Arial"/>
          <w:sz w:val="18"/>
          <w:szCs w:val="18"/>
          <w:color w:val="auto"/>
        </w:rPr>
        <w:t>the Wynn IP Agreement,</w:t>
      </w:r>
    </w:p>
    <w:p>
      <w:pPr>
        <w:spacing w:after="0" w:line="171"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in each case as amended, modified or otherwise supplemented from time to time in any manner that is not in contravention of the covenants described above under the captions “—Certain Covenants—Transactions with Affiliates” and “—Certain Covenant—Amendments to Certain Agreements.”</w:t>
      </w:r>
    </w:p>
    <w:p>
      <w:pPr>
        <w:spacing w:after="0" w:line="85"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Aircraft”</w:t>
      </w:r>
      <w:r>
        <w:rPr>
          <w:rFonts w:ascii="Arial" w:cs="Arial" w:eastAsia="Arial" w:hAnsi="Arial"/>
          <w:sz w:val="16"/>
          <w:szCs w:val="16"/>
          <w:color w:val="auto"/>
        </w:rPr>
        <w:t xml:space="preserve"> means that certain 1999 Boeing 737-79U Business Jet aircraft bearing manufacturer’s serial number 29441 and United States Federal Aviation Administration Number N88WZ, together with engines attached thereto, owned by a trust of which World Travel, LLC is the beneficial interest holder.</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Aircraft Assets</w:t>
      </w:r>
      <w:r>
        <w:rPr>
          <w:rFonts w:ascii="Arial" w:cs="Arial" w:eastAsia="Arial" w:hAnsi="Arial"/>
          <w:sz w:val="18"/>
          <w:szCs w:val="18"/>
          <w:color w:val="auto"/>
        </w:rPr>
        <w:t>” means (1) the Aircraft, together with the products and proceeds thereof, and (2) the Aircraft Note.</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Aircraft Note</w:t>
      </w:r>
      <w:r>
        <w:rPr>
          <w:rFonts w:ascii="Arial" w:cs="Arial" w:eastAsia="Arial" w:hAnsi="Arial"/>
          <w:sz w:val="18"/>
          <w:szCs w:val="18"/>
          <w:color w:val="auto"/>
        </w:rPr>
        <w:t>” means that certain promissory note, dated as of March 30, 2007, issued by World Travel, LLC in favor of Wynn Las Vegas in an aggregate principal amount of $42.0 million.</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Allocable Overhead</w:t>
      </w:r>
      <w:r>
        <w:rPr>
          <w:rFonts w:ascii="Arial" w:cs="Arial" w:eastAsia="Arial" w:hAnsi="Arial"/>
          <w:sz w:val="16"/>
          <w:szCs w:val="16"/>
          <w:color w:val="auto"/>
        </w:rPr>
        <w:t>” means, at any time with respect to each Qualifying Project, an amount equal to (1) the amount of reasonable corporate or other organizational overhead expenses of, and actually incurred by, Wynn Resorts and its Subsidiaries (other than the Issuers) calculated in good faith on a consolidated basis, after the elimination of intercompany transactions, in accordance with GAAP, divided by (2) the number of Qualifying Projects. However, amounts allocated to any Qualifying Project shall be prorated based on the period within such period that such Qualifying Project was in operation or financing therefor was obtained. With respect to any amounts payable pursuant to the Affiliate Agreements or any agreements entered into by and among Wynn Resorts, any of its Subsidiaries and/or any of their respective Affiliates, any payment in respect of Allocable Overhead shall not include any fee, profit or similar component and shall represent only the payment or reimbursement of actual costs and expenses. The amount of Allocable Overhead payable during any 12-month period shall not exceed 2% of Net Revenues of Wynn Las Vegas and its Restricted Subsidiaries for such period of four full consecutive fiscal quarters.</w:t>
      </w:r>
    </w:p>
    <w:p>
      <w:pPr>
        <w:spacing w:after="0" w:line="118"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Art Rental and Licensing Agreement</w:t>
      </w:r>
      <w:r>
        <w:rPr>
          <w:rFonts w:ascii="Arial" w:cs="Arial" w:eastAsia="Arial" w:hAnsi="Arial"/>
          <w:sz w:val="16"/>
          <w:szCs w:val="16"/>
          <w:color w:val="auto"/>
        </w:rPr>
        <w:t>” means the Third Amended and Restated Art Rental and Licensing Agreement, dated as of August 6, 2004, by and between Stephen A. Wynn and Wynn Las Vegas, as amended, modified or otherwise supplemented from time to time any manner that is not in contravention of the covenant described above under the caption “—Certain Covenants—Amendments to Certain Agreements.”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420"/>
          </w:cols>
          <w:pgMar w:left="240" w:top="460" w:right="2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Aruze USA</w:t>
      </w:r>
      <w:r>
        <w:rPr>
          <w:rFonts w:ascii="Arial" w:cs="Arial" w:eastAsia="Arial" w:hAnsi="Arial"/>
          <w:sz w:val="18"/>
          <w:szCs w:val="18"/>
          <w:color w:val="auto"/>
        </w:rPr>
        <w:t>” means Aruze USA, Inc., a Nevada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the sale, lease, conveyance or other disposition of any assets; and</w:t>
      </w:r>
    </w:p>
    <w:p>
      <w:pPr>
        <w:spacing w:after="0" w:line="90"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the issuance of Equity Interests by Wynn Capital or any of the Restricted Subsidiaries or the sale of Equity Interests in Wynn Capital or any of the Restricted Subsidiaries.</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Notwithstanding the above, the sale, conveyance or other disposition of all or substantially all of the assets of Wynn Las Vegas and its Restricted Subsidiaries, taken as a whole, will be governed by the provisions of the Indenture described above under the caption “—Repurchase at the Option of Holders— Change of Control” and the provisions described above under the caption “—Certain Covenants—Merger, Consolidation or Sale of Assets” and not by the provisions of the Asset Sale covenant.</w:t>
      </w:r>
    </w:p>
    <w:p>
      <w:pPr>
        <w:spacing w:after="0" w:line="14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In addition, none of the following items will be deemed to be an Asset Sale (except for purposes of the definition of “Consolidated Cash Flow”) (such items, “Permitted Dispositions”):</w:t>
      </w:r>
    </w:p>
    <w:p>
      <w:pPr>
        <w:spacing w:after="0" w:line="51" w:lineRule="exact"/>
        <w:rPr>
          <w:sz w:val="20"/>
          <w:szCs w:val="20"/>
          <w:color w:val="auto"/>
        </w:rPr>
      </w:pPr>
    </w:p>
    <w:p>
      <w:pPr>
        <w:ind w:left="1160" w:hanging="257"/>
        <w:spacing w:after="0"/>
        <w:tabs>
          <w:tab w:leader="none" w:pos="116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any single transaction or series of related transactions that involves assets having a Fair Market Value of less than $3.0 million;</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the sale, lease, conveyance or other disposition of any assets:</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2"/>
          <w:numId w:val="306"/>
        </w:numPr>
        <w:rPr>
          <w:rFonts w:ascii="Arial" w:cs="Arial" w:eastAsia="Arial" w:hAnsi="Arial"/>
          <w:sz w:val="18"/>
          <w:szCs w:val="18"/>
          <w:color w:val="auto"/>
        </w:rPr>
      </w:pPr>
      <w:r>
        <w:rPr>
          <w:rFonts w:ascii="Arial" w:cs="Arial" w:eastAsia="Arial" w:hAnsi="Arial"/>
          <w:sz w:val="18"/>
          <w:szCs w:val="18"/>
          <w:color w:val="auto"/>
        </w:rPr>
        <w:t>to Wynn Las Vegas and/or its Restricted Subsidiaries, or</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2"/>
          <w:numId w:val="306"/>
        </w:numPr>
        <w:rPr>
          <w:rFonts w:ascii="Arial" w:cs="Arial" w:eastAsia="Arial" w:hAnsi="Arial"/>
          <w:sz w:val="18"/>
          <w:szCs w:val="18"/>
          <w:color w:val="auto"/>
        </w:rPr>
      </w:pPr>
      <w:r>
        <w:rPr>
          <w:rFonts w:ascii="Arial" w:cs="Arial" w:eastAsia="Arial" w:hAnsi="Arial"/>
          <w:sz w:val="18"/>
          <w:szCs w:val="18"/>
          <w:color w:val="auto"/>
        </w:rPr>
        <w:t>by (i) any Restricted Subsidiary that is not a Guarantor to (ii) any Restricted Subsidiary that is a Guarantor.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306"/>
        </w:numPr>
        <w:rPr>
          <w:rFonts w:ascii="Arial" w:cs="Arial" w:eastAsia="Arial" w:hAnsi="Arial"/>
          <w:sz w:val="15"/>
          <w:szCs w:val="15"/>
          <w:color w:val="auto"/>
        </w:rPr>
      </w:pPr>
      <w:r>
        <w:rPr>
          <w:rFonts w:ascii="Arial" w:cs="Arial" w:eastAsia="Arial" w:hAnsi="Arial"/>
          <w:sz w:val="15"/>
          <w:szCs w:val="15"/>
          <w:color w:val="auto"/>
        </w:rPr>
        <w:t>an issuance of Equity Interests by Wynn Las Vegas or any of the Restricted Subsidiaries to Wynn Las Vegas or any of its Restricted Subsidiaries;</w:t>
      </w:r>
    </w:p>
    <w:p>
      <w:pPr>
        <w:spacing w:after="0" w:line="124" w:lineRule="exact"/>
        <w:rPr>
          <w:rFonts w:ascii="Arial" w:cs="Arial" w:eastAsia="Arial" w:hAnsi="Arial"/>
          <w:sz w:val="15"/>
          <w:szCs w:val="15"/>
          <w:color w:val="auto"/>
        </w:rPr>
      </w:pPr>
    </w:p>
    <w:p>
      <w:pPr>
        <w:ind w:left="1160" w:hanging="257"/>
        <w:spacing w:after="0"/>
        <w:tabs>
          <w:tab w:leader="none" w:pos="116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the sale, lease or exchange of equipment, inventory, accounts receivable or other assets in the ordinary course of business;</w:t>
      </w:r>
    </w:p>
    <w:p>
      <w:pPr>
        <w:spacing w:after="0" w:line="90" w:lineRule="exact"/>
        <w:rPr>
          <w:rFonts w:ascii="Arial" w:cs="Arial" w:eastAsia="Arial" w:hAnsi="Arial"/>
          <w:sz w:val="18"/>
          <w:szCs w:val="18"/>
          <w:color w:val="auto"/>
        </w:rPr>
      </w:pPr>
    </w:p>
    <w:p>
      <w:pPr>
        <w:ind w:left="460" w:right="160" w:firstLine="443"/>
        <w:spacing w:after="0" w:line="268" w:lineRule="auto"/>
        <w:tabs>
          <w:tab w:leader="none" w:pos="1147" w:val="left"/>
        </w:tabs>
        <w:numPr>
          <w:ilvl w:val="1"/>
          <w:numId w:val="306"/>
        </w:numPr>
        <w:rPr>
          <w:rFonts w:ascii="Arial" w:cs="Arial" w:eastAsia="Arial" w:hAnsi="Arial"/>
          <w:sz w:val="18"/>
          <w:szCs w:val="18"/>
          <w:color w:val="auto"/>
        </w:rPr>
      </w:pPr>
      <w:r>
        <w:rPr>
          <w:rFonts w:ascii="Arial" w:cs="Arial" w:eastAsia="Arial" w:hAnsi="Arial"/>
          <w:sz w:val="18"/>
          <w:szCs w:val="18"/>
          <w:color w:val="auto"/>
        </w:rPr>
        <w:t>the disposition of obsolete, damaged or worn-out property that is no longer necessary for the conduct of the business of Wynn Las Vegas or any of the Restricted Subsidiaries;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the sale or other disposition of cash or Cash Equivalents;</w:t>
      </w:r>
    </w:p>
    <w:p>
      <w:pPr>
        <w:spacing w:after="0" w:line="90" w:lineRule="exact"/>
        <w:rPr>
          <w:rFonts w:ascii="Arial" w:cs="Arial" w:eastAsia="Arial" w:hAnsi="Arial"/>
          <w:sz w:val="18"/>
          <w:szCs w:val="18"/>
          <w:color w:val="auto"/>
        </w:rPr>
      </w:pPr>
    </w:p>
    <w:p>
      <w:pPr>
        <w:ind w:left="460" w:right="460" w:firstLine="443"/>
        <w:spacing w:after="0" w:line="268" w:lineRule="auto"/>
        <w:tabs>
          <w:tab w:leader="none" w:pos="1147" w:val="left"/>
        </w:tabs>
        <w:numPr>
          <w:ilvl w:val="1"/>
          <w:numId w:val="306"/>
        </w:numPr>
        <w:rPr>
          <w:rFonts w:ascii="Arial" w:cs="Arial" w:eastAsia="Arial" w:hAnsi="Arial"/>
          <w:sz w:val="18"/>
          <w:szCs w:val="18"/>
          <w:color w:val="auto"/>
        </w:rPr>
      </w:pPr>
      <w:r>
        <w:rPr>
          <w:rFonts w:ascii="Arial" w:cs="Arial" w:eastAsia="Arial" w:hAnsi="Arial"/>
          <w:sz w:val="18"/>
          <w:szCs w:val="18"/>
          <w:color w:val="auto"/>
        </w:rPr>
        <w:t>a Restricted Payment or Permitted Investment that is permitted by the covenant described above under the caption “—Certain Covenants— Restricted Payments”;</w:t>
      </w:r>
    </w:p>
    <w:p>
      <w:pPr>
        <w:spacing w:after="0" w:line="50" w:lineRule="exact"/>
        <w:rPr>
          <w:rFonts w:ascii="Arial" w:cs="Arial" w:eastAsia="Arial" w:hAnsi="Arial"/>
          <w:sz w:val="18"/>
          <w:szCs w:val="18"/>
          <w:color w:val="auto"/>
        </w:rPr>
      </w:pPr>
    </w:p>
    <w:p>
      <w:pPr>
        <w:ind w:left="460" w:right="740" w:firstLine="443"/>
        <w:spacing w:after="0" w:line="332" w:lineRule="auto"/>
        <w:tabs>
          <w:tab w:leader="none" w:pos="1147" w:val="left"/>
        </w:tabs>
        <w:numPr>
          <w:ilvl w:val="1"/>
          <w:numId w:val="306"/>
        </w:numPr>
        <w:rPr>
          <w:rFonts w:ascii="Arial" w:cs="Arial" w:eastAsia="Arial" w:hAnsi="Arial"/>
          <w:sz w:val="16"/>
          <w:szCs w:val="16"/>
          <w:color w:val="auto"/>
        </w:rPr>
      </w:pPr>
      <w:r>
        <w:rPr>
          <w:rFonts w:ascii="Arial" w:cs="Arial" w:eastAsia="Arial" w:hAnsi="Arial"/>
          <w:sz w:val="16"/>
          <w:szCs w:val="16"/>
          <w:color w:val="auto"/>
        </w:rPr>
        <w:t>like-kind exchanges of personal property if the Fair Market Value of the personal property transferred by Wynn Las Vegas or any of the Restricted Subsidiaries in such exchanges does not exceed $20.0 million in the aggregate in any calendar year;</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1"/>
          <w:numId w:val="306"/>
        </w:numPr>
        <w:rPr>
          <w:rFonts w:ascii="Arial" w:cs="Arial" w:eastAsia="Arial" w:hAnsi="Arial"/>
          <w:sz w:val="16"/>
          <w:szCs w:val="16"/>
          <w:color w:val="auto"/>
        </w:rPr>
      </w:pPr>
      <w:r>
        <w:rPr>
          <w:rFonts w:ascii="Arial" w:cs="Arial" w:eastAsia="Arial" w:hAnsi="Arial"/>
          <w:sz w:val="16"/>
          <w:szCs w:val="16"/>
          <w:color w:val="auto"/>
        </w:rPr>
        <w:t>a dedication of space within the Projects as necessary for the development of the Projects and as permitted by the Collateral Documents;</w:t>
      </w:r>
    </w:p>
    <w:p>
      <w:pPr>
        <w:spacing w:after="0" w:line="113" w:lineRule="exact"/>
        <w:rPr>
          <w:rFonts w:ascii="Arial" w:cs="Arial" w:eastAsia="Arial" w:hAnsi="Arial"/>
          <w:sz w:val="16"/>
          <w:szCs w:val="16"/>
          <w:color w:val="auto"/>
        </w:rPr>
      </w:pPr>
    </w:p>
    <w:p>
      <w:pPr>
        <w:ind w:left="460" w:right="360" w:firstLine="443"/>
        <w:spacing w:after="0" w:line="332" w:lineRule="auto"/>
        <w:tabs>
          <w:tab w:leader="none" w:pos="1235" w:val="left"/>
        </w:tabs>
        <w:numPr>
          <w:ilvl w:val="1"/>
          <w:numId w:val="306"/>
        </w:numPr>
        <w:rPr>
          <w:rFonts w:ascii="Arial" w:cs="Arial" w:eastAsia="Arial" w:hAnsi="Arial"/>
          <w:sz w:val="16"/>
          <w:szCs w:val="16"/>
          <w:color w:val="auto"/>
        </w:rPr>
      </w:pPr>
      <w:r>
        <w:rPr>
          <w:rFonts w:ascii="Arial" w:cs="Arial" w:eastAsia="Arial" w:hAnsi="Arial"/>
          <w:sz w:val="16"/>
          <w:szCs w:val="16"/>
          <w:color w:val="auto"/>
        </w:rPr>
        <w:t>licenses of patents, trademarks and other intellectual property rights granted by Wynn Las Vegas or any of the Restricted Subsidiaries in the ordinary course of business and not interfering in any material respect with the ordinary conduct of the business of such Person;</w:t>
      </w:r>
    </w:p>
    <w:p>
      <w:pPr>
        <w:spacing w:after="0" w:line="4" w:lineRule="exact"/>
        <w:rPr>
          <w:rFonts w:ascii="Arial" w:cs="Arial" w:eastAsia="Arial" w:hAnsi="Arial"/>
          <w:sz w:val="16"/>
          <w:szCs w:val="16"/>
          <w:color w:val="auto"/>
        </w:rPr>
      </w:pPr>
    </w:p>
    <w:p>
      <w:pPr>
        <w:ind w:left="460" w:right="100" w:firstLine="443"/>
        <w:spacing w:after="0" w:line="305" w:lineRule="auto"/>
        <w:tabs>
          <w:tab w:leader="none" w:pos="1228" w:val="left"/>
        </w:tabs>
        <w:numPr>
          <w:ilvl w:val="1"/>
          <w:numId w:val="306"/>
        </w:numPr>
        <w:rPr>
          <w:rFonts w:ascii="Arial" w:cs="Arial" w:eastAsia="Arial" w:hAnsi="Arial"/>
          <w:sz w:val="15"/>
          <w:szCs w:val="15"/>
          <w:color w:val="auto"/>
        </w:rPr>
      </w:pPr>
      <w:r>
        <w:rPr>
          <w:rFonts w:ascii="Arial" w:cs="Arial" w:eastAsia="Arial" w:hAnsi="Arial"/>
          <w:sz w:val="15"/>
          <w:szCs w:val="15"/>
          <w:color w:val="auto"/>
        </w:rPr>
        <w:t>the transfer or sale or disposition of any Released Assets or Aircraft Assets; provided that any revenues in excess of $10.0 million (in the aggregate) generated by sales, leases or other dispositions of any assets in connection with (i) any timeshare, interval ownership or similar development or</w:t>
      </w:r>
    </w:p>
    <w:p>
      <w:pPr>
        <w:ind w:left="460" w:right="80" w:firstLine="4"/>
        <w:spacing w:after="0" w:line="261" w:lineRule="auto"/>
        <w:tabs>
          <w:tab w:leader="none" w:pos="719" w:val="left"/>
        </w:tabs>
        <w:numPr>
          <w:ilvl w:val="0"/>
          <w:numId w:val="307"/>
        </w:numPr>
        <w:rPr>
          <w:rFonts w:ascii="Arial" w:cs="Arial" w:eastAsia="Arial" w:hAnsi="Arial"/>
          <w:sz w:val="18"/>
          <w:szCs w:val="18"/>
          <w:color w:val="auto"/>
        </w:rPr>
      </w:pPr>
      <w:r>
        <w:rPr>
          <w:rFonts w:ascii="Arial" w:cs="Arial" w:eastAsia="Arial" w:hAnsi="Arial"/>
          <w:sz w:val="18"/>
          <w:szCs w:val="18"/>
          <w:color w:val="auto"/>
        </w:rPr>
        <w:t>any condominium or similar development with respect to the Phase III Project, shall constitute Asset Sales and shall be disposed of in accordance with the covenant described above under the caption “—Repurchase at the Option of Holders—Asset Sales”;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400"/>
          </w:cols>
          <w:pgMar w:left="240" w:top="460" w:right="25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240" w:hanging="337"/>
        <w:spacing w:after="0"/>
        <w:tabs>
          <w:tab w:leader="none" w:pos="124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a transfer of assets between or among Wynn Las Vegas and the Restricted Subsidiaries pursuant to any Affiliate Agreement;</w:t>
      </w:r>
    </w:p>
    <w:p>
      <w:pPr>
        <w:spacing w:after="0" w:line="90" w:lineRule="exact"/>
        <w:rPr>
          <w:rFonts w:ascii="Arial" w:cs="Arial" w:eastAsia="Arial" w:hAnsi="Arial"/>
          <w:sz w:val="18"/>
          <w:szCs w:val="18"/>
          <w:color w:val="auto"/>
        </w:rPr>
      </w:pPr>
    </w:p>
    <w:p>
      <w:pPr>
        <w:ind w:left="460" w:right="80" w:firstLine="443"/>
        <w:spacing w:after="0" w:line="255" w:lineRule="auto"/>
        <w:tabs>
          <w:tab w:leader="none" w:pos="1235"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the granting, creation or existence of a Permitted Lien and dispositions of assets pursuant to an exercise of remedies, including by way of foreclosure, against the underlying assets subject to such Permitted Liens, under circumstances not otherwise resulting in Defaults or Events of Default, so long as the net proceeds, if any, of any such disposition received by Wynn Las Vegas or any of its Restricted Subsidiaries shall be treated as if they were Net Proceeds of an Asset Sale and applied in accordance with the covenant described above under the caption “—Repurchase at the Option of Holders— Asset Sales”;</w:t>
      </w:r>
    </w:p>
    <w:p>
      <w:pPr>
        <w:spacing w:after="0" w:line="61" w:lineRule="exact"/>
        <w:rPr>
          <w:rFonts w:ascii="Arial" w:cs="Arial" w:eastAsia="Arial" w:hAnsi="Arial"/>
          <w:sz w:val="18"/>
          <w:szCs w:val="18"/>
          <w:color w:val="auto"/>
        </w:rPr>
      </w:pPr>
    </w:p>
    <w:p>
      <w:pPr>
        <w:ind w:left="460" w:right="20" w:firstLine="443"/>
        <w:spacing w:after="0" w:line="256" w:lineRule="auto"/>
        <w:tabs>
          <w:tab w:leader="none" w:pos="1235" w:val="left"/>
        </w:tabs>
        <w:numPr>
          <w:ilvl w:val="0"/>
          <w:numId w:val="308"/>
        </w:numPr>
        <w:rPr>
          <w:rFonts w:ascii="Arial" w:cs="Arial" w:eastAsia="Arial" w:hAnsi="Arial"/>
          <w:sz w:val="18"/>
          <w:szCs w:val="18"/>
          <w:color w:val="auto"/>
        </w:rPr>
      </w:pPr>
      <w:r>
        <w:rPr>
          <w:rFonts w:ascii="Arial" w:cs="Arial" w:eastAsia="Arial" w:hAnsi="Arial"/>
          <w:sz w:val="18"/>
          <w:szCs w:val="18"/>
          <w:color w:val="auto"/>
        </w:rPr>
        <w:t>Government Transfers or Permitted Liens of the type described in clause (12) of the definition of “Permitted Liens,” so long as the net proceeds, if any, of any such disposition received by Wynn Las Vegas or any of the Restricted Subsidiaries in respect thereof shall be treated as if they were Net Proceeds of an Asset Sale and applied in accordance with the covenant described above under the caption “—Repurchase at the Option of Holders—Asset Sales”; and</w:t>
      </w:r>
    </w:p>
    <w:p>
      <w:pPr>
        <w:spacing w:after="0" w:line="62" w:lineRule="exact"/>
        <w:rPr>
          <w:rFonts w:ascii="Arial" w:cs="Arial" w:eastAsia="Arial" w:hAnsi="Arial"/>
          <w:sz w:val="18"/>
          <w:szCs w:val="18"/>
          <w:color w:val="auto"/>
        </w:rPr>
      </w:pPr>
    </w:p>
    <w:p>
      <w:pPr>
        <w:ind w:left="1240" w:hanging="337"/>
        <w:spacing w:after="0"/>
        <w:tabs>
          <w:tab w:leader="none" w:pos="124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transfers, leases or other dispositions of the Koval Land or any portion of or interest in the Koval Land.</w:t>
      </w:r>
    </w:p>
    <w:p>
      <w:pPr>
        <w:spacing w:after="0" w:line="171" w:lineRule="exact"/>
        <w:rPr>
          <w:sz w:val="20"/>
          <w:szCs w:val="20"/>
          <w:color w:val="auto"/>
        </w:rPr>
      </w:pPr>
    </w:p>
    <w:p>
      <w:pPr>
        <w:ind w:right="720" w:firstLine="456"/>
        <w:spacing w:after="0" w:line="332" w:lineRule="auto"/>
        <w:rPr>
          <w:sz w:val="20"/>
          <w:szCs w:val="20"/>
          <w:color w:val="auto"/>
        </w:rPr>
      </w:pPr>
      <w:r>
        <w:rPr>
          <w:rFonts w:ascii="Arial" w:cs="Arial" w:eastAsia="Arial" w:hAnsi="Arial"/>
          <w:sz w:val="16"/>
          <w:szCs w:val="16"/>
          <w:color w:val="auto"/>
        </w:rPr>
        <w:t>Notwithstanding the foregoing, any sale of assets which requires a mandatory prepayment of amounts outstanding (or the mandatory reduction of commitments thereunder) under the Credit Agreement shall constitute an Asset Sale for purposes of the Indenture.</w:t>
      </w:r>
    </w:p>
    <w:p>
      <w:pPr>
        <w:spacing w:after="0" w:line="85"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i w:val="1"/>
          <w:iCs w:val="1"/>
          <w:color w:val="auto"/>
        </w:rPr>
        <w:t>“Attributable Debt</w:t>
      </w:r>
      <w:r>
        <w:rPr>
          <w:rFonts w:ascii="Arial" w:cs="Arial" w:eastAsia="Arial" w:hAnsi="Arial"/>
          <w:sz w:val="16"/>
          <w:szCs w:val="16"/>
          <w:color w:val="auto"/>
        </w:rPr>
        <w:t>” in respect of a sale and leaseback transaction means, at the time of determination, the present value of the obligation of the lessee for</w:t>
      </w:r>
      <w:r>
        <w:rPr>
          <w:rFonts w:ascii="Arial" w:cs="Arial" w:eastAsia="Arial" w:hAnsi="Arial"/>
          <w:sz w:val="16"/>
          <w:szCs w:val="16"/>
          <w:i w:val="1"/>
          <w:iCs w:val="1"/>
          <w:color w:val="auto"/>
        </w:rPr>
        <w:t xml:space="preserve"> </w:t>
      </w:r>
      <w:r>
        <w:rPr>
          <w:rFonts w:ascii="Arial" w:cs="Arial" w:eastAsia="Arial" w:hAnsi="Arial"/>
          <w:sz w:val="16"/>
          <w:szCs w:val="16"/>
          <w:color w:val="auto"/>
        </w:rPr>
        <w:t>net rental payments during the remaining term of the lease included in such sale and leaseback transaction including any period for which such lease has been extended or may, at the option of the lessor, be extended. Such present value shall be calculated using a discount rate equal to the rate of interest implicit in such transaction, determined in accordance with GAAP; provided, however, that if such sale and leaseback transaction results in a Capital Lease Obligation, the amount of Indebtedness represented thereby will be determined in accordance with the definition of “Capital Lease Obligation.”</w:t>
      </w:r>
    </w:p>
    <w:p>
      <w:pPr>
        <w:spacing w:after="0" w:line="1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Beneficial Owner</w:t>
      </w:r>
      <w:r>
        <w:rPr>
          <w:rFonts w:ascii="Arial" w:cs="Arial" w:eastAsia="Arial" w:hAnsi="Arial"/>
          <w:sz w:val="16"/>
          <w:szCs w:val="16"/>
          <w:color w:val="auto"/>
        </w:rPr>
        <w:t>” has the meaning assigned to such term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309"/>
        </w:numPr>
        <w:rPr>
          <w:rFonts w:ascii="Arial" w:cs="Arial" w:eastAsia="Arial" w:hAnsi="Arial"/>
          <w:sz w:val="16"/>
          <w:szCs w:val="16"/>
          <w:color w:val="auto"/>
        </w:rPr>
      </w:pPr>
      <w:r>
        <w:rPr>
          <w:rFonts w:ascii="Arial" w:cs="Arial" w:eastAsia="Arial" w:hAnsi="Arial"/>
          <w:sz w:val="16"/>
          <w:szCs w:val="16"/>
          <w:color w:val="auto"/>
        </w:rPr>
        <w:t>with respect to a corporation, the board of directors of the corporation or any committee thereof duly authorized to act on behalf of such board;</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with respect to a partnership, the board of directors of the general partner of the partnership;</w:t>
      </w:r>
    </w:p>
    <w:p>
      <w:pPr>
        <w:spacing w:after="0" w:line="90" w:lineRule="exact"/>
        <w:rPr>
          <w:rFonts w:ascii="Arial" w:cs="Arial" w:eastAsia="Arial" w:hAnsi="Arial"/>
          <w:sz w:val="18"/>
          <w:szCs w:val="18"/>
          <w:color w:val="auto"/>
        </w:rPr>
      </w:pPr>
    </w:p>
    <w:p>
      <w:pPr>
        <w:ind w:left="460" w:right="540" w:firstLine="443"/>
        <w:spacing w:after="0" w:line="268" w:lineRule="auto"/>
        <w:tabs>
          <w:tab w:leader="none" w:pos="1147" w:val="left"/>
        </w:tabs>
        <w:numPr>
          <w:ilvl w:val="0"/>
          <w:numId w:val="309"/>
        </w:numPr>
        <w:rPr>
          <w:rFonts w:ascii="Arial" w:cs="Arial" w:eastAsia="Arial" w:hAnsi="Arial"/>
          <w:sz w:val="18"/>
          <w:szCs w:val="18"/>
          <w:color w:val="auto"/>
        </w:rPr>
      </w:pPr>
      <w:r>
        <w:rPr>
          <w:rFonts w:ascii="Arial" w:cs="Arial" w:eastAsia="Arial" w:hAnsi="Arial"/>
          <w:sz w:val="18"/>
          <w:szCs w:val="18"/>
          <w:color w:val="auto"/>
        </w:rPr>
        <w:t>with respect to a limited liability company, the Person or Persons who are the managing member, members or managers or any controlling committee or managing members or managers thereof;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with respect to any other Person, the board or committee of such Person serving a similar function.</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Capital Lease Obligation</w:t>
      </w:r>
      <w:r>
        <w:rPr>
          <w:rFonts w:ascii="Arial" w:cs="Arial" w:eastAsia="Arial" w:hAnsi="Arial"/>
          <w:sz w:val="16"/>
          <w:szCs w:val="16"/>
          <w:color w:val="auto"/>
        </w:rPr>
        <w:t>” means, at the time any determination is to be made, the amount of the liability in respect of a capital lease that would at that time be required to be capitalized on a balance sheet in accordance with GAAP, and the Stated Maturity thereof shall be the date of the last payment of rent or any other amount due under such lease prior to the first date upon which such lease may be prepaid by the lessee without payment of a penalty.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400"/>
          </w:cols>
          <w:pgMar w:left="240" w:top="460" w:right="25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90" w:lineRule="exact"/>
        <w:rPr>
          <w:rFonts w:ascii="Arial" w:cs="Arial" w:eastAsia="Arial" w:hAnsi="Arial"/>
          <w:sz w:val="18"/>
          <w:szCs w:val="18"/>
          <w:color w:val="auto"/>
        </w:rPr>
      </w:pPr>
    </w:p>
    <w:p>
      <w:pPr>
        <w:ind w:left="460" w:right="300" w:firstLine="443"/>
        <w:spacing w:after="0" w:line="268" w:lineRule="auto"/>
        <w:tabs>
          <w:tab w:leader="none" w:pos="1147" w:val="left"/>
        </w:tabs>
        <w:numPr>
          <w:ilvl w:val="0"/>
          <w:numId w:val="310"/>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50" w:lineRule="exact"/>
        <w:rPr>
          <w:rFonts w:ascii="Arial" w:cs="Arial" w:eastAsia="Arial" w:hAnsi="Arial"/>
          <w:sz w:val="18"/>
          <w:szCs w:val="18"/>
          <w:color w:val="auto"/>
        </w:rPr>
      </w:pPr>
    </w:p>
    <w:p>
      <w:pPr>
        <w:ind w:left="460" w:right="460" w:firstLine="443"/>
        <w:spacing w:after="0" w:line="268" w:lineRule="auto"/>
        <w:tabs>
          <w:tab w:leader="none" w:pos="1147" w:val="left"/>
        </w:tabs>
        <w:numPr>
          <w:ilvl w:val="0"/>
          <w:numId w:val="310"/>
        </w:numPr>
        <w:rPr>
          <w:rFonts w:ascii="Arial" w:cs="Arial" w:eastAsia="Arial" w:hAnsi="Arial"/>
          <w:sz w:val="18"/>
          <w:szCs w:val="18"/>
          <w:color w:val="auto"/>
        </w:rPr>
      </w:pPr>
      <w:r>
        <w:rPr>
          <w:rFonts w:ascii="Arial" w:cs="Arial" w:eastAsia="Arial" w:hAnsi="Arial"/>
          <w:sz w:val="18"/>
          <w:szCs w:val="18"/>
          <w:color w:val="auto"/>
        </w:rPr>
        <w:t>in the case of a partnership or limited liability company, partnership interests (whether general or limited) or membership interests (whether general or limited); and</w:t>
      </w:r>
    </w:p>
    <w:p>
      <w:pPr>
        <w:spacing w:after="0" w:line="50" w:lineRule="exact"/>
        <w:rPr>
          <w:rFonts w:ascii="Arial" w:cs="Arial" w:eastAsia="Arial" w:hAnsi="Arial"/>
          <w:sz w:val="18"/>
          <w:szCs w:val="18"/>
          <w:color w:val="auto"/>
        </w:rPr>
      </w:pPr>
    </w:p>
    <w:p>
      <w:pPr>
        <w:ind w:left="460" w:right="40" w:firstLine="443"/>
        <w:spacing w:after="0" w:line="259" w:lineRule="auto"/>
        <w:tabs>
          <w:tab w:leader="none" w:pos="1147" w:val="left"/>
        </w:tabs>
        <w:numPr>
          <w:ilvl w:val="0"/>
          <w:numId w:val="310"/>
        </w:numPr>
        <w:rPr>
          <w:rFonts w:ascii="Arial" w:cs="Arial" w:eastAsia="Arial" w:hAnsi="Arial"/>
          <w:sz w:val="18"/>
          <w:szCs w:val="18"/>
          <w:color w:val="auto"/>
        </w:rPr>
      </w:pPr>
      <w:r>
        <w:rPr>
          <w:rFonts w:ascii="Arial" w:cs="Arial" w:eastAsia="Arial" w:hAnsi="Arial"/>
          <w:sz w:val="18"/>
          <w:szCs w:val="18"/>
          <w:color w:val="auto"/>
        </w:rPr>
        <w:t>any other interests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Equivalents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United States dollars;</w:t>
      </w:r>
    </w:p>
    <w:p>
      <w:pPr>
        <w:spacing w:after="0" w:line="90" w:lineRule="exact"/>
        <w:rPr>
          <w:rFonts w:ascii="Arial" w:cs="Arial" w:eastAsia="Arial" w:hAnsi="Arial"/>
          <w:sz w:val="18"/>
          <w:szCs w:val="18"/>
          <w:color w:val="auto"/>
        </w:rPr>
      </w:pPr>
    </w:p>
    <w:p>
      <w:pPr>
        <w:ind w:left="460" w:firstLine="443"/>
        <w:spacing w:after="0" w:line="259" w:lineRule="auto"/>
        <w:tabs>
          <w:tab w:leader="none" w:pos="1147" w:val="left"/>
        </w:tabs>
        <w:numPr>
          <w:ilvl w:val="0"/>
          <w:numId w:val="311"/>
        </w:numPr>
        <w:rPr>
          <w:rFonts w:ascii="Arial" w:cs="Arial" w:eastAsia="Arial" w:hAnsi="Arial"/>
          <w:sz w:val="18"/>
          <w:szCs w:val="18"/>
          <w:color w:val="auto"/>
        </w:rPr>
      </w:pPr>
      <w:r>
        <w:rPr>
          <w:rFonts w:ascii="Arial" w:cs="Arial" w:eastAsia="Arial" w:hAnsi="Arial"/>
          <w:sz w:val="18"/>
          <w:szCs w:val="18"/>
          <w:color w:val="auto"/>
        </w:rPr>
        <w:t>securities issued or directly and fully guaranteed or insured by the United States government or any agency or instrumentality of the United States government (provided that the full faith and credit of the United States is pledged in support of those securities) having maturities of not more than six months from the date of acquisition;</w:t>
      </w:r>
    </w:p>
    <w:p>
      <w:pPr>
        <w:spacing w:after="0" w:line="59" w:lineRule="exact"/>
        <w:rPr>
          <w:rFonts w:ascii="Arial" w:cs="Arial" w:eastAsia="Arial" w:hAnsi="Arial"/>
          <w:sz w:val="18"/>
          <w:szCs w:val="18"/>
          <w:color w:val="auto"/>
        </w:rPr>
      </w:pPr>
    </w:p>
    <w:p>
      <w:pPr>
        <w:ind w:left="460" w:right="180" w:firstLine="443"/>
        <w:spacing w:after="0" w:line="306" w:lineRule="auto"/>
        <w:tabs>
          <w:tab w:leader="none" w:pos="1147" w:val="left"/>
        </w:tabs>
        <w:numPr>
          <w:ilvl w:val="0"/>
          <w:numId w:val="311"/>
        </w:numPr>
        <w:rPr>
          <w:rFonts w:ascii="Arial" w:cs="Arial" w:eastAsia="Arial" w:hAnsi="Arial"/>
          <w:sz w:val="16"/>
          <w:szCs w:val="16"/>
          <w:color w:val="auto"/>
        </w:rPr>
      </w:pPr>
      <w:r>
        <w:rPr>
          <w:rFonts w:ascii="Arial" w:cs="Arial" w:eastAsia="Arial" w:hAnsi="Arial"/>
          <w:sz w:val="16"/>
          <w:szCs w:val="16"/>
          <w:color w:val="auto"/>
        </w:rPr>
        <w:t>certificates of deposit and Eurodollar time deposits with maturities of six months or less from the date of acquisition, bankers’ acceptances with maturities not exceeding six months and overnight bank deposits, in each case, with any lender party to the Credit Agreement or with any domestic commercial bank having capital and surplus in excess of $500.0 million and a Thomson Bank Watch Rating of “B” or better;</w:t>
      </w:r>
    </w:p>
    <w:p>
      <w:pPr>
        <w:spacing w:after="0" w:line="25" w:lineRule="exact"/>
        <w:rPr>
          <w:rFonts w:ascii="Arial" w:cs="Arial" w:eastAsia="Arial" w:hAnsi="Arial"/>
          <w:sz w:val="16"/>
          <w:szCs w:val="16"/>
          <w:color w:val="auto"/>
        </w:rPr>
      </w:pPr>
    </w:p>
    <w:p>
      <w:pPr>
        <w:ind w:left="460" w:right="500" w:firstLine="443"/>
        <w:spacing w:after="0" w:line="268" w:lineRule="auto"/>
        <w:tabs>
          <w:tab w:leader="none" w:pos="1147" w:val="left"/>
        </w:tabs>
        <w:numPr>
          <w:ilvl w:val="0"/>
          <w:numId w:val="311"/>
        </w:numPr>
        <w:rPr>
          <w:rFonts w:ascii="Arial" w:cs="Arial" w:eastAsia="Arial" w:hAnsi="Arial"/>
          <w:sz w:val="18"/>
          <w:szCs w:val="18"/>
          <w:color w:val="auto"/>
        </w:rPr>
      </w:pPr>
      <w:r>
        <w:rPr>
          <w:rFonts w:ascii="Arial" w:cs="Arial" w:eastAsia="Arial" w:hAnsi="Arial"/>
          <w:sz w:val="18"/>
          <w:szCs w:val="18"/>
          <w:color w:val="auto"/>
        </w:rPr>
        <w:t>repurchase obligations with a term of not more than seven days for underlying securities of the types described in clauses (2) and (3) above entered into with any financial institution meeting the qualifications specified in clause (3) above;</w:t>
      </w:r>
    </w:p>
    <w:p>
      <w:pPr>
        <w:spacing w:after="0" w:line="50"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311"/>
        </w:numPr>
        <w:rPr>
          <w:rFonts w:ascii="Arial" w:cs="Arial" w:eastAsia="Arial" w:hAnsi="Arial"/>
          <w:sz w:val="18"/>
          <w:szCs w:val="18"/>
          <w:color w:val="auto"/>
        </w:rPr>
      </w:pPr>
      <w:r>
        <w:rPr>
          <w:rFonts w:ascii="Arial" w:cs="Arial" w:eastAsia="Arial" w:hAnsi="Arial"/>
          <w:sz w:val="18"/>
          <w:szCs w:val="18"/>
          <w:color w:val="auto"/>
        </w:rPr>
        <w:t>commercial paper having one of the two highest ratings obtainable from Moody’s or S&amp;P and, in each case, maturing within six months after the date of acquisition;</w:t>
      </w:r>
    </w:p>
    <w:p>
      <w:pPr>
        <w:spacing w:after="0" w:line="50" w:lineRule="exact"/>
        <w:rPr>
          <w:rFonts w:ascii="Arial" w:cs="Arial" w:eastAsia="Arial" w:hAnsi="Arial"/>
          <w:sz w:val="18"/>
          <w:szCs w:val="18"/>
          <w:color w:val="auto"/>
        </w:rPr>
      </w:pPr>
    </w:p>
    <w:p>
      <w:pPr>
        <w:ind w:left="460" w:right="460" w:firstLine="443"/>
        <w:spacing w:after="0" w:line="268" w:lineRule="auto"/>
        <w:tabs>
          <w:tab w:leader="none" w:pos="1147" w:val="left"/>
        </w:tabs>
        <w:numPr>
          <w:ilvl w:val="0"/>
          <w:numId w:val="311"/>
        </w:numPr>
        <w:rPr>
          <w:rFonts w:ascii="Arial" w:cs="Arial" w:eastAsia="Arial" w:hAnsi="Arial"/>
          <w:sz w:val="18"/>
          <w:szCs w:val="18"/>
          <w:color w:val="auto"/>
        </w:rPr>
      </w:pPr>
      <w:r>
        <w:rPr>
          <w:rFonts w:ascii="Arial" w:cs="Arial" w:eastAsia="Arial" w:hAnsi="Arial"/>
          <w:sz w:val="18"/>
          <w:szCs w:val="18"/>
          <w:color w:val="auto"/>
        </w:rPr>
        <w:t>money market funds at least 95% of the assets of which constitute Cash Equivalents of the kinds described in clauses (1) through (5) of this definition;</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to the extent not permitted in clauses (1) through (6) of this definition, Permitted Securities; and</w:t>
      </w:r>
    </w:p>
    <w:p>
      <w:pPr>
        <w:spacing w:after="0" w:line="90" w:lineRule="exact"/>
        <w:rPr>
          <w:rFonts w:ascii="Arial" w:cs="Arial" w:eastAsia="Arial" w:hAnsi="Arial"/>
          <w:sz w:val="18"/>
          <w:szCs w:val="18"/>
          <w:color w:val="auto"/>
        </w:rPr>
      </w:pPr>
    </w:p>
    <w:p>
      <w:pPr>
        <w:ind w:left="460" w:right="460" w:firstLine="443"/>
        <w:spacing w:after="0" w:line="268" w:lineRule="auto"/>
        <w:tabs>
          <w:tab w:leader="none" w:pos="1147"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to the extent not included in clauses (1) through (7) of this definition, funds managed or offered by the Trustee that invest exclusively in the securities and instruments described in clauses (1) through (7) above.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of the following:</w:t>
      </w:r>
    </w:p>
    <w:p>
      <w:pPr>
        <w:spacing w:after="0" w:line="90" w:lineRule="exact"/>
        <w:rPr>
          <w:sz w:val="20"/>
          <w:szCs w:val="20"/>
          <w:color w:val="auto"/>
        </w:rPr>
      </w:pPr>
    </w:p>
    <w:p>
      <w:pPr>
        <w:jc w:val="both"/>
        <w:ind w:left="460" w:right="220" w:firstLine="443"/>
        <w:spacing w:after="0" w:line="306" w:lineRule="auto"/>
        <w:tabs>
          <w:tab w:leader="none" w:pos="1147" w:val="left"/>
        </w:tabs>
        <w:numPr>
          <w:ilvl w:val="0"/>
          <w:numId w:val="312"/>
        </w:numPr>
        <w:rPr>
          <w:rFonts w:ascii="Arial" w:cs="Arial" w:eastAsia="Arial" w:hAnsi="Arial"/>
          <w:sz w:val="16"/>
          <w:szCs w:val="16"/>
          <w:color w:val="auto"/>
        </w:rPr>
      </w:pPr>
      <w:r>
        <w:rPr>
          <w:rFonts w:ascii="Arial" w:cs="Arial" w:eastAsia="Arial" w:hAnsi="Arial"/>
          <w:sz w:val="16"/>
          <w:szCs w:val="16"/>
          <w:color w:val="auto"/>
        </w:rPr>
        <w:t>the direct or indirect sale, transfer, conveyance or other disposition (other than by way of merger or consolidation), in one or a series of related transactions, of all or substantially all of the properties or assets of Wynn Las Vegas and its Restricted Subsidiaries, taken as a whole, to any “person” (as that term is used in Section 13(d)(3) of the Exchange Act), other than to the Principal or a Related Party of the Principal;</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the adoption of a plan relating to the liquidation or dissolution of either Issuer or any successor thereto;</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the consummation of any transaction (including, without limitation, any merger or consolidation) the result of which is that:</w:t>
      </w:r>
    </w:p>
    <w:p>
      <w:pPr>
        <w:spacing w:after="0" w:line="90" w:lineRule="exact"/>
        <w:rPr>
          <w:rFonts w:ascii="Arial" w:cs="Arial" w:eastAsia="Arial" w:hAnsi="Arial"/>
          <w:sz w:val="18"/>
          <w:szCs w:val="18"/>
          <w:color w:val="auto"/>
        </w:rPr>
      </w:pPr>
    </w:p>
    <w:p>
      <w:pPr>
        <w:ind w:left="920" w:right="220" w:firstLine="421"/>
        <w:spacing w:after="0" w:line="259" w:lineRule="auto"/>
        <w:tabs>
          <w:tab w:leader="none" w:pos="1579" w:val="left"/>
        </w:tabs>
        <w:numPr>
          <w:ilvl w:val="1"/>
          <w:numId w:val="312"/>
        </w:numPr>
        <w:rPr>
          <w:rFonts w:ascii="Arial" w:cs="Arial" w:eastAsia="Arial" w:hAnsi="Arial"/>
          <w:sz w:val="18"/>
          <w:szCs w:val="18"/>
          <w:color w:val="auto"/>
        </w:rPr>
      </w:pPr>
      <w:r>
        <w:rPr>
          <w:rFonts w:ascii="Arial" w:cs="Arial" w:eastAsia="Arial" w:hAnsi="Arial"/>
          <w:sz w:val="18"/>
          <w:szCs w:val="18"/>
          <w:color w:val="auto"/>
        </w:rPr>
        <w:t>any “person” (as defined in clause (1) above), other than the Principal and any of his Related Parties becomes the Beneficial Owner, directly or indirectly, of more than 50% of the outstanding Voting Stock of Wynn Resorts, measured by voting power rather than number of equity interests;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420"/>
          </w:cols>
          <w:pgMar w:left="240" w:top="460" w:right="2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firstLine="421"/>
        <w:spacing w:after="0" w:line="289" w:lineRule="auto"/>
        <w:tabs>
          <w:tab w:leader="none" w:pos="1588" w:val="left"/>
        </w:tabs>
        <w:numPr>
          <w:ilvl w:val="1"/>
          <w:numId w:val="313"/>
        </w:numPr>
        <w:rPr>
          <w:rFonts w:ascii="Arial" w:cs="Arial" w:eastAsia="Arial" w:hAnsi="Arial"/>
          <w:sz w:val="16"/>
          <w:szCs w:val="16"/>
          <w:color w:val="auto"/>
        </w:rPr>
      </w:pPr>
      <w:r>
        <w:rPr>
          <w:rFonts w:ascii="Arial" w:cs="Arial" w:eastAsia="Arial" w:hAnsi="Arial"/>
          <w:sz w:val="16"/>
          <w:szCs w:val="16"/>
          <w:color w:val="auto"/>
        </w:rPr>
        <w:t>any “person” (as defined in clause (1) above) (other than (x) Elaine P. Wynn, so long as the Stockholders Agreement, as in effect on the date of the Indenture, remains in full force and effect, and (y) Kazuo Okada, Aruze USA and UEC, so long as (i) the Stockholders Agreement, as in effect on the date of the Indenture, remains in full force and effect, (ii) a majority of the Board of Directors of Wynn Resorts is constituted of Persons named on any slate of directors chosen by the Principal and Aruze USA pursuant to the Stockholders Agreement, as in effect on the date of the Indenture, and (iii) Kazuo Okada and his Related Parties either (A) “control” (as that term is used in Rule 405 under the Securities Act) UEC and Aruze USA or (B) otherwise remain the direct or indirect Beneficial Owners of the Voting Stock of Wynn Resorts held by UEC) becomes the Beneficial Owner, directly or indirectly, of a greater percentage of the outstanding Voting Stock of Wynn Resorts, measured by voting power rather than number of equity interests, than is at that time Beneficially Owned by the Principal and his Related Parties as a group;</w:t>
      </w:r>
    </w:p>
    <w:p>
      <w:pPr>
        <w:spacing w:after="0" w:line="37" w:lineRule="exact"/>
        <w:rPr>
          <w:rFonts w:ascii="Arial" w:cs="Arial" w:eastAsia="Arial" w:hAnsi="Arial"/>
          <w:sz w:val="16"/>
          <w:szCs w:val="16"/>
          <w:color w:val="auto"/>
        </w:rPr>
      </w:pPr>
    </w:p>
    <w:p>
      <w:pPr>
        <w:ind w:left="1160" w:hanging="257"/>
        <w:spacing w:after="0"/>
        <w:tabs>
          <w:tab w:leader="none" w:pos="1160" w:val="left"/>
        </w:tabs>
        <w:numPr>
          <w:ilvl w:val="0"/>
          <w:numId w:val="314"/>
        </w:numPr>
        <w:rPr>
          <w:rFonts w:ascii="Arial" w:cs="Arial" w:eastAsia="Arial" w:hAnsi="Arial"/>
          <w:sz w:val="16"/>
          <w:szCs w:val="16"/>
          <w:color w:val="auto"/>
        </w:rPr>
      </w:pPr>
      <w:r>
        <w:rPr>
          <w:rFonts w:ascii="Arial" w:cs="Arial" w:eastAsia="Arial" w:hAnsi="Arial"/>
          <w:sz w:val="16"/>
          <w:szCs w:val="16"/>
          <w:color w:val="auto"/>
        </w:rPr>
        <w:t>the first day on which a majority of the members of the Board of Directors of Wynn Resorts or Wynn Capital are not Continuing Directors;</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314"/>
        </w:numPr>
        <w:rPr>
          <w:rFonts w:ascii="Arial" w:cs="Arial" w:eastAsia="Arial" w:hAnsi="Arial"/>
          <w:sz w:val="16"/>
          <w:szCs w:val="16"/>
          <w:color w:val="auto"/>
        </w:rPr>
      </w:pPr>
      <w:r>
        <w:rPr>
          <w:rFonts w:ascii="Arial" w:cs="Arial" w:eastAsia="Arial" w:hAnsi="Arial"/>
          <w:sz w:val="16"/>
          <w:szCs w:val="16"/>
          <w:color w:val="auto"/>
        </w:rPr>
        <w:t>the first day on which Wynn Resorts ceases to own, directly or indirectly, 100% of the outstanding Equity Interests of Wynn Las Vegas;</w:t>
      </w:r>
    </w:p>
    <w:p>
      <w:pPr>
        <w:spacing w:after="0" w:line="113" w:lineRule="exact"/>
        <w:rPr>
          <w:rFonts w:ascii="Arial" w:cs="Arial" w:eastAsia="Arial" w:hAnsi="Arial"/>
          <w:sz w:val="16"/>
          <w:szCs w:val="16"/>
          <w:color w:val="auto"/>
        </w:rPr>
      </w:pPr>
    </w:p>
    <w:p>
      <w:pPr>
        <w:ind w:left="460" w:right="100" w:firstLine="443"/>
        <w:spacing w:after="0" w:line="291" w:lineRule="auto"/>
        <w:tabs>
          <w:tab w:leader="none" w:pos="1147" w:val="left"/>
        </w:tabs>
        <w:numPr>
          <w:ilvl w:val="0"/>
          <w:numId w:val="314"/>
        </w:numPr>
        <w:rPr>
          <w:rFonts w:ascii="Arial" w:cs="Arial" w:eastAsia="Arial" w:hAnsi="Arial"/>
          <w:sz w:val="16"/>
          <w:szCs w:val="16"/>
          <w:color w:val="auto"/>
        </w:rPr>
      </w:pPr>
      <w:r>
        <w:rPr>
          <w:rFonts w:ascii="Arial" w:cs="Arial" w:eastAsia="Arial" w:hAnsi="Arial"/>
          <w:sz w:val="16"/>
          <w:szCs w:val="16"/>
          <w:color w:val="auto"/>
        </w:rPr>
        <w:t>Wynn Resorts consolidates with, or merges with or into, any Person or sells, assigns, conveys, transfers, leases or otherwise disposes of all or substantially all of its assets to any Person, or any Person consolidates with, or merges with or into, Wynn Resorts, in any such event pursuant to a transaction in which any of the outstanding Voting Stock of Wynn Resorts is converted into or exchanged for cash, securities or other property, other than any such transaction where the Voting Stock of Wynn Resorts outstanding immediately prior to such transaction is converted into or exchanged for Voting Stock (other than Disqualified Stock) of the surviving or transferee Person constituting a majority of the outstanding shares of such Voting Stock of such surviving or transferee Person (immediately after giving effect to such issuance);</w:t>
      </w:r>
    </w:p>
    <w:p>
      <w:pPr>
        <w:spacing w:after="0" w:line="39" w:lineRule="exact"/>
        <w:rPr>
          <w:rFonts w:ascii="Arial" w:cs="Arial" w:eastAsia="Arial" w:hAnsi="Arial"/>
          <w:sz w:val="16"/>
          <w:szCs w:val="16"/>
          <w:color w:val="auto"/>
        </w:rPr>
      </w:pPr>
    </w:p>
    <w:p>
      <w:pPr>
        <w:ind w:left="1160" w:hanging="257"/>
        <w:spacing w:after="0"/>
        <w:tabs>
          <w:tab w:leader="none" w:pos="116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an event constituting a “change of control” under the indenture governing the 2014 Notes;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an event constituting a “change of control” under the indenture governing the 2017 Notes.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the above, a Change of Control will not occur solely by reason of a Permitted C-Corp. Conversion.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Offer</w:t>
      </w:r>
      <w:r>
        <w:rPr>
          <w:rFonts w:ascii="Arial" w:cs="Arial" w:eastAsia="Arial" w:hAnsi="Arial"/>
          <w:sz w:val="18"/>
          <w:szCs w:val="18"/>
          <w:color w:val="auto"/>
        </w:rPr>
        <w:t>” has the meaning assigned to that term in the Indenture governing the 2020 Notes.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w:t>
      </w:r>
    </w:p>
    <w:p>
      <w:pPr>
        <w:spacing w:after="0" w:line="17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w:t>
      </w:r>
      <w:r>
        <w:rPr>
          <w:rFonts w:ascii="Arial" w:cs="Arial" w:eastAsia="Arial" w:hAnsi="Arial"/>
          <w:sz w:val="18"/>
          <w:szCs w:val="18"/>
          <w:color w:val="auto"/>
        </w:rPr>
        <w:t>” means all assets, owned on the date of the Indenture or thereafter acquired, of either Issuer, any Guarantor, any Restricted Subsidiary or any other Person, to the extent such assets are pledged or assigned or purported to be pledged or assigned, or are required to be pledged or assigned under the Indenture or the Collateral Documents to the trustee, including the Primary Note Collateral, together with the proceeds and products thereof (including, without limitation, the proceeds of Asset Sales).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 Documents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the Deeds of Trust,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the Disbursement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the Security Agreements,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the Intercreditor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the Disbursement Collateral Account Agreement,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1400"/>
          </w:cols>
          <w:pgMar w:left="240" w:top="459" w:right="25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the Local Bank Collateral Account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the Control Agreements,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the Management Fees Subordination Agreement, and</w:t>
      </w:r>
    </w:p>
    <w:p>
      <w:pPr>
        <w:spacing w:after="0" w:line="90" w:lineRule="exact"/>
        <w:rPr>
          <w:rFonts w:ascii="Arial" w:cs="Arial" w:eastAsia="Arial" w:hAnsi="Arial"/>
          <w:sz w:val="18"/>
          <w:szCs w:val="18"/>
          <w:color w:val="auto"/>
        </w:rPr>
      </w:pPr>
    </w:p>
    <w:p>
      <w:pPr>
        <w:ind w:left="460" w:right="280" w:firstLine="443"/>
        <w:spacing w:after="0" w:line="268" w:lineRule="auto"/>
        <w:tabs>
          <w:tab w:leader="none" w:pos="1147" w:val="left"/>
        </w:tabs>
        <w:numPr>
          <w:ilvl w:val="0"/>
          <w:numId w:val="316"/>
        </w:numPr>
        <w:rPr>
          <w:rFonts w:ascii="Arial" w:cs="Arial" w:eastAsia="Arial" w:hAnsi="Arial"/>
          <w:sz w:val="18"/>
          <w:szCs w:val="18"/>
          <w:color w:val="auto"/>
        </w:rPr>
      </w:pPr>
      <w:r>
        <w:rPr>
          <w:rFonts w:ascii="Arial" w:cs="Arial" w:eastAsia="Arial" w:hAnsi="Arial"/>
          <w:sz w:val="18"/>
          <w:szCs w:val="18"/>
          <w:color w:val="auto"/>
        </w:rPr>
        <w:t>instruments, documents, pledges or filings that create, evidence, perfect, set forth, consent to, acknowledge or limit the security interest of the trustee in the Collateral,</w:t>
      </w:r>
    </w:p>
    <w:p>
      <w:pPr>
        <w:spacing w:after="0" w:line="132"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in each case, as amended, modified or otherwise supplemented from time to time in accordance with their respective terms and with the Indenture and the Collateral Documents.</w:t>
      </w:r>
    </w:p>
    <w:p>
      <w:pPr>
        <w:spacing w:after="0" w:line="13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Collateral Release Period</w:t>
      </w:r>
      <w:r>
        <w:rPr>
          <w:rFonts w:ascii="Arial" w:cs="Arial" w:eastAsia="Arial" w:hAnsi="Arial"/>
          <w:sz w:val="16"/>
          <w:szCs w:val="16"/>
          <w:color w:val="auto"/>
        </w:rPr>
        <w:t>” means any period of the time while the 2020 Notes remain outstanding during which the Holders’ security interest in all of the Collateral is released in accordance with the conditions described above under the caption “—Security—Release of Collateral.”</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Completion Guarantor”</w:t>
      </w:r>
      <w:r>
        <w:rPr>
          <w:rFonts w:ascii="Arial" w:cs="Arial" w:eastAsia="Arial" w:hAnsi="Arial"/>
          <w:sz w:val="18"/>
          <w:szCs w:val="18"/>
          <w:color w:val="auto"/>
        </w:rPr>
        <w:t xml:space="preserve"> means Wynn Completion Guarantor, LLC, a Nevada limited liability company.</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Consolidated Cash Flow</w:t>
      </w:r>
      <w:r>
        <w:rPr>
          <w:rFonts w:ascii="Arial" w:cs="Arial" w:eastAsia="Arial" w:hAnsi="Arial"/>
          <w:sz w:val="18"/>
          <w:szCs w:val="18"/>
          <w:color w:val="auto"/>
        </w:rPr>
        <w:t>” means, with respect to any specified Person for any period, the Consolidated Net Income of such Person for such period plus, without duplication:</w:t>
      </w:r>
    </w:p>
    <w:p>
      <w:pPr>
        <w:spacing w:after="0" w:line="50" w:lineRule="exact"/>
        <w:rPr>
          <w:sz w:val="20"/>
          <w:szCs w:val="20"/>
          <w:color w:val="auto"/>
        </w:rPr>
      </w:pPr>
    </w:p>
    <w:p>
      <w:pPr>
        <w:ind w:left="460" w:right="260" w:firstLine="443"/>
        <w:spacing w:after="0" w:line="268" w:lineRule="auto"/>
        <w:tabs>
          <w:tab w:leader="none" w:pos="1147" w:val="left"/>
        </w:tabs>
        <w:numPr>
          <w:ilvl w:val="1"/>
          <w:numId w:val="317"/>
        </w:numPr>
        <w:rPr>
          <w:rFonts w:ascii="Arial" w:cs="Arial" w:eastAsia="Arial" w:hAnsi="Arial"/>
          <w:sz w:val="18"/>
          <w:szCs w:val="18"/>
          <w:color w:val="auto"/>
        </w:rPr>
      </w:pPr>
      <w:r>
        <w:rPr>
          <w:rFonts w:ascii="Arial" w:cs="Arial" w:eastAsia="Arial" w:hAnsi="Arial"/>
          <w:sz w:val="18"/>
          <w:szCs w:val="18"/>
          <w:color w:val="auto"/>
        </w:rPr>
        <w:t>an amount equal to any extraordinary loss plus any net loss realized by such Person or any of its Restricted Subsidiaries in connection with an Asset Sale, to the extent such losses were deducted in computing such Consolidated Net Income; plus</w:t>
      </w:r>
    </w:p>
    <w:p>
      <w:pPr>
        <w:spacing w:after="0" w:line="50" w:lineRule="exact"/>
        <w:rPr>
          <w:rFonts w:ascii="Arial" w:cs="Arial" w:eastAsia="Arial" w:hAnsi="Arial"/>
          <w:sz w:val="18"/>
          <w:szCs w:val="18"/>
          <w:color w:val="auto"/>
        </w:rPr>
      </w:pPr>
    </w:p>
    <w:p>
      <w:pPr>
        <w:ind w:left="460" w:right="20" w:firstLine="443"/>
        <w:spacing w:after="0" w:line="268" w:lineRule="auto"/>
        <w:tabs>
          <w:tab w:leader="none" w:pos="1147" w:val="left"/>
        </w:tabs>
        <w:numPr>
          <w:ilvl w:val="1"/>
          <w:numId w:val="317"/>
        </w:numPr>
        <w:rPr>
          <w:rFonts w:ascii="Arial" w:cs="Arial" w:eastAsia="Arial" w:hAnsi="Arial"/>
          <w:sz w:val="18"/>
          <w:szCs w:val="18"/>
          <w:color w:val="auto"/>
        </w:rPr>
      </w:pPr>
      <w:r>
        <w:rPr>
          <w:rFonts w:ascii="Arial" w:cs="Arial" w:eastAsia="Arial" w:hAnsi="Arial"/>
          <w:sz w:val="18"/>
          <w:szCs w:val="18"/>
          <w:color w:val="auto"/>
        </w:rPr>
        <w:t>provision for taxes based on income or profits or the Tax Amount of such Person and its Restricted Subsidiaries for such period, to the extent that such provision for taxes or Tax Amount was included in computing such Consolidated Net Income; plus</w:t>
      </w:r>
    </w:p>
    <w:p>
      <w:pPr>
        <w:spacing w:after="0" w:line="50" w:lineRule="exact"/>
        <w:rPr>
          <w:rFonts w:ascii="Arial" w:cs="Arial" w:eastAsia="Arial" w:hAnsi="Arial"/>
          <w:sz w:val="18"/>
          <w:szCs w:val="18"/>
          <w:color w:val="auto"/>
        </w:rPr>
      </w:pPr>
    </w:p>
    <w:p>
      <w:pPr>
        <w:ind w:left="460" w:right="160" w:firstLine="443"/>
        <w:spacing w:after="0" w:line="254" w:lineRule="auto"/>
        <w:tabs>
          <w:tab w:leader="none" w:pos="1147" w:val="left"/>
        </w:tabs>
        <w:numPr>
          <w:ilvl w:val="1"/>
          <w:numId w:val="317"/>
        </w:numPr>
        <w:rPr>
          <w:rFonts w:ascii="Arial" w:cs="Arial" w:eastAsia="Arial" w:hAnsi="Arial"/>
          <w:sz w:val="18"/>
          <w:szCs w:val="18"/>
          <w:color w:val="auto"/>
        </w:rPr>
      </w:pPr>
      <w:r>
        <w:rPr>
          <w:rFonts w:ascii="Arial" w:cs="Arial" w:eastAsia="Arial" w:hAnsi="Arial"/>
          <w:sz w:val="18"/>
          <w:szCs w:val="18"/>
          <w:color w:val="auto"/>
        </w:rPr>
        <w:t>consolidated interest expense of such Person and its Restricted Subsidiaries for such period, whether paid or accrued and whether or not capitalized (including, without limitation, amortization of debt issuance costs and original issue discount, non-cash interest payments, the interest component of any deferred payment obligations, the interest component of all payments associated with Capital Lease Obligations, imputed interest with respect to Attributable Debt, commissions, discounts and other fees and charges incurred in respect of letter of credit or bankers’ acceptance financings, and net of the effect of all payments made or received pursuant to Hedging Obligations), to the extent that any such expense was deducted in computing such Consolidated Net Income; plus</w:t>
      </w:r>
    </w:p>
    <w:p>
      <w:pPr>
        <w:spacing w:after="0" w:line="63" w:lineRule="exact"/>
        <w:rPr>
          <w:rFonts w:ascii="Arial" w:cs="Arial" w:eastAsia="Arial" w:hAnsi="Arial"/>
          <w:sz w:val="18"/>
          <w:szCs w:val="18"/>
          <w:color w:val="auto"/>
        </w:rPr>
      </w:pPr>
    </w:p>
    <w:p>
      <w:pPr>
        <w:ind w:left="460" w:right="80" w:firstLine="443"/>
        <w:spacing w:after="0" w:line="298" w:lineRule="auto"/>
        <w:tabs>
          <w:tab w:leader="none" w:pos="1147" w:val="left"/>
        </w:tabs>
        <w:numPr>
          <w:ilvl w:val="1"/>
          <w:numId w:val="317"/>
        </w:numPr>
        <w:rPr>
          <w:rFonts w:ascii="Arial" w:cs="Arial" w:eastAsia="Arial" w:hAnsi="Arial"/>
          <w:sz w:val="16"/>
          <w:szCs w:val="16"/>
          <w:color w:val="auto"/>
        </w:rPr>
      </w:pPr>
      <w:r>
        <w:rPr>
          <w:rFonts w:ascii="Arial" w:cs="Arial" w:eastAsia="Arial" w:hAnsi="Arial"/>
          <w:sz w:val="16"/>
          <w:szCs w:val="16"/>
          <w:color w:val="auto"/>
        </w:rPr>
        <w:t>depreciation, amortization (including amortization of goodwill and other intangibles but excluding amortization of prepaid cash expenses that were paid in a prior period), and other non-cash expenses (excluding any such non-cash expense to the extent that it represents an accrual of or reserve for cash expenses in any future period or amortization of a prepaid cash expense)of such Person and its Restricted Subsidiaries for such period to the extent that such depreciation, amortization and other non-cash expenses were deducted in computing such Consolidated Net Income; plus</w:t>
      </w:r>
    </w:p>
    <w:p>
      <w:pPr>
        <w:spacing w:after="0" w:line="31" w:lineRule="exact"/>
        <w:rPr>
          <w:rFonts w:ascii="Arial" w:cs="Arial" w:eastAsia="Arial" w:hAnsi="Arial"/>
          <w:sz w:val="16"/>
          <w:szCs w:val="16"/>
          <w:color w:val="auto"/>
        </w:rPr>
      </w:pPr>
    </w:p>
    <w:p>
      <w:pPr>
        <w:ind w:left="460" w:right="340" w:firstLine="443"/>
        <w:spacing w:after="0" w:line="268" w:lineRule="auto"/>
        <w:tabs>
          <w:tab w:leader="none" w:pos="1147" w:val="left"/>
        </w:tabs>
        <w:numPr>
          <w:ilvl w:val="1"/>
          <w:numId w:val="317"/>
        </w:numPr>
        <w:rPr>
          <w:rFonts w:ascii="Arial" w:cs="Arial" w:eastAsia="Arial" w:hAnsi="Arial"/>
          <w:sz w:val="18"/>
          <w:szCs w:val="18"/>
          <w:color w:val="auto"/>
        </w:rPr>
      </w:pPr>
      <w:r>
        <w:rPr>
          <w:rFonts w:ascii="Arial" w:cs="Arial" w:eastAsia="Arial" w:hAnsi="Arial"/>
          <w:sz w:val="18"/>
          <w:szCs w:val="18"/>
          <w:color w:val="auto"/>
        </w:rPr>
        <w:t>any pre-opening expenses, to the extent such pre-opening expenses were deducted in calculating Consolidated Net Income on a consolidated basis; plus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317"/>
        </w:numPr>
        <w:rPr>
          <w:rFonts w:ascii="Arial" w:cs="Arial" w:eastAsia="Arial" w:hAnsi="Arial"/>
          <w:sz w:val="18"/>
          <w:szCs w:val="18"/>
          <w:color w:val="auto"/>
        </w:rPr>
      </w:pPr>
      <w:r>
        <w:rPr>
          <w:rFonts w:ascii="Arial" w:cs="Arial" w:eastAsia="Arial" w:hAnsi="Arial"/>
          <w:sz w:val="18"/>
          <w:szCs w:val="18"/>
          <w:color w:val="auto"/>
        </w:rPr>
        <w:t>non-cash items reducing Consolidated Net Income for such period; minus</w:t>
      </w:r>
    </w:p>
    <w:p>
      <w:pPr>
        <w:spacing w:after="0" w:line="90" w:lineRule="exact"/>
        <w:rPr>
          <w:rFonts w:ascii="Arial" w:cs="Arial" w:eastAsia="Arial" w:hAnsi="Arial"/>
          <w:sz w:val="18"/>
          <w:szCs w:val="18"/>
          <w:color w:val="auto"/>
        </w:rPr>
      </w:pPr>
    </w:p>
    <w:p>
      <w:pPr>
        <w:ind w:left="460" w:right="60" w:firstLine="443"/>
        <w:spacing w:after="0" w:line="268" w:lineRule="auto"/>
        <w:tabs>
          <w:tab w:leader="none" w:pos="1147" w:val="left"/>
        </w:tabs>
        <w:numPr>
          <w:ilvl w:val="1"/>
          <w:numId w:val="317"/>
        </w:numPr>
        <w:rPr>
          <w:rFonts w:ascii="Arial" w:cs="Arial" w:eastAsia="Arial" w:hAnsi="Arial"/>
          <w:sz w:val="18"/>
          <w:szCs w:val="18"/>
          <w:color w:val="auto"/>
        </w:rPr>
      </w:pPr>
      <w:r>
        <w:rPr>
          <w:rFonts w:ascii="Arial" w:cs="Arial" w:eastAsia="Arial" w:hAnsi="Arial"/>
          <w:sz w:val="18"/>
          <w:szCs w:val="18"/>
          <w:color w:val="auto"/>
        </w:rPr>
        <w:t>non-cash items increasing such Consolidated Net Income for such period, other than the accrual of revenue in the ordinary course of business, in each case, on a consolidated basis and determined in accordance with GAAP.</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Notwithstanding the preceding, the provision for taxes based on the income or profits of, and the depreciation and amortization and other non-cash expenses of, a Restricted Subsidiary of Wynn Las Vegas will be added to Consolidated Net Income to compute Consolidated Cash Flow of Wynn Las Vegas only to the extent</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223</w:t>
      </w:r>
    </w:p>
    <w:p>
      <w:pPr>
        <w:sectPr>
          <w:pgSz w:w="11900" w:h="16838" w:orient="portrait"/>
          <w:cols w:equalWidth="0" w:num="1">
            <w:col w:w="11380"/>
          </w:cols>
          <w:pgMar w:left="240" w:top="459" w:right="27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60"/>
        <w:spacing w:after="0" w:line="306" w:lineRule="auto"/>
        <w:rPr>
          <w:sz w:val="20"/>
          <w:szCs w:val="20"/>
          <w:color w:val="auto"/>
        </w:rPr>
      </w:pPr>
      <w:r>
        <w:rPr>
          <w:rFonts w:ascii="Arial" w:cs="Arial" w:eastAsia="Arial" w:hAnsi="Arial"/>
          <w:sz w:val="16"/>
          <w:szCs w:val="16"/>
          <w:color w:val="auto"/>
        </w:rPr>
        <w:t>that a corresponding amount would be permitted at the date of determination to be distributed to Wynn Las Vegas by such Restricted Subsidiary without prior governmental approval that has not been obtained, and without direct or indirect restriction pursuant to the terms of its charter and all agreements, instruments, judgments, decrees, orders, statutes, rules and governmental regulations applicable to that Subsidiary or its equity holders.</w:t>
      </w:r>
    </w:p>
    <w:p>
      <w:pPr>
        <w:spacing w:after="0" w:line="107" w:lineRule="exact"/>
        <w:rPr>
          <w:sz w:val="20"/>
          <w:szCs w:val="20"/>
          <w:color w:val="auto"/>
        </w:rPr>
      </w:pPr>
    </w:p>
    <w:p>
      <w:pPr>
        <w:ind w:right="280"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EBITDA</w:t>
      </w:r>
      <w:r>
        <w:rPr>
          <w:rFonts w:ascii="Arial" w:cs="Arial" w:eastAsia="Arial" w:hAnsi="Arial"/>
          <w:sz w:val="16"/>
          <w:szCs w:val="16"/>
          <w:color w:val="auto"/>
        </w:rPr>
        <w:t>” means, with respect to any specified Person for any period, the consolidated net income of such Person and its Subsidiaries for such period plus, without duplication and to the extent reflected as a charge in the statement of such consolidated net income for such period, the sum of</w:t>
      </w:r>
    </w:p>
    <w:p>
      <w:pPr>
        <w:ind w:firstLine="8"/>
        <w:spacing w:after="0" w:line="287" w:lineRule="auto"/>
        <w:tabs>
          <w:tab w:leader="none" w:pos="239" w:val="left"/>
        </w:tabs>
        <w:numPr>
          <w:ilvl w:val="0"/>
          <w:numId w:val="318"/>
        </w:numPr>
        <w:rPr>
          <w:rFonts w:ascii="Arial" w:cs="Arial" w:eastAsia="Arial" w:hAnsi="Arial"/>
          <w:sz w:val="16"/>
          <w:szCs w:val="16"/>
          <w:color w:val="auto"/>
        </w:rPr>
      </w:pPr>
      <w:r>
        <w:rPr>
          <w:rFonts w:ascii="Arial" w:cs="Arial" w:eastAsia="Arial" w:hAnsi="Arial"/>
          <w:sz w:val="16"/>
          <w:szCs w:val="16"/>
          <w:color w:val="auto"/>
        </w:rPr>
        <w:t>income tax expense or the Tax Amount (whether or not paid during such period), (b) consolidated interest expense of such Person and its Subsidiaries, amortization or write-off of debt discount and debt issuance costs and commissions, discounts and other fees and charges associated with Indebtedness (including, in the case of Wynn Las Vegas, the loans and letters of credit under the Credit Agreement), (c) depreciation and amortization expense, (d) amortization of intangibles (including, but not limited to, goodwill) and (e) any extraordinary expenses or losses (and, whether or not otherwise includable as separate items in the statement of such consolidated net income for such period, non-cash losses on sales of assets outside of the ordinary course of business and pre-opening expenses and minus, to the extent included in the statement of such consolidated net income for such period, the sum of (a) interest income (except to the extent deducted in determining consolidated interest expense) and (b) any extraordinary income or gains (and, whether or not otherwise includable as a separate item in the statement of such consolidated net income for such period, gains on the sales of assets outside of the ordinary course of business), all as determined on a consolidated basis in accordance with GAAP.</w:t>
      </w:r>
    </w:p>
    <w:p>
      <w:pPr>
        <w:spacing w:after="0" w:line="12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Leverage Ratio</w:t>
      </w:r>
      <w:r>
        <w:rPr>
          <w:rFonts w:ascii="Arial" w:cs="Arial" w:eastAsia="Arial" w:hAnsi="Arial"/>
          <w:sz w:val="18"/>
          <w:szCs w:val="18"/>
          <w:color w:val="auto"/>
        </w:rPr>
        <w:t>” means as at the last day of any period of four consecutive fiscal quarters, the ratio of (a) Consolidated Total Debt on such day to (b) Consolidated EBITDA of Wynn Las Vegas and its Subsidiaries for such period.</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Member</w:t>
      </w:r>
      <w:r>
        <w:rPr>
          <w:rFonts w:ascii="Arial" w:cs="Arial" w:eastAsia="Arial" w:hAnsi="Arial"/>
          <w:sz w:val="18"/>
          <w:szCs w:val="18"/>
          <w:color w:val="auto"/>
        </w:rPr>
        <w:t>” means a Person that joins (or would join upon the consummation of a Permitted C-Corp. Conversion) in the filing of a consolidated, combined or unitary tax return for United States federal, state or local income or franchise tax purposes with Wynn Resorts, Limited, which Person is Wynn Las Vegas, the Completion Guarantor, or any of their respective Subsidiaries.</w:t>
      </w:r>
    </w:p>
    <w:p>
      <w:pPr>
        <w:spacing w:after="0" w:line="14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Consolidated Net Income</w:t>
      </w:r>
      <w:r>
        <w:rPr>
          <w:rFonts w:ascii="Arial" w:cs="Arial" w:eastAsia="Arial" w:hAnsi="Arial"/>
          <w:sz w:val="16"/>
          <w:szCs w:val="16"/>
          <w:color w:val="auto"/>
        </w:rPr>
        <w:t>” means, with respect to any specified Person for any period, the aggregate of the Net Income of such Person and its Restricted Subsidiaries for such period, on a consolidated basis, determined in accordance with GAAP. For purposes of determining Consolidated Net Income:</w:t>
      </w:r>
    </w:p>
    <w:p>
      <w:pPr>
        <w:spacing w:after="0" w:line="4" w:lineRule="exact"/>
        <w:rPr>
          <w:sz w:val="20"/>
          <w:szCs w:val="20"/>
          <w:color w:val="auto"/>
        </w:rPr>
      </w:pPr>
    </w:p>
    <w:p>
      <w:pPr>
        <w:ind w:left="460" w:right="80" w:firstLine="443"/>
        <w:spacing w:after="0" w:line="259" w:lineRule="auto"/>
        <w:tabs>
          <w:tab w:leader="none" w:pos="1147" w:val="left"/>
        </w:tabs>
        <w:numPr>
          <w:ilvl w:val="1"/>
          <w:numId w:val="319"/>
        </w:numPr>
        <w:rPr>
          <w:rFonts w:ascii="Arial" w:cs="Arial" w:eastAsia="Arial" w:hAnsi="Arial"/>
          <w:sz w:val="18"/>
          <w:szCs w:val="18"/>
          <w:color w:val="auto"/>
        </w:rPr>
      </w:pPr>
      <w:r>
        <w:rPr>
          <w:rFonts w:ascii="Arial" w:cs="Arial" w:eastAsia="Arial" w:hAnsi="Arial"/>
          <w:sz w:val="18"/>
          <w:szCs w:val="18"/>
          <w:color w:val="auto"/>
        </w:rPr>
        <w:t>the Net Income (but not loss) of any Person that is not a Restricted Subsidiary or that is accounted for by the equity method of accounting will be included only to the extent of the amount of dividends or distributions paid in cash to the specified Person or a Wholly Owned Restricted Subsidiary of such Person;</w:t>
      </w:r>
    </w:p>
    <w:p>
      <w:pPr>
        <w:spacing w:after="0" w:line="59" w:lineRule="exact"/>
        <w:rPr>
          <w:rFonts w:ascii="Arial" w:cs="Arial" w:eastAsia="Arial" w:hAnsi="Arial"/>
          <w:sz w:val="18"/>
          <w:szCs w:val="18"/>
          <w:color w:val="auto"/>
        </w:rPr>
      </w:pPr>
    </w:p>
    <w:p>
      <w:pPr>
        <w:ind w:left="460" w:right="20" w:firstLine="443"/>
        <w:spacing w:after="0" w:line="256" w:lineRule="auto"/>
        <w:tabs>
          <w:tab w:leader="none" w:pos="1147" w:val="left"/>
        </w:tabs>
        <w:numPr>
          <w:ilvl w:val="1"/>
          <w:numId w:val="319"/>
        </w:numPr>
        <w:rPr>
          <w:rFonts w:ascii="Arial" w:cs="Arial" w:eastAsia="Arial" w:hAnsi="Arial"/>
          <w:sz w:val="18"/>
          <w:szCs w:val="18"/>
          <w:color w:val="auto"/>
        </w:rPr>
      </w:pPr>
      <w:r>
        <w:rPr>
          <w:rFonts w:ascii="Arial" w:cs="Arial" w:eastAsia="Arial" w:hAnsi="Arial"/>
          <w:sz w:val="18"/>
          <w:szCs w:val="18"/>
          <w:color w:val="auto"/>
        </w:rPr>
        <w:t>the Net Income of any Restricted Subsidiary will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equity holders;</w:t>
      </w:r>
    </w:p>
    <w:p>
      <w:pPr>
        <w:spacing w:after="0" w:line="62" w:lineRule="exact"/>
        <w:rPr>
          <w:rFonts w:ascii="Arial" w:cs="Arial" w:eastAsia="Arial" w:hAnsi="Arial"/>
          <w:sz w:val="18"/>
          <w:szCs w:val="18"/>
          <w:color w:val="auto"/>
        </w:rPr>
      </w:pPr>
    </w:p>
    <w:p>
      <w:pPr>
        <w:ind w:left="460" w:right="920" w:firstLine="443"/>
        <w:spacing w:after="0" w:line="268" w:lineRule="auto"/>
        <w:tabs>
          <w:tab w:leader="none" w:pos="1147" w:val="left"/>
        </w:tabs>
        <w:numPr>
          <w:ilvl w:val="1"/>
          <w:numId w:val="319"/>
        </w:numPr>
        <w:rPr>
          <w:rFonts w:ascii="Arial" w:cs="Arial" w:eastAsia="Arial" w:hAnsi="Arial"/>
          <w:sz w:val="18"/>
          <w:szCs w:val="18"/>
          <w:color w:val="auto"/>
        </w:rPr>
      </w:pPr>
      <w:r>
        <w:rPr>
          <w:rFonts w:ascii="Arial" w:cs="Arial" w:eastAsia="Arial" w:hAnsi="Arial"/>
          <w:sz w:val="18"/>
          <w:szCs w:val="18"/>
          <w:color w:val="auto"/>
        </w:rPr>
        <w:t>the Net Income (loss) of any Unrestricted Subsidiary will be excluded, whether or not distributed to the specified Person or one of its Subsidiaries;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319"/>
        </w:numPr>
        <w:rPr>
          <w:rFonts w:ascii="Arial" w:cs="Arial" w:eastAsia="Arial" w:hAnsi="Arial"/>
          <w:sz w:val="18"/>
          <w:szCs w:val="18"/>
          <w:color w:val="auto"/>
        </w:rPr>
      </w:pPr>
      <w:r>
        <w:rPr>
          <w:rFonts w:ascii="Arial" w:cs="Arial" w:eastAsia="Arial" w:hAnsi="Arial"/>
          <w:sz w:val="18"/>
          <w:szCs w:val="18"/>
          <w:color w:val="auto"/>
        </w:rPr>
        <w:t>the cumulative effect of a change in accounting principles will be excluded.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Worth</w:t>
      </w:r>
      <w:r>
        <w:rPr>
          <w:rFonts w:ascii="Arial" w:cs="Arial" w:eastAsia="Arial" w:hAnsi="Arial"/>
          <w:sz w:val="18"/>
          <w:szCs w:val="18"/>
          <w:color w:val="auto"/>
        </w:rPr>
        <w:t>” means, with respect to any specified Person as of any date, the sum of:</w:t>
      </w:r>
    </w:p>
    <w:p>
      <w:pPr>
        <w:spacing w:after="0" w:line="90" w:lineRule="exact"/>
        <w:rPr>
          <w:sz w:val="20"/>
          <w:szCs w:val="20"/>
          <w:color w:val="auto"/>
        </w:rPr>
      </w:pPr>
    </w:p>
    <w:p>
      <w:pPr>
        <w:ind w:left="5580" w:right="1720" w:hanging="4677"/>
        <w:spacing w:after="0" w:line="440" w:lineRule="auto"/>
        <w:tabs>
          <w:tab w:leader="none" w:pos="1149"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the consolidated equity of the common stockholders of such Person and its consolidated Subsidiaries as of such date; plus 224</w:t>
      </w:r>
    </w:p>
    <w:p>
      <w:pPr>
        <w:sectPr>
          <w:pgSz w:w="11900" w:h="16838" w:orient="portrait"/>
          <w:cols w:equalWidth="0" w:num="1">
            <w:col w:w="11420"/>
          </w:cols>
          <w:pgMar w:left="240" w:top="460" w:right="2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321"/>
        </w:numPr>
        <w:rPr>
          <w:rFonts w:ascii="Arial" w:cs="Arial" w:eastAsia="Arial" w:hAnsi="Arial"/>
          <w:sz w:val="16"/>
          <w:szCs w:val="16"/>
          <w:color w:val="auto"/>
        </w:rPr>
      </w:pPr>
      <w:r>
        <w:rPr>
          <w:rFonts w:ascii="Arial" w:cs="Arial" w:eastAsia="Arial" w:hAnsi="Arial"/>
          <w:sz w:val="16"/>
          <w:szCs w:val="16"/>
          <w:color w:val="auto"/>
        </w:rPr>
        <w:t>the respective amounts reported on such Person’s balance sheet as of such date with respect to any series of preferred stock (other than</w:t>
      </w:r>
    </w:p>
    <w:p>
      <w:pPr>
        <w:spacing w:after="0" w:line="38" w:lineRule="exact"/>
        <w:rPr>
          <w:rFonts w:ascii="Arial" w:cs="Arial" w:eastAsia="Arial" w:hAnsi="Arial"/>
          <w:sz w:val="16"/>
          <w:szCs w:val="16"/>
          <w:color w:val="auto"/>
        </w:rPr>
      </w:pPr>
    </w:p>
    <w:p>
      <w:pPr>
        <w:ind w:left="460" w:right="80"/>
        <w:spacing w:after="0" w:line="323" w:lineRule="auto"/>
        <w:rPr>
          <w:rFonts w:ascii="Arial" w:cs="Arial" w:eastAsia="Arial" w:hAnsi="Arial"/>
          <w:sz w:val="16"/>
          <w:szCs w:val="16"/>
          <w:color w:val="auto"/>
        </w:rPr>
      </w:pPr>
      <w:r>
        <w:rPr>
          <w:rFonts w:ascii="Arial" w:cs="Arial" w:eastAsia="Arial" w:hAnsi="Arial"/>
          <w:sz w:val="16"/>
          <w:szCs w:val="16"/>
          <w:color w:val="auto"/>
        </w:rPr>
        <w:t>Disqualified Stock) that by its terms is not entitled to the payment of dividends unless such dividends may be declared and paid only out of net earnings in respect of the year of such declaration and payment, but only to the extent of any cash received by such Person upon issuance of such preferred equity.</w:t>
      </w:r>
    </w:p>
    <w:p>
      <w:pPr>
        <w:spacing w:after="0" w:line="9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Total Debt</w:t>
      </w:r>
      <w:r>
        <w:rPr>
          <w:rFonts w:ascii="Arial" w:cs="Arial" w:eastAsia="Arial" w:hAnsi="Arial"/>
          <w:sz w:val="18"/>
          <w:szCs w:val="18"/>
          <w:color w:val="auto"/>
        </w:rPr>
        <w:t>” means at any date, the aggregate principal amount of all Indebtedness of Wynn Las Vegas and its Subsidiaries at such date, determined on a consolidated basis in accordance with GAAP.</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Continuing Directors</w:t>
      </w:r>
      <w:r>
        <w:rPr>
          <w:rFonts w:ascii="Arial" w:cs="Arial" w:eastAsia="Arial" w:hAnsi="Arial"/>
          <w:sz w:val="16"/>
          <w:szCs w:val="16"/>
          <w:color w:val="auto"/>
        </w:rPr>
        <w:t>” means, as of any date of determination, with respect to any Person, any member of the Board of Directors of such Person who:</w:t>
      </w:r>
    </w:p>
    <w:p>
      <w:pPr>
        <w:spacing w:after="0" w:line="113" w:lineRule="exact"/>
        <w:rPr>
          <w:sz w:val="20"/>
          <w:szCs w:val="20"/>
          <w:color w:val="auto"/>
        </w:rPr>
      </w:pPr>
    </w:p>
    <w:p>
      <w:pPr>
        <w:ind w:left="1160" w:hanging="257"/>
        <w:spacing w:after="0"/>
        <w:tabs>
          <w:tab w:leader="none" w:pos="116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was a member of such Board of Directors on the date of the Indenture; or</w:t>
      </w:r>
    </w:p>
    <w:p>
      <w:pPr>
        <w:spacing w:after="0" w:line="90"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322"/>
        </w:numPr>
        <w:rPr>
          <w:rFonts w:ascii="Arial" w:cs="Arial" w:eastAsia="Arial" w:hAnsi="Arial"/>
          <w:sz w:val="18"/>
          <w:szCs w:val="18"/>
          <w:color w:val="auto"/>
        </w:rPr>
      </w:pPr>
      <w:r>
        <w:rPr>
          <w:rFonts w:ascii="Arial" w:cs="Arial" w:eastAsia="Arial" w:hAnsi="Arial"/>
          <w:sz w:val="18"/>
          <w:szCs w:val="18"/>
          <w:color w:val="auto"/>
        </w:rPr>
        <w:t>was nominated for election or elected to such Board of Directors with the approval of a majority of the Continuing Directors who were members of such Board of Directors at the time of such nomination or election.</w:t>
      </w:r>
    </w:p>
    <w:p>
      <w:pPr>
        <w:spacing w:after="0" w:line="1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Control Agreements</w:t>
      </w:r>
      <w:r>
        <w:rPr>
          <w:rFonts w:ascii="Arial" w:cs="Arial" w:eastAsia="Arial" w:hAnsi="Arial"/>
          <w:sz w:val="18"/>
          <w:szCs w:val="18"/>
          <w:color w:val="auto"/>
        </w:rPr>
        <w:t>” mean (1) the Control Agreement, dated as of December 14, 2004, among Wynn Show Performers, the securities intermediary named therein and the collateral agent, (2) the Control Agreement, dated as of December 14, 2004, among Wynn Las Vegas, the securities intermediary named therein and the collateral agent, (3) the Control Agreement, dated as of December 14, 2004, among Las Vegas Jet, LLC, the securities intermediary named therein and the collateral agent, each as amended, modified or otherwise supplemented from time to time in accordance with its terms, the Indenture and the other Collateral Documents and (4) the Collateral Account Control Agreement, dated as of September 18, 2008, among Wynn Las Vegas, the securities intermediary named therein and the collateral agent.</w:t>
      </w:r>
    </w:p>
    <w:p>
      <w:pPr>
        <w:spacing w:after="0" w:line="144"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Credit Agreement</w:t>
      </w:r>
      <w:r>
        <w:rPr>
          <w:rFonts w:ascii="Arial" w:cs="Arial" w:eastAsia="Arial" w:hAnsi="Arial"/>
          <w:sz w:val="16"/>
          <w:szCs w:val="16"/>
          <w:color w:val="auto"/>
        </w:rPr>
        <w:t>” means that certain Amended and Restated Credit Agreement, dated as of August 15, 2006, by and among Wynn Las Vegas, the lenders party thereto, and Deutsche Bank Trust Company Americas, as sole administrative agent, Deutsche Bank Securities Inc., as joint advisor, joint book-running manager and joint lead arranger, Banc of America Securities LLC, as joint advisor, joint-book running manager and joint lead arranger, Bank of America, N.A. as sole syndication agent, Bear Stearns Corporate Lending, Inc., as joint documentation agent, Bear, Stearns &amp; Co. Inc., a joint book-running manager and arranger, JPMorgan Chase Bank, N.A., as joint documentation agent, J.P. Morgan Securities Inc., as joint-book running manager and arranger, SG Americas Securities, LLC, as arranger and joint book-running manager, and Societe Generale, as joint book-running manager and arranger, providing for revolving credit and term loan borrowings, including any related notes, Guarantees, collateral documents, instruments and agreements executed in connection therewith, and, in each case, as amended, supplemented, restated, modified, renewed, refunded, replaced (whether upon or after termination or otherwise) or refinanced (whether with the same or different lenders or holders, including by means of sales of debt securities to institutional investors) from time to time.</w:t>
      </w:r>
    </w:p>
    <w:p>
      <w:pPr>
        <w:spacing w:after="0" w:line="12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Dealership Lease Agreement</w:t>
      </w:r>
      <w:r>
        <w:rPr>
          <w:rFonts w:ascii="Arial" w:cs="Arial" w:eastAsia="Arial" w:hAnsi="Arial"/>
          <w:sz w:val="16"/>
          <w:szCs w:val="16"/>
          <w:color w:val="auto"/>
        </w:rPr>
        <w:t>” means the Dealership Lease Agreement, dated as of January 13, 2005, between Wynn Las Vegas, as lessor, and PW Automotive, LLC, as lessee, with respect to the lease of space at the Wynn Las Vegas Resort for the development and operation of a Ferrari and Maserati automobile dealership, as amended, modified or otherwise supplemented from time to time in any manner that is not in contravention of the covenant described above under the caption “—Certain Covenants—Amendments to Certain Agreements.”</w:t>
      </w:r>
    </w:p>
    <w:p>
      <w:pPr>
        <w:spacing w:after="0" w:line="11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Deeds of Trust</w:t>
      </w:r>
      <w:r>
        <w:rPr>
          <w:rFonts w:ascii="Arial" w:cs="Arial" w:eastAsia="Arial" w:hAnsi="Arial"/>
          <w:sz w:val="16"/>
          <w:szCs w:val="16"/>
          <w:color w:val="auto"/>
        </w:rPr>
        <w:t>” means the deeds of trust entered into by the Issuers and the Guarantors, from time to time for the benefit of the collateral agent to secure the obligations under the Indenture and the 2020 Notes in accordance with the provisions of the Indenture and the Collateral Documents.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that is, or with the passage of time or the giving of notice or both would be, an Event of Default.</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225</w:t>
      </w:r>
    </w:p>
    <w:p>
      <w:pPr>
        <w:sectPr>
          <w:pgSz w:w="11900" w:h="16838" w:orient="portrait"/>
          <w:cols w:equalWidth="0" w:num="1">
            <w:col w:w="11400"/>
          </w:cols>
          <w:pgMar w:left="240" w:top="460" w:right="25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Disbursement Agent</w:t>
      </w:r>
      <w:r>
        <w:rPr>
          <w:rFonts w:ascii="Arial" w:cs="Arial" w:eastAsia="Arial" w:hAnsi="Arial"/>
          <w:sz w:val="18"/>
          <w:szCs w:val="18"/>
          <w:color w:val="auto"/>
        </w:rPr>
        <w:t>” means Deutsche Bank Trust Company Americas, in its capacity as the disbursement agent under the Disbursement Agreement and its successors in such capacity pursuant to the Disbursement Agreement.</w:t>
      </w:r>
    </w:p>
    <w:p>
      <w:pPr>
        <w:spacing w:after="0" w:line="13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Disbursement Agreement</w:t>
      </w:r>
      <w:r>
        <w:rPr>
          <w:rFonts w:ascii="Arial" w:cs="Arial" w:eastAsia="Arial" w:hAnsi="Arial"/>
          <w:sz w:val="18"/>
          <w:szCs w:val="18"/>
          <w:color w:val="auto"/>
        </w:rPr>
        <w:t>” means the Amended and Restated Master Disbursement Agreement, dated as of October 25, 2007, among Wynn Las Vegas, a representative of the lenders under the Credit Agreement, and the Disbursement Agent in connection with the Projects, as amended, modified or otherwise supplemented from time to time in accordance with its terms.</w:t>
      </w:r>
    </w:p>
    <w:p>
      <w:pPr>
        <w:spacing w:after="0" w:line="14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Disbursement Collateral Account Agreement</w:t>
      </w:r>
      <w:r>
        <w:rPr>
          <w:rFonts w:ascii="Arial" w:cs="Arial" w:eastAsia="Arial" w:hAnsi="Arial"/>
          <w:sz w:val="18"/>
          <w:szCs w:val="18"/>
          <w:color w:val="auto"/>
        </w:rPr>
        <w:t>” means the Disbursement Collateral Account Agreement, dated as of December 14, 2004, among Wynn Las Vegas, the securities intermediary named therein and the collateral agent, as amended, modified or otherwise supplemented from time to time in accordance with its terms, the Indenture and the other Collateral Documents.</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Stock</w:t>
      </w:r>
      <w:r>
        <w:rPr>
          <w:rFonts w:ascii="Arial" w:cs="Arial" w:eastAsia="Arial" w:hAnsi="Arial"/>
          <w:sz w:val="16"/>
          <w:szCs w:val="16"/>
          <w:color w:val="auto"/>
        </w:rPr>
        <w:t>” means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or redeemable at the option of the holder of the Capital Stock, in whole or in part, on or prior to the date that is 91 days after the date on which the 2020 Notes mature. Notwithstanding the preceding sentence, (1) any Capital Stock that would constitute Disqualified Stock solely because the holders of the Capital Stock have the right to require Wynn Las Vegas to repurchase such Capital Stock upon the occurrence of a change of control or an asset sale will not constitute Disqualified Stock if the terms of such Capital Stock provide that Wynn Las Vegas may not repurchase or redeem any such Capital Stock pursuant to such provisions unless such repurchase or redemption complies with the covenant described above under the caption “—Certain Covenants— Restricted Payments” and (2) any Capital Stock will not constitute Disqualified Stock solely because it is required to be redeemed under applicable Gaming Laws. The amount of Disqualified Stock deemed to be outstanding at any time for purposes of the Indenture will be the maximum amount that Wynn Las Vegas and its Restricted Subsidiaries may become obligated to pay upon the maturity of, or pursuant to any mandatory redemption provisions of, such Disqualified Stock, exclusive of accrued dividends.</w:t>
      </w:r>
    </w:p>
    <w:p>
      <w:pPr>
        <w:spacing w:after="0" w:line="127"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Domestic Subsidiary</w:t>
      </w:r>
      <w:r>
        <w:rPr>
          <w:rFonts w:ascii="Arial" w:cs="Arial" w:eastAsia="Arial" w:hAnsi="Arial"/>
          <w:sz w:val="16"/>
          <w:szCs w:val="16"/>
          <w:color w:val="auto"/>
        </w:rPr>
        <w:t>” means any Restricted Subsidiary of Wynn Las Vegas that was formed under the laws of the United States or any state of the United States or the District of Columbia or that guarantees or otherwise provides direct credit support for any Indebtedness of Wynn Las Vegas.</w:t>
      </w:r>
    </w:p>
    <w:p>
      <w:pPr>
        <w:spacing w:after="0" w:line="8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Encore at Wynn Las Vegas</w:t>
      </w:r>
      <w:r>
        <w:rPr>
          <w:rFonts w:ascii="Arial" w:cs="Arial" w:eastAsia="Arial" w:hAnsi="Arial"/>
          <w:sz w:val="18"/>
          <w:szCs w:val="18"/>
          <w:color w:val="auto"/>
        </w:rPr>
        <w:t>” means the hotel tower, casino facility and retail and convention space that is part of Wynn Las Vegas and called “Encore at Wynn Las Vegas.”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Entertainment Facility</w:t>
      </w:r>
      <w:r>
        <w:rPr>
          <w:rFonts w:ascii="Arial" w:cs="Arial" w:eastAsia="Arial" w:hAnsi="Arial"/>
          <w:sz w:val="16"/>
          <w:szCs w:val="16"/>
          <w:color w:val="auto"/>
        </w:rPr>
        <w:t>” means a showroom or entertainment facility adjoining the Wynn Las Vegas hotel and casino resort and connected directly to such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hotel.</w:t>
      </w:r>
    </w:p>
    <w:p>
      <w:pPr>
        <w:spacing w:after="0" w:line="16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means Capital Stock and all warrants, options or other rights to acquire Capital Stock (but excluding any debt security that is convertible into, or exchangeable for, Capital Stock).</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Loss</w:t>
      </w:r>
      <w:r>
        <w:rPr>
          <w:rFonts w:ascii="Arial" w:cs="Arial" w:eastAsia="Arial" w:hAnsi="Arial"/>
          <w:sz w:val="18"/>
          <w:szCs w:val="18"/>
          <w:color w:val="auto"/>
        </w:rPr>
        <w:t>” means, with respect to any property or asset (tangible or intangible, real or personal), whether in respect of a single event or a series of related events, any of the following:</w:t>
      </w:r>
    </w:p>
    <w:p>
      <w:pPr>
        <w:spacing w:after="0" w:line="51" w:lineRule="exact"/>
        <w:rPr>
          <w:sz w:val="20"/>
          <w:szCs w:val="20"/>
          <w:color w:val="auto"/>
        </w:rPr>
      </w:pPr>
    </w:p>
    <w:p>
      <w:pPr>
        <w:ind w:left="1160" w:hanging="257"/>
        <w:spacing w:after="0"/>
        <w:tabs>
          <w:tab w:leader="none" w:pos="116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any loss, destruction or damage of such property or asset;</w:t>
      </w:r>
    </w:p>
    <w:p>
      <w:pPr>
        <w:spacing w:after="0" w:line="90" w:lineRule="exact"/>
        <w:rPr>
          <w:rFonts w:ascii="Arial" w:cs="Arial" w:eastAsia="Arial" w:hAnsi="Arial"/>
          <w:sz w:val="18"/>
          <w:szCs w:val="18"/>
          <w:color w:val="auto"/>
        </w:rPr>
      </w:pPr>
    </w:p>
    <w:p>
      <w:pPr>
        <w:ind w:left="460" w:right="100" w:firstLine="443"/>
        <w:spacing w:after="0" w:line="268" w:lineRule="auto"/>
        <w:tabs>
          <w:tab w:leader="none" w:pos="1147" w:val="left"/>
        </w:tabs>
        <w:numPr>
          <w:ilvl w:val="0"/>
          <w:numId w:val="323"/>
        </w:numPr>
        <w:rPr>
          <w:rFonts w:ascii="Arial" w:cs="Arial" w:eastAsia="Arial" w:hAnsi="Arial"/>
          <w:sz w:val="18"/>
          <w:szCs w:val="18"/>
          <w:color w:val="auto"/>
        </w:rPr>
      </w:pPr>
      <w:r>
        <w:rPr>
          <w:rFonts w:ascii="Arial" w:cs="Arial" w:eastAsia="Arial" w:hAnsi="Arial"/>
          <w:sz w:val="18"/>
          <w:szCs w:val="18"/>
          <w:color w:val="auto"/>
        </w:rPr>
        <w:t>any actual condemnation, seizure or taking by exercise of the power of eminent domain or otherwise of such property or asset, or confiscation of such property or asset or the requisition of the use of such property or asset; or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any settlement in lieu of clause (2) above.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226</w:t>
      </w:r>
    </w:p>
    <w:p>
      <w:pPr>
        <w:sectPr>
          <w:pgSz w:w="11900" w:h="16838" w:orient="portrait"/>
          <w:cols w:equalWidth="0" w:num="1">
            <w:col w:w="11420"/>
          </w:cols>
          <w:pgMar w:left="240" w:top="459" w:right="2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Indebtedness</w:t>
      </w:r>
      <w:r>
        <w:rPr>
          <w:rFonts w:ascii="Arial" w:cs="Arial" w:eastAsia="Arial" w:hAnsi="Arial"/>
          <w:sz w:val="18"/>
          <w:szCs w:val="18"/>
          <w:color w:val="auto"/>
        </w:rPr>
        <w:t>” means Indebtedness of Wynn Las Vegas or its Subsidiaries (other than Indebtedness under the Credit Agreement) in existence on the date of the Indenture until such amounts are repaid or redeemed after giving effect to the exchange offering.</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Stockholders</w:t>
      </w:r>
      <w:r>
        <w:rPr>
          <w:rFonts w:ascii="Arial" w:cs="Arial" w:eastAsia="Arial" w:hAnsi="Arial"/>
          <w:sz w:val="18"/>
          <w:szCs w:val="18"/>
          <w:color w:val="auto"/>
        </w:rPr>
        <w:t>” means Stephen A. Wynn and Aruze, USA, Inc.</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Fair Market Value</w:t>
      </w:r>
      <w:r>
        <w:rPr>
          <w:rFonts w:ascii="Arial" w:cs="Arial" w:eastAsia="Arial" w:hAnsi="Arial"/>
          <w:sz w:val="16"/>
          <w:szCs w:val="16"/>
          <w:color w:val="auto"/>
        </w:rPr>
        <w:t>” means the value that would be paid by a willing buyer to an unaffiliated willing seller in a transaction not involving distress or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necessity of either party, determined in good faith by (1) an appropriate officer of Wynn Las Vegas, in the case of any value equal to or less than $10.0 million or</w:t>
      </w:r>
    </w:p>
    <w:p>
      <w:pPr>
        <w:spacing w:after="0" w:line="32" w:lineRule="exact"/>
        <w:rPr>
          <w:sz w:val="20"/>
          <w:szCs w:val="20"/>
          <w:color w:val="auto"/>
        </w:rPr>
      </w:pPr>
    </w:p>
    <w:p>
      <w:pPr>
        <w:ind w:right="180" w:firstLine="8"/>
        <w:spacing w:after="0" w:line="255" w:lineRule="auto"/>
        <w:tabs>
          <w:tab w:leader="none" w:pos="249" w:val="left"/>
        </w:tabs>
        <w:numPr>
          <w:ilvl w:val="0"/>
          <w:numId w:val="324"/>
        </w:numPr>
        <w:rPr>
          <w:rFonts w:ascii="Arial" w:cs="Arial" w:eastAsia="Arial" w:hAnsi="Arial"/>
          <w:sz w:val="18"/>
          <w:szCs w:val="18"/>
          <w:color w:val="auto"/>
        </w:rPr>
      </w:pPr>
      <w:r>
        <w:rPr>
          <w:rFonts w:ascii="Arial" w:cs="Arial" w:eastAsia="Arial" w:hAnsi="Arial"/>
          <w:sz w:val="18"/>
          <w:szCs w:val="18"/>
          <w:color w:val="auto"/>
        </w:rPr>
        <w:t>the Board of Directors of Wynn Capital, in the event of any value greater than $10.0 million (in each case, unless otherwise provided in the Indenture). With respect to any Affiliate Transactions, the Board of Directors’ determination must be based upon an opinion or appraisal issued by an accounting, appraisal or investment banking firm of national standing if the Fair Market Value exceeds $25.0 million.</w:t>
      </w:r>
    </w:p>
    <w:p>
      <w:pPr>
        <w:spacing w:after="0" w:line="14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Fixed Charge Coverage Ratio</w:t>
      </w:r>
      <w:r>
        <w:rPr>
          <w:rFonts w:ascii="Arial" w:cs="Arial" w:eastAsia="Arial" w:hAnsi="Arial"/>
          <w:sz w:val="16"/>
          <w:szCs w:val="16"/>
          <w:color w:val="auto"/>
        </w:rPr>
        <w:t>” means with respect to any specified Person for any period, the ratio of the Consolidated Cash Flow of such Person for such period to the Fixed Charges of such Person for such period. In the event that the specified Person or any of its Restricted Subsidiaries incurs, assumes, guarantees, repays, repurchases, redeems, defeases or otherwise discharges any Indebtedness (other than ordinary working capital borrowings) or issues, repurchases or redeems Disqualified Stock subsequent to the commencement of the period for which the Fixed Charge Coverage Ratio is being calculated and on or prior to the date on which the event for which the calculation of the Fixed Charge Coverage Ratio is made (the “Calculation Date”), then the Fixed Charge Coverage Ratio will be calculated giving pro forma effect to such incurrence, assumption, Guarantee, repayment, repurchase, redemption, defeasance or other discharge of Indebtedness, or such issuance, repurchase or redemption of Disqualified Stock, and the use of the proceeds therefrom, as if the same had occurred at the beginning of the applicable four-quarter reference period.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for purposes of calculating the Fixed Charge Coverage Ratio:</w:t>
      </w:r>
    </w:p>
    <w:p>
      <w:pPr>
        <w:spacing w:after="0" w:line="90" w:lineRule="exact"/>
        <w:rPr>
          <w:sz w:val="20"/>
          <w:szCs w:val="20"/>
          <w:color w:val="auto"/>
        </w:rPr>
      </w:pPr>
    </w:p>
    <w:p>
      <w:pPr>
        <w:ind w:left="460" w:right="180" w:firstLine="443"/>
        <w:spacing w:after="0" w:line="294" w:lineRule="auto"/>
        <w:tabs>
          <w:tab w:leader="none" w:pos="1147" w:val="left"/>
        </w:tabs>
        <w:numPr>
          <w:ilvl w:val="0"/>
          <w:numId w:val="325"/>
        </w:numPr>
        <w:rPr>
          <w:rFonts w:ascii="Arial" w:cs="Arial" w:eastAsia="Arial" w:hAnsi="Arial"/>
          <w:sz w:val="16"/>
          <w:szCs w:val="16"/>
          <w:color w:val="auto"/>
        </w:rPr>
      </w:pPr>
      <w:r>
        <w:rPr>
          <w:rFonts w:ascii="Arial" w:cs="Arial" w:eastAsia="Arial" w:hAnsi="Arial"/>
          <w:sz w:val="16"/>
          <w:szCs w:val="16"/>
          <w:color w:val="auto"/>
        </w:rPr>
        <w:t>acquisitions that have been made by the specified Person or any of its Restricted Subsidiaries, including through mergers or consolidations, or any Person or any of its Restricted Subsidiaries acquired by the specified Person or any of its Restricted Subsidiaries, and including any related financing transactions and including increases in ownership of Restricted Subsidiaries, during the four-quarter reference period or subsequent to such reference period and on or prior to the Calculation Date will be given pro forma effect (in accordance with Regulation S-X under the Securities Act) as if they had occurred on the first day of the four-quarter reference period;</w:t>
      </w:r>
    </w:p>
    <w:p>
      <w:pPr>
        <w:spacing w:after="0" w:line="34" w:lineRule="exact"/>
        <w:rPr>
          <w:rFonts w:ascii="Arial" w:cs="Arial" w:eastAsia="Arial" w:hAnsi="Arial"/>
          <w:sz w:val="16"/>
          <w:szCs w:val="16"/>
          <w:color w:val="auto"/>
        </w:rPr>
      </w:pPr>
    </w:p>
    <w:p>
      <w:pPr>
        <w:ind w:left="460" w:right="160" w:firstLine="443"/>
        <w:spacing w:after="0" w:line="268" w:lineRule="auto"/>
        <w:tabs>
          <w:tab w:leader="none" w:pos="1147" w:val="left"/>
        </w:tabs>
        <w:numPr>
          <w:ilvl w:val="0"/>
          <w:numId w:val="325"/>
        </w:numPr>
        <w:rPr>
          <w:rFonts w:ascii="Arial" w:cs="Arial" w:eastAsia="Arial" w:hAnsi="Arial"/>
          <w:sz w:val="18"/>
          <w:szCs w:val="18"/>
          <w:color w:val="auto"/>
        </w:rPr>
      </w:pPr>
      <w:r>
        <w:rPr>
          <w:rFonts w:ascii="Arial" w:cs="Arial" w:eastAsia="Arial" w:hAnsi="Arial"/>
          <w:sz w:val="18"/>
          <w:szCs w:val="18"/>
          <w:color w:val="auto"/>
        </w:rPr>
        <w:t>the Consolidated Cash Flow attributable to discontinued operations, as determined in accordance with GAAP, and operations or businesses (and ownership interests therein) disposed of prior to the Calculation Date, will be excluded;</w:t>
      </w:r>
    </w:p>
    <w:p>
      <w:pPr>
        <w:spacing w:after="0" w:line="50" w:lineRule="exact"/>
        <w:rPr>
          <w:rFonts w:ascii="Arial" w:cs="Arial" w:eastAsia="Arial" w:hAnsi="Arial"/>
          <w:sz w:val="18"/>
          <w:szCs w:val="18"/>
          <w:color w:val="auto"/>
        </w:rPr>
      </w:pPr>
    </w:p>
    <w:p>
      <w:pPr>
        <w:ind w:left="460" w:right="100" w:firstLine="443"/>
        <w:spacing w:after="0" w:line="306" w:lineRule="auto"/>
        <w:tabs>
          <w:tab w:leader="none" w:pos="1147" w:val="left"/>
        </w:tabs>
        <w:numPr>
          <w:ilvl w:val="0"/>
          <w:numId w:val="325"/>
        </w:numPr>
        <w:rPr>
          <w:rFonts w:ascii="Arial" w:cs="Arial" w:eastAsia="Arial" w:hAnsi="Arial"/>
          <w:sz w:val="16"/>
          <w:szCs w:val="16"/>
          <w:color w:val="auto"/>
        </w:rPr>
      </w:pPr>
      <w:r>
        <w:rPr>
          <w:rFonts w:ascii="Arial" w:cs="Arial" w:eastAsia="Arial" w:hAnsi="Arial"/>
          <w:sz w:val="16"/>
          <w:szCs w:val="16"/>
          <w:color w:val="auto"/>
        </w:rPr>
        <w:t>the Fixed Charges attributable to discontinued operations, as determined in accordance with GAAP, and operations or businesses (and ownership interests therein) disposed of prior to the Calculation Date, will be excluded, but only to the extent that the obligations giving rise to such Fixed Charges will not be obligations of the specified Person or any of its Restricted Subsidiaries following the Calculation Date;</w:t>
      </w:r>
    </w:p>
    <w:p>
      <w:pPr>
        <w:spacing w:after="0" w:line="25" w:lineRule="exact"/>
        <w:rPr>
          <w:rFonts w:ascii="Arial" w:cs="Arial" w:eastAsia="Arial" w:hAnsi="Arial"/>
          <w:sz w:val="16"/>
          <w:szCs w:val="16"/>
          <w:color w:val="auto"/>
        </w:rPr>
      </w:pPr>
    </w:p>
    <w:p>
      <w:pPr>
        <w:ind w:left="460" w:right="240" w:firstLine="443"/>
        <w:spacing w:after="0" w:line="268" w:lineRule="auto"/>
        <w:tabs>
          <w:tab w:leader="none" w:pos="1147" w:val="left"/>
        </w:tabs>
        <w:numPr>
          <w:ilvl w:val="0"/>
          <w:numId w:val="325"/>
        </w:numPr>
        <w:rPr>
          <w:rFonts w:ascii="Arial" w:cs="Arial" w:eastAsia="Arial" w:hAnsi="Arial"/>
          <w:sz w:val="18"/>
          <w:szCs w:val="18"/>
          <w:color w:val="auto"/>
        </w:rPr>
      </w:pPr>
      <w:r>
        <w:rPr>
          <w:rFonts w:ascii="Arial" w:cs="Arial" w:eastAsia="Arial" w:hAnsi="Arial"/>
          <w:sz w:val="18"/>
          <w:szCs w:val="18"/>
          <w:color w:val="auto"/>
        </w:rPr>
        <w:t>any Person that is a Restricted Subsidiary on the Calculation Date will be deemed to have been a Restricted Subsidiary at all times during such four-quarter period;</w:t>
      </w:r>
    </w:p>
    <w:p>
      <w:pPr>
        <w:spacing w:after="0" w:line="50" w:lineRule="exact"/>
        <w:rPr>
          <w:rFonts w:ascii="Arial" w:cs="Arial" w:eastAsia="Arial" w:hAnsi="Arial"/>
          <w:sz w:val="18"/>
          <w:szCs w:val="18"/>
          <w:color w:val="auto"/>
        </w:rPr>
      </w:pPr>
    </w:p>
    <w:p>
      <w:pPr>
        <w:ind w:left="460" w:right="60" w:firstLine="443"/>
        <w:spacing w:after="0" w:line="268" w:lineRule="auto"/>
        <w:tabs>
          <w:tab w:leader="none" w:pos="1147" w:val="left"/>
        </w:tabs>
        <w:numPr>
          <w:ilvl w:val="0"/>
          <w:numId w:val="325"/>
        </w:numPr>
        <w:rPr>
          <w:rFonts w:ascii="Arial" w:cs="Arial" w:eastAsia="Arial" w:hAnsi="Arial"/>
          <w:sz w:val="18"/>
          <w:szCs w:val="18"/>
          <w:color w:val="auto"/>
        </w:rPr>
      </w:pPr>
      <w:r>
        <w:rPr>
          <w:rFonts w:ascii="Arial" w:cs="Arial" w:eastAsia="Arial" w:hAnsi="Arial"/>
          <w:sz w:val="18"/>
          <w:szCs w:val="18"/>
          <w:color w:val="auto"/>
        </w:rPr>
        <w:t>any Person that is not a Restricted Subsidiary on the Calculation Date will be deemed not to have been a Restricted Subsidiary at any time during such four-quarter period; and</w:t>
      </w:r>
    </w:p>
    <w:p>
      <w:pPr>
        <w:spacing w:after="0" w:line="50" w:lineRule="exact"/>
        <w:rPr>
          <w:rFonts w:ascii="Arial" w:cs="Arial" w:eastAsia="Arial" w:hAnsi="Arial"/>
          <w:sz w:val="18"/>
          <w:szCs w:val="18"/>
          <w:color w:val="auto"/>
        </w:rPr>
      </w:pPr>
    </w:p>
    <w:p>
      <w:pPr>
        <w:ind w:left="460" w:right="340" w:firstLine="443"/>
        <w:spacing w:after="0" w:line="259" w:lineRule="auto"/>
        <w:tabs>
          <w:tab w:leader="none" w:pos="1147" w:val="left"/>
        </w:tabs>
        <w:numPr>
          <w:ilvl w:val="0"/>
          <w:numId w:val="325"/>
        </w:numPr>
        <w:rPr>
          <w:rFonts w:ascii="Arial" w:cs="Arial" w:eastAsia="Arial" w:hAnsi="Arial"/>
          <w:sz w:val="18"/>
          <w:szCs w:val="18"/>
          <w:color w:val="auto"/>
        </w:rPr>
      </w:pPr>
      <w:r>
        <w:rPr>
          <w:rFonts w:ascii="Arial" w:cs="Arial" w:eastAsia="Arial" w:hAnsi="Arial"/>
          <w:sz w:val="18"/>
          <w:szCs w:val="18"/>
          <w:color w:val="auto"/>
        </w:rPr>
        <w:t>if any Indebtedness bears a floating rate of interest, the interest expense on such Indebtedness will be calculated as if the rate in effect on the Calculation Date had been the applicable rate for the entire period (taking into account any Hedging Obligation applicable to such Indebtedness if such Hedging Obligation has a remaining term as at the Calculation Date in excess of 12 months).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227</w:t>
      </w:r>
    </w:p>
    <w:p>
      <w:pPr>
        <w:sectPr>
          <w:pgSz w:w="11900" w:h="16838" w:orient="portrait"/>
          <w:cols w:equalWidth="0" w:num="1">
            <w:col w:w="11420"/>
          </w:cols>
          <w:pgMar w:left="240" w:top="460" w:right="2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Fixed Charges</w:t>
      </w:r>
      <w:r>
        <w:rPr>
          <w:rFonts w:ascii="Arial" w:cs="Arial" w:eastAsia="Arial" w:hAnsi="Arial"/>
          <w:sz w:val="18"/>
          <w:szCs w:val="18"/>
          <w:color w:val="auto"/>
        </w:rPr>
        <w:t>” means, with respect to any specified Person for any period, the sum, without duplication, of:</w:t>
      </w:r>
    </w:p>
    <w:p>
      <w:pPr>
        <w:spacing w:after="0" w:line="90" w:lineRule="exact"/>
        <w:rPr>
          <w:sz w:val="20"/>
          <w:szCs w:val="20"/>
          <w:color w:val="auto"/>
        </w:rPr>
      </w:pPr>
    </w:p>
    <w:p>
      <w:pPr>
        <w:ind w:left="460" w:right="340" w:firstLine="443"/>
        <w:spacing w:after="0" w:line="294" w:lineRule="auto"/>
        <w:tabs>
          <w:tab w:leader="none" w:pos="1147" w:val="left"/>
        </w:tabs>
        <w:numPr>
          <w:ilvl w:val="0"/>
          <w:numId w:val="326"/>
        </w:numPr>
        <w:rPr>
          <w:rFonts w:ascii="Arial" w:cs="Arial" w:eastAsia="Arial" w:hAnsi="Arial"/>
          <w:sz w:val="16"/>
          <w:szCs w:val="16"/>
          <w:color w:val="auto"/>
        </w:rPr>
      </w:pPr>
      <w:r>
        <w:rPr>
          <w:rFonts w:ascii="Arial" w:cs="Arial" w:eastAsia="Arial" w:hAnsi="Arial"/>
          <w:sz w:val="16"/>
          <w:szCs w:val="16"/>
          <w:color w:val="auto"/>
        </w:rPr>
        <w:t>the consolidated interest expense of such Person and its Restricted Subsidiaries for such period, whether paid or accrued, including, without limitation, amortization of debt issuance costs and original issue discount, non-cash interest payments, the interest component of any deferred payment obligations, the interest component of all payments associated with Capital Lease Obligations, imputed interest with respect to Attributable Debt, commissions, discounts and other fees and charges incurred in respect of letter of credit or bankers’ acceptance financings, and net of the effect of all payments made or received pursuant to Hedging Obligations in respect of interest rates; plus</w:t>
      </w:r>
    </w:p>
    <w:p>
      <w:pPr>
        <w:spacing w:after="0" w:line="34" w:lineRule="exact"/>
        <w:rPr>
          <w:rFonts w:ascii="Arial" w:cs="Arial" w:eastAsia="Arial" w:hAnsi="Arial"/>
          <w:sz w:val="16"/>
          <w:szCs w:val="16"/>
          <w:color w:val="auto"/>
        </w:rPr>
      </w:pPr>
    </w:p>
    <w:p>
      <w:pPr>
        <w:ind w:left="1160" w:hanging="257"/>
        <w:spacing w:after="0"/>
        <w:tabs>
          <w:tab w:leader="none" w:pos="116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the consolidated interest expense of such Person and its Restricted Subsidiaries that was capitalized during such period; plus</w:t>
      </w:r>
    </w:p>
    <w:p>
      <w:pPr>
        <w:spacing w:after="0" w:line="90" w:lineRule="exact"/>
        <w:rPr>
          <w:rFonts w:ascii="Arial" w:cs="Arial" w:eastAsia="Arial" w:hAnsi="Arial"/>
          <w:sz w:val="18"/>
          <w:szCs w:val="18"/>
          <w:color w:val="auto"/>
        </w:rPr>
      </w:pPr>
    </w:p>
    <w:p>
      <w:pPr>
        <w:ind w:left="460" w:right="340" w:firstLine="443"/>
        <w:spacing w:after="0" w:line="332" w:lineRule="auto"/>
        <w:tabs>
          <w:tab w:leader="none" w:pos="1147" w:val="left"/>
        </w:tabs>
        <w:numPr>
          <w:ilvl w:val="0"/>
          <w:numId w:val="326"/>
        </w:numPr>
        <w:rPr>
          <w:rFonts w:ascii="Arial" w:cs="Arial" w:eastAsia="Arial" w:hAnsi="Arial"/>
          <w:sz w:val="16"/>
          <w:szCs w:val="16"/>
          <w:color w:val="auto"/>
        </w:rPr>
      </w:pPr>
      <w:r>
        <w:rPr>
          <w:rFonts w:ascii="Arial" w:cs="Arial" w:eastAsia="Arial" w:hAnsi="Arial"/>
          <w:sz w:val="16"/>
          <w:szCs w:val="16"/>
          <w:color w:val="auto"/>
        </w:rPr>
        <w:t>any interest on Indebtedness of another Person that is guaranteed by such Person or one of its Restricted Subsidiaries or secured by a Lien on assets of such Person or one of its Restricted Subsidiaries, whether or not such Guarantee or Lien is called upon; plus</w:t>
      </w:r>
    </w:p>
    <w:p>
      <w:pPr>
        <w:spacing w:after="0" w:line="4" w:lineRule="exact"/>
        <w:rPr>
          <w:rFonts w:ascii="Arial" w:cs="Arial" w:eastAsia="Arial" w:hAnsi="Arial"/>
          <w:sz w:val="16"/>
          <w:szCs w:val="16"/>
          <w:color w:val="auto"/>
        </w:rPr>
      </w:pPr>
    </w:p>
    <w:p>
      <w:pPr>
        <w:ind w:left="460" w:right="40" w:firstLine="443"/>
        <w:spacing w:after="0" w:line="291" w:lineRule="auto"/>
        <w:tabs>
          <w:tab w:leader="none" w:pos="1147" w:val="left"/>
        </w:tabs>
        <w:numPr>
          <w:ilvl w:val="0"/>
          <w:numId w:val="326"/>
        </w:numPr>
        <w:rPr>
          <w:rFonts w:ascii="Arial" w:cs="Arial" w:eastAsia="Arial" w:hAnsi="Arial"/>
          <w:sz w:val="16"/>
          <w:szCs w:val="16"/>
          <w:color w:val="auto"/>
        </w:rPr>
      </w:pPr>
      <w:r>
        <w:rPr>
          <w:rFonts w:ascii="Arial" w:cs="Arial" w:eastAsia="Arial" w:hAnsi="Arial"/>
          <w:sz w:val="16"/>
          <w:szCs w:val="16"/>
          <w:color w:val="auto"/>
        </w:rPr>
        <w:t>the product of (a) all dividends, whether paid or accrued and whether or not in cash, on any series of preferred stock of such Person or any of its Restricted Subsidiaries, other than dividends on Equity Interests payable solely in Equity Interests of Wynn Las Vegas (other than Disqualified Stock) or to Wynn Las Vegas or a Restricted Subsidiary of Wynn Las Vegas, times (b) a fraction, the numerator of which is one and the denominator of which is one minus the then current combined federal, state and local statutory tax rate of such Person (or, in the case of a Person that is a partnership or a limited liability company, the combined federal, state and local income tax rate that was or would have been utilized to calculate the Tax Amount of such Person), expressed as a decimal, in each case, determined on a consolidated basis in accordance with GAAP.</w:t>
      </w:r>
    </w:p>
    <w:p>
      <w:pPr>
        <w:spacing w:after="0" w:line="12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GAAP</w:t>
      </w:r>
      <w:r>
        <w:rPr>
          <w:rFonts w:ascii="Arial" w:cs="Arial" w:eastAsia="Arial" w:hAnsi="Arial"/>
          <w:sz w:val="16"/>
          <w:szCs w:val="16"/>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on the date of the Indenture.</w:t>
      </w:r>
    </w:p>
    <w:p>
      <w:pPr>
        <w:spacing w:after="0" w:line="10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Gaming Authority</w:t>
      </w:r>
      <w:r>
        <w:rPr>
          <w:rFonts w:ascii="Arial" w:cs="Arial" w:eastAsia="Arial" w:hAnsi="Arial"/>
          <w:sz w:val="16"/>
          <w:szCs w:val="16"/>
          <w:color w:val="auto"/>
        </w:rPr>
        <w:t>” means any agency, authority, board, bureau, commission, department, office or instrumentality of any nature whatsoever of the United States federal government, any foreign government, any state, province or city or other political subdivision or otherwise, whether on the date of the Indenture or thereafter in existence, including the Nevada Gaming Commission, the Nevada State Gaming Control Board, the Clark County Liquor and Gaming Licensing Board and any other applicable gaming regulatory authority or agency, in each case, with authority to regulate the sale or distribution of liquor or any gaming operation (or proposed gaming operation) owned, managed or operated by Wynn Las Vegas or any of the Restricted Subsidiaries or Guarantors.</w:t>
      </w:r>
    </w:p>
    <w:p>
      <w:pPr>
        <w:spacing w:after="0" w:line="1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Gaming Facility</w:t>
      </w:r>
      <w:r>
        <w:rPr>
          <w:rFonts w:ascii="Arial" w:cs="Arial" w:eastAsia="Arial" w:hAnsi="Arial"/>
          <w:sz w:val="18"/>
          <w:szCs w:val="18"/>
          <w:color w:val="auto"/>
        </w:rPr>
        <w:t>” means any building or other structure used or expected to be used to enclose space in which a gaming operation is conducted and (1) is wholly or partially owned, directly or indirectly, by Wynn Las Vegas or any Restricted Subsidiary or (2) any portion or aspect of which is managed or used, or expected to be managed or used, by Wynn Las Vegas or any Restricted Subsidiary or Guarantor.</w:t>
      </w:r>
    </w:p>
    <w:p>
      <w:pPr>
        <w:spacing w:after="0" w:line="14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Gaming Law</w:t>
      </w:r>
      <w:r>
        <w:rPr>
          <w:rFonts w:ascii="Arial" w:cs="Arial" w:eastAsia="Arial" w:hAnsi="Arial"/>
          <w:sz w:val="18"/>
          <w:szCs w:val="18"/>
          <w:color w:val="auto"/>
        </w:rPr>
        <w:t>” means the gaming laws, rules, regulations or ordinances of any jurisdiction or jurisdictions to which Wynn Las Vegas or any of the Restricted Subsidiaries or Guarantors is, or may be, at any time subject.</w:t>
      </w:r>
    </w:p>
    <w:p>
      <w:pPr>
        <w:spacing w:after="0" w:line="132"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Gaming License</w:t>
      </w:r>
      <w:r>
        <w:rPr>
          <w:rFonts w:ascii="Arial" w:cs="Arial" w:eastAsia="Arial" w:hAnsi="Arial"/>
          <w:sz w:val="16"/>
          <w:szCs w:val="16"/>
          <w:color w:val="auto"/>
        </w:rPr>
        <w:t>” means any license, permit, franchise or other authorization from any Gaming Authority necessary on the date of the Indenture or at any time thereafter to own, lease, operate or otherwise conduct the gaming business of Wynn Las Vegas or any of the Restricted Subsidiaries or Guarantors.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228</w:t>
      </w:r>
    </w:p>
    <w:p>
      <w:pPr>
        <w:sectPr>
          <w:pgSz w:w="11900" w:h="16838" w:orient="portrait"/>
          <w:cols w:equalWidth="0" w:num="1">
            <w:col w:w="11400"/>
          </w:cols>
          <w:pgMar w:left="240" w:top="459" w:right="25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Golf Course</w:t>
      </w:r>
      <w:r>
        <w:rPr>
          <w:rFonts w:ascii="Arial" w:cs="Arial" w:eastAsia="Arial" w:hAnsi="Arial"/>
          <w:sz w:val="18"/>
          <w:szCs w:val="18"/>
          <w:color w:val="auto"/>
        </w:rPr>
        <w:t>” means the 18-hole championship golf course located on the Golf Course Land.</w:t>
      </w:r>
    </w:p>
    <w:p>
      <w:pPr>
        <w:spacing w:after="0" w:line="17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Golf Course Land</w:t>
      </w:r>
      <w:r>
        <w:rPr>
          <w:rFonts w:ascii="Arial" w:cs="Arial" w:eastAsia="Arial" w:hAnsi="Arial"/>
          <w:sz w:val="18"/>
          <w:szCs w:val="18"/>
          <w:color w:val="auto"/>
        </w:rPr>
        <w:t>” means that portion of the Project Site described in an exhibit to the Disbursement Agreement designated as the Golf Course Land (both the fee interest and leasehold interest estates) in the Collateral Documents, together with all improvements thereon and all rights appurtenant thereto, other than, for purposes of the covenant described above under the caption “—Certain Covenants—Limitation on Development of Golf Course Land,” homesites adjacent thereto to be used to construct a residence for Stephen A. Wynn.</w:t>
      </w:r>
    </w:p>
    <w:p>
      <w:pPr>
        <w:spacing w:after="0" w:line="14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Golf Course Lease</w:t>
      </w:r>
      <w:r>
        <w:rPr>
          <w:rFonts w:ascii="Arial" w:cs="Arial" w:eastAsia="Arial" w:hAnsi="Arial"/>
          <w:sz w:val="16"/>
          <w:szCs w:val="16"/>
          <w:color w:val="auto"/>
        </w:rPr>
        <w:t>” means the Golf Course Lease, dated as of December 14, 2004, between Wynn Golf, as lessor, and Wynn Las Vegas, as lessee, with respect to the lease of land on the Golf Course, as amended, modified or otherwise supplemented from time to time in any manner that is not in contravention of the covenant described above under the caption “—Certain Covenants—Amendments to Certain Agreements.”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 Securities</w:t>
      </w:r>
      <w:r>
        <w:rPr>
          <w:rFonts w:ascii="Arial" w:cs="Arial" w:eastAsia="Arial" w:hAnsi="Arial"/>
          <w:sz w:val="18"/>
          <w:szCs w:val="18"/>
          <w:color w:val="auto"/>
        </w:rPr>
        <w:t>” means securities that are:</w:t>
      </w:r>
    </w:p>
    <w:p>
      <w:pPr>
        <w:spacing w:after="0" w:line="90" w:lineRule="exact"/>
        <w:rPr>
          <w:sz w:val="20"/>
          <w:szCs w:val="20"/>
          <w:color w:val="auto"/>
        </w:rPr>
      </w:pPr>
    </w:p>
    <w:p>
      <w:pPr>
        <w:ind w:left="1160" w:hanging="257"/>
        <w:spacing w:after="0"/>
        <w:tabs>
          <w:tab w:leader="none" w:pos="116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direct obligations of the United States of America for the timely payment of which its full faith and credit is pledged; or</w:t>
      </w:r>
    </w:p>
    <w:p>
      <w:pPr>
        <w:spacing w:after="0" w:line="90" w:lineRule="exact"/>
        <w:rPr>
          <w:rFonts w:ascii="Arial" w:cs="Arial" w:eastAsia="Arial" w:hAnsi="Arial"/>
          <w:sz w:val="18"/>
          <w:szCs w:val="18"/>
          <w:color w:val="auto"/>
        </w:rPr>
      </w:pPr>
    </w:p>
    <w:p>
      <w:pPr>
        <w:ind w:left="460" w:right="20" w:firstLine="443"/>
        <w:spacing w:after="0" w:line="312" w:lineRule="auto"/>
        <w:tabs>
          <w:tab w:leader="none" w:pos="1147" w:val="left"/>
        </w:tabs>
        <w:numPr>
          <w:ilvl w:val="0"/>
          <w:numId w:val="327"/>
        </w:numPr>
        <w:rPr>
          <w:rFonts w:ascii="Arial" w:cs="Arial" w:eastAsia="Arial" w:hAnsi="Arial"/>
          <w:sz w:val="15"/>
          <w:szCs w:val="15"/>
          <w:color w:val="auto"/>
        </w:rPr>
      </w:pPr>
      <w:r>
        <w:rPr>
          <w:rFonts w:ascii="Arial" w:cs="Arial" w:eastAsia="Arial" w:hAnsi="Arial"/>
          <w:sz w:val="15"/>
          <w:szCs w:val="15"/>
          <w:color w:val="auto"/>
        </w:rPr>
        <w:t>obligations of a Person controlled or supervised by and acting as an agency or instrumentality of the United States of America the timely payment of which is unconditionally guaranteed as a full faith and credit obligation by the United States of America; which, in either case, are not callable or redeemable at the option of the issuer thereof, and will include a depository receipt issued by a bank (as defined in Section 3(a)(2) of the Securities Act of 1933, as amended), as custodian with respect to any such Government Security or a specific payment of principal of or interest on any such Government Security held by such custodian for the account of the holder of such depository receipt; provided that (except as required by law) such custodian is not authorized to make any deduction from the amount payable to the holder of such depository receipt from any amount received by the custodian in respect of the Government Security or the specific payment of principal of or interest on the Government Security evidenced by such depository receipt.</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 Transfers</w:t>
      </w:r>
      <w:r>
        <w:rPr>
          <w:rFonts w:ascii="Arial" w:cs="Arial" w:eastAsia="Arial" w:hAnsi="Arial"/>
          <w:sz w:val="18"/>
          <w:szCs w:val="18"/>
          <w:color w:val="auto"/>
        </w:rPr>
        <w:t>” means:</w:t>
      </w:r>
    </w:p>
    <w:p>
      <w:pPr>
        <w:spacing w:after="0" w:line="90" w:lineRule="exact"/>
        <w:rPr>
          <w:sz w:val="20"/>
          <w:szCs w:val="20"/>
          <w:color w:val="auto"/>
        </w:rPr>
      </w:pPr>
    </w:p>
    <w:p>
      <w:pPr>
        <w:ind w:left="460" w:right="420" w:firstLine="443"/>
        <w:spacing w:after="0" w:line="268" w:lineRule="auto"/>
        <w:tabs>
          <w:tab w:leader="none" w:pos="1147" w:val="left"/>
        </w:tabs>
        <w:numPr>
          <w:ilvl w:val="0"/>
          <w:numId w:val="328"/>
        </w:numPr>
        <w:rPr>
          <w:rFonts w:ascii="Arial" w:cs="Arial" w:eastAsia="Arial" w:hAnsi="Arial"/>
          <w:sz w:val="18"/>
          <w:szCs w:val="18"/>
          <w:color w:val="auto"/>
        </w:rPr>
      </w:pPr>
      <w:r>
        <w:rPr>
          <w:rFonts w:ascii="Arial" w:cs="Arial" w:eastAsia="Arial" w:hAnsi="Arial"/>
          <w:sz w:val="18"/>
          <w:szCs w:val="18"/>
          <w:color w:val="auto"/>
        </w:rPr>
        <w:t>any seizures, condemnations, confiscations or takings by the power of eminent domain or other similar mandatory actions, in each case by a governmental authority against real property held by Wynn Las Vegas or any of the Restricted Subsidiaries, or</w:t>
      </w:r>
    </w:p>
    <w:p>
      <w:pPr>
        <w:spacing w:after="0" w:line="50" w:lineRule="exact"/>
        <w:rPr>
          <w:rFonts w:ascii="Arial" w:cs="Arial" w:eastAsia="Arial" w:hAnsi="Arial"/>
          <w:sz w:val="18"/>
          <w:szCs w:val="18"/>
          <w:color w:val="auto"/>
        </w:rPr>
      </w:pPr>
    </w:p>
    <w:p>
      <w:pPr>
        <w:ind w:left="460" w:firstLine="443"/>
        <w:spacing w:after="0" w:line="255" w:lineRule="auto"/>
        <w:tabs>
          <w:tab w:leader="none" w:pos="1147" w:val="left"/>
        </w:tabs>
        <w:numPr>
          <w:ilvl w:val="0"/>
          <w:numId w:val="328"/>
        </w:numPr>
        <w:rPr>
          <w:rFonts w:ascii="Arial" w:cs="Arial" w:eastAsia="Arial" w:hAnsi="Arial"/>
          <w:sz w:val="18"/>
          <w:szCs w:val="18"/>
          <w:color w:val="auto"/>
        </w:rPr>
      </w:pPr>
      <w:r>
        <w:rPr>
          <w:rFonts w:ascii="Arial" w:cs="Arial" w:eastAsia="Arial" w:hAnsi="Arial"/>
          <w:sz w:val="18"/>
          <w:szCs w:val="18"/>
          <w:color w:val="auto"/>
        </w:rPr>
        <w:t>any transfers of interests in real property held by Wynn Las Vegas or any of the Restricted Subsidiaries to any State of Nevada, Clark County or local governmental authority consisting of easements, rights-of-way, dedications, exchanges or swaps or other similar transfers undertaken in furtherance of the development, construction or operation of the Projects, so long as such transfers, individually and in the aggregate, do not materially interfere with the ordinary course of business or the assets or operations of Wynn Las Vegas or any of the Restricted Subsidiaries, or materially detract from the value of the real property subject thereto.</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Guarantee</w:t>
      </w:r>
      <w:r>
        <w:rPr>
          <w:rFonts w:ascii="Arial" w:cs="Arial" w:eastAsia="Arial" w:hAnsi="Arial"/>
          <w:sz w:val="16"/>
          <w:szCs w:val="16"/>
          <w:color w:val="auto"/>
        </w:rPr>
        <w:t>”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Guarantor</w:t>
      </w:r>
      <w:r>
        <w:rPr>
          <w:rFonts w:ascii="Arial" w:cs="Arial" w:eastAsia="Arial" w:hAnsi="Arial"/>
          <w:sz w:val="18"/>
          <w:szCs w:val="18"/>
          <w:color w:val="auto"/>
        </w:rPr>
        <w:t>” means each of:</w:t>
      </w:r>
    </w:p>
    <w:p>
      <w:pPr>
        <w:spacing w:after="0" w:line="90" w:lineRule="exact"/>
        <w:rPr>
          <w:sz w:val="20"/>
          <w:szCs w:val="20"/>
          <w:color w:val="auto"/>
        </w:rPr>
      </w:pPr>
    </w:p>
    <w:p>
      <w:pPr>
        <w:ind w:left="1160" w:hanging="257"/>
        <w:spacing w:after="0"/>
        <w:tabs>
          <w:tab w:leader="none" w:pos="116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the Restricted Subsidiaries that are Domestic Subsidiaries, other than Immaterial Subsidiaries,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29"/>
        </w:numPr>
        <w:rPr>
          <w:rFonts w:ascii="Arial" w:cs="Arial" w:eastAsia="Arial" w:hAnsi="Arial"/>
          <w:sz w:val="16"/>
          <w:szCs w:val="16"/>
          <w:color w:val="auto"/>
        </w:rPr>
      </w:pPr>
      <w:r>
        <w:rPr>
          <w:rFonts w:ascii="Arial" w:cs="Arial" w:eastAsia="Arial" w:hAnsi="Arial"/>
          <w:sz w:val="16"/>
          <w:szCs w:val="16"/>
          <w:color w:val="auto"/>
        </w:rPr>
        <w:t>any other Person that provides a Guarantee by executing a supplemental indenture in accordance with the provisions of the Indenture,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229</w:t>
      </w:r>
    </w:p>
    <w:p>
      <w:pPr>
        <w:sectPr>
          <w:pgSz w:w="11900" w:h="16838" w:orient="portrait"/>
          <w:cols w:equalWidth="0" w:num="1">
            <w:col w:w="11420"/>
          </w:cols>
          <w:pgMar w:left="240" w:top="460" w:right="2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and, except to the extent the applicable Note Guarantee is released in accordance with the caption “—Note Guarantees—Release of Guarantees,” their respective successors and assigns (other than the Issuers). A Person shall cease to be a Guarantor following the release of its Note Guarantee as described above under the caption “—Note Guarantees—Release of Guarantees.”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Hedging Obligations</w:t>
      </w:r>
      <w:r>
        <w:rPr>
          <w:rFonts w:ascii="Arial" w:cs="Arial" w:eastAsia="Arial" w:hAnsi="Arial"/>
          <w:sz w:val="18"/>
          <w:szCs w:val="18"/>
          <w:color w:val="auto"/>
        </w:rPr>
        <w:t>” means, with respect to any specified Person, the obligations of such Person under:</w:t>
      </w:r>
    </w:p>
    <w:p>
      <w:pPr>
        <w:spacing w:after="0" w:line="90" w:lineRule="exact"/>
        <w:rPr>
          <w:sz w:val="20"/>
          <w:szCs w:val="20"/>
          <w:color w:val="auto"/>
        </w:rPr>
      </w:pPr>
    </w:p>
    <w:p>
      <w:pPr>
        <w:ind w:left="460" w:right="460" w:firstLine="443"/>
        <w:spacing w:after="0" w:line="268" w:lineRule="auto"/>
        <w:tabs>
          <w:tab w:leader="none" w:pos="1147" w:val="left"/>
        </w:tabs>
        <w:numPr>
          <w:ilvl w:val="0"/>
          <w:numId w:val="330"/>
        </w:numPr>
        <w:rPr>
          <w:rFonts w:ascii="Arial" w:cs="Arial" w:eastAsia="Arial" w:hAnsi="Arial"/>
          <w:sz w:val="18"/>
          <w:szCs w:val="18"/>
          <w:color w:val="auto"/>
        </w:rPr>
      </w:pPr>
      <w:r>
        <w:rPr>
          <w:rFonts w:ascii="Arial" w:cs="Arial" w:eastAsia="Arial" w:hAnsi="Arial"/>
          <w:sz w:val="18"/>
          <w:szCs w:val="18"/>
          <w:color w:val="auto"/>
        </w:rPr>
        <w:t>interest rate swap agreements (whether from fixed to floating or from floating to fixed), interest rate cap agreements and interest rate collar agreements;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other agreements or arrangements designed to manage interest rates or interest rate risk;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30"/>
        </w:numPr>
        <w:rPr>
          <w:rFonts w:ascii="Arial" w:cs="Arial" w:eastAsia="Arial" w:hAnsi="Arial"/>
          <w:sz w:val="16"/>
          <w:szCs w:val="16"/>
          <w:color w:val="auto"/>
        </w:rPr>
      </w:pPr>
      <w:r>
        <w:rPr>
          <w:rFonts w:ascii="Arial" w:cs="Arial" w:eastAsia="Arial" w:hAnsi="Arial"/>
          <w:sz w:val="16"/>
          <w:szCs w:val="16"/>
          <w:color w:val="auto"/>
        </w:rPr>
        <w:t>other agreements or arrangements designed to protect such Person against fluctuations in currency exchange rates and/or commodity prices.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Holder</w:t>
      </w:r>
      <w:r>
        <w:rPr>
          <w:rFonts w:ascii="Arial" w:cs="Arial" w:eastAsia="Arial" w:hAnsi="Arial"/>
          <w:sz w:val="16"/>
          <w:szCs w:val="16"/>
          <w:color w:val="auto"/>
        </w:rPr>
        <w:t>” or “</w:t>
      </w:r>
      <w:r>
        <w:rPr>
          <w:rFonts w:ascii="Arial" w:cs="Arial" w:eastAsia="Arial" w:hAnsi="Arial"/>
          <w:sz w:val="16"/>
          <w:szCs w:val="16"/>
          <w:i w:val="1"/>
          <w:iCs w:val="1"/>
          <w:color w:val="auto"/>
        </w:rPr>
        <w:t>holder</w:t>
      </w:r>
      <w:r>
        <w:rPr>
          <w:rFonts w:ascii="Arial" w:cs="Arial" w:eastAsia="Arial" w:hAnsi="Arial"/>
          <w:sz w:val="16"/>
          <w:szCs w:val="16"/>
          <w:color w:val="auto"/>
        </w:rPr>
        <w:t>” means any registered holder, from time to time, of the 2020 Notes. Only registered holders will have any rights under the Indenture.</w:t>
      </w:r>
    </w:p>
    <w:p>
      <w:pPr>
        <w:spacing w:after="0" w:line="19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Home Site Land</w:t>
      </w:r>
      <w:r>
        <w:rPr>
          <w:rFonts w:ascii="Arial" w:cs="Arial" w:eastAsia="Arial" w:hAnsi="Arial"/>
          <w:sz w:val="18"/>
          <w:szCs w:val="18"/>
          <w:color w:val="auto"/>
        </w:rPr>
        <w:t>” means a tract of land (not to exceed 20 acres) located on the Golf Course Land where residential and non-gaming related developments may be built, after the release of the trustee’s Liens (for the benefit of the holders) thereon in accordance with the covenant described above under the caption “— Security—Release of Portions of the Golf Course Land.”</w:t>
      </w:r>
    </w:p>
    <w:p>
      <w:pPr>
        <w:spacing w:after="0" w:line="140" w:lineRule="exact"/>
        <w:rPr>
          <w:sz w:val="20"/>
          <w:szCs w:val="20"/>
          <w:color w:val="auto"/>
        </w:rPr>
      </w:pPr>
    </w:p>
    <w:p>
      <w:pPr>
        <w:ind w:right="56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Immaterial Subsidiary</w:t>
      </w:r>
      <w:r>
        <w:rPr>
          <w:rFonts w:ascii="Arial" w:cs="Arial" w:eastAsia="Arial" w:hAnsi="Arial"/>
          <w:sz w:val="16"/>
          <w:szCs w:val="16"/>
          <w:color w:val="auto"/>
        </w:rPr>
        <w:t>” means, as of any date, any Restricted Subsidiary whose total assets, as of that date, are less than $500,000 and whose total revenues for the most recent 12-month period do not exceed $500,000; provided that a Restricted Subsidiary will not be considered to be an Immaterial Subsidiary if it, directly or indirectly, guarantees or otherwise provides direct credit support for any Indebtedness of Wynn Las Vegas.</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Indebtedness</w:t>
      </w:r>
      <w:r>
        <w:rPr>
          <w:rFonts w:ascii="Arial" w:cs="Arial" w:eastAsia="Arial" w:hAnsi="Arial"/>
          <w:sz w:val="18"/>
          <w:szCs w:val="18"/>
          <w:color w:val="auto"/>
        </w:rPr>
        <w:t>” means, with respect to any specified Person, any indebtedness of such Person (excluding accrued expenses and trade payables), whether or not contingent:</w:t>
      </w:r>
    </w:p>
    <w:p>
      <w:pPr>
        <w:spacing w:after="0" w:line="51" w:lineRule="exact"/>
        <w:rPr>
          <w:sz w:val="20"/>
          <w:szCs w:val="20"/>
          <w:color w:val="auto"/>
        </w:rPr>
      </w:pPr>
    </w:p>
    <w:p>
      <w:pPr>
        <w:ind w:left="1160" w:hanging="257"/>
        <w:spacing w:after="0"/>
        <w:tabs>
          <w:tab w:leader="none" w:pos="116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in respect of borrowed money;</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31"/>
        </w:numPr>
        <w:rPr>
          <w:rFonts w:ascii="Arial" w:cs="Arial" w:eastAsia="Arial" w:hAnsi="Arial"/>
          <w:sz w:val="16"/>
          <w:szCs w:val="16"/>
          <w:color w:val="auto"/>
        </w:rPr>
      </w:pPr>
      <w:r>
        <w:rPr>
          <w:rFonts w:ascii="Arial" w:cs="Arial" w:eastAsia="Arial" w:hAnsi="Arial"/>
          <w:sz w:val="16"/>
          <w:szCs w:val="16"/>
          <w:color w:val="auto"/>
        </w:rPr>
        <w:t>evidenced by bonds, notes, debentures or similar instruments or letters of credit (or reimbursement agreements in respect thereof);</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in respect of banker’s acceptances;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representing Capital Lease Obligations or Attributable Debt;</w:t>
      </w:r>
    </w:p>
    <w:p>
      <w:pPr>
        <w:spacing w:after="0" w:line="90" w:lineRule="exact"/>
        <w:rPr>
          <w:rFonts w:ascii="Arial" w:cs="Arial" w:eastAsia="Arial" w:hAnsi="Arial"/>
          <w:sz w:val="18"/>
          <w:szCs w:val="18"/>
          <w:color w:val="auto"/>
        </w:rPr>
      </w:pPr>
    </w:p>
    <w:p>
      <w:pPr>
        <w:ind w:left="460" w:right="240" w:firstLine="443"/>
        <w:spacing w:after="0" w:line="268" w:lineRule="auto"/>
        <w:tabs>
          <w:tab w:leader="none" w:pos="1147" w:val="left"/>
        </w:tabs>
        <w:numPr>
          <w:ilvl w:val="0"/>
          <w:numId w:val="331"/>
        </w:numPr>
        <w:rPr>
          <w:rFonts w:ascii="Arial" w:cs="Arial" w:eastAsia="Arial" w:hAnsi="Arial"/>
          <w:sz w:val="18"/>
          <w:szCs w:val="18"/>
          <w:color w:val="auto"/>
        </w:rPr>
      </w:pPr>
      <w:r>
        <w:rPr>
          <w:rFonts w:ascii="Arial" w:cs="Arial" w:eastAsia="Arial" w:hAnsi="Arial"/>
          <w:sz w:val="18"/>
          <w:szCs w:val="18"/>
          <w:color w:val="auto"/>
        </w:rPr>
        <w:t>representing the balance deferred and unpaid of the purchase price of any property or services due more than six months after such property is acquired or such services are completed; or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representing any Hedging Obligations,</w:t>
      </w:r>
    </w:p>
    <w:p>
      <w:pPr>
        <w:spacing w:after="0" w:line="17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if and to the extent any of the preceding items (other than letters of credit, Attributable Debt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90" w:lineRule="exact"/>
        <w:rPr>
          <w:sz w:val="20"/>
          <w:szCs w:val="20"/>
          <w:color w:val="auto"/>
        </w:rPr>
      </w:pPr>
    </w:p>
    <w:p>
      <w:pPr>
        <w:ind w:left="1160" w:hanging="257"/>
        <w:spacing w:after="0"/>
        <w:tabs>
          <w:tab w:leader="none" w:pos="116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the accreted value of the Indebtedness, in the case of any Indebtedness issued with original issue discount;</w:t>
      </w:r>
    </w:p>
    <w:p>
      <w:pPr>
        <w:spacing w:after="0" w:line="90" w:lineRule="exact"/>
        <w:rPr>
          <w:rFonts w:ascii="Arial" w:cs="Arial" w:eastAsia="Arial" w:hAnsi="Arial"/>
          <w:sz w:val="18"/>
          <w:szCs w:val="18"/>
          <w:color w:val="auto"/>
        </w:rPr>
      </w:pPr>
    </w:p>
    <w:p>
      <w:pPr>
        <w:ind w:left="460" w:right="300" w:firstLine="443"/>
        <w:spacing w:after="0" w:line="268" w:lineRule="auto"/>
        <w:tabs>
          <w:tab w:leader="none" w:pos="1147" w:val="left"/>
        </w:tabs>
        <w:numPr>
          <w:ilvl w:val="0"/>
          <w:numId w:val="332"/>
        </w:numPr>
        <w:rPr>
          <w:rFonts w:ascii="Arial" w:cs="Arial" w:eastAsia="Arial" w:hAnsi="Arial"/>
          <w:sz w:val="18"/>
          <w:szCs w:val="18"/>
          <w:color w:val="auto"/>
        </w:rPr>
      </w:pPr>
      <w:r>
        <w:rPr>
          <w:rFonts w:ascii="Arial" w:cs="Arial" w:eastAsia="Arial" w:hAnsi="Arial"/>
          <w:sz w:val="18"/>
          <w:szCs w:val="18"/>
          <w:color w:val="auto"/>
        </w:rPr>
        <w:t>the principal amount of the Indebtedness, together with any interest on the Indebtedness that is more than 30 days past due, in the case of any other Indebtedness;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230</w:t>
      </w:r>
    </w:p>
    <w:p>
      <w:pPr>
        <w:sectPr>
          <w:pgSz w:w="11900" w:h="16838" w:orient="portrait"/>
          <w:cols w:equalWidth="0" w:num="1">
            <w:col w:w="11380"/>
          </w:cols>
          <w:pgMar w:left="240" w:top="460" w:right="27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in the case of a Guarantee of Indebtedness, the maximum amount of the Indebtedness guaranteed under such Guarantee;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in the case of Indebtedness of others secured by a Lien on any asset of the specified Person, the lesser of:</w:t>
      </w:r>
    </w:p>
    <w:p>
      <w:pPr>
        <w:spacing w:after="0" w:line="90" w:lineRule="exact"/>
        <w:rPr>
          <w:rFonts w:ascii="Arial" w:cs="Arial" w:eastAsia="Arial" w:hAnsi="Arial"/>
          <w:sz w:val="18"/>
          <w:szCs w:val="18"/>
          <w:color w:val="auto"/>
        </w:rPr>
      </w:pPr>
    </w:p>
    <w:p>
      <w:pPr>
        <w:ind w:left="920" w:right="480" w:firstLine="421"/>
        <w:spacing w:after="0" w:line="268" w:lineRule="auto"/>
        <w:tabs>
          <w:tab w:leader="none" w:pos="1579" w:val="left"/>
        </w:tabs>
        <w:numPr>
          <w:ilvl w:val="1"/>
          <w:numId w:val="333"/>
        </w:numPr>
        <w:rPr>
          <w:rFonts w:ascii="Arial" w:cs="Arial" w:eastAsia="Arial" w:hAnsi="Arial"/>
          <w:sz w:val="18"/>
          <w:szCs w:val="18"/>
          <w:color w:val="auto"/>
        </w:rPr>
      </w:pPr>
      <w:r>
        <w:rPr>
          <w:rFonts w:ascii="Arial" w:cs="Arial" w:eastAsia="Arial" w:hAnsi="Arial"/>
          <w:sz w:val="18"/>
          <w:szCs w:val="18"/>
          <w:color w:val="auto"/>
        </w:rPr>
        <w:t>the face amount of such Indebtedness (plus, in the case of any letter of credit or similar instrument, the amount of any reimbursement obligations in respect thereof), and</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1"/>
          <w:numId w:val="333"/>
        </w:numPr>
        <w:rPr>
          <w:rFonts w:ascii="Arial" w:cs="Arial" w:eastAsia="Arial" w:hAnsi="Arial"/>
          <w:sz w:val="18"/>
          <w:szCs w:val="18"/>
          <w:color w:val="auto"/>
        </w:rPr>
      </w:pPr>
      <w:r>
        <w:rPr>
          <w:rFonts w:ascii="Arial" w:cs="Arial" w:eastAsia="Arial" w:hAnsi="Arial"/>
          <w:sz w:val="18"/>
          <w:szCs w:val="18"/>
          <w:color w:val="auto"/>
        </w:rPr>
        <w:t>the Fair Market Value of the asset(s) subject to such Lien.</w:t>
      </w:r>
    </w:p>
    <w:p>
      <w:pPr>
        <w:spacing w:after="0" w:line="171" w:lineRule="exact"/>
        <w:rPr>
          <w:sz w:val="20"/>
          <w:szCs w:val="20"/>
          <w:color w:val="auto"/>
        </w:rPr>
      </w:pPr>
    </w:p>
    <w:p>
      <w:pPr>
        <w:jc w:val="both"/>
        <w:ind w:right="300" w:firstLine="456"/>
        <w:spacing w:after="0" w:line="332" w:lineRule="auto"/>
        <w:rPr>
          <w:sz w:val="20"/>
          <w:szCs w:val="20"/>
          <w:color w:val="auto"/>
        </w:rPr>
      </w:pPr>
      <w:r>
        <w:rPr>
          <w:rFonts w:ascii="Arial" w:cs="Arial" w:eastAsia="Arial" w:hAnsi="Arial"/>
          <w:sz w:val="16"/>
          <w:szCs w:val="16"/>
          <w:color w:val="auto"/>
        </w:rPr>
        <w:t>Notwithstanding anything contained in the Indenture to the contrary, any obligation of the Issuers or the Restricted Subsidiaries incurred in the ordinary course of business in respect of casino chips or similar instruments shall not constitute “Indebtedness” for any purpose under the Indenture.</w:t>
      </w:r>
    </w:p>
    <w:p>
      <w:pPr>
        <w:spacing w:after="0" w:line="85"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Intercreditor Agreement</w:t>
      </w:r>
      <w:r>
        <w:rPr>
          <w:rFonts w:ascii="Arial" w:cs="Arial" w:eastAsia="Arial" w:hAnsi="Arial"/>
          <w:sz w:val="16"/>
          <w:szCs w:val="16"/>
          <w:color w:val="auto"/>
        </w:rPr>
        <w:t>” means the Intercreditor Agreement, dated as of December 14, 2004, among the trustee for the 2014 Notes, the trustee for the 2017 Notes, the trustee for the 2020 Notes, the administrative agent under the Credit Agreement, the collateral agent and the other parties thereto from time to time, as such agreement may be amended, modified, restated or supplemented in accordance with the terms of the Indenture.</w:t>
      </w:r>
    </w:p>
    <w:p>
      <w:pPr>
        <w:spacing w:after="0" w:line="107"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Investments</w:t>
      </w:r>
      <w:r>
        <w:rPr>
          <w:rFonts w:ascii="Arial" w:cs="Arial" w:eastAsia="Arial" w:hAnsi="Arial"/>
          <w:sz w:val="15"/>
          <w:szCs w:val="15"/>
          <w:color w:val="auto"/>
        </w:rPr>
        <w:t>” means, with respect to any Person, all direct or indirect investments by such Person in other Persons (including Affiliates) in the forms of loans (including Guarantees or other obligations), advances (excluding advances made to customers in the ordinary course of business) or capital contributions (excluding commission, travel and similar advances to officers and employees made in the ordinary course of business), purchases or other acquisitions for consideration of Indebtedness, Equity Interests or other securities, together with all items that are or would be classified as investments on a balance sheet prepared in accordance with GAAP. If Wynn Las Vegas or any Restricted Subsidiary of Wynn Las Vegas sells or otherwise disposes of any Equity Interests of any direct or indirect Restricted Subsidiary of Wynn Las Vegas such that, after giving effect to any such sale or disposition, such Person is no longer a Restricted Subsidiary of Wynn Las Vegas, Wynn Las Vegas will be deemed to have made an Investment on the date of any such sale or disposition equal to the Fair Market Value of Wynn Las Vegas’ Investments in such Restricted Subsidiary that were not sold or disposed of in an amount determined as provided in the final paragraph of the covenant described above under the caption “—Certain Covenants—Restricted Payments.” The acquisition by Wynn Las Vegas or any Restricted Subsidiary of Wynn Las Vegas of a Person that holds an Investment in a third Person will be deemed to be an Investment by Wynn Las Vegas or such Subsidiary in such third Person in an amount equal to the Fair Market Value of the Investments held by the acquired Person in such third Person in an amount determined as provided in the final paragraph of the covenant described above under the caption “—Certain Covenants—Restricted Payments.” Except as otherwise provided in the Indenture, the amount of an Investment will be determined at the time the Investment is made and without giving effect to subsequent changes in value.</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Issuers</w:t>
      </w:r>
      <w:r>
        <w:rPr>
          <w:rFonts w:ascii="Arial" w:cs="Arial" w:eastAsia="Arial" w:hAnsi="Arial"/>
          <w:sz w:val="18"/>
          <w:szCs w:val="18"/>
          <w:color w:val="auto"/>
        </w:rPr>
        <w:t>” means Wynn Las Vegas and Wynn Capital.</w:t>
      </w:r>
    </w:p>
    <w:p>
      <w:pPr>
        <w:spacing w:after="0" w:line="17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Koval Land</w:t>
      </w:r>
      <w:r>
        <w:rPr>
          <w:rFonts w:ascii="Arial" w:cs="Arial" w:eastAsia="Arial" w:hAnsi="Arial"/>
          <w:sz w:val="18"/>
          <w:szCs w:val="18"/>
          <w:color w:val="auto"/>
        </w:rPr>
        <w:t>” means the approximately 18 acres of land located across from the Projects on Koval Lane and Sands Avenue, which is used for employee parking and other ancillary uses.</w:t>
      </w:r>
    </w:p>
    <w:p>
      <w:pPr>
        <w:spacing w:after="0" w:line="132"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means, with respect to any asset, (i) any mortgage, lien, pledge, charge, security interest or encumbrance of any kind in respect of such asset, whether or not filed, recorded or otherwise perfected under applicable law, including any conditional sale or other title retention agreement, (ii) any lease in the nature thereof, or (iii) any agreement to deliver a security interest in any asset. Notwithstanding the foregoing, the trust established and maintained for the sole purpose of holding title to the Aircraft and which a Restricted Subsidiary of Wynn Las Vegas is the sole beneficiary thereof shall not be considered a Lien for purposes of the Indenture.</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Liquidated Damage</w:t>
      </w:r>
      <w:r>
        <w:rPr>
          <w:rFonts w:ascii="Arial" w:cs="Arial" w:eastAsia="Arial" w:hAnsi="Arial"/>
          <w:sz w:val="18"/>
          <w:szCs w:val="18"/>
          <w:color w:val="auto"/>
        </w:rPr>
        <w:t>” means all liquidated damages then owing pursuant to the registration rights agreement entered into in connection with the exchange offering.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231</w:t>
      </w:r>
    </w:p>
    <w:p>
      <w:pPr>
        <w:sectPr>
          <w:pgSz w:w="11900" w:h="16838" w:orient="portrait"/>
          <w:cols w:equalWidth="0" w:num="1">
            <w:col w:w="11420"/>
          </w:cols>
          <w:pgMar w:left="240" w:top="459" w:right="2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Local Bank Collateral Account Agreement</w:t>
      </w:r>
      <w:r>
        <w:rPr>
          <w:rFonts w:ascii="Arial" w:cs="Arial" w:eastAsia="Arial" w:hAnsi="Arial"/>
          <w:sz w:val="18"/>
          <w:szCs w:val="18"/>
          <w:color w:val="auto"/>
        </w:rPr>
        <w:t>” means the Local Bank Collateral Account Agreement, dated as of December 14, 2004, among Wynn Las Vegas, the securities intermediary named therein and the collateral agent, as amended, modified or otherwise supplemented from time to time in accordance with its terms, the Indenture and the other Collateral Documents.</w:t>
      </w:r>
    </w:p>
    <w:p>
      <w:pPr>
        <w:spacing w:after="0" w:line="140"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Macau Project</w:t>
      </w:r>
      <w:r>
        <w:rPr>
          <w:rFonts w:ascii="Arial" w:cs="Arial" w:eastAsia="Arial" w:hAnsi="Arial"/>
          <w:sz w:val="16"/>
          <w:szCs w:val="16"/>
          <w:color w:val="auto"/>
        </w:rPr>
        <w:t>” means the casino and hotel in Macau contemplated by the Concession Contract for the Operation of Games of Chance or Other Games in Casinos in the Macau Special Administrative Region of the People’s Republic of China, dated June 24, 2002, between the Macau Special Administrative Region of the People’s Republic of China and Wynn Resorts (Macau), S.A., together with the Encore project adjacent thereto.</w:t>
      </w:r>
    </w:p>
    <w:p>
      <w:pPr>
        <w:spacing w:after="0" w:line="107"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 Agreement</w:t>
      </w:r>
      <w:r>
        <w:rPr>
          <w:rFonts w:ascii="Arial" w:cs="Arial" w:eastAsia="Arial" w:hAnsi="Arial"/>
          <w:sz w:val="18"/>
          <w:szCs w:val="18"/>
          <w:color w:val="auto"/>
        </w:rPr>
        <w:t xml:space="preserve"> “ means the Management Agreement, dated as of December 14, 2004, among Wynn Resorts, as manager, the Issuers and the Restricted Subsidiaries, as amended, modified or supplemented from time to time in any manner that is not in contravention of the covenant described above under the caption “—Certain Covenants—Amendments to Certain Agreements.”</w:t>
      </w:r>
    </w:p>
    <w:p>
      <w:pPr>
        <w:spacing w:after="0" w:line="14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 Fee</w:t>
      </w:r>
      <w:r>
        <w:rPr>
          <w:rFonts w:ascii="Arial" w:cs="Arial" w:eastAsia="Arial" w:hAnsi="Arial"/>
          <w:sz w:val="18"/>
          <w:szCs w:val="18"/>
          <w:color w:val="auto"/>
        </w:rPr>
        <w:t>” means any fees payable pursuant to the Management Agreement, in an aggregate amount not to exceed, during any 12-month period, 1.5% of Net Revenues of Wynn Las Vegas and its Restricted Subsidiaries for the period of four full consecutive fiscal quarters of Wynn Las Vegas most recently ended prior to the commencement of such 12-month period.</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 Fees Subordination Agreement</w:t>
      </w:r>
      <w:r>
        <w:rPr>
          <w:rFonts w:ascii="Arial" w:cs="Arial" w:eastAsia="Arial" w:hAnsi="Arial"/>
          <w:sz w:val="18"/>
          <w:szCs w:val="18"/>
          <w:color w:val="auto"/>
        </w:rPr>
        <w:t>” means the Management Fees Subordination Agreement, dated as of the date of the Indenture, by and among Wynn Resorts, the Issuers, the Guarantors and the trustee.</w:t>
      </w:r>
    </w:p>
    <w:p>
      <w:pPr>
        <w:spacing w:after="0" w:line="13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or any successor to its statistical rating business, except that any reference to a particular rating by Moody’s will be deemed to be a reference to the corresponding rating by any such successor.</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Income</w:t>
      </w:r>
      <w:r>
        <w:rPr>
          <w:rFonts w:ascii="Arial" w:cs="Arial" w:eastAsia="Arial" w:hAnsi="Arial"/>
          <w:sz w:val="18"/>
          <w:szCs w:val="18"/>
          <w:color w:val="auto"/>
        </w:rPr>
        <w:t>” means, with respect to any specified Person, the net income (loss) of such Person, determined in accordance with GAAP (and reduced by any provision in respect of the Tax Amount attributable to such net income) and before any reduction in respect of preferred equity dividends, giving effect to, without duplication, any amounts paid or distributed by Wynn Las Vegas or any of its Restricted Subsidiaries as Allocable Overhead if and to the same extent that such amounts would have been included in the calculation of net income if incurred by Wynn Las Vegas directly, excluding (to the extent previously taken into account in computing net income), however:</w:t>
      </w:r>
    </w:p>
    <w:p>
      <w:pPr>
        <w:spacing w:after="0" w:line="62" w:lineRule="exact"/>
        <w:rPr>
          <w:sz w:val="20"/>
          <w:szCs w:val="20"/>
          <w:color w:val="auto"/>
        </w:rPr>
      </w:pPr>
    </w:p>
    <w:p>
      <w:pPr>
        <w:jc w:val="both"/>
        <w:ind w:left="460" w:right="60" w:firstLine="443"/>
        <w:spacing w:after="0" w:line="259" w:lineRule="auto"/>
        <w:tabs>
          <w:tab w:leader="none" w:pos="1147" w:val="left"/>
        </w:tabs>
        <w:numPr>
          <w:ilvl w:val="0"/>
          <w:numId w:val="334"/>
        </w:numPr>
        <w:rPr>
          <w:rFonts w:ascii="Arial" w:cs="Arial" w:eastAsia="Arial" w:hAnsi="Arial"/>
          <w:sz w:val="18"/>
          <w:szCs w:val="18"/>
          <w:color w:val="auto"/>
        </w:rPr>
      </w:pPr>
      <w:r>
        <w:rPr>
          <w:rFonts w:ascii="Arial" w:cs="Arial" w:eastAsia="Arial" w:hAnsi="Arial"/>
          <w:sz w:val="18"/>
          <w:szCs w:val="18"/>
          <w:color w:val="auto"/>
        </w:rPr>
        <w:t>any gain (or loss), together with any related provision for the Tax Amount on such gain (or loss), realized in connection with: (a) any Asset Sale; or (b) the disposition of any securities by such Person or any of its Restricted Subsidiaries or the extinguishment of any Indebtedness of such Person or any of its Restricted Subsidiaries; and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any extraordinary gain (or loss), together with any related provision for the Tax Amount on such extraordinary gain (or loss).</w:t>
      </w:r>
    </w:p>
    <w:p>
      <w:pPr>
        <w:spacing w:after="0" w:line="171"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Net Loss Proceeds</w:t>
      </w:r>
      <w:r>
        <w:rPr>
          <w:rFonts w:ascii="Arial" w:cs="Arial" w:eastAsia="Arial" w:hAnsi="Arial"/>
          <w:sz w:val="16"/>
          <w:szCs w:val="16"/>
          <w:color w:val="auto"/>
        </w:rPr>
        <w:t>” means the aggregate cash proceeds received by Wynn Las Vegas or any of the Restricted Subsidiaries in respect of any Event of Loss, including, without limitation, insurance proceeds from condemnation awards or damages awarded by any judgment, net of:</w:t>
      </w:r>
    </w:p>
    <w:p>
      <w:pPr>
        <w:spacing w:after="0" w:line="4" w:lineRule="exact"/>
        <w:rPr>
          <w:sz w:val="20"/>
          <w:szCs w:val="20"/>
          <w:color w:val="auto"/>
        </w:rPr>
      </w:pPr>
    </w:p>
    <w:p>
      <w:pPr>
        <w:ind w:left="460" w:right="100" w:firstLine="443"/>
        <w:spacing w:after="0" w:line="268" w:lineRule="auto"/>
        <w:tabs>
          <w:tab w:leader="none" w:pos="1147" w:val="left"/>
        </w:tabs>
        <w:numPr>
          <w:ilvl w:val="0"/>
          <w:numId w:val="335"/>
        </w:numPr>
        <w:rPr>
          <w:rFonts w:ascii="Arial" w:cs="Arial" w:eastAsia="Arial" w:hAnsi="Arial"/>
          <w:sz w:val="18"/>
          <w:szCs w:val="18"/>
          <w:color w:val="auto"/>
        </w:rPr>
      </w:pPr>
      <w:r>
        <w:rPr>
          <w:rFonts w:ascii="Arial" w:cs="Arial" w:eastAsia="Arial" w:hAnsi="Arial"/>
          <w:sz w:val="18"/>
          <w:szCs w:val="18"/>
          <w:color w:val="auto"/>
        </w:rPr>
        <w:t>the direct costs in recovery of such Net Loss Proceeds (including, without limitation, legal, accounting, appraisal and insurance adjuster fees and any relocation expenses incurred as a result thereof),</w:t>
      </w:r>
    </w:p>
    <w:p>
      <w:pPr>
        <w:spacing w:after="0" w:line="50" w:lineRule="exact"/>
        <w:rPr>
          <w:rFonts w:ascii="Arial" w:cs="Arial" w:eastAsia="Arial" w:hAnsi="Arial"/>
          <w:sz w:val="18"/>
          <w:szCs w:val="18"/>
          <w:color w:val="auto"/>
        </w:rPr>
      </w:pPr>
    </w:p>
    <w:p>
      <w:pPr>
        <w:ind w:left="460" w:right="60" w:firstLine="443"/>
        <w:spacing w:after="0" w:line="298" w:lineRule="auto"/>
        <w:tabs>
          <w:tab w:leader="none" w:pos="1147" w:val="left"/>
        </w:tabs>
        <w:numPr>
          <w:ilvl w:val="0"/>
          <w:numId w:val="335"/>
        </w:numPr>
        <w:rPr>
          <w:rFonts w:ascii="Arial" w:cs="Arial" w:eastAsia="Arial" w:hAnsi="Arial"/>
          <w:sz w:val="16"/>
          <w:szCs w:val="16"/>
          <w:color w:val="auto"/>
        </w:rPr>
      </w:pPr>
      <w:r>
        <w:rPr>
          <w:rFonts w:ascii="Arial" w:cs="Arial" w:eastAsia="Arial" w:hAnsi="Arial"/>
          <w:sz w:val="16"/>
          <w:szCs w:val="16"/>
          <w:color w:val="auto"/>
        </w:rPr>
        <w:t>amounts required to be and actually applied to the repayment of Indebtedness (other than Indebtedness that is subordinated in right of payment to the 2020 Notes or the Note Guarantees) permitted under the Indenture that is secured by a Permitted Lien on the asset or assets that were the subject of such Event of Loss that ranks prior to the security interest of the trustee in those assets, after giving effect to any provisions in the Collateral Documents and the Intercreditor Agreement as to the relative ranking of security interests, and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232</w:t>
      </w:r>
    </w:p>
    <w:p>
      <w:pPr>
        <w:sectPr>
          <w:pgSz w:w="11900" w:h="16838" w:orient="portrait"/>
          <w:cols w:equalWidth="0" w:num="1">
            <w:col w:w="11420"/>
          </w:cols>
          <w:pgMar w:left="240" w:top="460" w:right="2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(3) any taxes or Tax Amount paid or payable as a result of the receipt of such cash proceeds.</w:t>
      </w:r>
    </w:p>
    <w:p>
      <w:pPr>
        <w:spacing w:after="0" w:line="171" w:lineRule="exact"/>
        <w:rPr>
          <w:sz w:val="20"/>
          <w:szCs w:val="20"/>
          <w:color w:val="auto"/>
        </w:rPr>
      </w:pPr>
    </w:p>
    <w:p>
      <w:pPr>
        <w:ind w:right="680" w:firstLine="456"/>
        <w:spacing w:after="0" w:line="357"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Net Proceeds</w:t>
      </w:r>
      <w:r>
        <w:rPr>
          <w:rFonts w:ascii="Arial" w:cs="Arial" w:eastAsia="Arial" w:hAnsi="Arial"/>
          <w:sz w:val="15"/>
          <w:szCs w:val="15"/>
          <w:color w:val="auto"/>
        </w:rPr>
        <w:t>” means the aggregate cash proceeds received by Wynn Las Vegas or any of the Restricted Subsidiaries in respect of any Asset Sale (including, without limitation, any cash received upon the sale or other disposition of any non-cash consideration received in any Asset Sale), net of:</w:t>
      </w:r>
    </w:p>
    <w:p>
      <w:pPr>
        <w:ind w:left="460" w:right="120" w:firstLine="443"/>
        <w:spacing w:after="0" w:line="306" w:lineRule="auto"/>
        <w:tabs>
          <w:tab w:leader="none" w:pos="1147" w:val="left"/>
        </w:tabs>
        <w:numPr>
          <w:ilvl w:val="0"/>
          <w:numId w:val="336"/>
        </w:numPr>
        <w:rPr>
          <w:rFonts w:ascii="Arial" w:cs="Arial" w:eastAsia="Arial" w:hAnsi="Arial"/>
          <w:sz w:val="16"/>
          <w:szCs w:val="16"/>
          <w:color w:val="auto"/>
        </w:rPr>
      </w:pPr>
      <w:r>
        <w:rPr>
          <w:rFonts w:ascii="Arial" w:cs="Arial" w:eastAsia="Arial" w:hAnsi="Arial"/>
          <w:sz w:val="16"/>
          <w:szCs w:val="16"/>
          <w:color w:val="auto"/>
        </w:rPr>
        <w:t>the direct costs relating to such Asset Sale, including, without limitation, legal, accounting and investment banking fees, and sales commissions, and any relocation expenses incurred as a result of the Asset Sale and the provision for taxes and the Tax Amount paid or payable as a result of the Asset Sale, in each case, after taking into account any available tax credits or deductions and any tax sharing arrangements,</w:t>
      </w:r>
    </w:p>
    <w:p>
      <w:pPr>
        <w:spacing w:after="0" w:line="25" w:lineRule="exact"/>
        <w:rPr>
          <w:rFonts w:ascii="Arial" w:cs="Arial" w:eastAsia="Arial" w:hAnsi="Arial"/>
          <w:sz w:val="16"/>
          <w:szCs w:val="16"/>
          <w:color w:val="auto"/>
        </w:rPr>
      </w:pPr>
    </w:p>
    <w:p>
      <w:pPr>
        <w:ind w:left="460" w:firstLine="443"/>
        <w:spacing w:after="0" w:line="256" w:lineRule="auto"/>
        <w:tabs>
          <w:tab w:leader="none" w:pos="1147" w:val="left"/>
        </w:tabs>
        <w:numPr>
          <w:ilvl w:val="0"/>
          <w:numId w:val="336"/>
        </w:numPr>
        <w:rPr>
          <w:rFonts w:ascii="Arial" w:cs="Arial" w:eastAsia="Arial" w:hAnsi="Arial"/>
          <w:sz w:val="18"/>
          <w:szCs w:val="18"/>
          <w:color w:val="auto"/>
        </w:rPr>
      </w:pPr>
      <w:r>
        <w:rPr>
          <w:rFonts w:ascii="Arial" w:cs="Arial" w:eastAsia="Arial" w:hAnsi="Arial"/>
          <w:sz w:val="18"/>
          <w:szCs w:val="18"/>
          <w:color w:val="auto"/>
        </w:rPr>
        <w:t>amounts, if any, required to be, and in fact, applied to the prepayment of Indebtedness permitted under the Indenture (other than Indebtedness that is subordinated in right of payment to the 2020 Notes or the Note Guarantees) secured by a Permitted Lien on the asset or assets that were the subject of such Asset Sale that ranks prior to the security interest of the trustee in those assets, after giving effect to any provisions in the Collateral Documents and the Intercreditor Agreement as to the relative ranking of security interests, and</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any reserve for adjustment in respect of the sale price of such asset or assets established in accordance with GAAP.</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Revenues</w:t>
      </w:r>
      <w:r>
        <w:rPr>
          <w:rFonts w:ascii="Arial" w:cs="Arial" w:eastAsia="Arial" w:hAnsi="Arial"/>
          <w:sz w:val="18"/>
          <w:szCs w:val="18"/>
          <w:color w:val="auto"/>
        </w:rPr>
        <w:t>” means, for any period, the net revenues of Wynn Las Vegas and its Restricted Subsidiaries, as set forth on Wynn Las Vegas’ income statement for the relevant period under the line item “net revenues,” calculated in accordance with GAAP and with Regulation S-X under the Securities Act and in a manner consistent with that customarily utilized in the gaming industry.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Nevada Gaming Control Act</w:t>
      </w:r>
      <w:r>
        <w:rPr>
          <w:rFonts w:ascii="Arial" w:cs="Arial" w:eastAsia="Arial" w:hAnsi="Arial"/>
          <w:sz w:val="18"/>
          <w:szCs w:val="18"/>
          <w:color w:val="auto"/>
        </w:rPr>
        <w:t>” means Chapter 463 of the Nevada Revised Statutes.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Non-Recourse Debt</w:t>
      </w:r>
      <w:r>
        <w:rPr>
          <w:rFonts w:ascii="Arial" w:cs="Arial" w:eastAsia="Arial" w:hAnsi="Arial"/>
          <w:sz w:val="18"/>
          <w:szCs w:val="18"/>
          <w:color w:val="auto"/>
        </w:rPr>
        <w:t>” means Indebtedness:</w:t>
      </w:r>
    </w:p>
    <w:p>
      <w:pPr>
        <w:spacing w:after="0" w:line="90" w:lineRule="exact"/>
        <w:rPr>
          <w:sz w:val="20"/>
          <w:szCs w:val="20"/>
          <w:color w:val="auto"/>
        </w:rPr>
      </w:pPr>
    </w:p>
    <w:p>
      <w:pPr>
        <w:ind w:left="460" w:right="260" w:firstLine="443"/>
        <w:spacing w:after="0" w:line="306" w:lineRule="auto"/>
        <w:tabs>
          <w:tab w:leader="none" w:pos="1147" w:val="left"/>
        </w:tabs>
        <w:numPr>
          <w:ilvl w:val="0"/>
          <w:numId w:val="337"/>
        </w:numPr>
        <w:rPr>
          <w:rFonts w:ascii="Arial" w:cs="Arial" w:eastAsia="Arial" w:hAnsi="Arial"/>
          <w:sz w:val="16"/>
          <w:szCs w:val="16"/>
          <w:color w:val="auto"/>
        </w:rPr>
      </w:pPr>
      <w:r>
        <w:rPr>
          <w:rFonts w:ascii="Arial" w:cs="Arial" w:eastAsia="Arial" w:hAnsi="Arial"/>
          <w:sz w:val="16"/>
          <w:szCs w:val="16"/>
          <w:color w:val="auto"/>
        </w:rPr>
        <w:t>as to which neither Wynn Las Vegas nor any of its Restricted Subsidiaries (a) provides credit support of any kind (including any undertaking, agreement or instrument that would constitute Indebtedness) (other than a pledge of the Equity Interests of the Unrestricted Subsidiary that is an obligor with respect to such Indebtedness), (b) is directly or indirectly liable as a guarantor or otherwise, or (c) constitutes the lender;</w:t>
      </w:r>
    </w:p>
    <w:p>
      <w:pPr>
        <w:spacing w:after="0" w:line="25" w:lineRule="exact"/>
        <w:rPr>
          <w:rFonts w:ascii="Arial" w:cs="Arial" w:eastAsia="Arial" w:hAnsi="Arial"/>
          <w:sz w:val="16"/>
          <w:szCs w:val="16"/>
          <w:color w:val="auto"/>
        </w:rPr>
      </w:pPr>
    </w:p>
    <w:p>
      <w:pPr>
        <w:ind w:left="460" w:right="320" w:firstLine="443"/>
        <w:spacing w:after="0" w:line="256" w:lineRule="auto"/>
        <w:tabs>
          <w:tab w:leader="none" w:pos="1147" w:val="left"/>
        </w:tabs>
        <w:numPr>
          <w:ilvl w:val="0"/>
          <w:numId w:val="337"/>
        </w:numPr>
        <w:rPr>
          <w:rFonts w:ascii="Arial" w:cs="Arial" w:eastAsia="Arial" w:hAnsi="Arial"/>
          <w:sz w:val="18"/>
          <w:szCs w:val="18"/>
          <w:color w:val="auto"/>
        </w:rPr>
      </w:pPr>
      <w:r>
        <w:rPr>
          <w:rFonts w:ascii="Arial" w:cs="Arial" w:eastAsia="Arial" w:hAnsi="Arial"/>
          <w:sz w:val="18"/>
          <w:szCs w:val="18"/>
          <w:color w:val="auto"/>
        </w:rPr>
        <w:t>no default with respect to which (including any rights that the holders of the Indebtedness may have to take enforcement action against an Unrestricted Subsidiary, other than the Completion Guarantor) would permit upon notice, lapse of time or both any holder of any other Indebtedness of Wynn Las Vegas or any of its Restricted Subsidiaries to declare a default on such other Indebtedness or cause the payment of the Indebtedness to be accelerated or payable prior to its Stated Maturity; and</w:t>
      </w:r>
    </w:p>
    <w:p>
      <w:pPr>
        <w:spacing w:after="0" w:line="62" w:lineRule="exact"/>
        <w:rPr>
          <w:rFonts w:ascii="Arial" w:cs="Arial" w:eastAsia="Arial" w:hAnsi="Arial"/>
          <w:sz w:val="18"/>
          <w:szCs w:val="18"/>
          <w:color w:val="auto"/>
        </w:rPr>
      </w:pPr>
    </w:p>
    <w:p>
      <w:pPr>
        <w:ind w:left="460" w:right="220" w:firstLine="443"/>
        <w:spacing w:after="0" w:line="259" w:lineRule="auto"/>
        <w:tabs>
          <w:tab w:leader="none" w:pos="1147" w:val="left"/>
        </w:tabs>
        <w:numPr>
          <w:ilvl w:val="0"/>
          <w:numId w:val="337"/>
        </w:numPr>
        <w:rPr>
          <w:rFonts w:ascii="Arial" w:cs="Arial" w:eastAsia="Arial" w:hAnsi="Arial"/>
          <w:sz w:val="18"/>
          <w:szCs w:val="18"/>
          <w:color w:val="auto"/>
        </w:rPr>
      </w:pPr>
      <w:r>
        <w:rPr>
          <w:rFonts w:ascii="Arial" w:cs="Arial" w:eastAsia="Arial" w:hAnsi="Arial"/>
          <w:sz w:val="18"/>
          <w:szCs w:val="18"/>
          <w:color w:val="auto"/>
        </w:rPr>
        <w:t>as to which the lenders have been notified in writing that they will not have any recourse to the stock or assets of Wynn Las Vegas or any of its Restricted Subsidiaries (other than the stock of an Unrestricted Subsidiary pledged by Wynn Las Vegas of one of its Restricted Subsidiaries to secure Indebtedness of the Unrestricted Subsidiary).</w:t>
      </w:r>
    </w:p>
    <w:p>
      <w:pPr>
        <w:spacing w:after="0" w:line="14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Guarantee</w:t>
      </w:r>
      <w:r>
        <w:rPr>
          <w:rFonts w:ascii="Arial" w:cs="Arial" w:eastAsia="Arial" w:hAnsi="Arial"/>
          <w:sz w:val="18"/>
          <w:szCs w:val="18"/>
          <w:color w:val="auto"/>
        </w:rPr>
        <w:t>” means the Guarantee, by each Guarantor of the Issuers’ obligations under the Indenture and the 2020 Notes, executed pursuant to the provisions of the Indenture.</w:t>
      </w:r>
    </w:p>
    <w:p>
      <w:pPr>
        <w:spacing w:after="0" w:line="132"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Obligations</w:t>
      </w:r>
      <w:r>
        <w:rPr>
          <w:rFonts w:ascii="Arial" w:cs="Arial" w:eastAsia="Arial" w:hAnsi="Arial"/>
          <w:sz w:val="16"/>
          <w:szCs w:val="16"/>
          <w:color w:val="auto"/>
        </w:rPr>
        <w:t>” means any principal, interest, penalties, fees, indemnifications, reimbursements, damages and other liabilities payable under the documentation governing any Indebtedness (including, without limitation, interest accruing at the then applicable rate provided in such documentation after the maturity of such Indebtedness and interest accruing at the then applicable rate provided in such documentation after the filing of a</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233</w:t>
      </w:r>
    </w:p>
    <w:p>
      <w:pPr>
        <w:sectPr>
          <w:pgSz w:w="11900" w:h="16838" w:orient="portrait"/>
          <w:cols w:equalWidth="0" w:num="1">
            <w:col w:w="11400"/>
          </w:cols>
          <w:pgMar w:left="240" w:top="459" w:right="25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petition in bankruptcy, or the commencement of any insolvency, reorganization or like proceeding, relating to any debtor under such documentation, whether or not a claim for post-filing or post-petition interest is allowed in such proceeding).</w:t>
      </w:r>
    </w:p>
    <w:p>
      <w:pPr>
        <w:spacing w:after="0" w:line="132"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Pari Passu Debt</w:t>
      </w:r>
      <w:r>
        <w:rPr>
          <w:rFonts w:ascii="Arial" w:cs="Arial" w:eastAsia="Arial" w:hAnsi="Arial"/>
          <w:sz w:val="15"/>
          <w:szCs w:val="15"/>
          <w:color w:val="auto"/>
        </w:rPr>
        <w:t>” means any Indebtedness, other than Indebtedness incurred under the Credit Agreement, that is pari passu with the 2020 Notes containing provisions similar to those set forth in the Indenture with respect to offers to purchase or redeem with the proceeds of sales of assets or Events of Loss.</w:t>
      </w:r>
    </w:p>
    <w:p>
      <w:pPr>
        <w:spacing w:after="0" w:line="6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Pass Through Entity</w:t>
      </w:r>
      <w:r>
        <w:rPr>
          <w:rFonts w:ascii="Arial" w:cs="Arial" w:eastAsia="Arial" w:hAnsi="Arial"/>
          <w:sz w:val="18"/>
          <w:szCs w:val="18"/>
          <w:color w:val="auto"/>
        </w:rPr>
        <w:t>” means any of (1) a grantor trust for United States federal or state income tax purposes or (2) an entity treated as a partnership or a disregarded entity for United States federal or state income tax purposes.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Business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1"/>
          <w:numId w:val="338"/>
        </w:numPr>
        <w:rPr>
          <w:rFonts w:ascii="Arial" w:cs="Arial" w:eastAsia="Arial" w:hAnsi="Arial"/>
          <w:sz w:val="18"/>
          <w:szCs w:val="18"/>
          <w:color w:val="auto"/>
        </w:rPr>
      </w:pPr>
      <w:r>
        <w:rPr>
          <w:rFonts w:ascii="Arial" w:cs="Arial" w:eastAsia="Arial" w:hAnsi="Arial"/>
          <w:sz w:val="18"/>
          <w:szCs w:val="18"/>
          <w:color w:val="auto"/>
        </w:rPr>
        <w:t>the gaming business;</w:t>
      </w:r>
    </w:p>
    <w:p>
      <w:pPr>
        <w:spacing w:after="0" w:line="90" w:lineRule="exact"/>
        <w:rPr>
          <w:rFonts w:ascii="Arial" w:cs="Arial" w:eastAsia="Arial" w:hAnsi="Arial"/>
          <w:sz w:val="18"/>
          <w:szCs w:val="18"/>
          <w:color w:val="auto"/>
        </w:rPr>
      </w:pPr>
    </w:p>
    <w:p>
      <w:pPr>
        <w:ind w:left="460" w:right="440" w:firstLine="443"/>
        <w:spacing w:after="0" w:line="268" w:lineRule="auto"/>
        <w:tabs>
          <w:tab w:leader="none" w:pos="1147" w:val="left"/>
        </w:tabs>
        <w:numPr>
          <w:ilvl w:val="1"/>
          <w:numId w:val="338"/>
        </w:numPr>
        <w:rPr>
          <w:rFonts w:ascii="Arial" w:cs="Arial" w:eastAsia="Arial" w:hAnsi="Arial"/>
          <w:sz w:val="18"/>
          <w:szCs w:val="18"/>
          <w:color w:val="auto"/>
        </w:rPr>
      </w:pPr>
      <w:r>
        <w:rPr>
          <w:rFonts w:ascii="Arial" w:cs="Arial" w:eastAsia="Arial" w:hAnsi="Arial"/>
          <w:sz w:val="18"/>
          <w:szCs w:val="18"/>
          <w:color w:val="auto"/>
        </w:rPr>
        <w:t>all businesses whether or not licensed by a Gaming Authority which are necessary for, incident to, useful to, arising out of, supportive of or connected to the development, ownership or operation of a Gaming Facility;</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338"/>
        </w:numPr>
        <w:rPr>
          <w:rFonts w:ascii="Arial" w:cs="Arial" w:eastAsia="Arial" w:hAnsi="Arial"/>
          <w:sz w:val="16"/>
          <w:szCs w:val="16"/>
          <w:color w:val="auto"/>
        </w:rPr>
      </w:pPr>
      <w:r>
        <w:rPr>
          <w:rFonts w:ascii="Arial" w:cs="Arial" w:eastAsia="Arial" w:hAnsi="Arial"/>
          <w:sz w:val="16"/>
          <w:szCs w:val="16"/>
          <w:color w:val="auto"/>
        </w:rPr>
        <w:t>any development, construction, ownership or operation of lodging (including (i) any timeshare, interval ownership or similar development or</w:t>
      </w:r>
    </w:p>
    <w:p>
      <w:pPr>
        <w:spacing w:after="0" w:line="38" w:lineRule="exact"/>
        <w:rPr>
          <w:rFonts w:ascii="Arial" w:cs="Arial" w:eastAsia="Arial" w:hAnsi="Arial"/>
          <w:sz w:val="16"/>
          <w:szCs w:val="16"/>
          <w:color w:val="auto"/>
        </w:rPr>
      </w:pPr>
    </w:p>
    <w:p>
      <w:pPr>
        <w:ind w:left="460" w:right="180" w:firstLine="4"/>
        <w:spacing w:after="0" w:line="302" w:lineRule="auto"/>
        <w:tabs>
          <w:tab w:leader="none" w:pos="719" w:val="left"/>
        </w:tabs>
        <w:numPr>
          <w:ilvl w:val="0"/>
          <w:numId w:val="339"/>
        </w:numPr>
        <w:rPr>
          <w:rFonts w:ascii="Arial" w:cs="Arial" w:eastAsia="Arial" w:hAnsi="Arial"/>
          <w:sz w:val="16"/>
          <w:szCs w:val="16"/>
          <w:color w:val="auto"/>
        </w:rPr>
      </w:pPr>
      <w:r>
        <w:rPr>
          <w:rFonts w:ascii="Arial" w:cs="Arial" w:eastAsia="Arial" w:hAnsi="Arial"/>
          <w:sz w:val="16"/>
          <w:szCs w:val="16"/>
          <w:color w:val="auto"/>
        </w:rPr>
        <w:t>any condominium or similar development with respect to the Phase III Project), retail and restaurant or convention facilities, sports or entertainment facilities, golf facilities, art gallery facilities, food and beverage distribution operations, transportation services (including operation and chartering of the Aircraft), sales, leasing and repair of automobiles, parking services, or other activities related to the foregoing;</w:t>
      </w:r>
    </w:p>
    <w:p>
      <w:pPr>
        <w:spacing w:after="0" w:line="28" w:lineRule="exact"/>
        <w:rPr>
          <w:rFonts w:ascii="Arial" w:cs="Arial" w:eastAsia="Arial" w:hAnsi="Arial"/>
          <w:sz w:val="16"/>
          <w:szCs w:val="16"/>
          <w:color w:val="auto"/>
        </w:rPr>
      </w:pPr>
    </w:p>
    <w:p>
      <w:pPr>
        <w:ind w:left="460" w:right="80" w:firstLine="443"/>
        <w:spacing w:after="0" w:line="268" w:lineRule="auto"/>
        <w:tabs>
          <w:tab w:leader="none" w:pos="1147" w:val="left"/>
        </w:tabs>
        <w:numPr>
          <w:ilvl w:val="1"/>
          <w:numId w:val="339"/>
        </w:numPr>
        <w:rPr>
          <w:rFonts w:ascii="Arial" w:cs="Arial" w:eastAsia="Arial" w:hAnsi="Arial"/>
          <w:sz w:val="18"/>
          <w:szCs w:val="18"/>
          <w:color w:val="auto"/>
        </w:rPr>
      </w:pPr>
      <w:r>
        <w:rPr>
          <w:rFonts w:ascii="Arial" w:cs="Arial" w:eastAsia="Arial" w:hAnsi="Arial"/>
          <w:sz w:val="18"/>
          <w:szCs w:val="18"/>
          <w:color w:val="auto"/>
        </w:rPr>
        <w:t>any business (including any related and legally permissible internet business) that is a reasonable extension, development or expansion of any of the foregoing;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339"/>
        </w:numPr>
        <w:rPr>
          <w:rFonts w:ascii="Arial" w:cs="Arial" w:eastAsia="Arial" w:hAnsi="Arial"/>
          <w:sz w:val="18"/>
          <w:szCs w:val="18"/>
          <w:color w:val="auto"/>
        </w:rPr>
      </w:pPr>
      <w:r>
        <w:rPr>
          <w:rFonts w:ascii="Arial" w:cs="Arial" w:eastAsia="Arial" w:hAnsi="Arial"/>
          <w:sz w:val="18"/>
          <w:szCs w:val="18"/>
          <w:color w:val="auto"/>
        </w:rPr>
        <w:t>the ownership by a Person of Capital Stock in its direct Wholly Owned Subsidiaries.</w:t>
      </w:r>
    </w:p>
    <w:p>
      <w:pPr>
        <w:spacing w:after="0" w:line="171"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C-Corp. Conversion</w:t>
      </w:r>
      <w:r>
        <w:rPr>
          <w:rFonts w:ascii="Arial" w:cs="Arial" w:eastAsia="Arial" w:hAnsi="Arial"/>
          <w:sz w:val="18"/>
          <w:szCs w:val="18"/>
          <w:color w:val="auto"/>
        </w:rPr>
        <w:t>” means a transaction resulting in Wynn Las Vegas, the Completion Guarantor or any of the Restricted Subsidiaries becoming a subchapter “C” corporation under the Code, so long as, in connection with such transaction:</w:t>
      </w:r>
    </w:p>
    <w:p>
      <w:pPr>
        <w:spacing w:after="0" w:line="51" w:lineRule="exact"/>
        <w:rPr>
          <w:sz w:val="20"/>
          <w:szCs w:val="20"/>
          <w:color w:val="auto"/>
        </w:rPr>
      </w:pPr>
    </w:p>
    <w:p>
      <w:pPr>
        <w:ind w:left="460" w:firstLine="443"/>
        <w:spacing w:after="0" w:line="306" w:lineRule="auto"/>
        <w:tabs>
          <w:tab w:leader="none" w:pos="1147" w:val="left"/>
        </w:tabs>
        <w:numPr>
          <w:ilvl w:val="1"/>
          <w:numId w:val="340"/>
        </w:numPr>
        <w:rPr>
          <w:rFonts w:ascii="Arial" w:cs="Arial" w:eastAsia="Arial" w:hAnsi="Arial"/>
          <w:sz w:val="16"/>
          <w:szCs w:val="16"/>
          <w:color w:val="auto"/>
        </w:rPr>
      </w:pPr>
      <w:r>
        <w:rPr>
          <w:rFonts w:ascii="Arial" w:cs="Arial" w:eastAsia="Arial" w:hAnsi="Arial"/>
          <w:sz w:val="16"/>
          <w:szCs w:val="16"/>
          <w:color w:val="auto"/>
        </w:rPr>
        <w:t>the subchapter “C” corporation resulting from such transaction is a corporation organized and existing under the laws of any state of the United States or the District of Columbia and the Beneficial Owners of the Equity Interests of the subchapter “C” corporation shall be the same, and shall be in the same percentages, as the Beneficial Owners of Equity Interests of the applicable entity immediately prior to such transaction;</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1"/>
          <w:numId w:val="340"/>
        </w:numPr>
        <w:rPr>
          <w:rFonts w:ascii="Arial" w:cs="Arial" w:eastAsia="Arial" w:hAnsi="Arial"/>
          <w:sz w:val="16"/>
          <w:szCs w:val="16"/>
          <w:color w:val="auto"/>
        </w:rPr>
      </w:pPr>
      <w:r>
        <w:rPr>
          <w:rFonts w:ascii="Arial" w:cs="Arial" w:eastAsia="Arial" w:hAnsi="Arial"/>
          <w:sz w:val="16"/>
          <w:szCs w:val="16"/>
          <w:color w:val="auto"/>
        </w:rPr>
        <w:t>the subchapter “C” corporation resulting from such transaction assumes in writing all of the obligations, if any, of the applicable entity under</w:t>
      </w:r>
    </w:p>
    <w:p>
      <w:pPr>
        <w:spacing w:after="0" w:line="38" w:lineRule="exact"/>
        <w:rPr>
          <w:rFonts w:ascii="Arial" w:cs="Arial" w:eastAsia="Arial" w:hAnsi="Arial"/>
          <w:sz w:val="16"/>
          <w:szCs w:val="16"/>
          <w:color w:val="auto"/>
        </w:rPr>
      </w:pPr>
    </w:p>
    <w:p>
      <w:pPr>
        <w:ind w:left="460" w:right="320" w:firstLine="4"/>
        <w:spacing w:after="0" w:line="255" w:lineRule="auto"/>
        <w:tabs>
          <w:tab w:leader="none" w:pos="699"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the Indenture, the 2020 Notes, the Note Guarantees by the Guarantors and the Collateral Documents and (b) all other documents and instruments to which such Person is a party (other than, in the case of clause (a) only, any documents and instruments that, individually or in the aggregate, are not material to the subchapter “C” corporation);</w:t>
      </w:r>
    </w:p>
    <w:p>
      <w:pPr>
        <w:spacing w:after="0" w:line="63" w:lineRule="exact"/>
        <w:rPr>
          <w:rFonts w:ascii="Arial" w:cs="Arial" w:eastAsia="Arial" w:hAnsi="Arial"/>
          <w:sz w:val="18"/>
          <w:szCs w:val="18"/>
          <w:color w:val="auto"/>
        </w:rPr>
      </w:pPr>
    </w:p>
    <w:p>
      <w:pPr>
        <w:ind w:left="460" w:firstLine="443"/>
        <w:spacing w:after="0" w:line="259" w:lineRule="auto"/>
        <w:tabs>
          <w:tab w:leader="none" w:pos="1147" w:val="left"/>
        </w:tabs>
        <w:numPr>
          <w:ilvl w:val="1"/>
          <w:numId w:val="341"/>
        </w:numPr>
        <w:rPr>
          <w:rFonts w:ascii="Arial" w:cs="Arial" w:eastAsia="Arial" w:hAnsi="Arial"/>
          <w:sz w:val="18"/>
          <w:szCs w:val="18"/>
          <w:color w:val="auto"/>
        </w:rPr>
      </w:pPr>
      <w:r>
        <w:rPr>
          <w:rFonts w:ascii="Arial" w:cs="Arial" w:eastAsia="Arial" w:hAnsi="Arial"/>
          <w:sz w:val="18"/>
          <w:szCs w:val="18"/>
          <w:color w:val="auto"/>
        </w:rPr>
        <w:t>the subchapter “C” corporation resulting from such transaction complies with the covenant described above under the caption “—Certain Covenants—Additional Collateral; Formation or Acquisition of Restricted Subsidiaries; Designation of Unrestricted Subsidiaries as Restricted Subsidiaries or Permitted C-Corp. Conversion”;</w:t>
      </w:r>
    </w:p>
    <w:p>
      <w:pPr>
        <w:spacing w:after="0" w:line="59" w:lineRule="exact"/>
        <w:rPr>
          <w:rFonts w:ascii="Arial" w:cs="Arial" w:eastAsia="Arial" w:hAnsi="Arial"/>
          <w:sz w:val="18"/>
          <w:szCs w:val="18"/>
          <w:color w:val="auto"/>
        </w:rPr>
      </w:pPr>
    </w:p>
    <w:p>
      <w:pPr>
        <w:ind w:left="460" w:right="80" w:firstLine="443"/>
        <w:spacing w:after="0" w:line="259" w:lineRule="auto"/>
        <w:tabs>
          <w:tab w:leader="none" w:pos="1147" w:val="left"/>
        </w:tabs>
        <w:numPr>
          <w:ilvl w:val="1"/>
          <w:numId w:val="341"/>
        </w:numPr>
        <w:rPr>
          <w:rFonts w:ascii="Arial" w:cs="Arial" w:eastAsia="Arial" w:hAnsi="Arial"/>
          <w:sz w:val="18"/>
          <w:szCs w:val="18"/>
          <w:color w:val="auto"/>
        </w:rPr>
      </w:pPr>
      <w:r>
        <w:rPr>
          <w:rFonts w:ascii="Arial" w:cs="Arial" w:eastAsia="Arial" w:hAnsi="Arial"/>
          <w:sz w:val="18"/>
          <w:szCs w:val="18"/>
          <w:color w:val="auto"/>
        </w:rPr>
        <w:t>the trustee is given not less than 45 days’ advance written notice of such transaction and evidence satisfactory to the trustee (including, without limitation, title insurance and a satisfactory opinion of counsel) regarding the maintenance of the perfection and priority of liens granted, or intended to be granted, in favor of the trustee in the Collateral following such transaction;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234</w:t>
      </w:r>
    </w:p>
    <w:p>
      <w:pPr>
        <w:sectPr>
          <w:pgSz w:w="11900" w:h="16838" w:orient="portrait"/>
          <w:cols w:equalWidth="0" w:num="1">
            <w:col w:w="11380"/>
          </w:cols>
          <w:pgMar w:left="240" w:top="460" w:right="27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such transaction would not cause or result in a Default or an Event of Default;</w:t>
      </w:r>
    </w:p>
    <w:p>
      <w:pPr>
        <w:spacing w:after="0" w:line="90"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0"/>
          <w:numId w:val="342"/>
        </w:numPr>
        <w:rPr>
          <w:rFonts w:ascii="Arial" w:cs="Arial" w:eastAsia="Arial" w:hAnsi="Arial"/>
          <w:sz w:val="18"/>
          <w:szCs w:val="18"/>
          <w:color w:val="auto"/>
        </w:rPr>
      </w:pPr>
      <w:r>
        <w:rPr>
          <w:rFonts w:ascii="Arial" w:cs="Arial" w:eastAsia="Arial" w:hAnsi="Arial"/>
          <w:sz w:val="18"/>
          <w:szCs w:val="18"/>
          <w:color w:val="auto"/>
        </w:rPr>
        <w:t>such transaction does not result in the loss or suspension or material impairment of any Gaming License unless a comparable Gaming License is effective prior to or simultaneously with such loss, suspension or material impairment;</w:t>
      </w:r>
    </w:p>
    <w:p>
      <w:pPr>
        <w:spacing w:after="0" w:line="50" w:lineRule="exact"/>
        <w:rPr>
          <w:rFonts w:ascii="Arial" w:cs="Arial" w:eastAsia="Arial" w:hAnsi="Arial"/>
          <w:sz w:val="18"/>
          <w:szCs w:val="18"/>
          <w:color w:val="auto"/>
        </w:rPr>
      </w:pPr>
    </w:p>
    <w:p>
      <w:pPr>
        <w:ind w:left="460" w:right="100" w:firstLine="443"/>
        <w:spacing w:after="0" w:line="268" w:lineRule="auto"/>
        <w:tabs>
          <w:tab w:leader="none" w:pos="1147" w:val="left"/>
        </w:tabs>
        <w:numPr>
          <w:ilvl w:val="0"/>
          <w:numId w:val="342"/>
        </w:numPr>
        <w:rPr>
          <w:rFonts w:ascii="Arial" w:cs="Arial" w:eastAsia="Arial" w:hAnsi="Arial"/>
          <w:sz w:val="18"/>
          <w:szCs w:val="18"/>
          <w:color w:val="auto"/>
        </w:rPr>
      </w:pPr>
      <w:r>
        <w:rPr>
          <w:rFonts w:ascii="Arial" w:cs="Arial" w:eastAsia="Arial" w:hAnsi="Arial"/>
          <w:sz w:val="18"/>
          <w:szCs w:val="18"/>
          <w:color w:val="auto"/>
        </w:rPr>
        <w:t>such transaction does not require any holder or Beneficial Owner of the 2020 Notes to obtain a Gaming License or be qualified or found suitable under the laws of any applicable gaming jurisdiction;</w:t>
      </w:r>
    </w:p>
    <w:p>
      <w:pPr>
        <w:spacing w:after="0" w:line="50" w:lineRule="exact"/>
        <w:rPr>
          <w:rFonts w:ascii="Arial" w:cs="Arial" w:eastAsia="Arial" w:hAnsi="Arial"/>
          <w:sz w:val="18"/>
          <w:szCs w:val="18"/>
          <w:color w:val="auto"/>
        </w:rPr>
      </w:pPr>
    </w:p>
    <w:p>
      <w:pPr>
        <w:ind w:left="460" w:right="400" w:firstLine="443"/>
        <w:spacing w:after="0" w:line="306" w:lineRule="auto"/>
        <w:tabs>
          <w:tab w:leader="none" w:pos="1147" w:val="left"/>
        </w:tabs>
        <w:numPr>
          <w:ilvl w:val="0"/>
          <w:numId w:val="342"/>
        </w:numPr>
        <w:rPr>
          <w:rFonts w:ascii="Arial" w:cs="Arial" w:eastAsia="Arial" w:hAnsi="Arial"/>
          <w:sz w:val="16"/>
          <w:szCs w:val="16"/>
          <w:color w:val="auto"/>
        </w:rPr>
      </w:pPr>
      <w:r>
        <w:rPr>
          <w:rFonts w:ascii="Arial" w:cs="Arial" w:eastAsia="Arial" w:hAnsi="Arial"/>
          <w:sz w:val="16"/>
          <w:szCs w:val="16"/>
          <w:color w:val="auto"/>
        </w:rPr>
        <w:t>Wynn Las Vegas shall have delivered to the trustee an opinion of counsel of national repute in the United States reasonably acceptable to the trustee confirming that neither Issuer, nor any Restricted Subsidiary, nor any Guarantor nor any of the Holders will recognize income, gain or loss for United States federal or state income tax purposes as a result of such Permitted C-Corp. Conversion; and</w:t>
      </w:r>
    </w:p>
    <w:p>
      <w:pPr>
        <w:spacing w:after="0" w:line="25" w:lineRule="exact"/>
        <w:rPr>
          <w:rFonts w:ascii="Arial" w:cs="Arial" w:eastAsia="Arial" w:hAnsi="Arial"/>
          <w:sz w:val="16"/>
          <w:szCs w:val="16"/>
          <w:color w:val="auto"/>
        </w:rPr>
      </w:pPr>
    </w:p>
    <w:p>
      <w:pPr>
        <w:ind w:left="460" w:right="60" w:firstLine="443"/>
        <w:spacing w:after="0" w:line="268" w:lineRule="auto"/>
        <w:tabs>
          <w:tab w:leader="none" w:pos="1147" w:val="left"/>
        </w:tabs>
        <w:numPr>
          <w:ilvl w:val="0"/>
          <w:numId w:val="342"/>
        </w:numPr>
        <w:rPr>
          <w:rFonts w:ascii="Arial" w:cs="Arial" w:eastAsia="Arial" w:hAnsi="Arial"/>
          <w:sz w:val="18"/>
          <w:szCs w:val="18"/>
          <w:color w:val="auto"/>
        </w:rPr>
      </w:pPr>
      <w:r>
        <w:rPr>
          <w:rFonts w:ascii="Arial" w:cs="Arial" w:eastAsia="Arial" w:hAnsi="Arial"/>
          <w:sz w:val="18"/>
          <w:szCs w:val="18"/>
          <w:color w:val="auto"/>
        </w:rPr>
        <w:t>Wynn Las Vegas shall have delivered to the trustee a certificate of the chief financial officer of Wynn Las Vegas confirming that the conditions in clauses (1) through (8) have been satisfied.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Investments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any Investment by any entity in Wynn Las Vegas or in a Wholly Owned Restricted Subsidiary of Wynn Las Vegas;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any Investment in Cash Equivalents;</w:t>
      </w:r>
    </w:p>
    <w:p>
      <w:pPr>
        <w:spacing w:after="0" w:line="90" w:lineRule="exact"/>
        <w:rPr>
          <w:rFonts w:ascii="Arial" w:cs="Arial" w:eastAsia="Arial" w:hAnsi="Arial"/>
          <w:sz w:val="18"/>
          <w:szCs w:val="18"/>
          <w:color w:val="auto"/>
        </w:rPr>
      </w:pPr>
    </w:p>
    <w:p>
      <w:pPr>
        <w:ind w:left="460" w:right="360" w:firstLine="443"/>
        <w:spacing w:after="0" w:line="332" w:lineRule="auto"/>
        <w:tabs>
          <w:tab w:leader="none" w:pos="1147" w:val="left"/>
        </w:tabs>
        <w:numPr>
          <w:ilvl w:val="0"/>
          <w:numId w:val="343"/>
        </w:numPr>
        <w:rPr>
          <w:rFonts w:ascii="Arial" w:cs="Arial" w:eastAsia="Arial" w:hAnsi="Arial"/>
          <w:sz w:val="16"/>
          <w:szCs w:val="16"/>
          <w:color w:val="auto"/>
        </w:rPr>
      </w:pPr>
      <w:r>
        <w:rPr>
          <w:rFonts w:ascii="Arial" w:cs="Arial" w:eastAsia="Arial" w:hAnsi="Arial"/>
          <w:sz w:val="16"/>
          <w:szCs w:val="16"/>
          <w:color w:val="auto"/>
        </w:rPr>
        <w:t>any Investment by Wynn Las Vegas or any Restricted Subsidiary in a Person that is engaged in a Permitted Business and that is evidenced by Capital Stock or intercompany notes that are pledged to the trustee as Primary Note Collateral, if as a result of such Investment:</w:t>
      </w:r>
    </w:p>
    <w:p>
      <w:pPr>
        <w:spacing w:after="0" w:line="4" w:lineRule="exact"/>
        <w:rPr>
          <w:rFonts w:ascii="Arial" w:cs="Arial" w:eastAsia="Arial" w:hAnsi="Arial"/>
          <w:sz w:val="16"/>
          <w:szCs w:val="16"/>
          <w:color w:val="auto"/>
        </w:rPr>
      </w:pPr>
    </w:p>
    <w:p>
      <w:pPr>
        <w:ind w:left="1580" w:hanging="239"/>
        <w:spacing w:after="0"/>
        <w:tabs>
          <w:tab w:leader="none" w:pos="1580" w:val="left"/>
        </w:tabs>
        <w:numPr>
          <w:ilvl w:val="1"/>
          <w:numId w:val="343"/>
        </w:numPr>
        <w:rPr>
          <w:rFonts w:ascii="Arial" w:cs="Arial" w:eastAsia="Arial" w:hAnsi="Arial"/>
          <w:sz w:val="18"/>
          <w:szCs w:val="18"/>
          <w:color w:val="auto"/>
        </w:rPr>
      </w:pPr>
      <w:r>
        <w:rPr>
          <w:rFonts w:ascii="Arial" w:cs="Arial" w:eastAsia="Arial" w:hAnsi="Arial"/>
          <w:sz w:val="18"/>
          <w:szCs w:val="18"/>
          <w:color w:val="auto"/>
        </w:rPr>
        <w:t>such Person becomes a Wholly Owned Restricted Subsidiary of Wynn Las Vegas; or</w:t>
      </w:r>
    </w:p>
    <w:p>
      <w:pPr>
        <w:spacing w:after="0" w:line="90" w:lineRule="exact"/>
        <w:rPr>
          <w:rFonts w:ascii="Arial" w:cs="Arial" w:eastAsia="Arial" w:hAnsi="Arial"/>
          <w:sz w:val="18"/>
          <w:szCs w:val="18"/>
          <w:color w:val="auto"/>
        </w:rPr>
      </w:pPr>
    </w:p>
    <w:p>
      <w:pPr>
        <w:ind w:left="920" w:right="20" w:firstLine="421"/>
        <w:spacing w:after="0" w:line="306" w:lineRule="auto"/>
        <w:tabs>
          <w:tab w:leader="none" w:pos="1588" w:val="left"/>
        </w:tabs>
        <w:numPr>
          <w:ilvl w:val="1"/>
          <w:numId w:val="343"/>
        </w:numPr>
        <w:rPr>
          <w:rFonts w:ascii="Arial" w:cs="Arial" w:eastAsia="Arial" w:hAnsi="Arial"/>
          <w:sz w:val="16"/>
          <w:szCs w:val="16"/>
          <w:color w:val="auto"/>
        </w:rPr>
      </w:pPr>
      <w:r>
        <w:rPr>
          <w:rFonts w:ascii="Arial" w:cs="Arial" w:eastAsia="Arial" w:hAnsi="Arial"/>
          <w:sz w:val="16"/>
          <w:szCs w:val="16"/>
          <w:color w:val="auto"/>
        </w:rPr>
        <w:t>such Person is merged, consolidated or amalgamated with or into, or transfers or conveys all or substantially all of its assets to, or is liquidated into, Wynn Las Vegas or a Wholly Owned Restricted Subsidiary of Wynn Las Vegas, and such Investment complies with the provisions of the covenant described above under the caption “—Certain Covenants—Merger, Consolidation or Sale of Assets,” if applicable;</w:t>
      </w:r>
    </w:p>
    <w:p>
      <w:pPr>
        <w:spacing w:after="0" w:line="25" w:lineRule="exact"/>
        <w:rPr>
          <w:rFonts w:ascii="Arial" w:cs="Arial" w:eastAsia="Arial" w:hAnsi="Arial"/>
          <w:sz w:val="16"/>
          <w:szCs w:val="16"/>
          <w:color w:val="auto"/>
        </w:rPr>
      </w:pPr>
    </w:p>
    <w:p>
      <w:pPr>
        <w:jc w:val="both"/>
        <w:ind w:left="460" w:right="40" w:firstLine="443"/>
        <w:spacing w:after="0" w:line="259" w:lineRule="auto"/>
        <w:tabs>
          <w:tab w:leader="none" w:pos="1147" w:val="left"/>
        </w:tabs>
        <w:numPr>
          <w:ilvl w:val="0"/>
          <w:numId w:val="343"/>
        </w:numPr>
        <w:rPr>
          <w:rFonts w:ascii="Arial" w:cs="Arial" w:eastAsia="Arial" w:hAnsi="Arial"/>
          <w:sz w:val="18"/>
          <w:szCs w:val="18"/>
          <w:color w:val="auto"/>
        </w:rPr>
      </w:pPr>
      <w:r>
        <w:rPr>
          <w:rFonts w:ascii="Arial" w:cs="Arial" w:eastAsia="Arial" w:hAnsi="Arial"/>
          <w:sz w:val="18"/>
          <w:szCs w:val="18"/>
          <w:color w:val="auto"/>
        </w:rPr>
        <w:t>any Investment made as a result of the receipt of non-cash consideration from (i) a Permitted Disposition or (ii) an Asset Sale or an Event of Loss of the type contemplated by clause (3) of the definition of “Event of Loss” that was made pursuant to and in compliance with the covenant described above under the captions “—Repurchase at the Option of Holders—Asset Sales” or “—Events of Loss”;</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any Investment solely in exchange for Equity Interests (other than Disqualified Stock) of Wynn Resorts;</w:t>
      </w:r>
    </w:p>
    <w:p>
      <w:pPr>
        <w:spacing w:after="0" w:line="90" w:lineRule="exact"/>
        <w:rPr>
          <w:rFonts w:ascii="Arial" w:cs="Arial" w:eastAsia="Arial" w:hAnsi="Arial"/>
          <w:sz w:val="18"/>
          <w:szCs w:val="18"/>
          <w:color w:val="auto"/>
        </w:rPr>
      </w:pPr>
    </w:p>
    <w:p>
      <w:pPr>
        <w:ind w:left="460" w:firstLine="443"/>
        <w:spacing w:after="0" w:line="306" w:lineRule="auto"/>
        <w:tabs>
          <w:tab w:leader="none" w:pos="1147" w:val="left"/>
        </w:tabs>
        <w:numPr>
          <w:ilvl w:val="0"/>
          <w:numId w:val="343"/>
        </w:numPr>
        <w:rPr>
          <w:rFonts w:ascii="Arial" w:cs="Arial" w:eastAsia="Arial" w:hAnsi="Arial"/>
          <w:sz w:val="16"/>
          <w:szCs w:val="16"/>
          <w:color w:val="auto"/>
        </w:rPr>
      </w:pPr>
      <w:r>
        <w:rPr>
          <w:rFonts w:ascii="Arial" w:cs="Arial" w:eastAsia="Arial" w:hAnsi="Arial"/>
          <w:sz w:val="16"/>
          <w:szCs w:val="16"/>
          <w:color w:val="auto"/>
        </w:rPr>
        <w:t>to the extent constituting an Investment, any extensions of trade credit in the ordinary course of business and Investments received in compromise or settlement of obligations of trade creditors or customers that were incurred in the ordinary course of business, including pursuant to any plan of reorganization or similar arrangement upon the bankruptcy or insolvency of any trade creditor or customer;</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any Investment in Hedging Obligations;</w:t>
      </w:r>
    </w:p>
    <w:p>
      <w:pPr>
        <w:spacing w:after="0" w:line="90" w:lineRule="exact"/>
        <w:rPr>
          <w:rFonts w:ascii="Arial" w:cs="Arial" w:eastAsia="Arial" w:hAnsi="Arial"/>
          <w:sz w:val="18"/>
          <w:szCs w:val="18"/>
          <w:color w:val="auto"/>
        </w:rPr>
      </w:pPr>
    </w:p>
    <w:p>
      <w:pPr>
        <w:ind w:left="460" w:right="40" w:firstLine="443"/>
        <w:spacing w:after="0" w:line="259" w:lineRule="auto"/>
        <w:tabs>
          <w:tab w:leader="none" w:pos="1147" w:val="left"/>
        </w:tabs>
        <w:numPr>
          <w:ilvl w:val="0"/>
          <w:numId w:val="343"/>
        </w:numPr>
        <w:rPr>
          <w:rFonts w:ascii="Arial" w:cs="Arial" w:eastAsia="Arial" w:hAnsi="Arial"/>
          <w:sz w:val="18"/>
          <w:szCs w:val="18"/>
          <w:color w:val="auto"/>
        </w:rPr>
      </w:pPr>
      <w:r>
        <w:rPr>
          <w:rFonts w:ascii="Arial" w:cs="Arial" w:eastAsia="Arial" w:hAnsi="Arial"/>
          <w:sz w:val="18"/>
          <w:szCs w:val="18"/>
          <w:color w:val="auto"/>
        </w:rPr>
        <w:t>to the extent constituting an Investment, licenses of patents, trademarks and other intellectual property rights granted by Wynn Las Vegas or any of its Restricted Subsidiaries in the ordinary course of business and not interfering in any material respect with the ordinary conduct of the business of such Person;</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to the extent constituting an Investment, repurchases of the 2020 Notes;</w:t>
      </w:r>
    </w:p>
    <w:p>
      <w:pPr>
        <w:spacing w:after="0" w:line="90" w:lineRule="exact"/>
        <w:rPr>
          <w:rFonts w:ascii="Arial" w:cs="Arial" w:eastAsia="Arial" w:hAnsi="Arial"/>
          <w:sz w:val="18"/>
          <w:szCs w:val="18"/>
          <w:color w:val="auto"/>
        </w:rPr>
      </w:pPr>
    </w:p>
    <w:p>
      <w:pPr>
        <w:ind w:left="1240" w:hanging="337"/>
        <w:spacing w:after="0"/>
        <w:tabs>
          <w:tab w:leader="none" w:pos="124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235</w:t>
      </w:r>
    </w:p>
    <w:p>
      <w:pPr>
        <w:sectPr>
          <w:pgSz w:w="11900" w:h="16838" w:orient="portrait"/>
          <w:cols w:equalWidth="0" w:num="1">
            <w:col w:w="11420"/>
          </w:cols>
          <w:pgMar w:left="240" w:top="460" w:right="2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332" w:lineRule="auto"/>
        <w:tabs>
          <w:tab w:leader="none" w:pos="1228" w:val="left"/>
        </w:tabs>
        <w:numPr>
          <w:ilvl w:val="0"/>
          <w:numId w:val="344"/>
        </w:numPr>
        <w:rPr>
          <w:rFonts w:ascii="Arial" w:cs="Arial" w:eastAsia="Arial" w:hAnsi="Arial"/>
          <w:sz w:val="16"/>
          <w:szCs w:val="16"/>
          <w:color w:val="auto"/>
        </w:rPr>
      </w:pPr>
      <w:r>
        <w:rPr>
          <w:rFonts w:ascii="Arial" w:cs="Arial" w:eastAsia="Arial" w:hAnsi="Arial"/>
          <w:sz w:val="16"/>
          <w:szCs w:val="16"/>
          <w:color w:val="auto"/>
        </w:rPr>
        <w:t>Investments held by a Person in a third Person at the time such Person is acquired by Wynn Las Vegas or any Restricted Subsidiary of Wynn Las Vegas; provided that such Investments were not acquired in contemplation of such acquisition by Wynn Las Vegas or such Restricted Subsidiary;</w:t>
      </w:r>
    </w:p>
    <w:p>
      <w:pPr>
        <w:spacing w:after="0" w:line="4" w:lineRule="exact"/>
        <w:rPr>
          <w:rFonts w:ascii="Arial" w:cs="Arial" w:eastAsia="Arial" w:hAnsi="Arial"/>
          <w:sz w:val="16"/>
          <w:szCs w:val="16"/>
          <w:color w:val="auto"/>
        </w:rPr>
      </w:pPr>
    </w:p>
    <w:p>
      <w:pPr>
        <w:ind w:left="460" w:right="460" w:firstLine="443"/>
        <w:spacing w:after="0" w:line="268" w:lineRule="auto"/>
        <w:tabs>
          <w:tab w:leader="none" w:pos="1235" w:val="left"/>
        </w:tabs>
        <w:numPr>
          <w:ilvl w:val="0"/>
          <w:numId w:val="344"/>
        </w:numPr>
        <w:rPr>
          <w:rFonts w:ascii="Arial" w:cs="Arial" w:eastAsia="Arial" w:hAnsi="Arial"/>
          <w:sz w:val="18"/>
          <w:szCs w:val="18"/>
          <w:color w:val="auto"/>
        </w:rPr>
      </w:pPr>
      <w:r>
        <w:rPr>
          <w:rFonts w:ascii="Arial" w:cs="Arial" w:eastAsia="Arial" w:hAnsi="Arial"/>
          <w:sz w:val="18"/>
          <w:szCs w:val="18"/>
          <w:color w:val="auto"/>
        </w:rPr>
        <w:t>loans or advances to employees of Wynn Las Vegas or its Restricted Subsidiaries (other than the Principal) made in the ordinary course of business not exceeding $5.0 million in the aggregate outstanding at any time;</w:t>
      </w:r>
    </w:p>
    <w:p>
      <w:pPr>
        <w:spacing w:after="0" w:line="50" w:lineRule="exact"/>
        <w:rPr>
          <w:rFonts w:ascii="Arial" w:cs="Arial" w:eastAsia="Arial" w:hAnsi="Arial"/>
          <w:sz w:val="18"/>
          <w:szCs w:val="18"/>
          <w:color w:val="auto"/>
        </w:rPr>
      </w:pPr>
    </w:p>
    <w:p>
      <w:pPr>
        <w:ind w:left="460" w:right="320" w:firstLine="443"/>
        <w:spacing w:after="0" w:line="332" w:lineRule="auto"/>
        <w:tabs>
          <w:tab w:leader="none" w:pos="1235" w:val="left"/>
        </w:tabs>
        <w:numPr>
          <w:ilvl w:val="0"/>
          <w:numId w:val="344"/>
        </w:numPr>
        <w:rPr>
          <w:rFonts w:ascii="Arial" w:cs="Arial" w:eastAsia="Arial" w:hAnsi="Arial"/>
          <w:sz w:val="16"/>
          <w:szCs w:val="16"/>
          <w:color w:val="auto"/>
        </w:rPr>
      </w:pPr>
      <w:r>
        <w:rPr>
          <w:rFonts w:ascii="Arial" w:cs="Arial" w:eastAsia="Arial" w:hAnsi="Arial"/>
          <w:sz w:val="16"/>
          <w:szCs w:val="16"/>
          <w:color w:val="auto"/>
        </w:rPr>
        <w:t>to the extent constituting Investments, payroll, travel and similar advances to cover matters that at the time of such advances are expected to ultimately be treated as expenses for accounting purposes and that are made in the ordinary course of business; and</w:t>
      </w:r>
    </w:p>
    <w:p>
      <w:pPr>
        <w:spacing w:after="0" w:line="4" w:lineRule="exact"/>
        <w:rPr>
          <w:rFonts w:ascii="Arial" w:cs="Arial" w:eastAsia="Arial" w:hAnsi="Arial"/>
          <w:sz w:val="16"/>
          <w:szCs w:val="16"/>
          <w:color w:val="auto"/>
        </w:rPr>
      </w:pPr>
    </w:p>
    <w:p>
      <w:pPr>
        <w:ind w:left="460" w:right="120" w:firstLine="443"/>
        <w:spacing w:after="0" w:line="294" w:lineRule="auto"/>
        <w:tabs>
          <w:tab w:leader="none" w:pos="1235" w:val="left"/>
        </w:tabs>
        <w:numPr>
          <w:ilvl w:val="0"/>
          <w:numId w:val="344"/>
        </w:numPr>
        <w:rPr>
          <w:rFonts w:ascii="Arial" w:cs="Arial" w:eastAsia="Arial" w:hAnsi="Arial"/>
          <w:sz w:val="16"/>
          <w:szCs w:val="16"/>
          <w:color w:val="auto"/>
        </w:rPr>
      </w:pPr>
      <w:r>
        <w:rPr>
          <w:rFonts w:ascii="Arial" w:cs="Arial" w:eastAsia="Arial" w:hAnsi="Arial"/>
          <w:sz w:val="16"/>
          <w:szCs w:val="16"/>
          <w:color w:val="auto"/>
        </w:rPr>
        <w:t>the assignment of gaming debts evidenced by a credit instrument, including what are commonly referred to as “markers,” to an Affiliate of Wynn Las Vegas for the purpose of collecting amounts outstanding under such gaming debts or “markers” due to Wynn Las Vegas thereunder; provided, however, that any Affiliate receiving any such assignment enters into a binding agreement to pay all amounts so collected back to Wynn Las Vegas within 30 days of receipt of payment of such collected amounts; provided, further, that any such Affiliate is not, at the time of any such assignment, in default of its obligations under any such binding agreement previously delivered with respect to any such assignment.</w:t>
      </w:r>
    </w:p>
    <w:p>
      <w:pPr>
        <w:spacing w:after="0" w:line="1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Junior Debt</w:t>
      </w:r>
      <w:r>
        <w:rPr>
          <w:rFonts w:ascii="Arial" w:cs="Arial" w:eastAsia="Arial" w:hAnsi="Arial"/>
          <w:sz w:val="18"/>
          <w:szCs w:val="18"/>
          <w:color w:val="auto"/>
        </w:rPr>
        <w:t>” means any secured Indebtedness, which is either subordinated in right of payment to the 2020 Notes or is secured by Liens with a lower priority than the Liens securing the 2020 Notes, with respect to which the agent, trustee or other representatives of the lenders or the holders of such Indebtedness shall have become a party to the Intercreditor Agreement and which shall be subject to restrictions and the terms applicable to the holders of “junior debt” (as such term is defined in the Intercreditor Agreement).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w:t>
      </w:r>
    </w:p>
    <w:p>
      <w:pPr>
        <w:spacing w:after="0" w:line="90" w:lineRule="exact"/>
        <w:rPr>
          <w:sz w:val="20"/>
          <w:szCs w:val="20"/>
          <w:color w:val="auto"/>
        </w:rPr>
      </w:pPr>
    </w:p>
    <w:p>
      <w:pPr>
        <w:ind w:left="460" w:right="180" w:firstLine="443"/>
        <w:spacing w:after="0" w:line="306" w:lineRule="auto"/>
        <w:tabs>
          <w:tab w:leader="none" w:pos="1147" w:val="left"/>
        </w:tabs>
        <w:numPr>
          <w:ilvl w:val="0"/>
          <w:numId w:val="345"/>
        </w:numPr>
        <w:rPr>
          <w:rFonts w:ascii="Arial" w:cs="Arial" w:eastAsia="Arial" w:hAnsi="Arial"/>
          <w:sz w:val="16"/>
          <w:szCs w:val="16"/>
          <w:color w:val="auto"/>
        </w:rPr>
      </w:pPr>
      <w:r>
        <w:rPr>
          <w:rFonts w:ascii="Arial" w:cs="Arial" w:eastAsia="Arial" w:hAnsi="Arial"/>
          <w:sz w:val="16"/>
          <w:szCs w:val="16"/>
          <w:color w:val="auto"/>
        </w:rPr>
        <w:t>Liens on property of a Person existing at the time such Person is merged into or consolidated with Wynn Las Vegas or any of the Restricted Subsidiaries, provided such Liens were in existence prior to the contemplation of such merger or consolidation and do not extend to any assets other than those of the Person merged into or consolidated with Wynn Las Vegas or any of the Restricted Subsidiaries;</w:t>
      </w:r>
    </w:p>
    <w:p>
      <w:pPr>
        <w:spacing w:after="0" w:line="25" w:lineRule="exact"/>
        <w:rPr>
          <w:rFonts w:ascii="Arial" w:cs="Arial" w:eastAsia="Arial" w:hAnsi="Arial"/>
          <w:sz w:val="16"/>
          <w:szCs w:val="16"/>
          <w:color w:val="auto"/>
        </w:rPr>
      </w:pPr>
    </w:p>
    <w:p>
      <w:pPr>
        <w:ind w:left="460" w:right="80" w:firstLine="443"/>
        <w:spacing w:after="0" w:line="268" w:lineRule="auto"/>
        <w:tabs>
          <w:tab w:leader="none" w:pos="1147" w:val="left"/>
        </w:tabs>
        <w:numPr>
          <w:ilvl w:val="0"/>
          <w:numId w:val="345"/>
        </w:numPr>
        <w:rPr>
          <w:rFonts w:ascii="Arial" w:cs="Arial" w:eastAsia="Arial" w:hAnsi="Arial"/>
          <w:sz w:val="18"/>
          <w:szCs w:val="18"/>
          <w:color w:val="auto"/>
        </w:rPr>
      </w:pPr>
      <w:r>
        <w:rPr>
          <w:rFonts w:ascii="Arial" w:cs="Arial" w:eastAsia="Arial" w:hAnsi="Arial"/>
          <w:sz w:val="18"/>
          <w:szCs w:val="18"/>
          <w:color w:val="auto"/>
        </w:rPr>
        <w:t>Liens in favor of Wynn Las Vegas or any of the Restricted Subsidiaries, provided if any such Liens are on any or all of the Collateral, such Liens are either:</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1"/>
          <w:numId w:val="345"/>
        </w:numPr>
        <w:rPr>
          <w:rFonts w:ascii="Arial" w:cs="Arial" w:eastAsia="Arial" w:hAnsi="Arial"/>
          <w:sz w:val="18"/>
          <w:szCs w:val="18"/>
          <w:color w:val="auto"/>
        </w:rPr>
      </w:pPr>
      <w:r>
        <w:rPr>
          <w:rFonts w:ascii="Arial" w:cs="Arial" w:eastAsia="Arial" w:hAnsi="Arial"/>
          <w:sz w:val="18"/>
          <w:szCs w:val="18"/>
          <w:color w:val="auto"/>
        </w:rPr>
        <w:t>collaterally assigned to the collateral agent for the benefit of the trustee and the holders of the 2020 Notes, or</w:t>
      </w:r>
    </w:p>
    <w:p>
      <w:pPr>
        <w:spacing w:after="0" w:line="90" w:lineRule="exact"/>
        <w:rPr>
          <w:rFonts w:ascii="Arial" w:cs="Arial" w:eastAsia="Arial" w:hAnsi="Arial"/>
          <w:sz w:val="18"/>
          <w:szCs w:val="18"/>
          <w:color w:val="auto"/>
        </w:rPr>
      </w:pPr>
    </w:p>
    <w:p>
      <w:pPr>
        <w:ind w:left="920" w:right="60" w:firstLine="421"/>
        <w:spacing w:after="0" w:line="332" w:lineRule="auto"/>
        <w:tabs>
          <w:tab w:leader="none" w:pos="1588" w:val="left"/>
        </w:tabs>
        <w:numPr>
          <w:ilvl w:val="1"/>
          <w:numId w:val="345"/>
        </w:numPr>
        <w:rPr>
          <w:rFonts w:ascii="Arial" w:cs="Arial" w:eastAsia="Arial" w:hAnsi="Arial"/>
          <w:sz w:val="16"/>
          <w:szCs w:val="16"/>
          <w:color w:val="auto"/>
        </w:rPr>
      </w:pPr>
      <w:r>
        <w:rPr>
          <w:rFonts w:ascii="Arial" w:cs="Arial" w:eastAsia="Arial" w:hAnsi="Arial"/>
          <w:sz w:val="16"/>
          <w:szCs w:val="16"/>
          <w:color w:val="auto"/>
        </w:rPr>
        <w:t>contractually subordinated to the security interests in favor of the collateral agent for the benefit of the trustee for the benefit of the holders of the 2020 Notes securing the obligations under the 2020 Notes, the Note Guarantees and the Credit Agreement;</w:t>
      </w:r>
    </w:p>
    <w:p>
      <w:pPr>
        <w:spacing w:after="0" w:line="4" w:lineRule="exact"/>
        <w:rPr>
          <w:rFonts w:ascii="Arial" w:cs="Arial" w:eastAsia="Arial" w:hAnsi="Arial"/>
          <w:sz w:val="16"/>
          <w:szCs w:val="16"/>
          <w:color w:val="auto"/>
        </w:rPr>
      </w:pPr>
    </w:p>
    <w:p>
      <w:pPr>
        <w:ind w:left="460" w:right="120" w:firstLine="443"/>
        <w:spacing w:after="0" w:line="259" w:lineRule="auto"/>
        <w:tabs>
          <w:tab w:leader="none" w:pos="1147" w:val="left"/>
        </w:tabs>
        <w:numPr>
          <w:ilvl w:val="0"/>
          <w:numId w:val="345"/>
        </w:numPr>
        <w:rPr>
          <w:rFonts w:ascii="Arial" w:cs="Arial" w:eastAsia="Arial" w:hAnsi="Arial"/>
          <w:sz w:val="18"/>
          <w:szCs w:val="18"/>
          <w:color w:val="auto"/>
        </w:rPr>
      </w:pPr>
      <w:r>
        <w:rPr>
          <w:rFonts w:ascii="Arial" w:cs="Arial" w:eastAsia="Arial" w:hAnsi="Arial"/>
          <w:sz w:val="18"/>
          <w:szCs w:val="18"/>
          <w:color w:val="auto"/>
        </w:rPr>
        <w:t>Liens on property existing at the time of acquisition thereof by Wynn Las Vegas or any of the Restricted Subsidiaries (other than materials or supplies acquired in connection with developing, constructing, expanding or equipping of the Projects), provided such Liens were in existence prior to the contemplation of such acquisition;</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Liens existing on the date of the Indenture and disclosed in the title commitment for the Deeds of Trust;</w:t>
      </w:r>
    </w:p>
    <w:p>
      <w:pPr>
        <w:spacing w:after="0" w:line="90" w:lineRule="exact"/>
        <w:rPr>
          <w:rFonts w:ascii="Arial" w:cs="Arial" w:eastAsia="Arial" w:hAnsi="Arial"/>
          <w:sz w:val="18"/>
          <w:szCs w:val="18"/>
          <w:color w:val="auto"/>
        </w:rPr>
      </w:pPr>
    </w:p>
    <w:p>
      <w:pPr>
        <w:ind w:left="460" w:right="140" w:firstLine="443"/>
        <w:spacing w:after="0" w:line="256" w:lineRule="auto"/>
        <w:tabs>
          <w:tab w:leader="none" w:pos="1147" w:val="left"/>
        </w:tabs>
        <w:numPr>
          <w:ilvl w:val="0"/>
          <w:numId w:val="345"/>
        </w:numPr>
        <w:rPr>
          <w:rFonts w:ascii="Arial" w:cs="Arial" w:eastAsia="Arial" w:hAnsi="Arial"/>
          <w:sz w:val="18"/>
          <w:szCs w:val="18"/>
          <w:color w:val="auto"/>
        </w:rPr>
      </w:pPr>
      <w:r>
        <w:rPr>
          <w:rFonts w:ascii="Arial" w:cs="Arial" w:eastAsia="Arial" w:hAnsi="Arial"/>
          <w:sz w:val="18"/>
          <w:szCs w:val="18"/>
          <w:color w:val="auto"/>
        </w:rPr>
        <w:t>Liens to secure performance of statutory obligations of, or obligations to, landlords and carriers, warehousemen, mechanics, suppliers, materialmen, repairmen or other like obligations arising in the ordinary course of business and with respect to amounts not yet delinquent for a period of more than 30 days or which are being contested in good faith by an appropriate process of law, so long as a reserve or other appropriate provision as shall be required by GAAP shall have been made therefor;</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any Liens permitted under the Disbursement Agreement;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236</w:t>
      </w:r>
    </w:p>
    <w:p>
      <w:pPr>
        <w:sectPr>
          <w:pgSz w:w="11900" w:h="16838" w:orient="portrait"/>
          <w:cols w:equalWidth="0" w:num="1">
            <w:col w:w="11400"/>
          </w:cols>
          <w:pgMar w:left="240" w:top="459" w:right="25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firstLine="443"/>
        <w:spacing w:after="0" w:line="259" w:lineRule="auto"/>
        <w:tabs>
          <w:tab w:leader="none" w:pos="1147" w:val="left"/>
        </w:tabs>
        <w:numPr>
          <w:ilvl w:val="0"/>
          <w:numId w:val="346"/>
        </w:numPr>
        <w:rPr>
          <w:rFonts w:ascii="Arial" w:cs="Arial" w:eastAsia="Arial" w:hAnsi="Arial"/>
          <w:sz w:val="18"/>
          <w:szCs w:val="18"/>
          <w:color w:val="auto"/>
        </w:rPr>
      </w:pPr>
      <w:r>
        <w:rPr>
          <w:rFonts w:ascii="Arial" w:cs="Arial" w:eastAsia="Arial" w:hAnsi="Arial"/>
          <w:sz w:val="18"/>
          <w:szCs w:val="18"/>
          <w:color w:val="auto"/>
        </w:rPr>
        <w:t>Liens for taxes, assessments or governmental charges or claims that are not yet delinquent or that are being contested in good faith by appropriate proceedings promptly instituted and diligently concluded, so long as any reserve or other appropriate provision as shall be required in conformity with GAAP shall have been made therefor;</w:t>
      </w:r>
    </w:p>
    <w:p>
      <w:pPr>
        <w:spacing w:after="0" w:line="59" w:lineRule="exact"/>
        <w:rPr>
          <w:rFonts w:ascii="Arial" w:cs="Arial" w:eastAsia="Arial" w:hAnsi="Arial"/>
          <w:sz w:val="18"/>
          <w:szCs w:val="18"/>
          <w:color w:val="auto"/>
        </w:rPr>
      </w:pPr>
    </w:p>
    <w:p>
      <w:pPr>
        <w:ind w:left="460" w:right="40" w:firstLine="443"/>
        <w:spacing w:after="0" w:line="255" w:lineRule="auto"/>
        <w:tabs>
          <w:tab w:leader="none" w:pos="1147" w:val="left"/>
        </w:tabs>
        <w:numPr>
          <w:ilvl w:val="0"/>
          <w:numId w:val="346"/>
        </w:numPr>
        <w:rPr>
          <w:rFonts w:ascii="Arial" w:cs="Arial" w:eastAsia="Arial" w:hAnsi="Arial"/>
          <w:sz w:val="18"/>
          <w:szCs w:val="18"/>
          <w:color w:val="auto"/>
        </w:rPr>
      </w:pPr>
      <w:r>
        <w:rPr>
          <w:rFonts w:ascii="Arial" w:cs="Arial" w:eastAsia="Arial" w:hAnsi="Arial"/>
          <w:sz w:val="18"/>
          <w:szCs w:val="18"/>
          <w:color w:val="auto"/>
        </w:rPr>
        <w:t>Liens on the Collateral created by the Indenture and the Collateral Documents securing the Indebtedness and other Obligations under the Indenture and the Collateral Documents; provided, however, that this clause (8) shall not be deemed to permit the extension of the liens on the Collateral created by the Indenture and the Collateral Documents with respect to any Indebtedness incurred after the date of the Indenture as the result of the issuance of additional 2020 Notes under the Indenture in compliance with the covenant described above under the caption “—Certain Covenants—Incurrence of Indebtedness and Issuance of Disqualified Stock”;</w:t>
      </w:r>
    </w:p>
    <w:p>
      <w:pPr>
        <w:spacing w:after="0" w:line="61" w:lineRule="exact"/>
        <w:rPr>
          <w:rFonts w:ascii="Arial" w:cs="Arial" w:eastAsia="Arial" w:hAnsi="Arial"/>
          <w:sz w:val="18"/>
          <w:szCs w:val="18"/>
          <w:color w:val="auto"/>
        </w:rPr>
      </w:pPr>
    </w:p>
    <w:p>
      <w:pPr>
        <w:ind w:left="460" w:right="140" w:firstLine="443"/>
        <w:spacing w:after="0" w:line="268" w:lineRule="auto"/>
        <w:tabs>
          <w:tab w:leader="none" w:pos="1147" w:val="left"/>
        </w:tabs>
        <w:numPr>
          <w:ilvl w:val="0"/>
          <w:numId w:val="346"/>
        </w:numPr>
        <w:rPr>
          <w:rFonts w:ascii="Arial" w:cs="Arial" w:eastAsia="Arial" w:hAnsi="Arial"/>
          <w:sz w:val="18"/>
          <w:szCs w:val="18"/>
          <w:color w:val="auto"/>
        </w:rPr>
      </w:pPr>
      <w:r>
        <w:rPr>
          <w:rFonts w:ascii="Arial" w:cs="Arial" w:eastAsia="Arial" w:hAnsi="Arial"/>
          <w:sz w:val="18"/>
          <w:szCs w:val="18"/>
          <w:color w:val="auto"/>
        </w:rPr>
        <w:t>Liens on the Collateral securing up to $1.0 billion of Indebtedness and other Obligations under the Credit Agreement that were permitted by the terms of the Indenture to be incurred;</w:t>
      </w:r>
    </w:p>
    <w:p>
      <w:pPr>
        <w:spacing w:after="0" w:line="50" w:lineRule="exact"/>
        <w:rPr>
          <w:rFonts w:ascii="Arial" w:cs="Arial" w:eastAsia="Arial" w:hAnsi="Arial"/>
          <w:sz w:val="18"/>
          <w:szCs w:val="18"/>
          <w:color w:val="auto"/>
        </w:rPr>
      </w:pPr>
    </w:p>
    <w:p>
      <w:pPr>
        <w:ind w:left="460" w:firstLine="443"/>
        <w:spacing w:after="0" w:line="289" w:lineRule="auto"/>
        <w:tabs>
          <w:tab w:leader="none" w:pos="1235" w:val="left"/>
        </w:tabs>
        <w:numPr>
          <w:ilvl w:val="0"/>
          <w:numId w:val="346"/>
        </w:numPr>
        <w:rPr>
          <w:rFonts w:ascii="Arial" w:cs="Arial" w:eastAsia="Arial" w:hAnsi="Arial"/>
          <w:sz w:val="16"/>
          <w:szCs w:val="16"/>
          <w:color w:val="auto"/>
        </w:rPr>
      </w:pPr>
      <w:r>
        <w:rPr>
          <w:rFonts w:ascii="Arial" w:cs="Arial" w:eastAsia="Arial" w:hAnsi="Arial"/>
          <w:sz w:val="16"/>
          <w:szCs w:val="16"/>
          <w:color w:val="auto"/>
        </w:rPr>
        <w:t>Liens on property or assets to secure Indebtedness permitted by clause (7) of the second paragraph of the covenant described above under the caption “—Certain Covenants—Incurrence of Indebtedness and Issuance of Disqualified Stock,” provided, however, that so long as such Indebtedness is not incurred under the Credit Agreement or through the issuance of additional 2020 Notes under the Indenture, such Liens do not at any time encumber any assets or property other than the assets or property financed by such Indebtedness, and the proceeds (including insurance proceeds), products, rents, profits, accessions and replacements thereof or thereto; provided, further, to the extent that the Indebtedness permitted by clause (7) of the second paragraph of the covenant described above under the caption “—Certain Covenants—Incurrence of Indebtedness and Issuance of Disqualified Stock” is incurred under the Credit Agreement or through the issuance of additional 2020 Notes under the Indenture and the property or assets acquired with such Indebtedness becomes part of the Collateral, such Indebtedness may be secured by the Collateral;</w:t>
      </w:r>
    </w:p>
    <w:p>
      <w:pPr>
        <w:spacing w:after="0" w:line="37" w:lineRule="exact"/>
        <w:rPr>
          <w:rFonts w:ascii="Arial" w:cs="Arial" w:eastAsia="Arial" w:hAnsi="Arial"/>
          <w:sz w:val="16"/>
          <w:szCs w:val="16"/>
          <w:color w:val="auto"/>
        </w:rPr>
      </w:pPr>
    </w:p>
    <w:p>
      <w:pPr>
        <w:ind w:left="460" w:right="160" w:firstLine="443"/>
        <w:spacing w:after="0" w:line="259" w:lineRule="auto"/>
        <w:tabs>
          <w:tab w:leader="none" w:pos="1228" w:val="left"/>
        </w:tabs>
        <w:numPr>
          <w:ilvl w:val="0"/>
          <w:numId w:val="346"/>
        </w:numPr>
        <w:rPr>
          <w:rFonts w:ascii="Arial" w:cs="Arial" w:eastAsia="Arial" w:hAnsi="Arial"/>
          <w:sz w:val="18"/>
          <w:szCs w:val="18"/>
          <w:color w:val="auto"/>
        </w:rPr>
      </w:pPr>
      <w:r>
        <w:rPr>
          <w:rFonts w:ascii="Arial" w:cs="Arial" w:eastAsia="Arial" w:hAnsi="Arial"/>
          <w:sz w:val="18"/>
          <w:szCs w:val="18"/>
          <w:color w:val="auto"/>
        </w:rPr>
        <w:t>Liens, pledges or deposits to secure the performance of bids, trade contracts (other than borrowed money), leases, statutory obligations, appeal bonds and other obligations of like nature, in each case, in the ordinary course of business, and lease obligations or nondelinquent obligations under workers’ compensation, unemployment insurance or similar legislation;</w:t>
      </w:r>
    </w:p>
    <w:p>
      <w:pPr>
        <w:spacing w:after="0" w:line="59" w:lineRule="exact"/>
        <w:rPr>
          <w:rFonts w:ascii="Arial" w:cs="Arial" w:eastAsia="Arial" w:hAnsi="Arial"/>
          <w:sz w:val="18"/>
          <w:szCs w:val="18"/>
          <w:color w:val="auto"/>
        </w:rPr>
      </w:pPr>
    </w:p>
    <w:p>
      <w:pPr>
        <w:ind w:left="460" w:right="100" w:firstLine="443"/>
        <w:spacing w:after="0" w:line="259" w:lineRule="auto"/>
        <w:tabs>
          <w:tab w:leader="none" w:pos="1235" w:val="left"/>
        </w:tabs>
        <w:numPr>
          <w:ilvl w:val="0"/>
          <w:numId w:val="346"/>
        </w:numPr>
        <w:rPr>
          <w:rFonts w:ascii="Arial" w:cs="Arial" w:eastAsia="Arial" w:hAnsi="Arial"/>
          <w:sz w:val="18"/>
          <w:szCs w:val="18"/>
          <w:color w:val="auto"/>
        </w:rPr>
      </w:pPr>
      <w:r>
        <w:rPr>
          <w:rFonts w:ascii="Arial" w:cs="Arial" w:eastAsia="Arial" w:hAnsi="Arial"/>
          <w:sz w:val="18"/>
          <w:szCs w:val="18"/>
          <w:color w:val="auto"/>
        </w:rPr>
        <w:t>without duplication, (i) Government Transfers, and (ii) easements, rights-of-way, restrictions, zoning, minor defects or irregularities in title and other similar charges or encumbrances not interfering in any material respect with the business or assets of Wynn Las Vegas or any of the Restricted Subsidiaries incurred in connection with a Permitted Business;</w:t>
      </w:r>
    </w:p>
    <w:p>
      <w:pPr>
        <w:spacing w:after="0" w:line="59" w:lineRule="exact"/>
        <w:rPr>
          <w:rFonts w:ascii="Arial" w:cs="Arial" w:eastAsia="Arial" w:hAnsi="Arial"/>
          <w:sz w:val="18"/>
          <w:szCs w:val="18"/>
          <w:color w:val="auto"/>
        </w:rPr>
      </w:pPr>
    </w:p>
    <w:p>
      <w:pPr>
        <w:ind w:left="460" w:right="800" w:firstLine="443"/>
        <w:spacing w:after="0" w:line="268" w:lineRule="auto"/>
        <w:tabs>
          <w:tab w:leader="none" w:pos="1235" w:val="left"/>
        </w:tabs>
        <w:numPr>
          <w:ilvl w:val="0"/>
          <w:numId w:val="346"/>
        </w:numPr>
        <w:rPr>
          <w:rFonts w:ascii="Arial" w:cs="Arial" w:eastAsia="Arial" w:hAnsi="Arial"/>
          <w:sz w:val="18"/>
          <w:szCs w:val="18"/>
          <w:color w:val="auto"/>
        </w:rPr>
      </w:pPr>
      <w:r>
        <w:rPr>
          <w:rFonts w:ascii="Arial" w:cs="Arial" w:eastAsia="Arial" w:hAnsi="Arial"/>
          <w:sz w:val="18"/>
          <w:szCs w:val="18"/>
          <w:color w:val="auto"/>
        </w:rPr>
        <w:t>Liens on Equity Interests in Unrestricted Subsidiaries of Wynn Las Vegas but only to the extent that the recourse of the lender on any Indebtedness which such Lien secures is limited to such Equity Interests;</w:t>
      </w:r>
    </w:p>
    <w:p>
      <w:pPr>
        <w:spacing w:after="0" w:line="50" w:lineRule="exact"/>
        <w:rPr>
          <w:rFonts w:ascii="Arial" w:cs="Arial" w:eastAsia="Arial" w:hAnsi="Arial"/>
          <w:sz w:val="18"/>
          <w:szCs w:val="18"/>
          <w:color w:val="auto"/>
        </w:rPr>
      </w:pPr>
    </w:p>
    <w:p>
      <w:pPr>
        <w:ind w:left="460" w:right="560" w:firstLine="443"/>
        <w:spacing w:after="0" w:line="268" w:lineRule="auto"/>
        <w:tabs>
          <w:tab w:leader="none" w:pos="1235" w:val="left"/>
        </w:tabs>
        <w:numPr>
          <w:ilvl w:val="0"/>
          <w:numId w:val="346"/>
        </w:numPr>
        <w:rPr>
          <w:rFonts w:ascii="Arial" w:cs="Arial" w:eastAsia="Arial" w:hAnsi="Arial"/>
          <w:sz w:val="18"/>
          <w:szCs w:val="18"/>
          <w:color w:val="auto"/>
        </w:rPr>
      </w:pPr>
      <w:r>
        <w:rPr>
          <w:rFonts w:ascii="Arial" w:cs="Arial" w:eastAsia="Arial" w:hAnsi="Arial"/>
          <w:sz w:val="18"/>
          <w:szCs w:val="18"/>
          <w:color w:val="auto"/>
        </w:rPr>
        <w:t>Liens on assets or property of Wynn Las Vegas or any of the Restricted Subsidiaries arising by reason of any attachment or judgment not constituting an Event of Default under the Indenture, so long as:</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1"/>
          <w:numId w:val="346"/>
        </w:numPr>
        <w:rPr>
          <w:rFonts w:ascii="Arial" w:cs="Arial" w:eastAsia="Arial" w:hAnsi="Arial"/>
          <w:sz w:val="18"/>
          <w:szCs w:val="18"/>
          <w:color w:val="auto"/>
        </w:rPr>
      </w:pPr>
      <w:r>
        <w:rPr>
          <w:rFonts w:ascii="Arial" w:cs="Arial" w:eastAsia="Arial" w:hAnsi="Arial"/>
          <w:sz w:val="18"/>
          <w:szCs w:val="18"/>
          <w:color w:val="auto"/>
        </w:rPr>
        <w:t>such Liens are being contested in good faith by appropriate proceedings, and</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346"/>
        </w:numPr>
        <w:rPr>
          <w:rFonts w:ascii="Arial" w:cs="Arial" w:eastAsia="Arial" w:hAnsi="Arial"/>
          <w:sz w:val="16"/>
          <w:szCs w:val="16"/>
          <w:color w:val="auto"/>
        </w:rPr>
      </w:pPr>
      <w:r>
        <w:rPr>
          <w:rFonts w:ascii="Arial" w:cs="Arial" w:eastAsia="Arial" w:hAnsi="Arial"/>
          <w:sz w:val="16"/>
          <w:szCs w:val="16"/>
          <w:color w:val="auto"/>
        </w:rPr>
        <w:t>such Liens are adequately bonded or adequate reserves have been established on the books of the applicable Person in accordance with</w:t>
      </w:r>
    </w:p>
    <w:p>
      <w:pPr>
        <w:spacing w:after="0" w:line="3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GAAP;</w:t>
      </w:r>
    </w:p>
    <w:p>
      <w:pPr>
        <w:spacing w:after="0" w:line="83" w:lineRule="exact"/>
        <w:rPr>
          <w:rFonts w:ascii="Arial" w:cs="Arial" w:eastAsia="Arial" w:hAnsi="Arial"/>
          <w:sz w:val="16"/>
          <w:szCs w:val="16"/>
          <w:color w:val="auto"/>
        </w:rPr>
      </w:pPr>
    </w:p>
    <w:p>
      <w:pPr>
        <w:ind w:left="460" w:right="200" w:firstLine="443"/>
        <w:spacing w:after="0" w:line="256" w:lineRule="auto"/>
        <w:tabs>
          <w:tab w:leader="none" w:pos="1235" w:val="left"/>
        </w:tabs>
        <w:numPr>
          <w:ilvl w:val="0"/>
          <w:numId w:val="346"/>
        </w:numPr>
        <w:rPr>
          <w:rFonts w:ascii="Arial" w:cs="Arial" w:eastAsia="Arial" w:hAnsi="Arial"/>
          <w:sz w:val="18"/>
          <w:szCs w:val="18"/>
          <w:color w:val="auto"/>
        </w:rPr>
      </w:pPr>
      <w:r>
        <w:rPr>
          <w:rFonts w:ascii="Arial" w:cs="Arial" w:eastAsia="Arial" w:hAnsi="Arial"/>
          <w:sz w:val="18"/>
          <w:szCs w:val="18"/>
          <w:color w:val="auto"/>
        </w:rPr>
        <w:t>To the extent constituting Liens, ground leases and subleases in respect of the real property owned or leased by Wynn Las Vegas or any of the Restricted Subsidiaries, to the extent that such ground leases and subleases are permitted under the Indenture and the Collateral Documents and any leasehold mortgage on the lessee’s leasehold interest in the underlying real property in favor of any party financing the lessee under any such lease or sublease, so long as:</w:t>
      </w:r>
    </w:p>
    <w:p>
      <w:pPr>
        <w:spacing w:after="0" w:line="62" w:lineRule="exact"/>
        <w:rPr>
          <w:rFonts w:ascii="Arial" w:cs="Arial" w:eastAsia="Arial" w:hAnsi="Arial"/>
          <w:sz w:val="18"/>
          <w:szCs w:val="18"/>
          <w:color w:val="auto"/>
        </w:rPr>
      </w:pPr>
    </w:p>
    <w:p>
      <w:pPr>
        <w:ind w:left="920" w:right="360" w:firstLine="421"/>
        <w:spacing w:after="0" w:line="268" w:lineRule="auto"/>
        <w:tabs>
          <w:tab w:leader="none" w:pos="1579" w:val="left"/>
        </w:tabs>
        <w:numPr>
          <w:ilvl w:val="1"/>
          <w:numId w:val="346"/>
        </w:numPr>
        <w:rPr>
          <w:rFonts w:ascii="Arial" w:cs="Arial" w:eastAsia="Arial" w:hAnsi="Arial"/>
          <w:sz w:val="18"/>
          <w:szCs w:val="18"/>
          <w:color w:val="auto"/>
        </w:rPr>
      </w:pPr>
      <w:r>
        <w:rPr>
          <w:rFonts w:ascii="Arial" w:cs="Arial" w:eastAsia="Arial" w:hAnsi="Arial"/>
          <w:sz w:val="18"/>
          <w:szCs w:val="18"/>
          <w:color w:val="auto"/>
        </w:rPr>
        <w:t>neither Issuer nor any of the Restricted Subsidiaries is liable for the payment of any principal of, or interest, premiums or fees on, such financing,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237</w:t>
      </w:r>
    </w:p>
    <w:p>
      <w:pPr>
        <w:sectPr>
          <w:pgSz w:w="11900" w:h="16838" w:orient="portrait"/>
          <w:cols w:equalWidth="0" w:num="1">
            <w:col w:w="11400"/>
          </w:cols>
          <w:pgMar w:left="240" w:top="460" w:right="25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60" w:firstLine="421"/>
        <w:spacing w:after="0" w:line="268" w:lineRule="auto"/>
        <w:tabs>
          <w:tab w:leader="none" w:pos="1588" w:val="left"/>
        </w:tabs>
        <w:numPr>
          <w:ilvl w:val="1"/>
          <w:numId w:val="347"/>
        </w:numPr>
        <w:rPr>
          <w:rFonts w:ascii="Arial" w:cs="Arial" w:eastAsia="Arial" w:hAnsi="Arial"/>
          <w:sz w:val="18"/>
          <w:szCs w:val="18"/>
          <w:color w:val="auto"/>
        </w:rPr>
      </w:pPr>
      <w:r>
        <w:rPr>
          <w:rFonts w:ascii="Arial" w:cs="Arial" w:eastAsia="Arial" w:hAnsi="Arial"/>
          <w:sz w:val="18"/>
          <w:szCs w:val="18"/>
          <w:color w:val="auto"/>
        </w:rPr>
        <w:t>the affected lease and leasehold mortgage are expressly made subject and subordinate to the Lien of the applicable mortgage securing the 2020 Notes, or a Note Guarantee, as the case may be;</w:t>
      </w:r>
    </w:p>
    <w:p>
      <w:pPr>
        <w:spacing w:after="0" w:line="50" w:lineRule="exact"/>
        <w:rPr>
          <w:rFonts w:ascii="Arial" w:cs="Arial" w:eastAsia="Arial" w:hAnsi="Arial"/>
          <w:sz w:val="18"/>
          <w:szCs w:val="18"/>
          <w:color w:val="auto"/>
        </w:rPr>
      </w:pPr>
    </w:p>
    <w:p>
      <w:pPr>
        <w:ind w:left="460" w:firstLine="443"/>
        <w:spacing w:after="0" w:line="306" w:lineRule="auto"/>
        <w:tabs>
          <w:tab w:leader="none" w:pos="1235" w:val="left"/>
        </w:tabs>
        <w:numPr>
          <w:ilvl w:val="0"/>
          <w:numId w:val="348"/>
        </w:numPr>
        <w:rPr>
          <w:rFonts w:ascii="Arial" w:cs="Arial" w:eastAsia="Arial" w:hAnsi="Arial"/>
          <w:sz w:val="16"/>
          <w:szCs w:val="16"/>
          <w:color w:val="auto"/>
        </w:rPr>
      </w:pPr>
      <w:r>
        <w:rPr>
          <w:rFonts w:ascii="Arial" w:cs="Arial" w:eastAsia="Arial" w:hAnsi="Arial"/>
          <w:sz w:val="16"/>
          <w:szCs w:val="16"/>
          <w:color w:val="auto"/>
        </w:rPr>
        <w:t>Uniform Commercial Code financing statements filed for precautionary purposes in connection with any true lease of property leased by Wynn Las Vegas or any of the Restricted Subsidiaries, so long as any such financing statement does not cover any property other than the property subject to such lease and the proceeds (including insurance proceeds), products, rents, profits, accessions and replacements thereof or thereto;</w:t>
      </w:r>
    </w:p>
    <w:p>
      <w:pPr>
        <w:spacing w:after="0" w:line="25" w:lineRule="exact"/>
        <w:rPr>
          <w:rFonts w:ascii="Arial" w:cs="Arial" w:eastAsia="Arial" w:hAnsi="Arial"/>
          <w:sz w:val="16"/>
          <w:szCs w:val="16"/>
          <w:color w:val="auto"/>
        </w:rPr>
      </w:pPr>
    </w:p>
    <w:p>
      <w:pPr>
        <w:ind w:left="460" w:right="360" w:firstLine="443"/>
        <w:spacing w:after="0" w:line="268" w:lineRule="auto"/>
        <w:tabs>
          <w:tab w:leader="none" w:pos="1235" w:val="left"/>
        </w:tabs>
        <w:numPr>
          <w:ilvl w:val="0"/>
          <w:numId w:val="348"/>
        </w:numPr>
        <w:rPr>
          <w:rFonts w:ascii="Arial" w:cs="Arial" w:eastAsia="Arial" w:hAnsi="Arial"/>
          <w:sz w:val="18"/>
          <w:szCs w:val="18"/>
          <w:color w:val="auto"/>
        </w:rPr>
      </w:pPr>
      <w:r>
        <w:rPr>
          <w:rFonts w:ascii="Arial" w:cs="Arial" w:eastAsia="Arial" w:hAnsi="Arial"/>
          <w:sz w:val="18"/>
          <w:szCs w:val="18"/>
          <w:color w:val="auto"/>
        </w:rPr>
        <w:t>Liens securing Permitted Refinancing Indebtedness incurred in accordance with the covenant described above under the caption “—Certain Covenants—Incurrence of Indebtedness and Issuance of Disqualified Stock,” so long as:</w:t>
      </w:r>
    </w:p>
    <w:p>
      <w:pPr>
        <w:spacing w:after="0" w:line="50" w:lineRule="exact"/>
        <w:rPr>
          <w:rFonts w:ascii="Arial" w:cs="Arial" w:eastAsia="Arial" w:hAnsi="Arial"/>
          <w:sz w:val="18"/>
          <w:szCs w:val="18"/>
          <w:color w:val="auto"/>
        </w:rPr>
      </w:pPr>
    </w:p>
    <w:p>
      <w:pPr>
        <w:ind w:left="920" w:right="340" w:firstLine="421"/>
        <w:spacing w:after="0" w:line="268" w:lineRule="auto"/>
        <w:tabs>
          <w:tab w:leader="none" w:pos="1579" w:val="left"/>
        </w:tabs>
        <w:numPr>
          <w:ilvl w:val="1"/>
          <w:numId w:val="348"/>
        </w:numPr>
        <w:rPr>
          <w:rFonts w:ascii="Arial" w:cs="Arial" w:eastAsia="Arial" w:hAnsi="Arial"/>
          <w:sz w:val="18"/>
          <w:szCs w:val="18"/>
          <w:color w:val="auto"/>
        </w:rPr>
      </w:pPr>
      <w:r>
        <w:rPr>
          <w:rFonts w:ascii="Arial" w:cs="Arial" w:eastAsia="Arial" w:hAnsi="Arial"/>
          <w:sz w:val="18"/>
          <w:szCs w:val="18"/>
          <w:color w:val="auto"/>
        </w:rPr>
        <w:t>the Permitted Refinancing Indebtedness being incurred is secured by a Lien of equivalent or lesser priority than the Indebtedness being refinanced, and</w:t>
      </w:r>
    </w:p>
    <w:p>
      <w:pPr>
        <w:spacing w:after="0" w:line="50" w:lineRule="exact"/>
        <w:rPr>
          <w:rFonts w:ascii="Arial" w:cs="Arial" w:eastAsia="Arial" w:hAnsi="Arial"/>
          <w:sz w:val="18"/>
          <w:szCs w:val="18"/>
          <w:color w:val="auto"/>
        </w:rPr>
      </w:pPr>
    </w:p>
    <w:p>
      <w:pPr>
        <w:ind w:left="920" w:right="300" w:firstLine="421"/>
        <w:spacing w:after="0" w:line="259" w:lineRule="auto"/>
        <w:tabs>
          <w:tab w:leader="none" w:pos="1588" w:val="left"/>
        </w:tabs>
        <w:numPr>
          <w:ilvl w:val="1"/>
          <w:numId w:val="348"/>
        </w:numPr>
        <w:rPr>
          <w:rFonts w:ascii="Arial" w:cs="Arial" w:eastAsia="Arial" w:hAnsi="Arial"/>
          <w:sz w:val="18"/>
          <w:szCs w:val="18"/>
          <w:color w:val="auto"/>
        </w:rPr>
      </w:pPr>
      <w:r>
        <w:rPr>
          <w:rFonts w:ascii="Arial" w:cs="Arial" w:eastAsia="Arial" w:hAnsi="Arial"/>
          <w:sz w:val="18"/>
          <w:szCs w:val="18"/>
          <w:color w:val="auto"/>
        </w:rPr>
        <w:t>such Liens do not at any time encumber any assets or property other than the assets or property secured by the Indebtedness being refinanced by such Permitted Refinancing Indebtedness, and the proceeds (including insurance proceeds), products, rents, profits, accessions and replacements thereof or thereto;</w:t>
      </w:r>
    </w:p>
    <w:p>
      <w:pPr>
        <w:spacing w:after="0" w:line="59" w:lineRule="exact"/>
        <w:rPr>
          <w:rFonts w:ascii="Arial" w:cs="Arial" w:eastAsia="Arial" w:hAnsi="Arial"/>
          <w:sz w:val="18"/>
          <w:szCs w:val="18"/>
          <w:color w:val="auto"/>
        </w:rPr>
      </w:pPr>
    </w:p>
    <w:p>
      <w:pPr>
        <w:ind w:left="460" w:right="20" w:firstLine="443"/>
        <w:spacing w:after="0" w:line="298" w:lineRule="auto"/>
        <w:tabs>
          <w:tab w:leader="none" w:pos="1235" w:val="left"/>
        </w:tabs>
        <w:numPr>
          <w:ilvl w:val="0"/>
          <w:numId w:val="348"/>
        </w:numPr>
        <w:rPr>
          <w:rFonts w:ascii="Arial" w:cs="Arial" w:eastAsia="Arial" w:hAnsi="Arial"/>
          <w:sz w:val="16"/>
          <w:szCs w:val="16"/>
          <w:color w:val="auto"/>
        </w:rPr>
      </w:pPr>
      <w:r>
        <w:rPr>
          <w:rFonts w:ascii="Arial" w:cs="Arial" w:eastAsia="Arial" w:hAnsi="Arial"/>
          <w:sz w:val="16"/>
          <w:szCs w:val="16"/>
          <w:color w:val="auto"/>
        </w:rPr>
        <w:t>Liens securing Indebtedness incurred in accordance with clause (10) and/or clause (16) of the second paragraph of the covenant described above under the caption “—Certain Covenants—Incurrence of Indebtedness and Issuance of Disqualified Stock” and, to the extent such Indebtedness is incurred under the Credit Agreement, Liens securing Indebtedness incurred in accordance with clause (11) of the second paragraph of the covenant described above under the caption “—Certain Covenants—Incurrence of Indebtedness and Issuance of Disqualified Stock;”</w:t>
      </w:r>
    </w:p>
    <w:p>
      <w:pPr>
        <w:spacing w:after="0" w:line="31" w:lineRule="exact"/>
        <w:rPr>
          <w:rFonts w:ascii="Arial" w:cs="Arial" w:eastAsia="Arial" w:hAnsi="Arial"/>
          <w:sz w:val="16"/>
          <w:szCs w:val="16"/>
          <w:color w:val="auto"/>
        </w:rPr>
      </w:pPr>
    </w:p>
    <w:p>
      <w:pPr>
        <w:ind w:left="1240" w:hanging="337"/>
        <w:spacing w:after="0"/>
        <w:tabs>
          <w:tab w:leader="none" w:pos="124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Liens created or expressly contemplated by the Affiliate Agreements, so long as such Liens do not secure Indebtedness;</w:t>
      </w:r>
    </w:p>
    <w:p>
      <w:pPr>
        <w:spacing w:after="0" w:line="90" w:lineRule="exact"/>
        <w:rPr>
          <w:rFonts w:ascii="Arial" w:cs="Arial" w:eastAsia="Arial" w:hAnsi="Arial"/>
          <w:sz w:val="18"/>
          <w:szCs w:val="18"/>
          <w:color w:val="auto"/>
        </w:rPr>
      </w:pPr>
    </w:p>
    <w:p>
      <w:pPr>
        <w:ind w:left="460" w:right="220" w:firstLine="443"/>
        <w:spacing w:after="0" w:line="268" w:lineRule="auto"/>
        <w:tabs>
          <w:tab w:leader="none" w:pos="1235" w:val="left"/>
        </w:tabs>
        <w:numPr>
          <w:ilvl w:val="0"/>
          <w:numId w:val="348"/>
        </w:numPr>
        <w:rPr>
          <w:rFonts w:ascii="Arial" w:cs="Arial" w:eastAsia="Arial" w:hAnsi="Arial"/>
          <w:sz w:val="18"/>
          <w:szCs w:val="18"/>
          <w:color w:val="auto"/>
        </w:rPr>
      </w:pPr>
      <w:r>
        <w:rPr>
          <w:rFonts w:ascii="Arial" w:cs="Arial" w:eastAsia="Arial" w:hAnsi="Arial"/>
          <w:sz w:val="18"/>
          <w:szCs w:val="18"/>
          <w:color w:val="auto"/>
        </w:rPr>
        <w:t>Liens securing Hedging Obligations permitted to be incurred in accordance with clause (5) of the second paragraph of the covenant described above under the caption “—Certain Covenants—Incurrence of Indebtedness and Issuance of Disqualified Stock”;</w:t>
      </w:r>
    </w:p>
    <w:p>
      <w:pPr>
        <w:spacing w:after="0" w:line="50" w:lineRule="exact"/>
        <w:rPr>
          <w:rFonts w:ascii="Arial" w:cs="Arial" w:eastAsia="Arial" w:hAnsi="Arial"/>
          <w:sz w:val="18"/>
          <w:szCs w:val="18"/>
          <w:color w:val="auto"/>
        </w:rPr>
      </w:pPr>
    </w:p>
    <w:p>
      <w:pPr>
        <w:ind w:left="460" w:right="300" w:firstLine="443"/>
        <w:spacing w:after="0" w:line="332" w:lineRule="auto"/>
        <w:tabs>
          <w:tab w:leader="none" w:pos="1235" w:val="left"/>
        </w:tabs>
        <w:numPr>
          <w:ilvl w:val="0"/>
          <w:numId w:val="348"/>
        </w:numPr>
        <w:rPr>
          <w:rFonts w:ascii="Arial" w:cs="Arial" w:eastAsia="Arial" w:hAnsi="Arial"/>
          <w:sz w:val="16"/>
          <w:szCs w:val="16"/>
          <w:color w:val="auto"/>
        </w:rPr>
      </w:pPr>
      <w:r>
        <w:rPr>
          <w:rFonts w:ascii="Arial" w:cs="Arial" w:eastAsia="Arial" w:hAnsi="Arial"/>
          <w:sz w:val="16"/>
          <w:szCs w:val="16"/>
          <w:color w:val="auto"/>
        </w:rPr>
        <w:t>Licenses of patents, trademarks and other intellectual property rights granted by Wynn Las Vegas or any of the Restricted Subsidiaries in the ordinary course of business and not interfering in any material respect with the ordinary conduct of the business of such Person;</w:t>
      </w:r>
    </w:p>
    <w:p>
      <w:pPr>
        <w:spacing w:after="0" w:line="4" w:lineRule="exact"/>
        <w:rPr>
          <w:rFonts w:ascii="Arial" w:cs="Arial" w:eastAsia="Arial" w:hAnsi="Arial"/>
          <w:sz w:val="16"/>
          <w:szCs w:val="16"/>
          <w:color w:val="auto"/>
        </w:rPr>
      </w:pPr>
    </w:p>
    <w:p>
      <w:pPr>
        <w:ind w:left="460" w:right="100" w:firstLine="443"/>
        <w:spacing w:after="0" w:line="294" w:lineRule="auto"/>
        <w:tabs>
          <w:tab w:leader="none" w:pos="1235" w:val="left"/>
        </w:tabs>
        <w:numPr>
          <w:ilvl w:val="0"/>
          <w:numId w:val="348"/>
        </w:numPr>
        <w:rPr>
          <w:rFonts w:ascii="Arial" w:cs="Arial" w:eastAsia="Arial" w:hAnsi="Arial"/>
          <w:sz w:val="16"/>
          <w:szCs w:val="16"/>
          <w:color w:val="auto"/>
        </w:rPr>
      </w:pPr>
      <w:r>
        <w:rPr>
          <w:rFonts w:ascii="Arial" w:cs="Arial" w:eastAsia="Arial" w:hAnsi="Arial"/>
          <w:sz w:val="16"/>
          <w:szCs w:val="16"/>
          <w:color w:val="auto"/>
        </w:rPr>
        <w:t>Liens on cash disbursed pursuant to the Disbursement Agreement and deposited with, or held for the account of, Wynn Las Vegas or any of the Restricted Subsidiaries securing reimbursement obligations under performance bonds, guaranties, trade letters of credit, bankers’ acceptances or similar instruments permitted under clause (10) of the second paragraph of the covenant described above under the caption “—Certain Covenants—Incurrence of Indebtedness and Issuance of Disqualified Stock,” granted by Wynn Las Vegas or any of the Restricted Subsidiaries in favor of the issuers of such performance bonds, guaranties, trade letters of credit or bankers’ acceptances, so long as:</w:t>
      </w:r>
    </w:p>
    <w:p>
      <w:pPr>
        <w:spacing w:after="0" w:line="34" w:lineRule="exact"/>
        <w:rPr>
          <w:rFonts w:ascii="Arial" w:cs="Arial" w:eastAsia="Arial" w:hAnsi="Arial"/>
          <w:sz w:val="16"/>
          <w:szCs w:val="16"/>
          <w:color w:val="auto"/>
        </w:rPr>
      </w:pPr>
    </w:p>
    <w:p>
      <w:pPr>
        <w:ind w:left="1580" w:hanging="239"/>
        <w:spacing w:after="0"/>
        <w:tabs>
          <w:tab w:leader="none" w:pos="1580" w:val="left"/>
        </w:tabs>
        <w:numPr>
          <w:ilvl w:val="1"/>
          <w:numId w:val="348"/>
        </w:numPr>
        <w:rPr>
          <w:rFonts w:ascii="Arial" w:cs="Arial" w:eastAsia="Arial" w:hAnsi="Arial"/>
          <w:sz w:val="18"/>
          <w:szCs w:val="18"/>
          <w:color w:val="auto"/>
        </w:rPr>
      </w:pPr>
      <w:r>
        <w:rPr>
          <w:rFonts w:ascii="Arial" w:cs="Arial" w:eastAsia="Arial" w:hAnsi="Arial"/>
          <w:sz w:val="18"/>
          <w:szCs w:val="18"/>
          <w:color w:val="auto"/>
        </w:rPr>
        <w:t>any cash disbursed to secure such reimbursement obligations is invested in Permitted Securities only, and</w:t>
      </w:r>
    </w:p>
    <w:p>
      <w:pPr>
        <w:spacing w:after="0" w:line="90" w:lineRule="exact"/>
        <w:rPr>
          <w:rFonts w:ascii="Arial" w:cs="Arial" w:eastAsia="Arial" w:hAnsi="Arial"/>
          <w:sz w:val="18"/>
          <w:szCs w:val="18"/>
          <w:color w:val="auto"/>
        </w:rPr>
      </w:pPr>
    </w:p>
    <w:p>
      <w:pPr>
        <w:ind w:left="920" w:right="300" w:firstLine="421"/>
        <w:spacing w:after="0" w:line="259" w:lineRule="auto"/>
        <w:tabs>
          <w:tab w:leader="none" w:pos="1588" w:val="left"/>
        </w:tabs>
        <w:numPr>
          <w:ilvl w:val="1"/>
          <w:numId w:val="348"/>
        </w:numPr>
        <w:rPr>
          <w:rFonts w:ascii="Arial" w:cs="Arial" w:eastAsia="Arial" w:hAnsi="Arial"/>
          <w:sz w:val="18"/>
          <w:szCs w:val="18"/>
          <w:color w:val="auto"/>
        </w:rPr>
      </w:pPr>
      <w:r>
        <w:rPr>
          <w:rFonts w:ascii="Arial" w:cs="Arial" w:eastAsia="Arial" w:hAnsi="Arial"/>
          <w:sz w:val="18"/>
          <w:szCs w:val="18"/>
          <w:color w:val="auto"/>
        </w:rPr>
        <w:t>the amount of cash and/or Permitted Securities secured by such Liens does not exceed 110% of the amount of the Indebtedness secured thereby (ignoring, for purposes of this clause (b), any interest earned or paid on such cash and any dividends or distributions declared or paid in respect of such Permitted Investments);</w:t>
      </w:r>
    </w:p>
    <w:p>
      <w:pPr>
        <w:spacing w:after="0" w:line="59" w:lineRule="exact"/>
        <w:rPr>
          <w:rFonts w:ascii="Arial" w:cs="Arial" w:eastAsia="Arial" w:hAnsi="Arial"/>
          <w:sz w:val="18"/>
          <w:szCs w:val="18"/>
          <w:color w:val="auto"/>
        </w:rPr>
      </w:pPr>
    </w:p>
    <w:p>
      <w:pPr>
        <w:ind w:left="460" w:right="660" w:firstLine="443"/>
        <w:spacing w:after="0" w:line="268" w:lineRule="auto"/>
        <w:tabs>
          <w:tab w:leader="none" w:pos="1235" w:val="left"/>
        </w:tabs>
        <w:numPr>
          <w:ilvl w:val="0"/>
          <w:numId w:val="348"/>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238</w:t>
      </w:r>
    </w:p>
    <w:p>
      <w:pPr>
        <w:sectPr>
          <w:pgSz w:w="11900" w:h="16838" w:orient="portrait"/>
          <w:cols w:equalWidth="0" w:num="1">
            <w:col w:w="11400"/>
          </w:cols>
          <w:pgMar w:left="240" w:top="459" w:right="25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firstLine="443"/>
        <w:spacing w:after="0" w:line="335" w:lineRule="auto"/>
        <w:tabs>
          <w:tab w:leader="none" w:pos="1235" w:val="left"/>
        </w:tabs>
        <w:numPr>
          <w:ilvl w:val="0"/>
          <w:numId w:val="349"/>
        </w:numPr>
        <w:rPr>
          <w:rFonts w:ascii="Arial" w:cs="Arial" w:eastAsia="Arial" w:hAnsi="Arial"/>
          <w:sz w:val="15"/>
          <w:szCs w:val="15"/>
          <w:color w:val="auto"/>
        </w:rPr>
      </w:pPr>
      <w:r>
        <w:rPr>
          <w:rFonts w:ascii="Arial" w:cs="Arial" w:eastAsia="Arial" w:hAnsi="Arial"/>
          <w:sz w:val="15"/>
          <w:szCs w:val="15"/>
          <w:color w:val="auto"/>
        </w:rPr>
        <w:t>Liens to secure additional Indebtedness incurred at any time other than during a Collateral Release Period which is permitted to be incurred pursuant to the first paragraph, or pursuant to clause (8) of the second paragraph, of the covenant described above under the caption “—Certain Covenants —Incurrence of Indebtedness and Issuance of Disqualified Stock” which liens may be of equal or lesser priority as the liens securing the 2020 Notes;</w:t>
      </w:r>
    </w:p>
    <w:p>
      <w:pPr>
        <w:spacing w:after="0" w:line="7" w:lineRule="exact"/>
        <w:rPr>
          <w:rFonts w:ascii="Arial" w:cs="Arial" w:eastAsia="Arial" w:hAnsi="Arial"/>
          <w:sz w:val="15"/>
          <w:szCs w:val="15"/>
          <w:color w:val="auto"/>
        </w:rPr>
      </w:pPr>
    </w:p>
    <w:p>
      <w:pPr>
        <w:jc w:val="both"/>
        <w:ind w:left="460" w:right="40" w:firstLine="443"/>
        <w:spacing w:after="0" w:line="298" w:lineRule="auto"/>
        <w:tabs>
          <w:tab w:leader="none" w:pos="1235" w:val="left"/>
        </w:tabs>
        <w:numPr>
          <w:ilvl w:val="0"/>
          <w:numId w:val="349"/>
        </w:numPr>
        <w:rPr>
          <w:rFonts w:ascii="Arial" w:cs="Arial" w:eastAsia="Arial" w:hAnsi="Arial"/>
          <w:sz w:val="16"/>
          <w:szCs w:val="16"/>
          <w:color w:val="auto"/>
        </w:rPr>
      </w:pPr>
      <w:r>
        <w:rPr>
          <w:rFonts w:ascii="Arial" w:cs="Arial" w:eastAsia="Arial" w:hAnsi="Arial"/>
          <w:sz w:val="16"/>
          <w:szCs w:val="16"/>
          <w:color w:val="auto"/>
        </w:rPr>
        <w:t>Liens to secure additional Indebtedness incurred at any time during a Collateral Release Period which is permitted to be incurred pursuant to the first paragraph, or pursuant to clause (1) of the second paragraph, of the covenant described above under the caption “—Certain Covenants—Incurrence of Indebtedness and Issuance of Disqualified Stock,” provided that the aggregate amount of such secured Indebtedness at the time of incurrence does not exceed $100.0 million at any one time (collectively for all assets and property subject to such Liens);</w:t>
      </w:r>
    </w:p>
    <w:p>
      <w:pPr>
        <w:spacing w:after="0" w:line="31" w:lineRule="exact"/>
        <w:rPr>
          <w:rFonts w:ascii="Arial" w:cs="Arial" w:eastAsia="Arial" w:hAnsi="Arial"/>
          <w:sz w:val="16"/>
          <w:szCs w:val="16"/>
          <w:color w:val="auto"/>
        </w:rPr>
      </w:pPr>
    </w:p>
    <w:p>
      <w:pPr>
        <w:jc w:val="both"/>
        <w:ind w:left="460" w:right="420" w:firstLine="443"/>
        <w:spacing w:after="0" w:line="259" w:lineRule="auto"/>
        <w:tabs>
          <w:tab w:leader="none" w:pos="1235" w:val="left"/>
        </w:tabs>
        <w:numPr>
          <w:ilvl w:val="0"/>
          <w:numId w:val="349"/>
        </w:numPr>
        <w:rPr>
          <w:rFonts w:ascii="Arial" w:cs="Arial" w:eastAsia="Arial" w:hAnsi="Arial"/>
          <w:sz w:val="18"/>
          <w:szCs w:val="18"/>
          <w:color w:val="auto"/>
        </w:rPr>
      </w:pPr>
      <w:r>
        <w:rPr>
          <w:rFonts w:ascii="Arial" w:cs="Arial" w:eastAsia="Arial" w:hAnsi="Arial"/>
          <w:sz w:val="18"/>
          <w:szCs w:val="18"/>
          <w:color w:val="auto"/>
        </w:rPr>
        <w:t>Liens on the Aircraft Assets to secure Indebtedness of World Travel, LLC, which is permitted to be incurred pursuant to clause (15) of the second paragraph of the covenant described above under the caption “—Certain Covenants—Incurrence of Indebtedness and Issuance of Disqualified Stock;”</w:t>
      </w:r>
    </w:p>
    <w:p>
      <w:pPr>
        <w:spacing w:after="0" w:line="59" w:lineRule="exact"/>
        <w:rPr>
          <w:rFonts w:ascii="Arial" w:cs="Arial" w:eastAsia="Arial" w:hAnsi="Arial"/>
          <w:sz w:val="18"/>
          <w:szCs w:val="18"/>
          <w:color w:val="auto"/>
        </w:rPr>
      </w:pPr>
    </w:p>
    <w:p>
      <w:pPr>
        <w:ind w:left="460" w:right="60" w:firstLine="443"/>
        <w:spacing w:after="0" w:line="259" w:lineRule="auto"/>
        <w:tabs>
          <w:tab w:leader="none" w:pos="1235" w:val="left"/>
        </w:tabs>
        <w:numPr>
          <w:ilvl w:val="0"/>
          <w:numId w:val="349"/>
        </w:numPr>
        <w:rPr>
          <w:rFonts w:ascii="Arial" w:cs="Arial" w:eastAsia="Arial" w:hAnsi="Arial"/>
          <w:sz w:val="18"/>
          <w:szCs w:val="18"/>
          <w:color w:val="auto"/>
        </w:rPr>
      </w:pPr>
      <w:r>
        <w:rPr>
          <w:rFonts w:ascii="Arial" w:cs="Arial" w:eastAsia="Arial" w:hAnsi="Arial"/>
          <w:sz w:val="18"/>
          <w:szCs w:val="18"/>
          <w:color w:val="auto"/>
        </w:rPr>
        <w:t>Liens not specified in clauses (1) through (25) above and not otherwise permitted by the covenant described above under the caption “—Certain Covenants—Liens,” so long as the aggregate outstanding principal amount of the obligations secured by all such Liens in the aggregate does not exceed $10.0 million at any one time (collectively for all assets and property subject to such Liens);</w:t>
      </w:r>
    </w:p>
    <w:p>
      <w:pPr>
        <w:spacing w:after="0" w:line="59" w:lineRule="exact"/>
        <w:rPr>
          <w:rFonts w:ascii="Arial" w:cs="Arial" w:eastAsia="Arial" w:hAnsi="Arial"/>
          <w:sz w:val="18"/>
          <w:szCs w:val="18"/>
          <w:color w:val="auto"/>
        </w:rPr>
      </w:pPr>
    </w:p>
    <w:p>
      <w:pPr>
        <w:ind w:left="1240" w:hanging="337"/>
        <w:spacing w:after="0"/>
        <w:tabs>
          <w:tab w:leader="none" w:pos="124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[intentionally omitted]; and</w:t>
      </w:r>
    </w:p>
    <w:p>
      <w:pPr>
        <w:spacing w:after="0" w:line="90" w:lineRule="exact"/>
        <w:rPr>
          <w:rFonts w:ascii="Arial" w:cs="Arial" w:eastAsia="Arial" w:hAnsi="Arial"/>
          <w:sz w:val="18"/>
          <w:szCs w:val="18"/>
          <w:color w:val="auto"/>
        </w:rPr>
      </w:pPr>
    </w:p>
    <w:p>
      <w:pPr>
        <w:jc w:val="both"/>
        <w:ind w:left="460" w:right="340" w:firstLine="443"/>
        <w:spacing w:after="0" w:line="259" w:lineRule="auto"/>
        <w:tabs>
          <w:tab w:leader="none" w:pos="1235" w:val="left"/>
        </w:tabs>
        <w:numPr>
          <w:ilvl w:val="0"/>
          <w:numId w:val="349"/>
        </w:numPr>
        <w:rPr>
          <w:rFonts w:ascii="Arial" w:cs="Arial" w:eastAsia="Arial" w:hAnsi="Arial"/>
          <w:sz w:val="18"/>
          <w:szCs w:val="18"/>
          <w:color w:val="auto"/>
        </w:rPr>
      </w:pPr>
      <w:r>
        <w:rPr>
          <w:rFonts w:ascii="Arial" w:cs="Arial" w:eastAsia="Arial" w:hAnsi="Arial"/>
          <w:sz w:val="18"/>
          <w:szCs w:val="18"/>
          <w:color w:val="auto"/>
        </w:rPr>
        <w:t>Liens of sellers of goods to Wynn Las Vegas or any of its Restricted Subsidiaries arising under Article 2 of the UCC or similar provisions of applicable law in the ordinary course of business, covering only the goods sold and securing only the unpaid purchase price for such goods and related expenses.</w:t>
      </w:r>
    </w:p>
    <w:p>
      <w:pPr>
        <w:spacing w:after="0" w:line="140" w:lineRule="exact"/>
        <w:rPr>
          <w:sz w:val="20"/>
          <w:szCs w:val="20"/>
          <w:color w:val="auto"/>
        </w:rPr>
      </w:pPr>
    </w:p>
    <w:p>
      <w:pPr>
        <w:jc w:val="both"/>
        <w:ind w:right="280" w:firstLine="456"/>
        <w:spacing w:after="0" w:line="370" w:lineRule="auto"/>
        <w:rPr>
          <w:sz w:val="20"/>
          <w:szCs w:val="20"/>
          <w:color w:val="auto"/>
        </w:rPr>
      </w:pPr>
      <w:r>
        <w:rPr>
          <w:rFonts w:ascii="Arial" w:cs="Arial" w:eastAsia="Arial" w:hAnsi="Arial"/>
          <w:sz w:val="15"/>
          <w:szCs w:val="15"/>
          <w:color w:val="auto"/>
        </w:rPr>
        <w:t>With respect to any Collateral, notwithstanding the definition of “Permitted Liens,” a Lien shall not be a Permitted Lien on such Collateral except to the extent that any applicable Collateral Document expressly permits the applicable Person to create, incur, assume or suffer to exist such Lien on such Collateral.</w:t>
      </w:r>
    </w:p>
    <w:p>
      <w:pPr>
        <w:spacing w:after="0" w:line="62"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Refinancing Indebtedness</w:t>
      </w:r>
      <w:r>
        <w:rPr>
          <w:rFonts w:ascii="Arial" w:cs="Arial" w:eastAsia="Arial" w:hAnsi="Arial"/>
          <w:sz w:val="18"/>
          <w:szCs w:val="18"/>
          <w:color w:val="auto"/>
        </w:rPr>
        <w:t>” means any Indebtedness of Wynn Las Vegas or any of its Restricted Subsidiaries issued within 30 days after repayment of, in exchange for, or the net proceeds of which are used to extend, refinance, renew, replace, amend and restate, restate, defease or refund other Indebtedness of any Person (other than intercompany Indebtedness), so long as:</w:t>
      </w:r>
    </w:p>
    <w:p>
      <w:pPr>
        <w:spacing w:after="0" w:line="59" w:lineRule="exact"/>
        <w:rPr>
          <w:sz w:val="20"/>
          <w:szCs w:val="20"/>
          <w:color w:val="auto"/>
        </w:rPr>
      </w:pPr>
    </w:p>
    <w:p>
      <w:pPr>
        <w:ind w:left="460" w:firstLine="443"/>
        <w:spacing w:after="0" w:line="255" w:lineRule="auto"/>
        <w:tabs>
          <w:tab w:leader="none" w:pos="1147" w:val="left"/>
        </w:tabs>
        <w:numPr>
          <w:ilvl w:val="0"/>
          <w:numId w:val="350"/>
        </w:numPr>
        <w:rPr>
          <w:rFonts w:ascii="Arial" w:cs="Arial" w:eastAsia="Arial" w:hAnsi="Arial"/>
          <w:sz w:val="18"/>
          <w:szCs w:val="18"/>
          <w:color w:val="auto"/>
        </w:rPr>
      </w:pPr>
      <w:r>
        <w:rPr>
          <w:rFonts w:ascii="Arial" w:cs="Arial" w:eastAsia="Arial" w:hAnsi="Arial"/>
          <w:sz w:val="18"/>
          <w:szCs w:val="18"/>
          <w:color w:val="auto"/>
        </w:rPr>
        <w:t>the principal amount (or accreted value, if applicable) of such Permitted Refinancing Indebtedness does not exceed the principal amount (or accreted value, if applicable) of the Indebtedness extended, refinanced, renewed, replaced, defeased or refunded (plus all accrued interest on the Indebtedness and the amount of all expenses and premiums incurred in connection therewith), so long as if such Indebtedness is secured by a Lien described in clause (10) of the definition of “Permitted Liens,” the principal amount, or accreted value will not exceed the then current Fair Market Value of the asset so encumbered;</w:t>
      </w:r>
    </w:p>
    <w:p>
      <w:pPr>
        <w:spacing w:after="0" w:line="61" w:lineRule="exact"/>
        <w:rPr>
          <w:rFonts w:ascii="Arial" w:cs="Arial" w:eastAsia="Arial" w:hAnsi="Arial"/>
          <w:sz w:val="18"/>
          <w:szCs w:val="18"/>
          <w:color w:val="auto"/>
        </w:rPr>
      </w:pPr>
    </w:p>
    <w:p>
      <w:pPr>
        <w:ind w:left="460" w:right="240" w:firstLine="443"/>
        <w:spacing w:after="0" w:line="259" w:lineRule="auto"/>
        <w:tabs>
          <w:tab w:leader="none" w:pos="1147" w:val="left"/>
        </w:tabs>
        <w:numPr>
          <w:ilvl w:val="0"/>
          <w:numId w:val="350"/>
        </w:numPr>
        <w:rPr>
          <w:rFonts w:ascii="Arial" w:cs="Arial" w:eastAsia="Arial" w:hAnsi="Arial"/>
          <w:sz w:val="18"/>
          <w:szCs w:val="18"/>
          <w:color w:val="auto"/>
        </w:rPr>
      </w:pPr>
      <w:r>
        <w:rPr>
          <w:rFonts w:ascii="Arial" w:cs="Arial" w:eastAsia="Arial" w:hAnsi="Arial"/>
          <w:sz w:val="18"/>
          <w:szCs w:val="18"/>
          <w:color w:val="auto"/>
        </w:rPr>
        <w:t>such Permitted Refinancing Indebtedness has a final maturity date later than the final maturity date of, and has a Weighted Average Life to Maturity equal to or greater than the Weighted Average Life to Maturity of, the Indebtedness being extended, refinanced, renewed, replaced, defeased or refunded;</w:t>
      </w:r>
    </w:p>
    <w:p>
      <w:pPr>
        <w:spacing w:after="0" w:line="59" w:lineRule="exact"/>
        <w:rPr>
          <w:rFonts w:ascii="Arial" w:cs="Arial" w:eastAsia="Arial" w:hAnsi="Arial"/>
          <w:sz w:val="18"/>
          <w:szCs w:val="18"/>
          <w:color w:val="auto"/>
        </w:rPr>
      </w:pPr>
    </w:p>
    <w:p>
      <w:pPr>
        <w:jc w:val="both"/>
        <w:ind w:left="460" w:right="100" w:firstLine="443"/>
        <w:spacing w:after="0" w:line="298" w:lineRule="auto"/>
        <w:tabs>
          <w:tab w:leader="none" w:pos="1147" w:val="left"/>
        </w:tabs>
        <w:numPr>
          <w:ilvl w:val="0"/>
          <w:numId w:val="350"/>
        </w:numPr>
        <w:rPr>
          <w:rFonts w:ascii="Arial" w:cs="Arial" w:eastAsia="Arial" w:hAnsi="Arial"/>
          <w:sz w:val="16"/>
          <w:szCs w:val="16"/>
          <w:color w:val="auto"/>
        </w:rPr>
      </w:pPr>
      <w:r>
        <w:rPr>
          <w:rFonts w:ascii="Arial" w:cs="Arial" w:eastAsia="Arial" w:hAnsi="Arial"/>
          <w:sz w:val="16"/>
          <w:szCs w:val="16"/>
          <w:color w:val="auto"/>
        </w:rPr>
        <w:t>if the Indebtedness being extended, refinanced, renewed, replaced, defeased or refunded is subordinated in right of payment to the 2020 Notes or the Note Guarantees, such Permitted Refinancing Indebtedness has a final maturity date later than the final maturity date of, and is subordinated in right of payment to, the 2020 Notes or the Note Guarantees, as applicable, on terms at least as favorable, taken as a whole, to the Holders of 2020 Notes as those contained in the documentation governing the Indebtedness being extended, refinanced, renewed, replaced, defeased or refunded; and</w:t>
      </w:r>
    </w:p>
    <w:p>
      <w:pPr>
        <w:spacing w:after="0" w:line="31" w:lineRule="exact"/>
        <w:rPr>
          <w:rFonts w:ascii="Arial" w:cs="Arial" w:eastAsia="Arial" w:hAnsi="Arial"/>
          <w:sz w:val="16"/>
          <w:szCs w:val="16"/>
          <w:color w:val="auto"/>
        </w:rPr>
      </w:pPr>
    </w:p>
    <w:p>
      <w:pPr>
        <w:ind w:left="1160" w:hanging="257"/>
        <w:spacing w:after="0"/>
        <w:tabs>
          <w:tab w:leader="none" w:pos="1160" w:val="left"/>
        </w:tabs>
        <w:numPr>
          <w:ilvl w:val="0"/>
          <w:numId w:val="350"/>
        </w:numPr>
        <w:rPr>
          <w:rFonts w:ascii="Arial" w:cs="Arial" w:eastAsia="Arial" w:hAnsi="Arial"/>
          <w:sz w:val="16"/>
          <w:szCs w:val="16"/>
          <w:color w:val="auto"/>
        </w:rPr>
      </w:pPr>
      <w:r>
        <w:rPr>
          <w:rFonts w:ascii="Arial" w:cs="Arial" w:eastAsia="Arial" w:hAnsi="Arial"/>
          <w:sz w:val="16"/>
          <w:szCs w:val="16"/>
          <w:color w:val="auto"/>
        </w:rPr>
        <w:t>such Indebtedness is incurred by the Person that is the obligor on the Indebtedness being extended, refinanced, renewed, replaced, defeased or</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refunded.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239</w:t>
      </w:r>
    </w:p>
    <w:p>
      <w:pPr>
        <w:sectPr>
          <w:pgSz w:w="11900" w:h="16838" w:orient="portrait"/>
          <w:cols w:equalWidth="0" w:num="1">
            <w:col w:w="11420"/>
          </w:cols>
          <w:pgMar w:left="240" w:top="460" w:right="2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Securities</w:t>
      </w:r>
      <w:r>
        <w:rPr>
          <w:rFonts w:ascii="Arial" w:cs="Arial" w:eastAsia="Arial" w:hAnsi="Arial"/>
          <w:sz w:val="18"/>
          <w:szCs w:val="18"/>
          <w:color w:val="auto"/>
        </w:rPr>
        <w:t>” means:</w:t>
      </w:r>
    </w:p>
    <w:p>
      <w:pPr>
        <w:spacing w:after="0" w:line="90" w:lineRule="exact"/>
        <w:rPr>
          <w:sz w:val="20"/>
          <w:szCs w:val="20"/>
          <w:color w:val="auto"/>
        </w:rPr>
      </w:pPr>
    </w:p>
    <w:p>
      <w:pPr>
        <w:ind w:left="460" w:right="380" w:firstLine="443"/>
        <w:spacing w:after="0" w:line="332" w:lineRule="auto"/>
        <w:tabs>
          <w:tab w:leader="none" w:pos="1147" w:val="left"/>
        </w:tabs>
        <w:numPr>
          <w:ilvl w:val="0"/>
          <w:numId w:val="351"/>
        </w:numPr>
        <w:rPr>
          <w:rFonts w:ascii="Arial" w:cs="Arial" w:eastAsia="Arial" w:hAnsi="Arial"/>
          <w:sz w:val="16"/>
          <w:szCs w:val="16"/>
          <w:color w:val="auto"/>
        </w:rPr>
      </w:pPr>
      <w:r>
        <w:rPr>
          <w:rFonts w:ascii="Arial" w:cs="Arial" w:eastAsia="Arial" w:hAnsi="Arial"/>
          <w:sz w:val="16"/>
          <w:szCs w:val="16"/>
          <w:color w:val="auto"/>
        </w:rPr>
        <w:t>marketable direct obligations issued by, or unconditionally guaranteed by, the United States government or issued by any agency thereof and backed by the full faith and credit of the United States, in each case maturing within 18 months from the date of acquisition;</w:t>
      </w:r>
    </w:p>
    <w:p>
      <w:pPr>
        <w:spacing w:after="0" w:line="4" w:lineRule="exact"/>
        <w:rPr>
          <w:rFonts w:ascii="Arial" w:cs="Arial" w:eastAsia="Arial" w:hAnsi="Arial"/>
          <w:sz w:val="16"/>
          <w:szCs w:val="16"/>
          <w:color w:val="auto"/>
        </w:rPr>
      </w:pPr>
    </w:p>
    <w:p>
      <w:pPr>
        <w:ind w:left="460" w:right="80" w:firstLine="443"/>
        <w:spacing w:after="0" w:line="268" w:lineRule="auto"/>
        <w:tabs>
          <w:tab w:leader="none" w:pos="1147" w:val="left"/>
        </w:tabs>
        <w:numPr>
          <w:ilvl w:val="0"/>
          <w:numId w:val="351"/>
        </w:numPr>
        <w:rPr>
          <w:rFonts w:ascii="Arial" w:cs="Arial" w:eastAsia="Arial" w:hAnsi="Arial"/>
          <w:sz w:val="18"/>
          <w:szCs w:val="18"/>
          <w:color w:val="auto"/>
        </w:rPr>
      </w:pPr>
      <w:r>
        <w:rPr>
          <w:rFonts w:ascii="Arial" w:cs="Arial" w:eastAsia="Arial" w:hAnsi="Arial"/>
          <w:sz w:val="18"/>
          <w:szCs w:val="18"/>
          <w:color w:val="auto"/>
        </w:rPr>
        <w:t>shares of money market, mutual or similar funds, including funds managed or offered by the trustee, which invest exclusively in assets satisfying the requirements of clause (1) of this definition; or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shares of, or an investment in, the JPMorgan Federal Money Market Fund.</w:t>
      </w:r>
    </w:p>
    <w:p>
      <w:pPr>
        <w:spacing w:after="0" w:line="171"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Person</w:t>
      </w:r>
      <w:r>
        <w:rPr>
          <w:rFonts w:ascii="Arial" w:cs="Arial" w:eastAsia="Arial" w:hAnsi="Arial"/>
          <w:sz w:val="16"/>
          <w:szCs w:val="16"/>
          <w:color w:val="auto"/>
        </w:rPr>
        <w:t xml:space="preserve"> “ means any individual, corporation, partnership, joint venture, association, joint-stock company, trust, unincorporated organization, limited liability company or government or other entity. Notwithstanding the foregoing, the trust established and maintained for the sole purpose of holding title to the Aircraft and which a Restricted Subsidiary of Wynn Las Vegas is the sole beneficiary thereof shall not be considered a Person for purposes of the Indenture.</w:t>
      </w:r>
    </w:p>
    <w:p>
      <w:pPr>
        <w:spacing w:after="0" w:line="107"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Phase I Land</w:t>
      </w:r>
      <w:r>
        <w:rPr>
          <w:rFonts w:ascii="Arial" w:cs="Arial" w:eastAsia="Arial" w:hAnsi="Arial"/>
          <w:sz w:val="16"/>
          <w:szCs w:val="16"/>
          <w:color w:val="auto"/>
        </w:rPr>
        <w:t>” means that portion of the Project Site described in an exhibit to the Disbursement Agreement, as in effect on the date of the Indenture, together with all improvements thereon and all rights appurtenant thereto on which the Wynn Las Vegas Resort is operated.</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Final Completion</w:t>
      </w:r>
      <w:r>
        <w:rPr>
          <w:rFonts w:ascii="Arial" w:cs="Arial" w:eastAsia="Arial" w:hAnsi="Arial"/>
          <w:sz w:val="18"/>
          <w:szCs w:val="18"/>
          <w:color w:val="auto"/>
        </w:rPr>
        <w:t>” has the meaning given that term in the Disbursement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Final Completion Date</w:t>
      </w:r>
      <w:r>
        <w:rPr>
          <w:rFonts w:ascii="Arial" w:cs="Arial" w:eastAsia="Arial" w:hAnsi="Arial"/>
          <w:sz w:val="18"/>
          <w:szCs w:val="18"/>
          <w:color w:val="auto"/>
        </w:rPr>
        <w:t>” means the date on which Phase II Final Completion occurs.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Project Budget</w:t>
      </w:r>
      <w:r>
        <w:rPr>
          <w:rFonts w:ascii="Arial" w:cs="Arial" w:eastAsia="Arial" w:hAnsi="Arial"/>
          <w:sz w:val="18"/>
          <w:szCs w:val="18"/>
          <w:color w:val="auto"/>
        </w:rPr>
        <w:t>” means the Phase II Project Budget approved in accordance with the Disbursement Agreement.</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Point of Diversion</w:t>
      </w:r>
      <w:r>
        <w:rPr>
          <w:rFonts w:ascii="Arial" w:cs="Arial" w:eastAsia="Arial" w:hAnsi="Arial"/>
          <w:sz w:val="18"/>
          <w:szCs w:val="18"/>
          <w:color w:val="auto"/>
        </w:rPr>
        <w:t>” means, with respect to any water permit, the location designated under such water permit where a well can be located for the draw of water under such water permit.</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Presumed Tax Liability</w:t>
      </w:r>
      <w:r>
        <w:rPr>
          <w:rFonts w:ascii="Arial" w:cs="Arial" w:eastAsia="Arial" w:hAnsi="Arial"/>
          <w:sz w:val="18"/>
          <w:szCs w:val="18"/>
          <w:color w:val="auto"/>
        </w:rPr>
        <w:t>” means, for any Person that is not a Pass Through Entity for any period, an amount equal to the product of (a) the Taxable Income allocated or attributable to such Person (directly or through one or more tiers of Pass Through Entities) (net of taxable losses allocated to such Person with respect to Wynn Las Vegas, the Completion Guarantor or any of the Restricted Subsidiaries that (i) are, or were previously, deductible by such Person and (ii) have not previously reduced Taxable Income), and (b) the Presumed Tax Rate.</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Presumed Tax Rate</w:t>
      </w:r>
      <w:r>
        <w:rPr>
          <w:rFonts w:ascii="Arial" w:cs="Arial" w:eastAsia="Arial" w:hAnsi="Arial"/>
          <w:sz w:val="16"/>
          <w:szCs w:val="16"/>
          <w:color w:val="auto"/>
        </w:rPr>
        <w:t>” with respect to any Person for any period means the highest effective combined United States federal, state and local income tax rate applicable during such period to a corporation organized under the laws of the State of Nevada, taxable at the highest marginal United States federal income tax rate and the highest marginal state and local income tax rates to which such Person is subject (after giving effect to the United States federal income tax deduction for such state and local income taxes, taking into account the effects of the alternative minimum tax, such effects being calculated on the assumption that such Person’s only taxable income is the income allocated or attributable to such Person for such period (directly or through one or more tiers of Pass Through Entities) with respect to its equity interest in Wynn Las Vegas, the Completion Guarantor or any of the Restricted Subsidiaries that is a Pass Through Entity). In determining the Presumed Tax Rate, the character of the items of income and gain comprising Taxable Income (e.g. ordinary income or long term capital gain) shall be taken into account.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Primary Note Collateral</w:t>
      </w:r>
      <w:r>
        <w:rPr>
          <w:rFonts w:ascii="Arial" w:cs="Arial" w:eastAsia="Arial" w:hAnsi="Arial"/>
          <w:sz w:val="16"/>
          <w:szCs w:val="16"/>
          <w:color w:val="auto"/>
        </w:rPr>
        <w:t>” means all Collateral together with the proceeds and products thereof (including, without limitation, the proceeds of Asset Sales).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w:t>
      </w:r>
      <w:r>
        <w:rPr>
          <w:rFonts w:ascii="Arial" w:cs="Arial" w:eastAsia="Arial" w:hAnsi="Arial"/>
          <w:sz w:val="18"/>
          <w:szCs w:val="18"/>
          <w:color w:val="auto"/>
        </w:rPr>
        <w:t>” means Stephen A. Wynn.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240</w:t>
      </w:r>
    </w:p>
    <w:p>
      <w:pPr>
        <w:sectPr>
          <w:pgSz w:w="11900" w:h="16838" w:orient="portrait"/>
          <w:cols w:equalWidth="0" w:num="1">
            <w:col w:w="11420"/>
          </w:cols>
          <w:pgMar w:left="240" w:top="460" w:right="2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Lease and Easement Agreements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the Golf Course Lease,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the Dealership Lease Agreement,</w:t>
      </w:r>
    </w:p>
    <w:p>
      <w:pPr>
        <w:spacing w:after="0" w:line="17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in each case, as amended, modified or otherwise supplemented from time to time in any manner that is not in contravention of the covenant described above under the caption “—Certain Covenants—Amendments to Certain Agreements.”</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Site</w:t>
      </w:r>
      <w:r>
        <w:rPr>
          <w:rFonts w:ascii="Arial" w:cs="Arial" w:eastAsia="Arial" w:hAnsi="Arial"/>
          <w:sz w:val="18"/>
          <w:szCs w:val="18"/>
          <w:color w:val="auto"/>
        </w:rPr>
        <w:t>” means the approximately 235-acre site upon which the Projects are located, together with all easements, licenses and other rights running for the benefit of Wynn Las Vegas or any of the Restricted Subsidiaries and/or appurtenant thereto.</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Projects</w:t>
      </w:r>
      <w:r>
        <w:rPr>
          <w:rFonts w:ascii="Arial" w:cs="Arial" w:eastAsia="Arial" w:hAnsi="Arial"/>
          <w:sz w:val="18"/>
          <w:szCs w:val="18"/>
          <w:color w:val="auto"/>
        </w:rPr>
        <w:t>” means the Wynn Las Vegas Resort and Encore at Wynn Las Vegas.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Qualifying Project</w:t>
      </w:r>
      <w:r>
        <w:rPr>
          <w:rFonts w:ascii="Arial" w:cs="Arial" w:eastAsia="Arial" w:hAnsi="Arial"/>
          <w:sz w:val="18"/>
          <w:szCs w:val="18"/>
          <w:color w:val="auto"/>
        </w:rPr>
        <w:t>” means the gaming and/or hotel projects of Wynn Resorts and its Subsidiaries which are operating or for which the financing for the development, construction and opening thereof has been obtained. For purposes of this definition, each of the Wynn Las Vegas Resort, Encore at Wynn Las Vegas and the Macau Project shall count as separate projects.</w:t>
      </w:r>
    </w:p>
    <w:p>
      <w:pPr>
        <w:spacing w:after="0" w:line="140"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Qualified Equity Offering</w:t>
      </w:r>
      <w:r>
        <w:rPr>
          <w:rFonts w:ascii="Arial" w:cs="Arial" w:eastAsia="Arial" w:hAnsi="Arial"/>
          <w:sz w:val="16"/>
          <w:szCs w:val="16"/>
          <w:color w:val="auto"/>
        </w:rPr>
        <w:t>” means a bona fide offering of common stock or preferred stock (other than Disqualified Stock) of Wynn Resorts, or of securities convertible into, or exchangeable for, such common stock or preferred stock (other than Disqualified Stock) which results in gross proceeds to Wynn Resorts of at least $50.0 million, to the extent that such gross receipts are contributed as a cash capital contribution to Wynn Las Vegas.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Party</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353"/>
        </w:numPr>
        <w:rPr>
          <w:rFonts w:ascii="Arial" w:cs="Arial" w:eastAsia="Arial" w:hAnsi="Arial"/>
          <w:sz w:val="16"/>
          <w:szCs w:val="16"/>
          <w:color w:val="auto"/>
        </w:rPr>
      </w:pPr>
      <w:r>
        <w:rPr>
          <w:rFonts w:ascii="Arial" w:cs="Arial" w:eastAsia="Arial" w:hAnsi="Arial"/>
          <w:sz w:val="16"/>
          <w:szCs w:val="16"/>
          <w:color w:val="auto"/>
        </w:rPr>
        <w:t>any controlling stockholder, 80% (or more) owned Subsidiary, or immediate family member (in the case of an individual) of any Principal; or</w:t>
      </w:r>
    </w:p>
    <w:p>
      <w:pPr>
        <w:spacing w:after="0" w:line="113"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353"/>
        </w:numPr>
        <w:rPr>
          <w:rFonts w:ascii="Arial" w:cs="Arial" w:eastAsia="Arial" w:hAnsi="Arial"/>
          <w:sz w:val="18"/>
          <w:szCs w:val="18"/>
          <w:color w:val="auto"/>
        </w:rPr>
      </w:pPr>
      <w:r>
        <w:rPr>
          <w:rFonts w:ascii="Arial" w:cs="Arial" w:eastAsia="Arial" w:hAnsi="Arial"/>
          <w:sz w:val="18"/>
          <w:szCs w:val="18"/>
          <w:color w:val="auto"/>
        </w:rPr>
        <w:t>any trust, corporation, partnership, limited liability company or other entity, the beneficiaries, stockholders, partners, members, owners or Persons beneficially holding an 80% or more controlling interest of which consist of the Principal and/or such other Persons referred to in the immediately preceding clause (1) or this clause (2).</w:t>
      </w:r>
    </w:p>
    <w:p>
      <w:pPr>
        <w:spacing w:after="0" w:line="140"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Released Assets</w:t>
      </w:r>
      <w:r>
        <w:rPr>
          <w:rFonts w:ascii="Arial" w:cs="Arial" w:eastAsia="Arial" w:hAnsi="Arial"/>
          <w:sz w:val="18"/>
          <w:szCs w:val="18"/>
          <w:color w:val="auto"/>
        </w:rPr>
        <w:t>” means any item of Collateral for which conditions to its release are expressly set forth in the Indenture or the Collateral Documents (it being understood that conditions incorporated by reference to the Credit Agreement or other documents shall be considered expressly set forth for this purpose), and as to which such conditions have been met, including, subject to meeting the applicable conditions, the Golf Course Land. Any such item of Collateral shall cease to be a Released Asset in the event, and to the extent, that Wynn Las Vegas or any of the Restricted Subsidiaries is required to grant a security interest therein in favor of the trustee to secure the 2020 Notes or a Note Guarantee pursuant to the covenants described above under the captions “—Security—Release of Collateral,” “—Security—Release of Golf Course Land,” “—Security—Release of Homesite Acreage” and “—Security—Release of Portions of the Golf Course Land.”</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Investment</w:t>
      </w:r>
      <w:r>
        <w:rPr>
          <w:rFonts w:ascii="Arial" w:cs="Arial" w:eastAsia="Arial" w:hAnsi="Arial"/>
          <w:sz w:val="18"/>
          <w:szCs w:val="18"/>
          <w:color w:val="auto"/>
        </w:rPr>
        <w:t>” means an Investment other than a Permitted Investment.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means any Subsidiary of Wynn Las Vegas that is not an Unrestricted Subsidiary.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Retail Facility</w:t>
      </w:r>
      <w:r>
        <w:rPr>
          <w:rFonts w:ascii="Arial" w:cs="Arial" w:eastAsia="Arial" w:hAnsi="Arial"/>
          <w:sz w:val="18"/>
          <w:szCs w:val="18"/>
          <w:color w:val="auto"/>
        </w:rPr>
        <w:t>” means an up to approximately 60,000 square foot retail facility adjoining the Projects.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241</w:t>
      </w:r>
    </w:p>
    <w:p>
      <w:pPr>
        <w:sectPr>
          <w:pgSz w:w="11900" w:h="16838" w:orient="portrait"/>
          <w:cols w:equalWidth="0" w:num="1">
            <w:col w:w="11400"/>
          </w:cols>
          <w:pgMar w:left="240" w:top="460" w:right="25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S&amp;P</w:t>
      </w:r>
      <w:r>
        <w:rPr>
          <w:rFonts w:ascii="Arial" w:cs="Arial" w:eastAsia="Arial" w:hAnsi="Arial"/>
          <w:sz w:val="16"/>
          <w:szCs w:val="16"/>
          <w:color w:val="auto"/>
        </w:rPr>
        <w:t>” means Standard &amp; Poor’s Rating Services, a division of the McGraw Hill Companies, Inc., or any successor to its statistical rating business, except that any reference to a particular rating by S&amp;P shall be deemed to be a reference to the corresponding rating by any such successor.</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Security Agreements</w:t>
      </w:r>
      <w:r>
        <w:rPr>
          <w:rFonts w:ascii="Arial" w:cs="Arial" w:eastAsia="Arial" w:hAnsi="Arial"/>
          <w:sz w:val="18"/>
          <w:szCs w:val="18"/>
          <w:color w:val="auto"/>
        </w:rPr>
        <w:t>” means:</w:t>
      </w:r>
    </w:p>
    <w:p>
      <w:pPr>
        <w:spacing w:after="0" w:line="90" w:lineRule="exact"/>
        <w:rPr>
          <w:sz w:val="20"/>
          <w:szCs w:val="20"/>
          <w:color w:val="auto"/>
        </w:rPr>
      </w:pPr>
    </w:p>
    <w:p>
      <w:pPr>
        <w:ind w:left="460" w:right="120" w:firstLine="443"/>
        <w:spacing w:after="0" w:line="268" w:lineRule="auto"/>
        <w:tabs>
          <w:tab w:leader="none" w:pos="1147" w:val="left"/>
        </w:tabs>
        <w:numPr>
          <w:ilvl w:val="0"/>
          <w:numId w:val="354"/>
        </w:numPr>
        <w:rPr>
          <w:rFonts w:ascii="Arial" w:cs="Arial" w:eastAsia="Arial" w:hAnsi="Arial"/>
          <w:sz w:val="18"/>
          <w:szCs w:val="18"/>
          <w:color w:val="auto"/>
        </w:rPr>
      </w:pPr>
      <w:r>
        <w:rPr>
          <w:rFonts w:ascii="Arial" w:cs="Arial" w:eastAsia="Arial" w:hAnsi="Arial"/>
          <w:sz w:val="18"/>
          <w:szCs w:val="18"/>
          <w:color w:val="auto"/>
        </w:rPr>
        <w:t>the Pledge and Security Agreement, dated as of December 14, 2004, among the Issuers, the Restricted Subsidiaries, Wynn Resorts Holdings and the collateral agent, and</w:t>
      </w:r>
    </w:p>
    <w:p>
      <w:pPr>
        <w:spacing w:after="0" w:line="50" w:lineRule="exact"/>
        <w:rPr>
          <w:rFonts w:ascii="Arial" w:cs="Arial" w:eastAsia="Arial" w:hAnsi="Arial"/>
          <w:sz w:val="18"/>
          <w:szCs w:val="18"/>
          <w:color w:val="auto"/>
        </w:rPr>
      </w:pPr>
    </w:p>
    <w:p>
      <w:pPr>
        <w:ind w:left="460" w:right="140" w:firstLine="443"/>
        <w:spacing w:after="0" w:line="268" w:lineRule="auto"/>
        <w:tabs>
          <w:tab w:leader="none" w:pos="1147" w:val="left"/>
        </w:tabs>
        <w:numPr>
          <w:ilvl w:val="0"/>
          <w:numId w:val="354"/>
        </w:numPr>
        <w:rPr>
          <w:rFonts w:ascii="Arial" w:cs="Arial" w:eastAsia="Arial" w:hAnsi="Arial"/>
          <w:sz w:val="18"/>
          <w:szCs w:val="18"/>
          <w:color w:val="auto"/>
        </w:rPr>
      </w:pPr>
      <w:r>
        <w:rPr>
          <w:rFonts w:ascii="Arial" w:cs="Arial" w:eastAsia="Arial" w:hAnsi="Arial"/>
          <w:sz w:val="18"/>
          <w:szCs w:val="18"/>
          <w:color w:val="auto"/>
        </w:rPr>
        <w:t>any other guarantee and collateral agreement entered into by either Issuer or any Restricted Subsidiary from time to time in accordance with the provisions of the Indenture,</w:t>
      </w:r>
    </w:p>
    <w:p>
      <w:pPr>
        <w:spacing w:after="0" w:line="132"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in each case, as amended, modified or otherwise supplemented from time to time in accordance with their respective terms and with the Indenture and the other Collateral Documents.</w:t>
      </w:r>
    </w:p>
    <w:p>
      <w:pPr>
        <w:spacing w:after="0" w:line="132"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Shuttle Easement Agreement</w:t>
      </w:r>
      <w:r>
        <w:rPr>
          <w:rFonts w:ascii="Arial" w:cs="Arial" w:eastAsia="Arial" w:hAnsi="Arial"/>
          <w:sz w:val="18"/>
          <w:szCs w:val="18"/>
          <w:color w:val="auto"/>
        </w:rPr>
        <w:t>” means the Easement Agreement, dated as of December 14, 2004, between Wynn Golf and Wynn Las Vegas, as amended, modified or otherwise supplemented from time to time in any manner that is not in contravention of the covenant described above under the caption “—Certain Covenants—Amendments to Certain Agreements.”</w:t>
      </w:r>
    </w:p>
    <w:p>
      <w:pPr>
        <w:spacing w:after="0" w:line="14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Restricted Subsidiary</w:t>
      </w:r>
      <w:r>
        <w:rPr>
          <w:rFonts w:ascii="Arial" w:cs="Arial" w:eastAsia="Arial" w:hAnsi="Arial"/>
          <w:sz w:val="18"/>
          <w:szCs w:val="18"/>
          <w:color w:val="auto"/>
        </w:rPr>
        <w:t>” means any Restricted Subsidiary of Wynn Las Vegas if it (a) contributes at least 10% of Wynn Las Vegas’ and its Restricted Subsidiaries’ total consolidated income from continuing operations before income taxes, extraordinary items, or (b) owns at least 10% of Wynn Las Vegas’ and its Restricted Subsidiaries’ total assets on a consolidated basis.</w:t>
      </w:r>
    </w:p>
    <w:p>
      <w:pPr>
        <w:spacing w:after="0" w:line="14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Stated Maturity</w:t>
      </w:r>
      <w:r>
        <w:rPr>
          <w:rFonts w:ascii="Arial" w:cs="Arial" w:eastAsia="Arial" w:hAnsi="Arial"/>
          <w:sz w:val="16"/>
          <w:szCs w:val="16"/>
          <w:color w:val="auto"/>
        </w:rPr>
        <w:t>” means, with respect to any installment of interest or principal on any series of Indebtedness, the date on which the payment of interest or principal was scheduled to be paid in the documentation governing such Indebtedness as of the date of the Indenture, and will not include any contingent obligations to repay, redeem or repurchase any such interest or principal prior to the date originally scheduled for the payment thereof.</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Stockholders Agreement</w:t>
      </w:r>
      <w:r>
        <w:rPr>
          <w:rFonts w:ascii="Arial" w:cs="Arial" w:eastAsia="Arial" w:hAnsi="Arial"/>
          <w:sz w:val="16"/>
          <w:szCs w:val="16"/>
          <w:color w:val="auto"/>
        </w:rPr>
        <w:t>” means that certain Amended and Restated Stockholders Agreement, dated as of January 6, 2010, by and among Stephen 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Wynn, Elaine P. Wynn and Aruze USA, as in effect on the date of the Indenture.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specified Person:</w:t>
      </w:r>
    </w:p>
    <w:p>
      <w:pPr>
        <w:spacing w:after="0" w:line="90" w:lineRule="exact"/>
        <w:rPr>
          <w:sz w:val="20"/>
          <w:szCs w:val="20"/>
          <w:color w:val="auto"/>
        </w:rPr>
      </w:pPr>
    </w:p>
    <w:p>
      <w:pPr>
        <w:ind w:left="460" w:right="160" w:firstLine="443"/>
        <w:spacing w:after="0" w:line="298" w:lineRule="auto"/>
        <w:tabs>
          <w:tab w:leader="none" w:pos="1147" w:val="left"/>
        </w:tabs>
        <w:numPr>
          <w:ilvl w:val="0"/>
          <w:numId w:val="355"/>
        </w:numPr>
        <w:rPr>
          <w:rFonts w:ascii="Arial" w:cs="Arial" w:eastAsia="Arial" w:hAnsi="Arial"/>
          <w:sz w:val="16"/>
          <w:szCs w:val="16"/>
          <w:color w:val="auto"/>
        </w:rPr>
      </w:pPr>
      <w:r>
        <w:rPr>
          <w:rFonts w:ascii="Arial" w:cs="Arial" w:eastAsia="Arial" w:hAnsi="Arial"/>
          <w:sz w:val="16"/>
          <w:szCs w:val="16"/>
          <w:color w:val="auto"/>
        </w:rPr>
        <w:t>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w:t>
      </w:r>
    </w:p>
    <w:p>
      <w:pPr>
        <w:spacing w:after="0" w:line="31" w:lineRule="exact"/>
        <w:rPr>
          <w:rFonts w:ascii="Arial" w:cs="Arial" w:eastAsia="Arial" w:hAnsi="Arial"/>
          <w:sz w:val="16"/>
          <w:szCs w:val="16"/>
          <w:color w:val="auto"/>
        </w:rPr>
      </w:pPr>
    </w:p>
    <w:p>
      <w:pPr>
        <w:ind w:left="460" w:firstLine="443"/>
        <w:spacing w:after="0" w:line="332" w:lineRule="auto"/>
        <w:tabs>
          <w:tab w:leader="none" w:pos="1147" w:val="left"/>
        </w:tabs>
        <w:numPr>
          <w:ilvl w:val="0"/>
          <w:numId w:val="355"/>
        </w:numPr>
        <w:rPr>
          <w:rFonts w:ascii="Arial" w:cs="Arial" w:eastAsia="Arial" w:hAnsi="Arial"/>
          <w:sz w:val="16"/>
          <w:szCs w:val="16"/>
          <w:color w:val="auto"/>
        </w:rPr>
      </w:pPr>
      <w:r>
        <w:rPr>
          <w:rFonts w:ascii="Arial" w:cs="Arial" w:eastAsia="Arial" w:hAnsi="Arial"/>
          <w:sz w:val="16"/>
          <w:szCs w:val="16"/>
          <w:color w:val="auto"/>
        </w:rPr>
        <w:t>any partnership (a) the sole general partner or the managing general partner of which is such Person or a Subsidiary of such Person or (b) the only general partners of which are that Person or one or more Subsidiaries of that Person (or any combination thereof); or</w:t>
      </w:r>
    </w:p>
    <w:p>
      <w:pPr>
        <w:spacing w:after="0" w:line="4" w:lineRule="exact"/>
        <w:rPr>
          <w:rFonts w:ascii="Arial" w:cs="Arial" w:eastAsia="Arial" w:hAnsi="Arial"/>
          <w:sz w:val="16"/>
          <w:szCs w:val="16"/>
          <w:color w:val="auto"/>
        </w:rPr>
      </w:pPr>
    </w:p>
    <w:p>
      <w:pPr>
        <w:ind w:left="460" w:right="540" w:firstLine="443"/>
        <w:spacing w:after="0" w:line="268" w:lineRule="auto"/>
        <w:tabs>
          <w:tab w:leader="none" w:pos="1147" w:val="left"/>
        </w:tabs>
        <w:numPr>
          <w:ilvl w:val="0"/>
          <w:numId w:val="355"/>
        </w:numPr>
        <w:rPr>
          <w:rFonts w:ascii="Arial" w:cs="Arial" w:eastAsia="Arial" w:hAnsi="Arial"/>
          <w:sz w:val="18"/>
          <w:szCs w:val="18"/>
          <w:color w:val="auto"/>
        </w:rPr>
      </w:pPr>
      <w:r>
        <w:rPr>
          <w:rFonts w:ascii="Arial" w:cs="Arial" w:eastAsia="Arial" w:hAnsi="Arial"/>
          <w:sz w:val="18"/>
          <w:szCs w:val="18"/>
          <w:color w:val="auto"/>
        </w:rPr>
        <w:t>any limited liability company (a) the manager or managing member of which is such Person or a Subsidiary of such Person or (b) the only members of which are that Person or one or more Subsidiaries of that Person (or any combination thereof).</w:t>
      </w:r>
    </w:p>
    <w:p>
      <w:pPr>
        <w:spacing w:after="0" w:line="132"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Amount</w:t>
      </w:r>
      <w:r>
        <w:rPr>
          <w:rFonts w:ascii="Arial" w:cs="Arial" w:eastAsia="Arial" w:hAnsi="Arial"/>
          <w:sz w:val="18"/>
          <w:szCs w:val="18"/>
          <w:color w:val="auto"/>
        </w:rPr>
        <w:t>” means, with respect to any period, (1) with respect to any of Wynn Las Vegas, the Completion Guarantor or any of the Restricted Subsidiaries that is a Pass Through Entity and in the case of any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242</w:t>
      </w:r>
    </w:p>
    <w:p>
      <w:pPr>
        <w:sectPr>
          <w:pgSz w:w="11900" w:h="16838" w:orient="portrait"/>
          <w:cols w:equalWidth="0" w:num="1">
            <w:col w:w="11400"/>
          </w:cols>
          <w:pgMar w:left="240" w:top="459" w:right="25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direct or indirect Subsidiary of any of Wynn Las Vegas, the Completion Guarantor or any of the Restricted Subsidiaries that is a Pass Through Entity, the Presumed Tax Liability of such direct or indirect Subsidiary, and (2) with respect to any of Wynn Las Vegas, the Completion Guarantor or any of their respective subsidiaries that are Consolidated Members, the aggregate United States federal income tax liability such Persons would owe for such period if each was a corporation filing United States federal income tax returns on a stand alone basis at all times during its existence and, if any of the Consolidated Members files a consolidated or combined state income tax return such that it is not paying its own state income taxes, then Tax Amount shall also include the aggregate state income tax liability such Consolidated Members would have paid for such period if each was a corporation filing state income tax returns on a stand alone basis at all times during its existence.</w:t>
      </w:r>
    </w:p>
    <w:p>
      <w:pPr>
        <w:spacing w:after="0" w:line="14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Taxable Income</w:t>
      </w:r>
      <w:r>
        <w:rPr>
          <w:rFonts w:ascii="Arial" w:cs="Arial" w:eastAsia="Arial" w:hAnsi="Arial"/>
          <w:sz w:val="18"/>
          <w:szCs w:val="18"/>
          <w:color w:val="auto"/>
        </w:rPr>
        <w:t>” means, with respect to any Person for any period, the taxable income, if any, of such Person for such period for United States federal income tax purposes as a result of such Person’s equity ownership of Wynn Las Vegas, the Completion Guarantor or any of the Restricted Subsidiaries that are Pass Through Entities for such period, so long as all items of income, gain, loss or deduction required to be stated separately pursuant to Section 703(a)(1) of the Code are included in taxable income or loss.</w:t>
      </w:r>
    </w:p>
    <w:p>
      <w:pPr>
        <w:spacing w:after="0" w:line="14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Tax Indemnification Agreement</w:t>
      </w:r>
      <w:r>
        <w:rPr>
          <w:rFonts w:ascii="Arial" w:cs="Arial" w:eastAsia="Arial" w:hAnsi="Arial"/>
          <w:sz w:val="16"/>
          <w:szCs w:val="16"/>
          <w:color w:val="auto"/>
        </w:rPr>
        <w:t>” means the Tax Indemnification Agreement, dated as of September 24, 2002, among Wynn Resorts, Valvino Lamore, Stephen A. Wynn, Aruze USA, Baron Asset Fund, a Massachusetts business trust, on behalf of the Baron Asset Fund Series, Baron Asset Fund, a Massachusetts business trust, on behalf of the Baron Growth Fund Series, and Kenneth R. Wynn Family Trust dated February 20, 1985.</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2014 Notes</w:t>
      </w:r>
      <w:r>
        <w:rPr>
          <w:rFonts w:ascii="Arial" w:cs="Arial" w:eastAsia="Arial" w:hAnsi="Arial"/>
          <w:sz w:val="18"/>
          <w:szCs w:val="18"/>
          <w:color w:val="auto"/>
        </w:rPr>
        <w:t xml:space="preserve">” means the 6 </w:t>
      </w:r>
      <w:r>
        <w:rPr>
          <w:rFonts w:ascii="Arial" w:cs="Arial" w:eastAsia="Arial" w:hAnsi="Arial"/>
          <w:sz w:val="11"/>
          <w:szCs w:val="11"/>
          <w:color w:val="auto"/>
        </w:rPr>
        <w:t>5</w:t>
      </w:r>
      <w:r>
        <w:rPr>
          <w:rFonts w:ascii="Arial" w:cs="Arial" w:eastAsia="Arial" w:hAnsi="Arial"/>
          <w:sz w:val="18"/>
          <w:szCs w:val="18"/>
          <w:color w:val="auto"/>
        </w:rPr>
        <w:t>/8% First Mortgage Notes due 2014 issued by the Issuers.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2017 Notes</w:t>
      </w:r>
      <w:r>
        <w:rPr>
          <w:rFonts w:ascii="Arial" w:cs="Arial" w:eastAsia="Arial" w:hAnsi="Arial"/>
          <w:sz w:val="18"/>
          <w:szCs w:val="18"/>
          <w:color w:val="auto"/>
        </w:rPr>
        <w:t xml:space="preserve">” means the 7 </w:t>
      </w:r>
      <w:r>
        <w:rPr>
          <w:rFonts w:ascii="Arial" w:cs="Arial" w:eastAsia="Arial" w:hAnsi="Arial"/>
          <w:sz w:val="11"/>
          <w:szCs w:val="11"/>
          <w:color w:val="auto"/>
        </w:rPr>
        <w:t>7</w:t>
      </w:r>
      <w:r>
        <w:rPr>
          <w:rFonts w:ascii="Arial" w:cs="Arial" w:eastAsia="Arial" w:hAnsi="Arial"/>
          <w:sz w:val="18"/>
          <w:szCs w:val="18"/>
          <w:color w:val="auto"/>
        </w:rPr>
        <w:t>/8% First Mortgage Notes due 2017 issued by the Issuers.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“UEC” </w:t>
      </w:r>
      <w:r>
        <w:rPr>
          <w:rFonts w:ascii="Arial" w:cs="Arial" w:eastAsia="Arial" w:hAnsi="Arial"/>
          <w:sz w:val="18"/>
          <w:szCs w:val="18"/>
          <w:color w:val="auto"/>
        </w:rPr>
        <w:t>means Universal Entertainment Corporation, a Japanese public corporation.</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Unrestricted Subsidiary</w:t>
      </w:r>
      <w:r>
        <w:rPr>
          <w:rFonts w:ascii="Arial" w:cs="Arial" w:eastAsia="Arial" w:hAnsi="Arial"/>
          <w:sz w:val="16"/>
          <w:szCs w:val="16"/>
          <w:color w:val="auto"/>
        </w:rPr>
        <w:t>” means Wynn Completion Guarantor, LLC and any other Subsidiary of Wynn Las Vegas, other than Wynn Capital, that is designated by the Board of Directors of Wynn Capital as an Unrestricted Subsidiary pursuant to a resolution of the Board of Directors (and any Subsidiary of each such Unrestricted Subsidiary), but only to the extent that such Subsidiary of Wynn Las Vegas (other than the Completion Guarantor):</w:t>
      </w:r>
    </w:p>
    <w:p>
      <w:pPr>
        <w:spacing w:after="0" w:line="26" w:lineRule="exact"/>
        <w:rPr>
          <w:sz w:val="20"/>
          <w:szCs w:val="20"/>
          <w:color w:val="auto"/>
        </w:rPr>
      </w:pPr>
    </w:p>
    <w:p>
      <w:pPr>
        <w:ind w:left="1160" w:hanging="257"/>
        <w:spacing w:after="0"/>
        <w:tabs>
          <w:tab w:leader="none" w:pos="116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has no Indebtedness other than Non-Recourse Debt;</w:t>
      </w:r>
    </w:p>
    <w:p>
      <w:pPr>
        <w:spacing w:after="0" w:line="90" w:lineRule="exact"/>
        <w:rPr>
          <w:rFonts w:ascii="Arial" w:cs="Arial" w:eastAsia="Arial" w:hAnsi="Arial"/>
          <w:sz w:val="18"/>
          <w:szCs w:val="18"/>
          <w:color w:val="auto"/>
        </w:rPr>
      </w:pPr>
    </w:p>
    <w:p>
      <w:pPr>
        <w:ind w:left="460" w:right="120" w:firstLine="443"/>
        <w:spacing w:after="0" w:line="294" w:lineRule="auto"/>
        <w:tabs>
          <w:tab w:leader="none" w:pos="1147" w:val="left"/>
        </w:tabs>
        <w:numPr>
          <w:ilvl w:val="0"/>
          <w:numId w:val="356"/>
        </w:numPr>
        <w:rPr>
          <w:rFonts w:ascii="Arial" w:cs="Arial" w:eastAsia="Arial" w:hAnsi="Arial"/>
          <w:sz w:val="16"/>
          <w:szCs w:val="16"/>
          <w:color w:val="auto"/>
        </w:rPr>
      </w:pPr>
      <w:r>
        <w:rPr>
          <w:rFonts w:ascii="Arial" w:cs="Arial" w:eastAsia="Arial" w:hAnsi="Arial"/>
          <w:sz w:val="16"/>
          <w:szCs w:val="16"/>
          <w:color w:val="auto"/>
        </w:rPr>
        <w:t>is not party to any agreement, contract, arrangement or understanding with either Issuer, any Restricted Subsidiary or any Guarantor unless the terms of any such agreement, contract, arrangement or understanding are no less favorable to such Person than those that (a) might be obtained at the time from Persons who are not Affiliates of such Person, (b) are Permitted Investments or transactions permitted as Restricted Payments under the covenant described above under the caption “—Certain Covenants—Restricted Payments,” or (c) are Affiliate Transactions permitted under the covenant described above under the caption “—Certain Covenants—Transactions with Affiliates”;</w:t>
      </w:r>
    </w:p>
    <w:p>
      <w:pPr>
        <w:spacing w:after="0" w:line="34" w:lineRule="exact"/>
        <w:rPr>
          <w:rFonts w:ascii="Arial" w:cs="Arial" w:eastAsia="Arial" w:hAnsi="Arial"/>
          <w:sz w:val="16"/>
          <w:szCs w:val="16"/>
          <w:color w:val="auto"/>
        </w:rPr>
      </w:pPr>
    </w:p>
    <w:p>
      <w:pPr>
        <w:ind w:left="460" w:right="240" w:firstLine="443"/>
        <w:spacing w:after="0" w:line="259" w:lineRule="auto"/>
        <w:tabs>
          <w:tab w:leader="none" w:pos="1147" w:val="left"/>
        </w:tabs>
        <w:numPr>
          <w:ilvl w:val="0"/>
          <w:numId w:val="356"/>
        </w:numPr>
        <w:rPr>
          <w:rFonts w:ascii="Arial" w:cs="Arial" w:eastAsia="Arial" w:hAnsi="Arial"/>
          <w:sz w:val="18"/>
          <w:szCs w:val="18"/>
          <w:color w:val="auto"/>
        </w:rPr>
      </w:pPr>
      <w:r>
        <w:rPr>
          <w:rFonts w:ascii="Arial" w:cs="Arial" w:eastAsia="Arial" w:hAnsi="Arial"/>
          <w:sz w:val="18"/>
          <w:szCs w:val="18"/>
          <w:color w:val="auto"/>
        </w:rPr>
        <w:t>is a Person with respect to which neither Issuer, nor any Restricted Subsidiary, nor any Guarantor has any direct or indirect obligation (a) to subscribe for additional Equity Interests or (b) to maintain or preserve such Person’s financial condition or to cause such Person to achieve any specified levels of operating results;</w:t>
      </w:r>
    </w:p>
    <w:p>
      <w:pPr>
        <w:spacing w:after="0" w:line="59"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0"/>
          <w:numId w:val="356"/>
        </w:numPr>
        <w:rPr>
          <w:rFonts w:ascii="Arial" w:cs="Arial" w:eastAsia="Arial" w:hAnsi="Arial"/>
          <w:sz w:val="18"/>
          <w:szCs w:val="18"/>
          <w:color w:val="auto"/>
        </w:rPr>
      </w:pPr>
      <w:r>
        <w:rPr>
          <w:rFonts w:ascii="Arial" w:cs="Arial" w:eastAsia="Arial" w:hAnsi="Arial"/>
          <w:sz w:val="18"/>
          <w:szCs w:val="18"/>
          <w:color w:val="auto"/>
        </w:rPr>
        <w:t>has not guaranteed or otherwise directly or indirectly provided credit support for any Indebtedness of either Issuer, any Restricted Subsidiary or any Guarantor; and</w:t>
      </w:r>
    </w:p>
    <w:p>
      <w:pPr>
        <w:spacing w:after="0" w:line="50" w:lineRule="exact"/>
        <w:rPr>
          <w:rFonts w:ascii="Arial" w:cs="Arial" w:eastAsia="Arial" w:hAnsi="Arial"/>
          <w:sz w:val="18"/>
          <w:szCs w:val="18"/>
          <w:color w:val="auto"/>
        </w:rPr>
      </w:pPr>
    </w:p>
    <w:p>
      <w:pPr>
        <w:jc w:val="both"/>
        <w:ind w:left="460" w:right="480" w:firstLine="443"/>
        <w:spacing w:after="0" w:line="370" w:lineRule="auto"/>
        <w:tabs>
          <w:tab w:leader="none" w:pos="1147" w:val="left"/>
        </w:tabs>
        <w:numPr>
          <w:ilvl w:val="0"/>
          <w:numId w:val="356"/>
        </w:numPr>
        <w:rPr>
          <w:rFonts w:ascii="Arial" w:cs="Arial" w:eastAsia="Arial" w:hAnsi="Arial"/>
          <w:sz w:val="15"/>
          <w:szCs w:val="15"/>
          <w:color w:val="auto"/>
        </w:rPr>
      </w:pPr>
      <w:r>
        <w:rPr>
          <w:rFonts w:ascii="Arial" w:cs="Arial" w:eastAsia="Arial" w:hAnsi="Arial"/>
          <w:sz w:val="15"/>
          <w:szCs w:val="15"/>
          <w:color w:val="auto"/>
        </w:rPr>
        <w:t>has at least one director on its Board of Directors that is not a director or executive officer of either Issuer, any Restricted Subsidiary or any Guarantor and has at least one executive officer that is not a director or executive officer of either Issuer, any Restricted Subsidiary or any Guarantor.</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243</w:t>
      </w:r>
    </w:p>
    <w:p>
      <w:pPr>
        <w:sectPr>
          <w:pgSz w:w="11900" w:h="16838" w:orient="portrait"/>
          <w:cols w:equalWidth="0" w:num="1">
            <w:col w:w="11420"/>
          </w:cols>
          <w:pgMar w:left="240" w:top="459" w:right="23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Any designation of a Subsidiary of Wynn Las Vegas as an Unrestricted Subsidiary will be evidenced to the trustee by filing with the trustee a certified copy of the resolution of Wynn Capital’s Board of Directors giving effect to such designation and an officers’ certificate certifying that such designation complied with the preceding conditions and was permitted by the covenant described above under the caption “—Certain Covenants—Restricted Payments.” If, at any time, any Unrestricted Subsidiary of Wynn Las Vegas would fail to meet the preceding requirements as an Unrestricted Subsidiary, it shall thereafter cease to be an Unrestricted Subsidiary of Wynn Las Vegas for purposes of the Indenture and any Indebtedness of such Subsidiary shall be deemed to be incurred by a Restricted Subsidiary of Wynn Las Vegas as of such date and, if such Indebtedness is not permitted to be incurred as of such date under the covenant described above under the caption “—Certain Covenants—Incurrence of Indebtedness and Issuance of Disqualified Stock,” Wynn Las Vegas shall be in default of such covenant. The Board of Directors of Wynn Capital may, at any time, designate any Unrestricted Subsidiary of Wynn Las Vegas to be a Restricted Subsidiary. Such designation shall be deemed to be an incurrence of Indebtedness by a Restricted Subsidiary of any outstanding Indebtedness of such Unrestricted Subsidiary and such designation shall only be permitted if (1) such Indebtedness is permitted under the covenant described above under the caption “—Certain Covenants— Incurrence of Indebtedness and Issuance of Disqualified Stock,” calculated on a pro forma basis as if such designation had occurred at the beginning of the four-quarter reference period and (2) no Default or Event of Default would be in existence following such designation.</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Valvino Lamore</w:t>
      </w:r>
      <w:r>
        <w:rPr>
          <w:rFonts w:ascii="Arial" w:cs="Arial" w:eastAsia="Arial" w:hAnsi="Arial"/>
          <w:sz w:val="18"/>
          <w:szCs w:val="18"/>
          <w:color w:val="auto"/>
        </w:rPr>
        <w:t>” means Valvino Lamore, LLC, a Nevada limited liability company.</w:t>
      </w:r>
    </w:p>
    <w:p>
      <w:pPr>
        <w:spacing w:after="0" w:line="171"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of any Person as of any date means the Capital Stock of such Person that is at the time entitled to vote in the election of the Board of Directors of such Person.</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Water Rights</w:t>
      </w:r>
      <w:r>
        <w:rPr>
          <w:rFonts w:ascii="Arial" w:cs="Arial" w:eastAsia="Arial" w:hAnsi="Arial"/>
          <w:sz w:val="18"/>
          <w:szCs w:val="18"/>
          <w:color w:val="auto"/>
        </w:rPr>
        <w:t>” means, (1) with respect to any Person, all of such Person’s right, title and interest in and to any water stock, permits or entitlements and any other water rights related to or appurtenant to property owned or leased by such Person, and (2) with respect to any property, any water stock, permits or entitlements and any other water rights related to or appurtenant to such property.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Weighted Average Life to Maturity</w:t>
      </w:r>
      <w:r>
        <w:rPr>
          <w:rFonts w:ascii="Arial" w:cs="Arial" w:eastAsia="Arial" w:hAnsi="Arial"/>
          <w:sz w:val="18"/>
          <w:szCs w:val="18"/>
          <w:color w:val="auto"/>
        </w:rPr>
        <w:t>” means, when applied to any Indebtedness at any date, the number of years obtained by dividing:</w:t>
      </w:r>
    </w:p>
    <w:p>
      <w:pPr>
        <w:spacing w:after="0" w:line="90" w:lineRule="exact"/>
        <w:rPr>
          <w:sz w:val="20"/>
          <w:szCs w:val="20"/>
          <w:color w:val="auto"/>
        </w:rPr>
      </w:pPr>
    </w:p>
    <w:p>
      <w:pPr>
        <w:jc w:val="both"/>
        <w:ind w:left="460" w:firstLine="443"/>
        <w:spacing w:after="0" w:line="259" w:lineRule="auto"/>
        <w:tabs>
          <w:tab w:leader="none" w:pos="1147" w:val="left"/>
        </w:tabs>
        <w:numPr>
          <w:ilvl w:val="0"/>
          <w:numId w:val="357"/>
        </w:numPr>
        <w:rPr>
          <w:rFonts w:ascii="Arial" w:cs="Arial" w:eastAsia="Arial" w:hAnsi="Arial"/>
          <w:sz w:val="18"/>
          <w:szCs w:val="18"/>
          <w:color w:val="auto"/>
        </w:rPr>
      </w:pPr>
      <w:r>
        <w:rPr>
          <w:rFonts w:ascii="Arial" w:cs="Arial" w:eastAsia="Arial" w:hAnsi="Arial"/>
          <w:sz w:val="18"/>
          <w:szCs w:val="18"/>
          <w:color w:val="auto"/>
        </w:rPr>
        <w:t>the sum of the products obtained by multiplying (a) the amount of each then remaining installment, sinking fund, serial maturity or other required payments of principal, including payment at final maturity, in respect of the Indebtedness, by (b) the number of years (calculated to the nearest one-twelfth) that will elapse between such date and the making of such payment; by</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the then outstanding principal amount of such Indebtedness.</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Wholly Owned Restricted Subsidiary</w:t>
      </w:r>
      <w:r>
        <w:rPr>
          <w:rFonts w:ascii="Arial" w:cs="Arial" w:eastAsia="Arial" w:hAnsi="Arial"/>
          <w:sz w:val="18"/>
          <w:szCs w:val="18"/>
          <w:color w:val="auto"/>
        </w:rPr>
        <w:t>” of any specified Person means a Restricted Subsidiary of such Person all of the outstanding Capital Stock or other ownership interests of which (other than directors’ qualifying shares) will at the time be owned by such Person or by one or more Wholly Owned Restricted Subsidiaries of such Person.</w:t>
      </w:r>
    </w:p>
    <w:p>
      <w:pPr>
        <w:spacing w:after="0" w:line="14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Wholly Owned Subsidiary</w:t>
      </w:r>
      <w:r>
        <w:rPr>
          <w:rFonts w:ascii="Arial" w:cs="Arial" w:eastAsia="Arial" w:hAnsi="Arial"/>
          <w:sz w:val="16"/>
          <w:szCs w:val="16"/>
          <w:color w:val="auto"/>
        </w:rPr>
        <w:t>” of any specified Person means a Subsidiary of such Person all of the outstanding Capital Stock or other ownership interests of which (other than directors’ qualifying shares) shall at the time be owned by such Person or by one or more Wholly Owned Subsidiaries of such Person.</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Capital</w:t>
      </w:r>
      <w:r>
        <w:rPr>
          <w:rFonts w:ascii="Arial" w:cs="Arial" w:eastAsia="Arial" w:hAnsi="Arial"/>
          <w:sz w:val="18"/>
          <w:szCs w:val="18"/>
          <w:color w:val="auto"/>
        </w:rPr>
        <w:t>” means Wynn Las Vegas Capital Corp., a Nevada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Golf</w:t>
      </w:r>
      <w:r>
        <w:rPr>
          <w:rFonts w:ascii="Arial" w:cs="Arial" w:eastAsia="Arial" w:hAnsi="Arial"/>
          <w:sz w:val="18"/>
          <w:szCs w:val="18"/>
          <w:color w:val="auto"/>
        </w:rPr>
        <w:t>” means Wynn Golf, LLC, a Nevada limited liability company.</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244</w:t>
      </w:r>
    </w:p>
    <w:p>
      <w:pPr>
        <w:sectPr>
          <w:pgSz w:w="11900" w:h="16838" w:orient="portrait"/>
          <w:cols w:equalWidth="0" w:num="1">
            <w:col w:w="11400"/>
          </w:cols>
          <w:pgMar w:left="240" w:top="460" w:right="25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Home Site Land</w:t>
      </w:r>
      <w:r>
        <w:rPr>
          <w:rFonts w:ascii="Arial" w:cs="Arial" w:eastAsia="Arial" w:hAnsi="Arial"/>
          <w:sz w:val="18"/>
          <w:szCs w:val="18"/>
          <w:color w:val="auto"/>
        </w:rPr>
        <w:t>” means an approximately two acre tract of land located on the Golf Course Land where a personal residence for Stephen A. Wynn may be built, after the release of the Trustee’s Liens (for the benefit of the Holders) thereon in accordance with the covenant described above under the caption “—Security—Release of Homesite Acreage.”</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IP Agreement</w:t>
      </w:r>
      <w:r>
        <w:rPr>
          <w:rFonts w:ascii="Arial" w:cs="Arial" w:eastAsia="Arial" w:hAnsi="Arial"/>
          <w:sz w:val="18"/>
          <w:szCs w:val="18"/>
          <w:color w:val="auto"/>
        </w:rPr>
        <w:t>” means the Intellectual Property License Agreement, dated as of December 14, 2004, among Wynn Resorts, Wynn Resorts Holdings and Wynn Las Vegas.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Las Vegas</w:t>
      </w:r>
      <w:r>
        <w:rPr>
          <w:rFonts w:ascii="Arial" w:cs="Arial" w:eastAsia="Arial" w:hAnsi="Arial"/>
          <w:sz w:val="18"/>
          <w:szCs w:val="18"/>
          <w:color w:val="auto"/>
        </w:rPr>
        <w:t>” means Wynn Las Vegas, LLC, a Nevada limited liability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Las Vegas Resort</w:t>
      </w:r>
      <w:r>
        <w:rPr>
          <w:rFonts w:ascii="Arial" w:cs="Arial" w:eastAsia="Arial" w:hAnsi="Arial"/>
          <w:sz w:val="18"/>
          <w:szCs w:val="18"/>
          <w:color w:val="auto"/>
        </w:rPr>
        <w:t>” means the Wynn Las Vegas hotel and casino resort.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Resorts</w:t>
      </w:r>
      <w:r>
        <w:rPr>
          <w:rFonts w:ascii="Arial" w:cs="Arial" w:eastAsia="Arial" w:hAnsi="Arial"/>
          <w:sz w:val="18"/>
          <w:szCs w:val="18"/>
          <w:color w:val="auto"/>
        </w:rPr>
        <w:t>” means Wynn Resorts, Limited, a Nevada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Resorts Holdings</w:t>
      </w:r>
      <w:r>
        <w:rPr>
          <w:rFonts w:ascii="Arial" w:cs="Arial" w:eastAsia="Arial" w:hAnsi="Arial"/>
          <w:sz w:val="18"/>
          <w:szCs w:val="18"/>
          <w:color w:val="auto"/>
        </w:rPr>
        <w:t>” means Wynn Resorts Holdings, LLC, a Nevada limited liability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Show Performers</w:t>
      </w:r>
      <w:r>
        <w:rPr>
          <w:rFonts w:ascii="Arial" w:cs="Arial" w:eastAsia="Arial" w:hAnsi="Arial"/>
          <w:sz w:val="18"/>
          <w:szCs w:val="18"/>
          <w:color w:val="auto"/>
        </w:rPr>
        <w:t>” means Wynn Show Performers, LLC, a Nevada limited liability company.</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245</w:t>
      </w:r>
    </w:p>
    <w:p>
      <w:pPr>
        <w:sectPr>
          <w:pgSz w:w="11900" w:h="16838" w:orient="portrait"/>
          <w:cols w:equalWidth="0" w:num="1">
            <w:col w:w="11300"/>
          </w:cols>
          <w:pgMar w:left="240" w:top="460" w:right="35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CERTAIN INDEBTEDNESS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December 14, 2004, we entered into a credit agreement and related ancillary agreements for secured revolving credit and term loan facilities, which credit agreement was refinanced on August 15, 2006 with our amended and restated credit agreement and has since been amended. As of December 31, 2009, the credit facilities consisted of a $457.9 million revolving credit facility and a $80.4 million term loan facility. The maturity date of the term loan facility is August 15, 2013 and the maturity date for the revolving credit facility is July 15, 2013.</w:t>
      </w:r>
    </w:p>
    <w:p>
      <w:pPr>
        <w:spacing w:after="0" w:line="143" w:lineRule="exact"/>
        <w:rPr>
          <w:sz w:val="20"/>
          <w:szCs w:val="20"/>
          <w:color w:val="auto"/>
        </w:rPr>
      </w:pPr>
    </w:p>
    <w:p>
      <w:pPr>
        <w:ind w:right="80" w:firstLine="456"/>
        <w:spacing w:after="0" w:line="261" w:lineRule="auto"/>
        <w:rPr>
          <w:sz w:val="20"/>
          <w:szCs w:val="20"/>
          <w:color w:val="auto"/>
        </w:rPr>
      </w:pPr>
      <w:r>
        <w:rPr>
          <w:rFonts w:ascii="Arial" w:cs="Arial" w:eastAsia="Arial" w:hAnsi="Arial"/>
          <w:sz w:val="17"/>
          <w:szCs w:val="17"/>
          <w:color w:val="auto"/>
        </w:rPr>
        <w:t xml:space="preserve">For purposes of calculating interest, loans under the credit facilities will be designated, at our election, as Eurodollar Loans or, in certain circumstances, Base Rate Loans. Eurodollar Loans bear interest at the Eurodollar rate plus 3.000% in the case of our revolving loans, and the Eurodollar rate plus 1.875% in the case of our term loans. Interest on Eurodollar Loans is payable at the end of the applicable interest period in the case of interest periods of one, two or three months, and every three months in the case of interest periods of six months. Base Rate Loans bear interest at (a) the greatest of (i) the rate most recently announced by Deutsche Bank as its “prime rate,” (ii) the Federal Funds Rate plus </w:t>
      </w:r>
      <w:r>
        <w:rPr>
          <w:rFonts w:ascii="Arial" w:cs="Arial" w:eastAsia="Arial" w:hAnsi="Arial"/>
          <w:sz w:val="11"/>
          <w:szCs w:val="11"/>
          <w:color w:val="auto"/>
        </w:rPr>
        <w:t>1</w:t>
      </w:r>
      <w:r>
        <w:rPr>
          <w:rFonts w:ascii="Arial" w:cs="Arial" w:eastAsia="Arial" w:hAnsi="Arial"/>
          <w:sz w:val="17"/>
          <w:szCs w:val="17"/>
          <w:color w:val="auto"/>
        </w:rPr>
        <w:t xml:space="preserve"> /</w:t>
      </w:r>
      <w:r>
        <w:rPr>
          <w:rFonts w:ascii="Arial" w:cs="Arial" w:eastAsia="Arial" w:hAnsi="Arial"/>
          <w:sz w:val="21"/>
          <w:szCs w:val="21"/>
          <w:color w:val="auto"/>
          <w:vertAlign w:val="subscript"/>
        </w:rPr>
        <w:t>2</w:t>
      </w:r>
      <w:r>
        <w:rPr>
          <w:rFonts w:ascii="Arial" w:cs="Arial" w:eastAsia="Arial" w:hAnsi="Arial"/>
          <w:sz w:val="17"/>
          <w:szCs w:val="17"/>
          <w:color w:val="auto"/>
        </w:rPr>
        <w:t xml:space="preserve"> of 1% per annum and (iii) in the case of the revolving loans, the Eurodollar rate for a one month interest period plus 1.00%; plus, in each case (b) a borrowing margin of 2.000% for our revolving loans and 0.875% in the case of our term loans. Interest on Base Rate Loans is payable quarterly in arrears. We also pay, quarterly in arrears, a fee equal to 1.000% per annum on the daily average of unborrowed availability under the revolving facility.</w:t>
      </w:r>
    </w:p>
    <w:p>
      <w:pPr>
        <w:spacing w:after="0" w:line="14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Our credit facilities are guaranteed by each of our subsidiaries, other than Wynn Completion Guarantor, LLC. Subject to the intercreditor agreement, and certain exceptions, our obligations and each of the guarantees under the credit facilities are secured by: (1) a first priority pledge of all member’s interests owned by Wynn Las Vegas, LLC in its subsidiaries and Wynn Holdings’ 100% member’s interest in Wynn Las Vegas, LLC; (2) first mortgages on all real property constituting Wynn Las Vegas, its golf course and Encore at Wynn Las Vegas; and (3) a first priority security interest in substantially all other existing and future assets of Wynn Las Vegas, LLC and the guarantors, excluding an aircraft beneficially owned by World Travel, LLC.</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obligations and the obligations of the guarantors under the credit facilities rank equal in right of payment with their existing and future senior indebtedness, including indebtedness with respect to the 2014 notes, the 2017 notes and the 2020 notes and ranks senior in right of payment to all of their existing and future subordinated indebtedness.</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addition to scheduled amortization payments, we are required to make mandatory prepayments of indebtedness under the credit facilities from a portion of the net proceeds of all debt offerings (other than those constituting certain permitted debt), the net proceeds from certain dispositions, the net proceeds from asset sales, insurance or condemnation proceeds, and liquidated damages under certain project documents received by us, in each case, with specified prepayment thresholds, exceptions and subject in certain cases to reinvestment periods. We are also required to make mandatory repayments of indebtedness under the credit facilities from 50% of excess cash flow, which percentage may be eliminated based on our leverage ratio. We have the option to prepay all or any portion of the indebtedness under the credit facilities at any time without premium or penalty.</w:t>
      </w:r>
    </w:p>
    <w:p>
      <w:pPr>
        <w:spacing w:after="0" w:line="12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amended and restated credit agreement contains customary negative covenants and financial covenants, including negative covenants that restrict our ability to: incur additional indebtedness, including guarantees; create, incur, assume or permit to exist liens on property and assets; declare or pay dividends and make distributions or restrict the ability of our subsidiaries to pay dividends and make distributions; engage in mergers, investments and acquisitions; enter into transactions with affiliates; enter into sale-leaseback transactions; execute modifications to material contracts; engage in sales of assets; make capital expenditures; and make optional prepayments of certain indebtedness.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246</w:t>
      </w:r>
    </w:p>
    <w:p>
      <w:pPr>
        <w:sectPr>
          <w:pgSz w:w="11900" w:h="16838" w:orient="portrait"/>
          <w:cols w:equalWidth="0" w:num="1">
            <w:col w:w="11380"/>
          </w:cols>
          <w:pgMar w:left="240" w:top="460" w:right="27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financial covenants include maintaining a Consolidated Leverage Ratio, as defined, not greater than 6.50 to 1, 6.25 to 1 and 6.00 to 1 for each of the reporting periods ending June 30, 2011, September 30, 2011 and on and after December 31, 2011, respectively.</w:t>
      </w:r>
    </w:p>
    <w:p>
      <w:pPr>
        <w:spacing w:after="0" w:line="132"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financial covenants also include maintaining a Consolidated Interest Coverage Ratio of no less than 1.25 to 1 for the reporting periods ending June 30, 2009 through and including March 31, 2011, and 1.75 to 1 from and after June 30, 2011. Our management believes that Wynn Las Vegas, LLC was in compliance with such covenant as of December 31, 2009.</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 </w:t>
      </w:r>
      <w:r>
        <w:rPr>
          <w:rFonts w:ascii="Arial" w:cs="Arial" w:eastAsia="Arial" w:hAnsi="Arial"/>
          <w:sz w:val="11"/>
          <w:szCs w:val="11"/>
          <w:b w:val="1"/>
          <w:bCs w:val="1"/>
          <w:color w:val="auto"/>
        </w:rPr>
        <w:t>5</w:t>
      </w:r>
      <w:r>
        <w:rPr>
          <w:rFonts w:ascii="Arial" w:cs="Arial" w:eastAsia="Arial" w:hAnsi="Arial"/>
          <w:sz w:val="18"/>
          <w:szCs w:val="18"/>
          <w:b w:val="1"/>
          <w:bCs w:val="1"/>
          <w:color w:val="auto"/>
        </w:rPr>
        <w:t>/</w:t>
      </w:r>
      <w:r>
        <w:rPr>
          <w:rFonts w:ascii="Arial" w:cs="Arial" w:eastAsia="Arial" w:hAnsi="Arial"/>
          <w:sz w:val="13"/>
          <w:szCs w:val="13"/>
          <w:b w:val="1"/>
          <w:bCs w:val="1"/>
          <w:color w:val="auto"/>
        </w:rPr>
        <w:t>8</w:t>
      </w:r>
      <w:r>
        <w:rPr>
          <w:rFonts w:ascii="Arial" w:cs="Arial" w:eastAsia="Arial" w:hAnsi="Arial"/>
          <w:sz w:val="18"/>
          <w:szCs w:val="18"/>
          <w:b w:val="1"/>
          <w:bCs w:val="1"/>
          <w:color w:val="auto"/>
        </w:rPr>
        <w:t>% First Mortgage Notes</w:t>
      </w:r>
    </w:p>
    <w:p>
      <w:pPr>
        <w:spacing w:after="0" w:line="9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 xml:space="preserve">On December 14, 2004, we issued $1.3 billion aggregate principal amount of 2014 notes. On November 6, 2007, we issued, in a private offering, an additional $400 million aggregate principal amount of 2014 notes at a price of 97.25% of the principal amount. The outstanding principal aggregate amount of 2014 notes was reduced by $382,010,000 on April 28, 2010 as a result of a private placement exchange offer whereby we exchanged 2014 notes for 2020 notes. The 2014 notes mature on December 1, 2014 and bear interest at the rate of 6 </w:t>
      </w:r>
      <w:r>
        <w:rPr>
          <w:rFonts w:ascii="Arial" w:cs="Arial" w:eastAsia="Arial" w:hAnsi="Arial"/>
          <w:sz w:val="10"/>
          <w:szCs w:val="10"/>
          <w:color w:val="auto"/>
        </w:rPr>
        <w:t>5</w:t>
      </w:r>
      <w:r>
        <w:rPr>
          <w:rFonts w:ascii="Arial" w:cs="Arial" w:eastAsia="Arial" w:hAnsi="Arial"/>
          <w:sz w:val="16"/>
          <w:szCs w:val="16"/>
          <w:color w:val="auto"/>
        </w:rPr>
        <w:t xml:space="preserve"> /</w:t>
      </w:r>
      <w:r>
        <w:rPr>
          <w:rFonts w:ascii="Arial" w:cs="Arial" w:eastAsia="Arial" w:hAnsi="Arial"/>
          <w:sz w:val="12"/>
          <w:szCs w:val="12"/>
          <w:color w:val="auto"/>
        </w:rPr>
        <w:t>8</w:t>
      </w:r>
      <w:r>
        <w:rPr>
          <w:rFonts w:ascii="Arial" w:cs="Arial" w:eastAsia="Arial" w:hAnsi="Arial"/>
          <w:sz w:val="16"/>
          <w:szCs w:val="16"/>
          <w:color w:val="auto"/>
        </w:rPr>
        <w:t>% per year. We pay interest on the 2014 notes on June 1st and December 1st of each year. Commencing December 1, 2009, the 2014 notes became redeemable at our option at a price equal to 103.313% of the principal amount redeemed and declining ratably on December 1st of each year thereafter to 100.000% on or after December 1, 2012.</w:t>
      </w:r>
    </w:p>
    <w:p>
      <w:pPr>
        <w:spacing w:after="0" w:line="120"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indenture governing the 2014 notes contains covenants limiting our ability to incur additional debt, make distributions, investments and restricted payments, create liens, enter into transactions with affiliates, sell assets, enter into sale leaseback transactions, permit restrictions on dividends and other payments by subsidiaries, or engage in mergers, consolidations, sales of substantially all assets, sales of subsidiary stock and other specified types of transactions.</w:t>
      </w:r>
    </w:p>
    <w:p>
      <w:pPr>
        <w:spacing w:after="0" w:line="88"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2014 notes are our obligations, guaranteed by each of our subsidiaries, other than Wynn Completion Guarantor, LLC. Wynn Resorts does not guarantee our obligations under the 2014 notes. Subject to the intercreditor agreement and certain exceptions, the 2014 notes and the guarantees thereof are secured by: (1) a first priority pledge of all of the member’s interests owned by Wynn Las Vegas, LLC in its subsidiaries and of Wynn Holdings’ 100% member’s interest in Wynn Las Vegas, LLC; (2) first mortgages on all real property constituting Wynn Las Vegas, its golf course and Encore at Wynn Las Vegas; and (3) a first priority security interest in substantially all other existing and future assets of Wynn Las Vegas, LLC and the guarantors, excluding, among other things, an aircraft beneficially owned by World Travel, LLC.</w:t>
      </w:r>
    </w:p>
    <w:p>
      <w:pPr>
        <w:spacing w:after="0" w:line="144"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Our obligations and the obligations of the guarantors under the 2014 notes rank equal to the right of payment with our existing and future senior secured indebtedness, including indebtedness with respect to our credit facilities described above and the 2017 notes, and rank senior in right of payment to all of our existing and future subordinated indebtedness.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 </w:t>
      </w:r>
      <w:r>
        <w:rPr>
          <w:rFonts w:ascii="Arial" w:cs="Arial" w:eastAsia="Arial" w:hAnsi="Arial"/>
          <w:sz w:val="11"/>
          <w:szCs w:val="11"/>
          <w:b w:val="1"/>
          <w:bCs w:val="1"/>
          <w:color w:val="auto"/>
        </w:rPr>
        <w:t>7</w:t>
      </w:r>
      <w:r>
        <w:rPr>
          <w:rFonts w:ascii="Arial" w:cs="Arial" w:eastAsia="Arial" w:hAnsi="Arial"/>
          <w:sz w:val="18"/>
          <w:szCs w:val="18"/>
          <w:b w:val="1"/>
          <w:bCs w:val="1"/>
          <w:color w:val="auto"/>
        </w:rPr>
        <w:t>/</w:t>
      </w:r>
      <w:r>
        <w:rPr>
          <w:rFonts w:ascii="Arial" w:cs="Arial" w:eastAsia="Arial" w:hAnsi="Arial"/>
          <w:sz w:val="13"/>
          <w:szCs w:val="13"/>
          <w:b w:val="1"/>
          <w:bCs w:val="1"/>
          <w:color w:val="auto"/>
        </w:rPr>
        <w:t>8</w:t>
      </w:r>
      <w:r>
        <w:rPr>
          <w:rFonts w:ascii="Arial" w:cs="Arial" w:eastAsia="Arial" w:hAnsi="Arial"/>
          <w:sz w:val="18"/>
          <w:szCs w:val="18"/>
          <w:b w:val="1"/>
          <w:bCs w:val="1"/>
          <w:color w:val="auto"/>
        </w:rPr>
        <w:t>% First Mortgage Notes</w:t>
      </w:r>
    </w:p>
    <w:p>
      <w:pPr>
        <w:spacing w:after="0" w:line="96"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color w:val="auto"/>
        </w:rPr>
        <w:t xml:space="preserve">On October 19, 2009, we issued $500 million aggregate principal amount of 2017 notes at a price of 97.823% of the principal amount. The 2017 notes mature on November 1, 2017 and bear interest at the rate of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per year. We pay interest on the 2017 notes on May 1st and November 1st of each year. Commencing November 1, 2013, the 2017 notes will become redeemable at our option at a price equal to 103.938% of the principal amount redeemed and declining ratably on November 1st of each year thereafter to 100.000% on or after November 1, 2015.</w:t>
      </w:r>
    </w:p>
    <w:p>
      <w:pPr>
        <w:spacing w:after="0" w:line="1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 xml:space="preserve">On April 28, 2010, we issued $382,010,000 aggregate principal amount of 2020 notes in exchange for 2014 notes. The 2020 notes mature on May 1, 2020 and bear interest at the rate of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per year. We pay interest 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247</w:t>
      </w:r>
    </w:p>
    <w:p>
      <w:pPr>
        <w:sectPr>
          <w:pgSz w:w="11900" w:h="16838" w:orient="portrait"/>
          <w:cols w:equalWidth="0" w:num="1">
            <w:col w:w="11420"/>
          </w:cols>
          <w:pgMar w:left="240" w:top="459" w:right="23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the 2020 notes on May 1st and November 1st of each year. Commencing May 1, 2015, the 2020 notes will become redeemable at our option at a price equal to 103.938% of the principal amount redeemed and declining ratably on May 1st of each year thereafter to 100.000% on or after May 1, 2018.</w:t>
      </w:r>
    </w:p>
    <w:p>
      <w:pPr>
        <w:spacing w:after="0" w:line="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indentures governing the 2017 notes and the 2020 notes contain covenants limiting our ability to incur additional debt, make distributions, investments and restricted payments, create liens, enter into transactions with affiliates, sell assets, enter into sale leaseback transactions, permit restrictions on dividends and other payments by subsidiaries, or engage in mergers, consolidations, sales of substantially all assets, sales of subsidiary stock and other specified types of transactions.</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2017 notes and the 2020 notes are our obligations, guaranteed by each of our subsidiaries, other than Wynn Completion Guarantor, LLC. Wynn Resorts does not guarantee our obligations under the 2017 notes and the 2020 notes. Subject to the intercreditor agreement and certain exceptions, the 2017 notes and the 2020 notes and the guarantees thereof are secured by: (1) a first priority pledge of all of the member’s interests owned by Wynn Las Vegas, LLC in its subsidiaries and of Wynn Holdings’ 100% member’s interest in Wynn Las Vegas, LLC, subject to the approval of the Nevada Gaming Commission, the application for which is pending; (2) first mortgages on all real property constituting Wynn Las Vegas, its golf course and Encore at Wynn Las Vegas; and (3) a first priority security interest in substantially all other existing and future assets of Wynn Las Vegas, LLC and the guarantors, excluding, among other things, an aircraft beneficially owned by World Travel, LLC.</w:t>
      </w:r>
    </w:p>
    <w:p>
      <w:pPr>
        <w:spacing w:after="0" w:line="118"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Our obligations and the obligations of the guarantors under the 2017 notes and the 2020 notes rank equal to the right of payment with our existing and future senior secured indebtedness, including indebtedness with respect to our credit facilities described above and the 2014 notes, and rank senior in right of payment to all of our existing and future subordinated indebtedness.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248</w:t>
      </w:r>
    </w:p>
    <w:p>
      <w:pPr>
        <w:sectPr>
          <w:pgSz w:w="11900" w:h="16838" w:orient="portrait"/>
          <w:cols w:equalWidth="0" w:num="1">
            <w:col w:w="11380"/>
          </w:cols>
          <w:pgMar w:left="240" w:top="460" w:right="27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INTERCREDITOR AGREEMENT</w:t>
      </w:r>
    </w:p>
    <w:p>
      <w:pPr>
        <w:spacing w:after="0" w:line="1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intercreditor agreement (as amended or supplemented from time to time, including by any joinder agreement, the “intercreditor agreement”) that was entered into among the agent under the credit facilities, the trustee on behalf of the 2014 note holders, the trustee on behalf of the 2017 note holders, the trustee on behalf of the 2020 note holders and Deutsche Bank Trust Company Americas, in its capacity a collateral agent for each of the parties, may be joined in the future by the representative of any future first lien indebtedness permitted to be incurred which is secured by any collateral (together with indebtedness under the credit facilities, the 2014 notes, the 2017 notes and the 2020 notes, the “senior debt”) and the representative of any future second lien indebtedness permitted to be incurred which is secured by any collateral (together with any remaining second mortgage notes, the “junior debt”). By accepting the 2017 notes, the 2017 noteholders, in addition to the 2017 notes trustee, are bound by the terms of the intercreditor agreement and by accepting the 2020 notes, the 2020 note holders, in addition to the 2020 notes trustee, are bound by the terms of the intercreditor agreement. The intercreditor agreement sets forth certain agreements among the parties regarding, among other things, the priority of their claims and interests in the collateral securing the senior debt and the junior debt and other assets we own, the method of decision-making among the lenders, the holders of 2014 notes, the holders of the 2017 notes, the holders of the 2020 notes, any other senior debt holders and the junior debt holders, the arrangements applicable to actions with respect to approval rights and waivers, certain limitations on rights of enforcement upon default and the application of proceeds of enforcement. This is a summary of the material terms and provisions of the intercreditor agreement, and you should review the intercreditor agreement for a complete statement of its terms and conditions.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 Agent</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Under the intercreditor agreement, each party appoints Deutsche Bank Trust Company Americas to act as collateral agent with respect to all of the collateral (in separate capacities with respect to collateral and any separate collateral, as applicable) securing the senior debt (including with respect to the notes and the credit facilities), and certain of the collateral securing the junior debt, to exercise any remedies in respect thereof upon the occurrence of an event of default, and to act as specified in the intercreditor agreement under each of the security documents to which it is a party.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 Priority of Liens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intercreditor agreement provides that:</w:t>
      </w:r>
    </w:p>
    <w:p>
      <w:pPr>
        <w:spacing w:after="0" w:line="90" w:lineRule="exact"/>
        <w:rPr>
          <w:sz w:val="20"/>
          <w:szCs w:val="20"/>
          <w:color w:val="auto"/>
        </w:rPr>
      </w:pPr>
    </w:p>
    <w:p>
      <w:pPr>
        <w:ind w:left="900" w:right="180" w:hanging="446"/>
        <w:spacing w:after="0" w:line="318" w:lineRule="auto"/>
        <w:tabs>
          <w:tab w:leader="none" w:pos="900" w:val="left"/>
        </w:tabs>
        <w:numPr>
          <w:ilvl w:val="0"/>
          <w:numId w:val="358"/>
        </w:numPr>
        <w:rPr>
          <w:rFonts w:ascii="Arial" w:cs="Arial" w:eastAsia="Arial" w:hAnsi="Arial"/>
          <w:sz w:val="15"/>
          <w:szCs w:val="15"/>
          <w:color w:val="auto"/>
        </w:rPr>
      </w:pPr>
      <w:r>
        <w:rPr>
          <w:rFonts w:ascii="Arial" w:cs="Arial" w:eastAsia="Arial" w:hAnsi="Arial"/>
          <w:sz w:val="15"/>
          <w:szCs w:val="15"/>
          <w:color w:val="auto"/>
        </w:rPr>
        <w:t>to the extent that our indebtedness represented by the notes is permitted to be incurred and secured on a first lien basis by the credit facilities, the 2014 notes, the 2017 notes and the 2020 notes, the liens granted for the benefit of the 2020 note holders with respect to our assets and the assets pledged by the guarantors are pari passu in priority (which priority is first, subject to permitted liens) with the liens on such assets granted for the benefit of the lenders under the credit facilities, the liens granted for the benefit of the holders of the 2014 notes, the liens granted for the benefit of the holders of the 2017 notes and the permitted liens on such assets that may be granted for the benefit of any other senior debt holders; and</w:t>
      </w:r>
    </w:p>
    <w:p>
      <w:pPr>
        <w:spacing w:after="0" w:line="18" w:lineRule="exact"/>
        <w:rPr>
          <w:rFonts w:ascii="Arial" w:cs="Arial" w:eastAsia="Arial" w:hAnsi="Arial"/>
          <w:sz w:val="15"/>
          <w:szCs w:val="15"/>
          <w:color w:val="auto"/>
        </w:rPr>
      </w:pPr>
    </w:p>
    <w:p>
      <w:pPr>
        <w:ind w:left="900" w:right="80" w:hanging="446"/>
        <w:spacing w:after="0" w:line="332" w:lineRule="auto"/>
        <w:tabs>
          <w:tab w:leader="none" w:pos="900" w:val="left"/>
        </w:tabs>
        <w:numPr>
          <w:ilvl w:val="0"/>
          <w:numId w:val="358"/>
        </w:numPr>
        <w:rPr>
          <w:rFonts w:ascii="Arial" w:cs="Arial" w:eastAsia="Arial" w:hAnsi="Arial"/>
          <w:sz w:val="16"/>
          <w:szCs w:val="16"/>
          <w:color w:val="auto"/>
        </w:rPr>
      </w:pPr>
      <w:r>
        <w:rPr>
          <w:rFonts w:ascii="Arial" w:cs="Arial" w:eastAsia="Arial" w:hAnsi="Arial"/>
          <w:sz w:val="16"/>
          <w:szCs w:val="16"/>
          <w:color w:val="auto"/>
        </w:rPr>
        <w:t>the liens on such assets granted for the benefit of the junior debt holders are junior to the liens on such assets granted for the benefit of the 2020 note holders, the holders of the 2014 notes, the holders of the 2017 notes, the lenders under the credit facilities and any other senior debt holder;</w:t>
      </w:r>
    </w:p>
    <w:p>
      <w:pPr>
        <w:spacing w:after="0" w:line="85"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 foregoing shall be effective at all times during the term of the intercreditor agreement, notwithstanding: (i) the initiation of any bankruptcy, moratorium, reorganization or other insolvency proceeding with respect to any credit party; (ii) the priorities which would otherwise result from the order of creation, attachment or perfection of any such lien; (iii) the taking of possession of any of the collateral by the collateral agent, any lender, the trustee under the indenture for the 2014 notes, the trustee under the indenture for the 2017 notes,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249</w:t>
      </w:r>
    </w:p>
    <w:p>
      <w:pPr>
        <w:sectPr>
          <w:pgSz w:w="11900" w:h="16838" w:orient="portrait"/>
          <w:cols w:equalWidth="0" w:num="1">
            <w:col w:w="11400"/>
          </w:cols>
          <w:pgMar w:left="240" w:top="460" w:right="25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trustee under the indenture for the 2020 notes, any holder of 2014 notes, any holder of 2017 notes, any holder of 2020 notes, any holder (or representative of any holder) of other senior debt, or any holder (or representative of any holder) of any junior debt or; (iv) the filing of any financing statement or the recording of any deed of trust, mortgage or other instrument in any recording office; (v) the order in which any of the obligations with respect to the senior debt or the junior debt were created or in which any of the loan or note documents were filed or recorded; or (vi) whether any such lien is now perfected, hereafter ceases to be perfected, is avoidable by any bankruptcy trustee or otherwise is set aside, invalidated or lapses.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Actions of the Collateral Agent</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intercreditor agreement provides that the collateral agent has the sole and exclusive right to exercise rights and enforce remedies under the security documents to which it is a party. As long as any indebtedness remains outstanding under our credit facilities or any of our 2014 notes remain outstanding, none of the 2020 notes trustee, the 2020 note holders, the 2017 notes trustee or the 2017 note holders will have the right to direct the collateral agent to enforce remedies against the collateral. In exercising its rights and enforcing its remedies under such security documents, the collateral agent shall, subject to the terms and conditions of the intercreditor agreement, at all times act at the direction of the required secured creditors in respect of any particular matter. The identity of the required secured creditors is determined as follows:</w:t>
      </w:r>
    </w:p>
    <w:p>
      <w:pPr>
        <w:spacing w:after="0" w:line="39" w:lineRule="exact"/>
        <w:rPr>
          <w:sz w:val="20"/>
          <w:szCs w:val="20"/>
          <w:color w:val="auto"/>
        </w:rPr>
      </w:pPr>
    </w:p>
    <w:p>
      <w:pPr>
        <w:ind w:left="900" w:hanging="446"/>
        <w:spacing w:after="0"/>
        <w:tabs>
          <w:tab w:leader="none" w:pos="900" w:val="left"/>
        </w:tabs>
        <w:numPr>
          <w:ilvl w:val="0"/>
          <w:numId w:val="359"/>
        </w:numPr>
        <w:rPr>
          <w:rFonts w:ascii="Arial" w:cs="Arial" w:eastAsia="Arial" w:hAnsi="Arial"/>
          <w:sz w:val="16"/>
          <w:szCs w:val="16"/>
          <w:color w:val="auto"/>
        </w:rPr>
      </w:pPr>
      <w:r>
        <w:rPr>
          <w:rFonts w:ascii="Arial" w:cs="Arial" w:eastAsia="Arial" w:hAnsi="Arial"/>
          <w:sz w:val="16"/>
          <w:szCs w:val="16"/>
          <w:color w:val="auto"/>
        </w:rPr>
        <w:t>for purposes of causing the collateral agent to commence enforcement proceedings against the collateral pursuant to the security documents:</w:t>
      </w:r>
    </w:p>
    <w:p>
      <w:pPr>
        <w:spacing w:after="0" w:line="113" w:lineRule="exact"/>
        <w:rPr>
          <w:rFonts w:ascii="Arial" w:cs="Arial" w:eastAsia="Arial" w:hAnsi="Arial"/>
          <w:sz w:val="16"/>
          <w:szCs w:val="16"/>
          <w:color w:val="auto"/>
        </w:rPr>
      </w:pPr>
    </w:p>
    <w:p>
      <w:pPr>
        <w:ind w:left="1460" w:right="80" w:hanging="547"/>
        <w:spacing w:after="0" w:line="256" w:lineRule="auto"/>
        <w:tabs>
          <w:tab w:leader="none" w:pos="1460" w:val="left"/>
        </w:tabs>
        <w:numPr>
          <w:ilvl w:val="1"/>
          <w:numId w:val="359"/>
        </w:numPr>
        <w:rPr>
          <w:rFonts w:ascii="Arial" w:cs="Arial" w:eastAsia="Arial" w:hAnsi="Arial"/>
          <w:sz w:val="18"/>
          <w:szCs w:val="18"/>
          <w:color w:val="auto"/>
        </w:rPr>
      </w:pPr>
      <w:r>
        <w:rPr>
          <w:rFonts w:ascii="Arial" w:cs="Arial" w:eastAsia="Arial" w:hAnsi="Arial"/>
          <w:sz w:val="18"/>
          <w:szCs w:val="18"/>
          <w:color w:val="auto"/>
        </w:rPr>
        <w:t>at any time after the expiration of 30 days following the earlier of (i) a payment event of default with respect to the 2014 notes or (ii) an acceleration of the 2014 notes, then holders of the majority of the aggregate outstanding amount of the 2014 notes and loans under the credit facilities shall constitute the required secured creditors for purposes of causing the collateral agent to commence enforcement proceedings pursuant to the security documents; and</w:t>
      </w:r>
    </w:p>
    <w:p>
      <w:pPr>
        <w:spacing w:after="0" w:line="62" w:lineRule="exact"/>
        <w:rPr>
          <w:rFonts w:ascii="Arial" w:cs="Arial" w:eastAsia="Arial" w:hAnsi="Arial"/>
          <w:sz w:val="18"/>
          <w:szCs w:val="18"/>
          <w:color w:val="auto"/>
        </w:rPr>
      </w:pPr>
    </w:p>
    <w:p>
      <w:pPr>
        <w:ind w:left="1460" w:hanging="547"/>
        <w:spacing w:after="0" w:line="290" w:lineRule="auto"/>
        <w:tabs>
          <w:tab w:leader="none" w:pos="1460" w:val="left"/>
        </w:tabs>
        <w:numPr>
          <w:ilvl w:val="1"/>
          <w:numId w:val="359"/>
        </w:numPr>
        <w:rPr>
          <w:rFonts w:ascii="Arial" w:cs="Arial" w:eastAsia="Arial" w:hAnsi="Arial"/>
          <w:sz w:val="16"/>
          <w:szCs w:val="16"/>
          <w:color w:val="auto"/>
        </w:rPr>
      </w:pPr>
      <w:r>
        <w:rPr>
          <w:rFonts w:ascii="Arial" w:cs="Arial" w:eastAsia="Arial" w:hAnsi="Arial"/>
          <w:sz w:val="16"/>
          <w:szCs w:val="16"/>
          <w:color w:val="auto"/>
        </w:rPr>
        <w:t xml:space="preserve">at any time that an event of default exists under the credit facilities, then the agent on behalf of the lenders under the credit facilities shall constitute the required secured creditors for purposes of causing the collateral agent to commence enforcement proceedings pursuant to the security documents;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(i) a payment event of default with respect to the 2014 notes or (ii) the acceleration of the 2014 notes has occurred and is continuing for more than 30 days and an event of default has occurred and is continuing under the credit facilities, then, for purposes of causing the collateral agent to commence enforcement proceedings against the collateral pursuant to the security documents, either (x) the agent on behalf of the lenders under the credit facilities or (y) the holders of the majority of the aggregate outstanding amount of 2014 notes and loans under the credit facilities shall constitute the required secured creditors;</w:t>
      </w:r>
    </w:p>
    <w:p>
      <w:pPr>
        <w:spacing w:after="0" w:line="37" w:lineRule="exact"/>
        <w:rPr>
          <w:rFonts w:ascii="Arial" w:cs="Arial" w:eastAsia="Arial" w:hAnsi="Arial"/>
          <w:sz w:val="16"/>
          <w:szCs w:val="16"/>
          <w:color w:val="auto"/>
        </w:rPr>
      </w:pPr>
    </w:p>
    <w:p>
      <w:pPr>
        <w:ind w:left="1460" w:right="260" w:hanging="547"/>
        <w:spacing w:after="0" w:line="259" w:lineRule="auto"/>
        <w:tabs>
          <w:tab w:leader="none" w:pos="1460" w:val="left"/>
        </w:tabs>
        <w:numPr>
          <w:ilvl w:val="1"/>
          <w:numId w:val="359"/>
        </w:numPr>
        <w:rPr>
          <w:rFonts w:ascii="Arial" w:cs="Arial" w:eastAsia="Arial" w:hAnsi="Arial"/>
          <w:sz w:val="18"/>
          <w:szCs w:val="18"/>
          <w:color w:val="auto"/>
        </w:rPr>
      </w:pPr>
      <w:r>
        <w:rPr>
          <w:rFonts w:ascii="Arial" w:cs="Arial" w:eastAsia="Arial" w:hAnsi="Arial"/>
          <w:sz w:val="18"/>
          <w:szCs w:val="18"/>
          <w:color w:val="auto"/>
        </w:rPr>
        <w:t>for purposes of causing the collateral agent to commence enforcement proceedings against the account holding the proceeds of term loans and certain proceeds of revolving loans made under the credit facilities, the agent under the credit facilities shall constitute the required secured creditors;</w:t>
      </w:r>
    </w:p>
    <w:p>
      <w:pPr>
        <w:spacing w:after="0" w:line="59" w:lineRule="exact"/>
        <w:rPr>
          <w:rFonts w:ascii="Arial" w:cs="Arial" w:eastAsia="Arial" w:hAnsi="Arial"/>
          <w:sz w:val="18"/>
          <w:szCs w:val="18"/>
          <w:color w:val="auto"/>
        </w:rPr>
      </w:pPr>
    </w:p>
    <w:p>
      <w:pPr>
        <w:ind w:left="1460" w:right="60" w:hanging="547"/>
        <w:spacing w:after="0" w:line="357" w:lineRule="auto"/>
        <w:tabs>
          <w:tab w:leader="none" w:pos="1460" w:val="left"/>
        </w:tabs>
        <w:numPr>
          <w:ilvl w:val="1"/>
          <w:numId w:val="359"/>
        </w:numPr>
        <w:rPr>
          <w:rFonts w:ascii="Arial" w:cs="Arial" w:eastAsia="Arial" w:hAnsi="Arial"/>
          <w:sz w:val="15"/>
          <w:szCs w:val="15"/>
          <w:color w:val="auto"/>
        </w:rPr>
      </w:pPr>
      <w:r>
        <w:rPr>
          <w:rFonts w:ascii="Arial" w:cs="Arial" w:eastAsia="Arial" w:hAnsi="Arial"/>
          <w:sz w:val="15"/>
          <w:szCs w:val="15"/>
          <w:color w:val="auto"/>
        </w:rPr>
        <w:t>once enforcement proceedings have been commenced in accordance with the first bullet-point above, only the required secured creditors that directed the collateral agent to commence such proceedings shall be required to direct the collateral agent to discontinue the proceedings;</w:t>
      </w:r>
    </w:p>
    <w:p>
      <w:pPr>
        <w:ind w:left="1460" w:right="180" w:hanging="547"/>
        <w:spacing w:after="0" w:line="318" w:lineRule="auto"/>
        <w:tabs>
          <w:tab w:leader="none" w:pos="1460" w:val="left"/>
        </w:tabs>
        <w:numPr>
          <w:ilvl w:val="1"/>
          <w:numId w:val="359"/>
        </w:numPr>
        <w:rPr>
          <w:rFonts w:ascii="Arial" w:cs="Arial" w:eastAsia="Arial" w:hAnsi="Arial"/>
          <w:sz w:val="15"/>
          <w:szCs w:val="15"/>
          <w:color w:val="auto"/>
        </w:rPr>
      </w:pPr>
      <w:r>
        <w:rPr>
          <w:rFonts w:ascii="Arial" w:cs="Arial" w:eastAsia="Arial" w:hAnsi="Arial"/>
          <w:sz w:val="15"/>
          <w:szCs w:val="15"/>
          <w:color w:val="auto"/>
        </w:rPr>
        <w:t>for purposes of directing the manner and method of enforcement proceedings once commenced in accordance with the first bullet-point above, the collateral agent shall make all decisions that it deems appropriate to diligently prosecute and complete such proceedings unless instructed to do otherwise by any joint committee formed by the holders of the 2014 notes, the holders of the 2017 notes, the holders of the 2020 notes and the lenders under the credit facilities or, if no such joint committee has been formed, by the trustee under the indenture governing the 2014 notes and the agent on behalf of the lenders under the credit facilities, acting together, who shall constitute the</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250</w:t>
      </w:r>
    </w:p>
    <w:p>
      <w:pPr>
        <w:sectPr>
          <w:pgSz w:w="11900" w:h="16838" w:orient="portrait"/>
          <w:cols w:equalWidth="0" w:num="1">
            <w:col w:w="11420"/>
          </w:cols>
          <w:pgMar w:left="240" w:top="459" w:right="23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60"/>
        <w:spacing w:after="0" w:line="282" w:lineRule="auto"/>
        <w:rPr>
          <w:sz w:val="20"/>
          <w:szCs w:val="20"/>
          <w:color w:val="auto"/>
        </w:rPr>
      </w:pPr>
      <w:r>
        <w:rPr>
          <w:rFonts w:ascii="Arial" w:cs="Arial" w:eastAsia="Arial" w:hAnsi="Arial"/>
          <w:sz w:val="16"/>
          <w:szCs w:val="16"/>
          <w:color w:val="auto"/>
        </w:rPr>
        <w:t>required secured creditors under such circumstances. If the collateral agent requests instructions from the required secured creditors with respect to the manner and method of enforcement proceedings, then if such a joint committee has been formed and is then in effect, such joint committee shall constitute the required secured creditors or, if such a joint committee has not been formed or is not then in effect, the trustee under the indenture governing the 2014 notes and the agent on behalf of the lenders under the credit facilities, acting together, shall constitute the required secured creditors. If such trustees and the agent for the lenders under the credit facilities have all failed to respond to the collateral agent’s request for instructions or if the collateral agent receives conflicting instructions from such trustee and the agent for the lenders under the credit facilities, the collateral agent shall not act under the requested instructions until a non-conflicting instruction is received from either (i) the trustee under the indenture governing the 2014 notes and the agent for the lenders under the credit facilities or</w:t>
      </w:r>
    </w:p>
    <w:p>
      <w:pPr>
        <w:spacing w:after="0" w:line="6" w:lineRule="exact"/>
        <w:rPr>
          <w:sz w:val="20"/>
          <w:szCs w:val="20"/>
          <w:color w:val="auto"/>
        </w:rPr>
      </w:pPr>
    </w:p>
    <w:p>
      <w:pPr>
        <w:ind w:left="1480"/>
        <w:spacing w:after="0" w:line="295" w:lineRule="auto"/>
        <w:tabs>
          <w:tab w:leader="none" w:pos="1738" w:val="left"/>
        </w:tabs>
        <w:numPr>
          <w:ilvl w:val="1"/>
          <w:numId w:val="360"/>
        </w:numPr>
        <w:rPr>
          <w:rFonts w:ascii="Arial" w:cs="Arial" w:eastAsia="Arial" w:hAnsi="Arial"/>
          <w:sz w:val="16"/>
          <w:szCs w:val="16"/>
          <w:color w:val="auto"/>
        </w:rPr>
      </w:pPr>
      <w:r>
        <w:rPr>
          <w:rFonts w:ascii="Arial" w:cs="Arial" w:eastAsia="Arial" w:hAnsi="Arial"/>
          <w:sz w:val="16"/>
          <w:szCs w:val="16"/>
          <w:color w:val="auto"/>
        </w:rPr>
        <w:t>the holders of a majority of the then outstanding indebtedness under the indenture governing the 2014 notes and the credit facilities. If the trustee under the indenture governing the 2014 notes or the agent for the lenders under the credit facilities responds with instructions to the collateral agent within ten business days but one or more of the others fails to respond during such time period, then the required secured creditors under such circumstances shall constitute the parties who responded during such time frame;</w:t>
      </w:r>
    </w:p>
    <w:p>
      <w:pPr>
        <w:spacing w:after="0" w:line="47" w:lineRule="exact"/>
        <w:rPr>
          <w:rFonts w:ascii="Arial" w:cs="Arial" w:eastAsia="Arial" w:hAnsi="Arial"/>
          <w:sz w:val="16"/>
          <w:szCs w:val="16"/>
          <w:color w:val="auto"/>
        </w:rPr>
      </w:pPr>
    </w:p>
    <w:p>
      <w:pPr>
        <w:ind w:left="900" w:right="20" w:hanging="446"/>
        <w:spacing w:after="0" w:line="284" w:lineRule="auto"/>
        <w:tabs>
          <w:tab w:leader="none" w:pos="900" w:val="left"/>
        </w:tabs>
        <w:numPr>
          <w:ilvl w:val="0"/>
          <w:numId w:val="360"/>
        </w:numPr>
        <w:rPr>
          <w:rFonts w:ascii="Arial" w:cs="Arial" w:eastAsia="Arial" w:hAnsi="Arial"/>
          <w:sz w:val="16"/>
          <w:szCs w:val="16"/>
          <w:color w:val="auto"/>
        </w:rPr>
      </w:pPr>
      <w:r>
        <w:rPr>
          <w:rFonts w:ascii="Arial" w:cs="Arial" w:eastAsia="Arial" w:hAnsi="Arial"/>
          <w:sz w:val="16"/>
          <w:szCs w:val="16"/>
          <w:color w:val="auto"/>
        </w:rPr>
        <w:t>for purposes of amending, modifying, varying or waiving any provisions of the security documents in respect of the collateral, including waiving any event of default thereunder, the agent for the lenders under the credit facilities shall constitute the required secured creditors entitled to amend, modify, vary or waive any provision of the security documents in respect of the collateral (without the consent of the trustee under the indenture governing the 2014 notes, the holders of the 2014 notes, the trustee under the indenture governing the 2017 notes, the holders of the 2017 notes, the trustee under the indenture governing the 2020 notes, the holders of the 2020 notes, the representative of any other senior debt, the holders of any other senior debt, the representative of any junior debt or the holders of any junior debt). Any such amendments, modifications or waivers shall be effective, and shall automatically apply to, any security documents entered into for the benefit of any other senior debt and junior debt including the 2014 notes, the 2017 notes and the 2020 notes. In addition, none of the trustee under the indenture governing the 2020 notes, the holders of the 2020 notes, the trustee under the indenture governing the 2017 notes or the holders of 2017 notes shall have any right to amend or modify any provisions of the security documents. Notwithstanding the foregoing, unless such amendment, modification, variance or waiver is expressly permitted to occur without the consent of the trustee under the indenture governing the 2020 notes, the trustee under the indenture governing the 2014 notes, the trustee under the indenture governing the 2017 notes, the trustee under the indenture governing the 2017 notes and without the consent of the representative of any senior or junior debt under the terms of any indenture, note or other document evidencing or governing such senior or junior debt, to the extent that such amendment, modification, variance or waiver will result in the release of any portion of the collateral under the security documents, the consent of the trustee under the indenture governing the 2014 notes, the trustee under the indenture governing the 2017 notes and the trustee under the indenture governing the 2020 notes will be required and the consent of a representative of such senior or junior debt or holder of such senior or junior debt may be required. To the extent such amendment, modification, variance or waiver will adversely affect the interests of any holders of senior debt or junior debt in a manner that does not similarly affect the interests of the lenders under the credit facilities, the consent of a representative of such senior or junior debt, as the case may be, will be required. In addition, any default occurring under a security document by reason of a default under the indenture governing the 2014 notes, the indenture governing the 2017 notes, the indenture governing the 2020 notes, the indenture or the instrument governing any senior or junior debt may only be waived by the trustee under the indenture governing the 2014 notes, the trustee under the indenture governing the 2017 notes, the trustee under the indenture governing the 2020 notes, or the representative of any senior or junior debt, as the case may be;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251</w:t>
      </w:r>
    </w:p>
    <w:p>
      <w:pPr>
        <w:sectPr>
          <w:pgSz w:w="11900" w:h="16838" w:orient="portrait"/>
          <w:cols w:equalWidth="0" w:num="1">
            <w:col w:w="11420"/>
          </w:cols>
          <w:pgMar w:left="240" w:top="460" w:right="23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 w:hanging="446"/>
        <w:spacing w:after="0" w:line="259" w:lineRule="auto"/>
        <w:tabs>
          <w:tab w:leader="none" w:pos="90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for purposes of adjusting settlement of all insurance claims and condemnation awards in the event of any covered loss, theft or destruction or condemnation of any collateral, and all claims under insurance constituting collateral, then, subject to the following paragraphs, the required secured creditors at such times shall be the agent under the credit facilities;</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if at the time of an action by the required secured creditors all of our obligations under the credit facilities have been paid in full and the commitments of the lenders under the credit facilities have terminated, then the required secured creditors at such times shall be the trustee under the indenture governing the 2014 notes;</w:t>
      </w:r>
    </w:p>
    <w:p>
      <w:pPr>
        <w:spacing w:after="0" w:line="59" w:lineRule="exact"/>
        <w:rPr>
          <w:rFonts w:ascii="Arial" w:cs="Arial" w:eastAsia="Arial" w:hAnsi="Arial"/>
          <w:sz w:val="18"/>
          <w:szCs w:val="18"/>
          <w:color w:val="auto"/>
        </w:rPr>
      </w:pPr>
    </w:p>
    <w:p>
      <w:pPr>
        <w:ind w:left="900" w:hanging="446"/>
        <w:spacing w:after="0" w:line="256" w:lineRule="auto"/>
        <w:tabs>
          <w:tab w:leader="none" w:pos="90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if at the time of an action by the required secured creditors all of our obligations under the 2014 notes have been paid in full and all of our obligations under the credit facilities have been paid in full and the commitments of the lenders under the credit facilities have terminated, then the required secured creditors at such times shall be the trustee under the indenture governing the 2017 notes, the trustee under the indenture governing the 2020 notes, and the representative of each other class of senior debt outstanding; and</w:t>
      </w:r>
    </w:p>
    <w:p>
      <w:pPr>
        <w:spacing w:after="0" w:line="62" w:lineRule="exact"/>
        <w:rPr>
          <w:rFonts w:ascii="Arial" w:cs="Arial" w:eastAsia="Arial" w:hAnsi="Arial"/>
          <w:sz w:val="18"/>
          <w:szCs w:val="18"/>
          <w:color w:val="auto"/>
        </w:rPr>
      </w:pPr>
    </w:p>
    <w:p>
      <w:pPr>
        <w:jc w:val="both"/>
        <w:ind w:left="900" w:hanging="446"/>
        <w:spacing w:after="0" w:line="298" w:lineRule="auto"/>
        <w:tabs>
          <w:tab w:leader="none" w:pos="900" w:val="left"/>
        </w:tabs>
        <w:numPr>
          <w:ilvl w:val="0"/>
          <w:numId w:val="361"/>
        </w:numPr>
        <w:rPr>
          <w:rFonts w:ascii="Arial" w:cs="Arial" w:eastAsia="Arial" w:hAnsi="Arial"/>
          <w:sz w:val="16"/>
          <w:szCs w:val="16"/>
          <w:color w:val="auto"/>
        </w:rPr>
      </w:pPr>
      <w:r>
        <w:rPr>
          <w:rFonts w:ascii="Arial" w:cs="Arial" w:eastAsia="Arial" w:hAnsi="Arial"/>
          <w:sz w:val="16"/>
          <w:szCs w:val="16"/>
          <w:color w:val="auto"/>
        </w:rPr>
        <w:t>if at the time of an action by the required secured creditors, all of our obligations under the 2020 notes, all of our obligations under the 2017 notes, all of our obligations under the 2014 notes, all of our obligations under the credit facilities and all of our obligations under any other senior debt have all been paid in full and the commitments of the lenders under the credit facilities and the commitments of any other lenders under any other senior debt have terminated, then the required secured creditors at such times shall be each representative of any junior debt.</w:t>
      </w:r>
    </w:p>
    <w:p>
      <w:pPr>
        <w:spacing w:after="0" w:line="113" w:lineRule="exact"/>
        <w:rPr>
          <w:sz w:val="20"/>
          <w:szCs w:val="20"/>
          <w:color w:val="auto"/>
        </w:rPr>
      </w:pPr>
    </w:p>
    <w:p>
      <w:pPr>
        <w:ind w:right="380" w:firstLine="456"/>
        <w:spacing w:after="0" w:line="370" w:lineRule="auto"/>
        <w:rPr>
          <w:sz w:val="20"/>
          <w:szCs w:val="20"/>
          <w:color w:val="auto"/>
        </w:rPr>
      </w:pPr>
      <w:r>
        <w:rPr>
          <w:rFonts w:ascii="Arial" w:cs="Arial" w:eastAsia="Arial" w:hAnsi="Arial"/>
          <w:sz w:val="15"/>
          <w:szCs w:val="15"/>
          <w:color w:val="auto"/>
        </w:rPr>
        <w:t>The indenture governing the 2020 notes provides that the consent of the 2020 notes trustee will not be required for any amendment to the intercreditor agreement providing the 2020 notes trustee greater rights to participate in decisions regarding collateral and/or the enforcement of security documents.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Permanent Standstill With Respect to Junior Debt</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intercreditor agreement provides that, if there is a payment default or an acceleration with respect to the senior debt, then the collateral agent shall have the right to notify the representative of any junior debt of such default, and any payments thereafter received by any junior debt holders (continuing until such time, if any, as all such defaults have been cured) shall be turned over to the collateral agent for application against the indebtedness under the senior debt, and be applied in accordance with the intercreditor agreement.</w:t>
      </w:r>
    </w:p>
    <w:p>
      <w:pPr>
        <w:spacing w:after="0" w:line="14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intercreditor agreement provides that, at any time that there is any outstanding indebtedness under the senior debt, the representative of any junior debt (and the junior debt holders) shall not be permitted to exercise any remedies, or to instruct the collateral agent to exercise any remedies, with respect to the collateral following a default under any instrument governing such junior debt, except with the prior consent of each representative of senior debt (including the agent under the credit facilities, the trustee under the indenture governing the 2020 notes, the trustee under the indenture governing the 2017 notes and the trustee under the indenture governing the 2014 notes). In particular, the representative of such junior debt will not have the right to (or instruct the collateral agent to) commence foreclosure proceedings against any portion of the collateral, or take other actions with respect to the collateral, except as described in the previous sentence.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the foregoing, the representative of any junior debt shall have the right upon a default:</w:t>
      </w:r>
    </w:p>
    <w:p>
      <w:pPr>
        <w:spacing w:after="0" w:line="90" w:lineRule="exact"/>
        <w:rPr>
          <w:sz w:val="20"/>
          <w:szCs w:val="20"/>
          <w:color w:val="auto"/>
        </w:rPr>
      </w:pPr>
    </w:p>
    <w:p>
      <w:pPr>
        <w:jc w:val="both"/>
        <w:ind w:left="900" w:right="660" w:hanging="446"/>
        <w:spacing w:after="0" w:line="357" w:lineRule="auto"/>
        <w:tabs>
          <w:tab w:leader="none" w:pos="900" w:val="left"/>
        </w:tabs>
        <w:numPr>
          <w:ilvl w:val="0"/>
          <w:numId w:val="362"/>
        </w:numPr>
        <w:rPr>
          <w:rFonts w:ascii="Arial" w:cs="Arial" w:eastAsia="Arial" w:hAnsi="Arial"/>
          <w:sz w:val="15"/>
          <w:szCs w:val="15"/>
          <w:color w:val="auto"/>
        </w:rPr>
      </w:pPr>
      <w:r>
        <w:rPr>
          <w:rFonts w:ascii="Arial" w:cs="Arial" w:eastAsia="Arial" w:hAnsi="Arial"/>
          <w:sz w:val="15"/>
          <w:szCs w:val="15"/>
          <w:color w:val="auto"/>
        </w:rPr>
        <w:t>to take actions to preserve or protect the liens securing such junior debt (so long as the actions are not adverse to the lenders under the credit facilities, the holders of the 2014 notes, the holders of the 2017 notes, the holders of the 2020 notes or the holders of any other senior debt);</w:t>
      </w:r>
    </w:p>
    <w:p>
      <w:pPr>
        <w:ind w:left="900" w:right="180" w:hanging="446"/>
        <w:spacing w:after="0" w:line="268" w:lineRule="auto"/>
        <w:tabs>
          <w:tab w:leader="none" w:pos="90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to purchase or payoff all amounts owed under the senior debt (provided that such junior debt holders shall not be required in such circumstances to pay any prepayment charges or premiums payable under the terms of the senior debt);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252</w:t>
      </w:r>
    </w:p>
    <w:p>
      <w:pPr>
        <w:sectPr>
          <w:pgSz w:w="11900" w:h="16838" w:orient="portrait"/>
          <w:cols w:equalWidth="0" w:num="1">
            <w:col w:w="11400"/>
          </w:cols>
          <w:pgMar w:left="240" w:top="459" w:right="25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to accelerate such junior indebtedness; and</w:t>
      </w:r>
    </w:p>
    <w:p>
      <w:pPr>
        <w:spacing w:after="0" w:line="90"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to commence an involuntary bankruptcy proceeding with respect to Wynn Las Vegas, Wynn Capital and/or any of the guarantors of the 2020 notes, the 2017 notes or the 2014 notes.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Proceeds received in connection with any exercise of remedies against the collateral shall be applied:</w:t>
      </w:r>
    </w:p>
    <w:p>
      <w:pPr>
        <w:spacing w:after="0" w:line="90" w:lineRule="exact"/>
        <w:rPr>
          <w:sz w:val="20"/>
          <w:szCs w:val="20"/>
          <w:color w:val="auto"/>
        </w:rPr>
      </w:pPr>
    </w:p>
    <w:p>
      <w:pPr>
        <w:ind w:left="900" w:hanging="446"/>
        <w:spacing w:after="0"/>
        <w:tabs>
          <w:tab w:leader="none" w:pos="90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first, to certain costs and expenses of the collateral agent in connection with undertaking such enforcement;</w:t>
      </w:r>
    </w:p>
    <w:p>
      <w:pPr>
        <w:spacing w:after="0" w:line="90" w:lineRule="exact"/>
        <w:rPr>
          <w:rFonts w:ascii="Arial" w:cs="Arial" w:eastAsia="Arial" w:hAnsi="Arial"/>
          <w:sz w:val="18"/>
          <w:szCs w:val="18"/>
          <w:color w:val="auto"/>
        </w:rPr>
      </w:pPr>
    </w:p>
    <w:p>
      <w:pPr>
        <w:ind w:left="900" w:hanging="446"/>
        <w:spacing w:after="0" w:line="323" w:lineRule="auto"/>
        <w:tabs>
          <w:tab w:leader="none" w:pos="900" w:val="left"/>
        </w:tabs>
        <w:numPr>
          <w:ilvl w:val="0"/>
          <w:numId w:val="364"/>
        </w:numPr>
        <w:rPr>
          <w:rFonts w:ascii="Arial" w:cs="Arial" w:eastAsia="Arial" w:hAnsi="Arial"/>
          <w:sz w:val="15"/>
          <w:szCs w:val="15"/>
          <w:color w:val="auto"/>
        </w:rPr>
      </w:pPr>
      <w:r>
        <w:rPr>
          <w:rFonts w:ascii="Arial" w:cs="Arial" w:eastAsia="Arial" w:hAnsi="Arial"/>
          <w:sz w:val="15"/>
          <w:szCs w:val="15"/>
          <w:color w:val="auto"/>
        </w:rPr>
        <w:t>second, to the payment of all principal and interest outstanding under the senior debt and other extensions of credit under the senior debt (including with respect to any protective advances made by the agent or lenders under our credit facilities or the holders of the 2020 notes or the trustee under the indenture governing the 2020 notes, or the holders of the 2017 notes or the trustee under the indenture governing the 2017 notes, or the holders of the 2014 notes or the trustee under the indenture governing the 2014 notes), pro rata among the senior debt based on the outstanding amounts thereof;</w:t>
      </w:r>
    </w:p>
    <w:p>
      <w:pPr>
        <w:spacing w:after="0" w:line="16" w:lineRule="exact"/>
        <w:rPr>
          <w:rFonts w:ascii="Arial" w:cs="Arial" w:eastAsia="Arial" w:hAnsi="Arial"/>
          <w:sz w:val="15"/>
          <w:szCs w:val="15"/>
          <w:color w:val="auto"/>
        </w:rPr>
      </w:pPr>
    </w:p>
    <w:p>
      <w:pPr>
        <w:ind w:left="900" w:right="20" w:hanging="446"/>
        <w:spacing w:after="0" w:line="268" w:lineRule="auto"/>
        <w:tabs>
          <w:tab w:leader="none" w:pos="90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third, to the payment of all obligations outstanding under the senior debt other than the items set forth above, pro rata among the senior debt based on the outstanding amounts thereof;</w:t>
      </w:r>
    </w:p>
    <w:p>
      <w:pPr>
        <w:spacing w:after="0" w:line="50" w:lineRule="exact"/>
        <w:rPr>
          <w:rFonts w:ascii="Arial" w:cs="Arial" w:eastAsia="Arial" w:hAnsi="Arial"/>
          <w:sz w:val="18"/>
          <w:szCs w:val="18"/>
          <w:color w:val="auto"/>
        </w:rPr>
      </w:pPr>
    </w:p>
    <w:p>
      <w:pPr>
        <w:ind w:left="900" w:right="180" w:hanging="446"/>
        <w:spacing w:after="0" w:line="332" w:lineRule="auto"/>
        <w:tabs>
          <w:tab w:leader="none" w:pos="900" w:val="left"/>
        </w:tabs>
        <w:numPr>
          <w:ilvl w:val="0"/>
          <w:numId w:val="364"/>
        </w:numPr>
        <w:rPr>
          <w:rFonts w:ascii="Arial" w:cs="Arial" w:eastAsia="Arial" w:hAnsi="Arial"/>
          <w:sz w:val="16"/>
          <w:szCs w:val="16"/>
          <w:color w:val="auto"/>
        </w:rPr>
      </w:pPr>
      <w:r>
        <w:rPr>
          <w:rFonts w:ascii="Arial" w:cs="Arial" w:eastAsia="Arial" w:hAnsi="Arial"/>
          <w:sz w:val="16"/>
          <w:szCs w:val="16"/>
          <w:color w:val="auto"/>
        </w:rPr>
        <w:t>fourth, to the payment of all principal and interest outstanding under the junior debt (including with respect to any protective advances made by the holders of the junior debt or their representatives), pro rata among the junior debt based on the outstanding amounts thereof;</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fifth, to the payment of all obligations outstanding under the junior debt other than principal and interest, pro rata among the junior debt based on the outstanding amounts thereof;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sixth, to whomever is lawfully entitled to receive any remaining funds.</w:t>
      </w:r>
    </w:p>
    <w:p>
      <w:pPr>
        <w:spacing w:after="0" w:line="17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addition, the intercreditor agreement provides that certain non-pro rata payments received by any 2020 note holder, any 2017 note holder, any 2014 note holder, any lender under the credit facilities or any other senior debt holder shall be remitted to the collateral agent for redistribution in a pro rata manner among each senior debt holder. Subject to certain exceptions, payments subject to this pro rata redistribution requirement include, among other things, (i) proceeds of any exercise of any lender, any 2014 note holder, any 2017 note holder or any 2020 note holder’s right of setoff, banker’s lien or counterclaim, or from any security or from any realization (whether through attachment, foreclosure or otherwise) of our assets or our affiliates’ assets, and (ii) payments made after an event of default has occurred and is continuing.</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Intercreditor Arrangements in Bankruptcy</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intercreditor agreement provides that in any bankruptcy of Wynn Las Vegas, Wynn Capital or any of the guarantors, no junior debt holders and no representative of any junior debt shall, among other things:</w:t>
      </w:r>
    </w:p>
    <w:p>
      <w:pPr>
        <w:spacing w:after="0" w:line="51" w:lineRule="exact"/>
        <w:rPr>
          <w:sz w:val="20"/>
          <w:szCs w:val="20"/>
          <w:color w:val="auto"/>
        </w:rPr>
      </w:pPr>
    </w:p>
    <w:p>
      <w:pPr>
        <w:jc w:val="both"/>
        <w:ind w:left="900" w:right="60" w:hanging="446"/>
        <w:spacing w:after="0" w:line="335" w:lineRule="auto"/>
        <w:tabs>
          <w:tab w:leader="none" w:pos="900" w:val="left"/>
        </w:tabs>
        <w:numPr>
          <w:ilvl w:val="0"/>
          <w:numId w:val="365"/>
        </w:numPr>
        <w:rPr>
          <w:rFonts w:ascii="Arial" w:cs="Arial" w:eastAsia="Arial" w:hAnsi="Arial"/>
          <w:sz w:val="15"/>
          <w:szCs w:val="15"/>
          <w:color w:val="auto"/>
        </w:rPr>
      </w:pPr>
      <w:r>
        <w:rPr>
          <w:rFonts w:ascii="Arial" w:cs="Arial" w:eastAsia="Arial" w:hAnsi="Arial"/>
          <w:sz w:val="15"/>
          <w:szCs w:val="15"/>
          <w:color w:val="auto"/>
        </w:rPr>
        <w:t>challenge the liens of the lenders under the credit facilities, the holders of the 2020 notes, the holders of the 2017 notes, the holders of the 2014 notes or the holders of other senior debt (and the lenders, the holders of the 2020 notes, the holders of the 2017 notes, the holders of the 2014 notes and the holders of other senior debt correspondingly shall agree not to take any action challenging the liens in favor of any such junior debt holders);</w:t>
      </w:r>
    </w:p>
    <w:p>
      <w:pPr>
        <w:spacing w:after="0" w:line="7" w:lineRule="exact"/>
        <w:rPr>
          <w:rFonts w:ascii="Arial" w:cs="Arial" w:eastAsia="Arial" w:hAnsi="Arial"/>
          <w:sz w:val="15"/>
          <w:szCs w:val="15"/>
          <w:color w:val="auto"/>
        </w:rPr>
      </w:pPr>
    </w:p>
    <w:p>
      <w:pPr>
        <w:jc w:val="both"/>
        <w:ind w:left="900" w:right="220" w:hanging="446"/>
        <w:spacing w:after="0" w:line="256" w:lineRule="auto"/>
        <w:tabs>
          <w:tab w:leader="none" w:pos="90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oppose or contest any motion of the agent under the credit facilities, the trustee under the indenture governing the 2020 notes, the trustee under the indenture governing the 2017 notes, the trustee under the indenture governing the 2014 notes or any representative of other senior debt holders for relief from the automatic stay or any injunction against foreclosure or enforcement of the credit facilities, the 2020 notes, the 2017 notes, the 2014 notes or other senior debt;</w:t>
      </w:r>
    </w:p>
    <w:p>
      <w:pPr>
        <w:spacing w:after="0" w:line="62"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oppose or contest a credit bid of indebtedness under the credit facilities, the 2020 notes, the 2017 notes, the 2014 notes or other senior debt at any foreclosure sale;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253</w:t>
      </w:r>
    </w:p>
    <w:p>
      <w:pPr>
        <w:sectPr>
          <w:pgSz w:w="11900" w:h="16838" w:orient="portrait"/>
          <w:cols w:equalWidth="0" w:num="1">
            <w:col w:w="11420"/>
          </w:cols>
          <w:pgMar w:left="240" w:top="460" w:right="23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80" w:hanging="446"/>
        <w:spacing w:after="0" w:line="259" w:lineRule="auto"/>
        <w:tabs>
          <w:tab w:leader="none" w:pos="90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oppose or contest any use of cash collateral that has been approved by the agent under the credit facilities, the trustee under the indenture governing the 2020 notes, the trustee under the indenture governing the 2017 notes, the trustee under the indenture governing the 2014 notes or any representative of other senior debt holders so long as such use of cash collateral calls for:</w:t>
      </w:r>
    </w:p>
    <w:p>
      <w:pPr>
        <w:spacing w:after="0" w:line="59" w:lineRule="exact"/>
        <w:rPr>
          <w:rFonts w:ascii="Arial" w:cs="Arial" w:eastAsia="Arial" w:hAnsi="Arial"/>
          <w:sz w:val="18"/>
          <w:szCs w:val="18"/>
          <w:color w:val="auto"/>
        </w:rPr>
      </w:pPr>
    </w:p>
    <w:p>
      <w:pPr>
        <w:ind w:left="1460" w:right="300" w:hanging="547"/>
        <w:spacing w:after="0" w:line="268" w:lineRule="auto"/>
        <w:tabs>
          <w:tab w:leader="none" w:pos="1460" w:val="left"/>
        </w:tabs>
        <w:numPr>
          <w:ilvl w:val="1"/>
          <w:numId w:val="366"/>
        </w:numPr>
        <w:rPr>
          <w:rFonts w:ascii="Arial" w:cs="Arial" w:eastAsia="Arial" w:hAnsi="Arial"/>
          <w:sz w:val="18"/>
          <w:szCs w:val="18"/>
          <w:color w:val="auto"/>
        </w:rPr>
      </w:pPr>
      <w:r>
        <w:rPr>
          <w:rFonts w:ascii="Arial" w:cs="Arial" w:eastAsia="Arial" w:hAnsi="Arial"/>
          <w:sz w:val="18"/>
          <w:szCs w:val="18"/>
          <w:color w:val="auto"/>
        </w:rPr>
        <w:t>payment of expenses reasonably necessary or appropriate for the conduct of the business of Wynn Las Vegas, Wynn Capital or certain of their affiliates, or for the preservation of the collateral;</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1"/>
          <w:numId w:val="366"/>
        </w:numPr>
        <w:rPr>
          <w:rFonts w:ascii="Arial" w:cs="Arial" w:eastAsia="Arial" w:hAnsi="Arial"/>
          <w:sz w:val="18"/>
          <w:szCs w:val="18"/>
          <w:color w:val="auto"/>
        </w:rPr>
      </w:pPr>
      <w:r>
        <w:rPr>
          <w:rFonts w:ascii="Arial" w:cs="Arial" w:eastAsia="Arial" w:hAnsi="Arial"/>
          <w:sz w:val="18"/>
          <w:szCs w:val="18"/>
          <w:color w:val="auto"/>
        </w:rPr>
        <w:t>payment of debt secured by liens upon the collateral that are senior to the liens securing such junior debt; or</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366"/>
        </w:numPr>
        <w:rPr>
          <w:rFonts w:ascii="Arial" w:cs="Arial" w:eastAsia="Arial" w:hAnsi="Arial"/>
          <w:sz w:val="18"/>
          <w:szCs w:val="18"/>
          <w:color w:val="auto"/>
        </w:rPr>
      </w:pPr>
      <w:r>
        <w:rPr>
          <w:rFonts w:ascii="Arial" w:cs="Arial" w:eastAsia="Arial" w:hAnsi="Arial"/>
          <w:sz w:val="18"/>
          <w:szCs w:val="18"/>
          <w:color w:val="auto"/>
        </w:rPr>
        <w:t>payment of bankruptcy administrative expenses; or</w:t>
      </w:r>
    </w:p>
    <w:p>
      <w:pPr>
        <w:spacing w:after="0" w:line="90" w:lineRule="exact"/>
        <w:rPr>
          <w:rFonts w:ascii="Arial" w:cs="Arial" w:eastAsia="Arial" w:hAnsi="Arial"/>
          <w:sz w:val="18"/>
          <w:szCs w:val="18"/>
          <w:color w:val="auto"/>
        </w:rPr>
      </w:pPr>
    </w:p>
    <w:p>
      <w:pPr>
        <w:ind w:left="900" w:right="80" w:hanging="446"/>
        <w:spacing w:after="0" w:line="298" w:lineRule="auto"/>
        <w:tabs>
          <w:tab w:leader="none" w:pos="900" w:val="left"/>
        </w:tabs>
        <w:numPr>
          <w:ilvl w:val="0"/>
          <w:numId w:val="366"/>
        </w:numPr>
        <w:rPr>
          <w:rFonts w:ascii="Arial" w:cs="Arial" w:eastAsia="Arial" w:hAnsi="Arial"/>
          <w:sz w:val="16"/>
          <w:szCs w:val="16"/>
          <w:color w:val="auto"/>
        </w:rPr>
      </w:pPr>
      <w:r>
        <w:rPr>
          <w:rFonts w:ascii="Arial" w:cs="Arial" w:eastAsia="Arial" w:hAnsi="Arial"/>
          <w:sz w:val="16"/>
          <w:szCs w:val="16"/>
          <w:color w:val="auto"/>
        </w:rPr>
        <w:t>vote to accept any plan of reorganization or restructuring plan unless lenders collectively holding two-thirds of the aggregate outstanding amount of loans under the credit facilities and the holders of the 2020 notes collectively holding two-thirds of the aggregate outstanding amount of the 2020 notes and holders of the 2017 notes collectively holding two-thirds of the aggregate outstanding amount of the 2017 notes and the holders of the 2014 notes collectively holding two-thirds of the aggregate outstanding amount of the 2014 notes have voted to accept such plan.</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foregoing provisions shall not restrict the representative of any junior debt (and any junior debt holders) from, subject to the terms of the intercreditor agreement, voting unsecured claims based upon the indebtedness owed to them, or contesting any valuation of the collateral asserted for purposes of valuing the secured claims of the lenders under the credit facilities, the 2014 note holders and/or the 2017 note holders and/or the 2020 note holders and/or any other senior debt holders and/or any junior debt holders (except that the representative of such junior debt and the junior debt holders shall not have the right to assert the lack of adequate protection of their liens as a basis for opposing relief sought in the bankruptcy that has been approved by the holders of the senior debt.)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Waivers by Junior Debt Holders</w:t>
      </w:r>
    </w:p>
    <w:p>
      <w:pPr>
        <w:spacing w:after="0" w:line="96"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Under the intercreditor agreement, the junior debt holders waive certain rights generally afforded junior creditors relative to senior creditors under applicable law, including each of the following:</w:t>
      </w:r>
    </w:p>
    <w:p>
      <w:pPr>
        <w:spacing w:after="0" w:line="51" w:lineRule="exact"/>
        <w:rPr>
          <w:sz w:val="20"/>
          <w:szCs w:val="20"/>
          <w:color w:val="auto"/>
        </w:rPr>
      </w:pPr>
    </w:p>
    <w:p>
      <w:pPr>
        <w:ind w:left="900" w:hanging="446"/>
        <w:spacing w:after="0"/>
        <w:tabs>
          <w:tab w:leader="none" w:pos="90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any right of marshaling accorded to a junior lienholder under equitable principles;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any right to challenge the liens of the senior debt holders based upon any of the following:</w:t>
      </w:r>
    </w:p>
    <w:p>
      <w:pPr>
        <w:spacing w:after="0" w:line="90" w:lineRule="exact"/>
        <w:rPr>
          <w:rFonts w:ascii="Arial" w:cs="Arial" w:eastAsia="Arial" w:hAnsi="Arial"/>
          <w:sz w:val="18"/>
          <w:szCs w:val="18"/>
          <w:color w:val="auto"/>
        </w:rPr>
      </w:pPr>
    </w:p>
    <w:p>
      <w:pPr>
        <w:ind w:left="1460" w:right="20" w:hanging="547"/>
        <w:spacing w:after="0" w:line="357" w:lineRule="auto"/>
        <w:tabs>
          <w:tab w:leader="none" w:pos="1460" w:val="left"/>
        </w:tabs>
        <w:numPr>
          <w:ilvl w:val="1"/>
          <w:numId w:val="367"/>
        </w:numPr>
        <w:rPr>
          <w:rFonts w:ascii="Arial" w:cs="Arial" w:eastAsia="Arial" w:hAnsi="Arial"/>
          <w:sz w:val="15"/>
          <w:szCs w:val="15"/>
          <w:color w:val="auto"/>
        </w:rPr>
      </w:pPr>
      <w:r>
        <w:rPr>
          <w:rFonts w:ascii="Arial" w:cs="Arial" w:eastAsia="Arial" w:hAnsi="Arial"/>
          <w:sz w:val="15"/>
          <w:szCs w:val="15"/>
          <w:color w:val="auto"/>
        </w:rPr>
        <w:t>the disbursement of any funds under the credit facilities, the indenture governing the 2014 notes, the indenture governing the 2017 notes, the indenture governing the 2020 notes or any other senior debt agreement (even if conditions to any such advances have not been satisfied);</w:t>
      </w:r>
    </w:p>
    <w:p>
      <w:pPr>
        <w:ind w:left="1460" w:right="200" w:hanging="547"/>
        <w:spacing w:after="0" w:line="268" w:lineRule="auto"/>
        <w:tabs>
          <w:tab w:leader="none" w:pos="1460" w:val="left"/>
        </w:tabs>
        <w:numPr>
          <w:ilvl w:val="1"/>
          <w:numId w:val="367"/>
        </w:numPr>
        <w:rPr>
          <w:rFonts w:ascii="Arial" w:cs="Arial" w:eastAsia="Arial" w:hAnsi="Arial"/>
          <w:sz w:val="18"/>
          <w:szCs w:val="18"/>
          <w:color w:val="auto"/>
        </w:rPr>
      </w:pPr>
      <w:r>
        <w:rPr>
          <w:rFonts w:ascii="Arial" w:cs="Arial" w:eastAsia="Arial" w:hAnsi="Arial"/>
          <w:sz w:val="18"/>
          <w:szCs w:val="18"/>
          <w:color w:val="auto"/>
        </w:rPr>
        <w:t>a change in the dates or terms for payments under the credit facilities, the indenture governing the 2014 notes, the indenture governing the 2017 notes, the indenture governing the 2020 notes or any other senior debt agreement;</w:t>
      </w:r>
    </w:p>
    <w:p>
      <w:pPr>
        <w:spacing w:after="0" w:line="50" w:lineRule="exact"/>
        <w:rPr>
          <w:rFonts w:ascii="Arial" w:cs="Arial" w:eastAsia="Arial" w:hAnsi="Arial"/>
          <w:sz w:val="18"/>
          <w:szCs w:val="18"/>
          <w:color w:val="auto"/>
        </w:rPr>
      </w:pPr>
    </w:p>
    <w:p>
      <w:pPr>
        <w:jc w:val="both"/>
        <w:ind w:left="1460" w:right="280" w:hanging="547"/>
        <w:spacing w:after="0" w:line="259" w:lineRule="auto"/>
        <w:tabs>
          <w:tab w:leader="none" w:pos="1460" w:val="left"/>
        </w:tabs>
        <w:numPr>
          <w:ilvl w:val="1"/>
          <w:numId w:val="367"/>
        </w:numPr>
        <w:rPr>
          <w:rFonts w:ascii="Arial" w:cs="Arial" w:eastAsia="Arial" w:hAnsi="Arial"/>
          <w:sz w:val="18"/>
          <w:szCs w:val="18"/>
          <w:color w:val="auto"/>
        </w:rPr>
      </w:pPr>
      <w:r>
        <w:rPr>
          <w:rFonts w:ascii="Arial" w:cs="Arial" w:eastAsia="Arial" w:hAnsi="Arial"/>
          <w:sz w:val="18"/>
          <w:szCs w:val="18"/>
          <w:color w:val="auto"/>
        </w:rPr>
        <w:t>an increase or reduction in the amount of any available credit or an increase or reduction in the amount of principal obligations under the credit facilities, the 2014 notes, the 2017 notes, the 2020 notes or any other senior debt agreement, or the interest, premium, fees or other amounts payable thereunder;</w:t>
      </w:r>
    </w:p>
    <w:p>
      <w:pPr>
        <w:spacing w:after="0" w:line="59" w:lineRule="exact"/>
        <w:rPr>
          <w:rFonts w:ascii="Arial" w:cs="Arial" w:eastAsia="Arial" w:hAnsi="Arial"/>
          <w:sz w:val="18"/>
          <w:szCs w:val="18"/>
          <w:color w:val="auto"/>
        </w:rPr>
      </w:pPr>
    </w:p>
    <w:p>
      <w:pPr>
        <w:ind w:left="1460" w:hanging="547"/>
        <w:spacing w:after="0"/>
        <w:tabs>
          <w:tab w:leader="none" w:pos="1460" w:val="left"/>
        </w:tabs>
        <w:numPr>
          <w:ilvl w:val="1"/>
          <w:numId w:val="367"/>
        </w:numPr>
        <w:rPr>
          <w:rFonts w:ascii="Arial" w:cs="Arial" w:eastAsia="Arial" w:hAnsi="Arial"/>
          <w:sz w:val="18"/>
          <w:szCs w:val="18"/>
          <w:color w:val="auto"/>
        </w:rPr>
      </w:pPr>
      <w:r>
        <w:rPr>
          <w:rFonts w:ascii="Arial" w:cs="Arial" w:eastAsia="Arial" w:hAnsi="Arial"/>
          <w:sz w:val="18"/>
          <w:szCs w:val="18"/>
          <w:color w:val="auto"/>
        </w:rPr>
        <w:t>failure to take necessary or appropriate action to enforce or perfect any lien; or</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367"/>
        </w:numPr>
        <w:rPr>
          <w:rFonts w:ascii="Arial" w:cs="Arial" w:eastAsia="Arial" w:hAnsi="Arial"/>
          <w:sz w:val="18"/>
          <w:szCs w:val="18"/>
          <w:color w:val="auto"/>
        </w:rPr>
      </w:pPr>
      <w:r>
        <w:rPr>
          <w:rFonts w:ascii="Arial" w:cs="Arial" w:eastAsia="Arial" w:hAnsi="Arial"/>
          <w:sz w:val="18"/>
          <w:szCs w:val="18"/>
          <w:color w:val="auto"/>
        </w:rPr>
        <w:t>any exercise of rights or remedies under any security documents with respect to the senior debt; and</w:t>
      </w:r>
    </w:p>
    <w:p>
      <w:pPr>
        <w:spacing w:after="0" w:line="90" w:lineRule="exact"/>
        <w:rPr>
          <w:rFonts w:ascii="Arial" w:cs="Arial" w:eastAsia="Arial" w:hAnsi="Arial"/>
          <w:sz w:val="18"/>
          <w:szCs w:val="18"/>
          <w:color w:val="auto"/>
        </w:rPr>
      </w:pPr>
    </w:p>
    <w:p>
      <w:pPr>
        <w:ind w:left="900" w:right="380" w:hanging="446"/>
        <w:spacing w:after="0" w:line="268" w:lineRule="auto"/>
        <w:tabs>
          <w:tab w:leader="none" w:pos="90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any claim arising out of any action or failure to act or any error of judgment or negligence on the part of the agent under the credit facilities, the trustee under the indenture governing the 2020 notes, the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254</w:t>
      </w:r>
    </w:p>
    <w:p>
      <w:pPr>
        <w:sectPr>
          <w:pgSz w:w="11900" w:h="16838" w:orient="portrait"/>
          <w:cols w:equalWidth="0" w:num="1">
            <w:col w:w="11360"/>
          </w:cols>
          <w:pgMar w:left="240" w:top="460" w:right="29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40"/>
        <w:spacing w:after="0" w:line="268" w:lineRule="auto"/>
        <w:rPr>
          <w:sz w:val="20"/>
          <w:szCs w:val="20"/>
          <w:color w:val="auto"/>
        </w:rPr>
      </w:pPr>
      <w:r>
        <w:rPr>
          <w:rFonts w:ascii="Arial" w:cs="Arial" w:eastAsia="Arial" w:hAnsi="Arial"/>
          <w:sz w:val="18"/>
          <w:szCs w:val="18"/>
          <w:color w:val="auto"/>
        </w:rPr>
        <w:t>trustee under the indenture governing the 2017 notes, the trustee under the indenture governing the 2014 notes or any representative of other senior debt, other than gross negligence or willful misconduct, to the maximum extent permitted by law.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Duty to Inform</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Each of the agent under the credit facilities (on behalf of itself and the lenders), the trustee under the indenture governing the 2020 notes (on behalf of itself and the holders of the 2020 notes), the trustee under the indenture governing the 2017 notes (on behalf of itself and the holders of the 2017 notes), the trustee under the indenture governing the 2014 notes (on behalf of itself and the holders of the 2014 notes), the representative of any other senior debt (on behalf of itself and any other senior debt holders) and the representative of any junior debt (on behalf of itself and any junior debt holders) waive any claim that any other party to the intercreditor agreement has any duty to keep the other parties to the intercreditor agreement informed as to circumstances bearing upon the risk of nonpayment of the credit facilities, the 2020 notes, the 2017 notes, the 2014 notes, any other senior debt or any junior debt.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w:t>
      </w:r>
    </w:p>
    <w:p>
      <w:pPr>
        <w:spacing w:after="0" w:line="96"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The representative of each class of senior debt and each class of junior debt (acting on their own behalf and on behalf of the holders of such debt) release each other such representative from all liability to the full extent permitted by law, except for fraud and willful misconduct. Each such representative (on its own behalf and on behalf of the holders of debt it represents) waives any and all duties and other obligations, including fiduciary duties, that may be owed to it by any other such representative, except as specifically set forth in the intercreditor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Intercreditor Agreement</w:t>
      </w:r>
    </w:p>
    <w:p>
      <w:pPr>
        <w:spacing w:after="0" w:line="9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Except as provided in the next sentence, any amendments to the intercreditor agreement shall require the consent of each party who, at the time of such amendment, is a party thereto. Notwithstanding the foregoing, the agent under the credit facilities will also have the right, at any time when the amount outstanding under the credit facilities equals or exceeds $100.0 million, to amend the intercreditor agreement without the consent of the trustee under the indenture for the 2020 notes or the holders of the 2020 notes, or the trustee under the indenture for the 2017 notes or the holders of the 2017 notes, or the trustee under the indenture for the 2014 notes or the holders of the 2014 notes, so long as such amendment only affects the subordination provisions in respect of any junior debt but does not affect the provisions governing the relationship between the lenders under the credit facilities, the holders of the 2017 notes, the holders of the 2014 notes and the holders of the 2020 notes.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Intercreditor Arrangements Also Applicable to Refinancing</w:t>
      </w:r>
    </w:p>
    <w:p>
      <w:pPr>
        <w:spacing w:after="0" w:line="9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intercreditor agreement provides that the intercreditor arrangements described above also shall apply to (i) any replacement debt arising as a consequence of refinancing of the credit facilities, the 2014 notes, the 2017 notes or the 2020 notes, (ii) any additional senior debt permitted under the credit facilities, the indenture governing the 2014 notes, the indenture governing the 2017 notes and the indenture governing the 2020 notes and (iii) any additional junior debt permitted under the credit facilities, the indenture governing the 2014 notes, the indenture governing the 2017 notes and the indenture governing the 2020 notes.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255</w:t>
      </w:r>
    </w:p>
    <w:p>
      <w:pPr>
        <w:sectPr>
          <w:pgSz w:w="11900" w:h="16838" w:orient="portrait"/>
          <w:cols w:equalWidth="0" w:num="1">
            <w:col w:w="11380"/>
          </w:cols>
          <w:pgMar w:left="240" w:top="460" w:right="27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UNITED STATES FEDERAL INCOME TAX CONSIDERATIONS</w:t>
      </w:r>
    </w:p>
    <w:p>
      <w:pPr>
        <w:spacing w:after="0" w:line="17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following is a summary of the anticipated material United States federal income tax consequences to a holder of old notes relating to the exchange of old notes for new notes. This summary is based upon United States federal income tax law in effect on the date of this prospectus, which is subject to differing interpretations or change, possibly with retroactive effect. This summary does not discuss all aspects of United States federal income taxation which may be important to particular investors in light of their individual investment circumstances, such as notes held by investors subject to special tax rules (e.g., financial institutions, insurance companies, broker-dealers, partnerships and their partners, and tax-exempt organizations (including private foundations)) or to persons that will hold the new notes as part of a straddle, hedge, conversion, constructive sale, or other integrated security transaction for United States federal income tax purposes, all of whom may be subject to tax rules that differ significantly from those summarized below. This summary does not discuss any (i) United States federal income tax consequences to a Non-U.S. Holder (as defined below) that (A) is engaged in the conduct of a United States trade or business, (B) is a nonresident alien individual and such holder is present in the United States for 183 or more days during the taxable year, or (C) is a corporation which operates through a United States branch, and (ii) state, local or non-United States tax considerations. This summary addresses investors who will hold the new notes as “capital assets” (generally, property held for investment) under the Internal Revenue Code of 1986, as amended (the “Code”). Each prospective investor is urged to consult its tax advisor regarding the United States federal, state, local, and non-United States income and other tax considerations of the purchase, ownership, and disposition of the new notes.</w:t>
      </w:r>
    </w:p>
    <w:p>
      <w:pPr>
        <w:spacing w:after="0" w:line="12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For purposes of this summary, a “Non-U.S. Holder” means any beneficial owner of a note that is not, for United States federal income tax purposes, (i) an individual who is a citizen or resident of the United States, (ii) a corporation or other entity taxable as a corporation created in, or organized under the laws of, the United States or any State or political subdivision thereof, (iii) an estate the income of which is includible in gross income for United States federal income tax purposes regardless of its source, or (iv) a trust (A) the administration of which is subject to the primary supervision of a United States court and which has one or more United States persons who have the authority to control all substantial decisions of the trust or (B) that has otherwise elected to be treated as a United States person under the Code.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old notes for new notes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An exchange of old notes for new notes pursuant to the exchange offer will be ignored for United States federal income tax purposes. Consequently, a holder of old notes will not recognize gain or loss, for United States federal income tax purposes, as a result of exchanging old notes for new notes pursuant to the exchange offer. The holding period of the new notes will be the same as the holding period of the old notes and the tax basis in the new notes will be the same as the adjusted tax basis in the old notes as determined immediately before the exchange. A holder who does not exchange its old notes for new notes pursuant to the exchange offer will not recognize any gain or loss, for United States federal income tax purposes, upon consummation of the exchange offer.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256</w:t>
      </w:r>
    </w:p>
    <w:p>
      <w:pPr>
        <w:sectPr>
          <w:pgSz w:w="11900" w:h="16838" w:orient="portrait"/>
          <w:cols w:equalWidth="0" w:num="1">
            <w:col w:w="11400"/>
          </w:cols>
          <w:pgMar w:left="240" w:top="460" w:right="25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Each broker-dealer that receives new notes for its own account pursuant to the exchange offer must acknowledge that it will deliver a prospectus in connection with any resale of the new notes. This prospectus, as it may be amended or supplemented from time to time, may be used by a broker-dealer in connection with resales of new notes received in exchange for old notes where such old notes were acquired as a result of market-making activities or other trading activities. We have agreed that, for a period of up to the later of (i) 180 days following the 30</w:t>
      </w:r>
      <w:r>
        <w:rPr>
          <w:rFonts w:ascii="Arial" w:cs="Arial" w:eastAsia="Arial" w:hAnsi="Arial"/>
          <w:sz w:val="10"/>
          <w:szCs w:val="10"/>
          <w:color w:val="auto"/>
        </w:rPr>
        <w:t>th</w:t>
      </w:r>
      <w:r>
        <w:rPr>
          <w:rFonts w:ascii="Arial" w:cs="Arial" w:eastAsia="Arial" w:hAnsi="Arial"/>
          <w:sz w:val="16"/>
          <w:szCs w:val="16"/>
          <w:color w:val="auto"/>
        </w:rPr>
        <w:t xml:space="preserve"> business day after the registration statement containing this prospectus is declared effective, and (ii) 180 days following the 10</w:t>
      </w:r>
      <w:r>
        <w:rPr>
          <w:rFonts w:ascii="Arial" w:cs="Arial" w:eastAsia="Arial" w:hAnsi="Arial"/>
          <w:sz w:val="10"/>
          <w:szCs w:val="10"/>
          <w:color w:val="auto"/>
        </w:rPr>
        <w:t>th</w:t>
      </w:r>
      <w:r>
        <w:rPr>
          <w:rFonts w:ascii="Arial" w:cs="Arial" w:eastAsia="Arial" w:hAnsi="Arial"/>
          <w:sz w:val="16"/>
          <w:szCs w:val="16"/>
          <w:color w:val="auto"/>
        </w:rPr>
        <w:t xml:space="preserve"> business day after the exchange offer expires, we will make this prospectus, as amended or</w:t>
      </w:r>
    </w:p>
    <w:p>
      <w:pPr>
        <w:spacing w:after="0" w:line="2"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supplemented, available to any broker-dealer for use in connection with any such resale. In addition, until , 2010, all dealers effecting transactions in the new notes may be required to deliver a prospectus.</w:t>
      </w:r>
    </w:p>
    <w:p>
      <w:pPr>
        <w:spacing w:after="0" w:line="13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will not receive any proceeds from any sale of new notes by broker-dealers. New notes received by broker-dealers for their own account pursuant to the exchange offer may be sold from time to time in one or more transactions:</w:t>
      </w:r>
    </w:p>
    <w:p>
      <w:pPr>
        <w:spacing w:after="0" w:line="51" w:lineRule="exact"/>
        <w:rPr>
          <w:sz w:val="20"/>
          <w:szCs w:val="20"/>
          <w:color w:val="auto"/>
        </w:rPr>
      </w:pPr>
    </w:p>
    <w:p>
      <w:pPr>
        <w:ind w:left="900" w:hanging="446"/>
        <w:spacing w:after="0"/>
        <w:tabs>
          <w:tab w:leader="none" w:pos="90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in negotiated transactions,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through the writing of options on the new notes, or</w:t>
      </w:r>
    </w:p>
    <w:p>
      <w:pPr>
        <w:spacing w:after="0" w:line="90"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a combination of such methods of resale, at market prices prevailing at the time of resale, at prices related to such prevailing market prices or at negotiated prices.</w:t>
      </w:r>
    </w:p>
    <w:p>
      <w:pPr>
        <w:spacing w:after="0" w:line="13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Any resale may be made directly to purchasers or to or through brokers or dealers who may receive compensation in the form of commissions or concessions from any such broker-dealer or the purchasers of any such new notes. Any broker-dealer who holds old notes acquired for its own account as a result of market-making activities, and who receives new notes in exchange for old notes pursuant to the exchange offer, and any broker or dealer that participates in a distribution of new notes may be deemed to be an “underwriter” within the meaning of the Securities Act, and must comply with the registration and prospectus delivery requirements of the Securities Act in connection with any resale transaction, including the delivery of a prospectus that contains information with respect to any selling holder required by the Securities Act in connection with any resale of the new notes, and any profit of any such resale of new notes and any commission or concessions received by any such persons may be deemed to be underwriting compensation under the Securities Act. The letter of transmittal states that, by acknowledging that it will deliver and by delivering a prospectus, a broker-dealer will not be deemed to admit that it is an “underwriter” within the meaning of the Securities Act.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Furthermore, any broker-dealer that acquired any of the old notes directly from us:</w:t>
      </w:r>
    </w:p>
    <w:p>
      <w:pPr>
        <w:spacing w:after="0" w:line="90" w:lineRule="exact"/>
        <w:rPr>
          <w:sz w:val="20"/>
          <w:szCs w:val="20"/>
          <w:color w:val="auto"/>
        </w:rPr>
      </w:pPr>
    </w:p>
    <w:p>
      <w:pPr>
        <w:jc w:val="both"/>
        <w:ind w:left="900" w:right="380" w:hanging="446"/>
        <w:spacing w:after="0" w:line="259" w:lineRule="auto"/>
        <w:tabs>
          <w:tab w:leader="none" w:pos="90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may not rely on the applicable interpretation of the staff of the SEC’s position contained in Exxon Capital Holdings Corp., SEC no-action letter (publicly available May 13, 1988), Morgan Stanley &amp; Co. Incorporated, SEC no-action letter (publicly available June 5, 1991) and Shearman &amp; Sterling, SEC no-action letter (publicly available July 2, 1993); and</w:t>
      </w:r>
    </w:p>
    <w:p>
      <w:pPr>
        <w:spacing w:after="0" w:line="59"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must also be named as a selling noteholder in connection with the registration and prospectus delivery requirements of the Securities Act relating to any resale transaction.</w:t>
      </w:r>
    </w:p>
    <w:p>
      <w:pPr>
        <w:spacing w:after="0" w:line="13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For a period of up to the later of (i) 180 days following the 30</w:t>
      </w:r>
      <w:r>
        <w:rPr>
          <w:rFonts w:ascii="Arial" w:cs="Arial" w:eastAsia="Arial" w:hAnsi="Arial"/>
          <w:sz w:val="10"/>
          <w:szCs w:val="10"/>
          <w:color w:val="auto"/>
        </w:rPr>
        <w:t>th</w:t>
      </w:r>
      <w:r>
        <w:rPr>
          <w:rFonts w:ascii="Arial" w:cs="Arial" w:eastAsia="Arial" w:hAnsi="Arial"/>
          <w:sz w:val="16"/>
          <w:szCs w:val="16"/>
          <w:color w:val="auto"/>
        </w:rPr>
        <w:t xml:space="preserve"> business day after the registration statement containing this prospectus is declared effective, and (ii) 180 days following the 10</w:t>
      </w:r>
      <w:r>
        <w:rPr>
          <w:rFonts w:ascii="Arial" w:cs="Arial" w:eastAsia="Arial" w:hAnsi="Arial"/>
          <w:sz w:val="10"/>
          <w:szCs w:val="10"/>
          <w:color w:val="auto"/>
        </w:rPr>
        <w:t>th</w:t>
      </w:r>
      <w:r>
        <w:rPr>
          <w:rFonts w:ascii="Arial" w:cs="Arial" w:eastAsia="Arial" w:hAnsi="Arial"/>
          <w:sz w:val="16"/>
          <w:szCs w:val="16"/>
          <w:color w:val="auto"/>
        </w:rPr>
        <w:t xml:space="preserve"> business day after the exchange offer expires, we will promptly send additional copies of this prospectus and any amendment or supplement to this prospectus to any broker-dealer that requests such documents in the letter of transmittal. We have agreed to pay all expenses incident to the exchange offer (including the expenses of one counsel for the holders of the old notes) other than commissions or concessions of any broker-dealer and will indemnify the holders of the old notes (including any broker-dealers) against certain liabilities, including liabilities under the Securities Act.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257</w:t>
      </w:r>
    </w:p>
    <w:p>
      <w:pPr>
        <w:sectPr>
          <w:pgSz w:w="11900" w:h="16838" w:orient="portrait"/>
          <w:cols w:equalWidth="0" w:num="1">
            <w:col w:w="11400"/>
          </w:cols>
          <w:pgMar w:left="240" w:top="459" w:right="25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Certain legal matters in connection with this exchange offer will be passed upon for us by Skadden, Arps, Slate, Meagher &amp; Flom LLP, Los Angeles, California. Certain matters of Nevada law will be passed upon for us by Brownstein Hyatt Farber Schreck, LLP, Las Vegas, Nevada.</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consolidated financial statements and schedule of Wynn Las Vegas, LLC at December 31, 2009 and 2008, and for each of the three years in the period ended December 31, 2009,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This prospectus is part of a registration statement on Form S-4 that we have filed with the SEC under the Securities Act. This prospectus does not contain all of the information set forth in the registration statement. For further information about us and the new notes, you should refer to the registration statement. This prospectus summarizes material provisions of contracts and other documents to which we refer you. Since this prospectus may not contain all of the information that you may find important, you should review the full text of these documents. We have filed these documents as exhibits to our registration statement.</w:t>
      </w:r>
    </w:p>
    <w:p>
      <w:pPr>
        <w:spacing w:after="0" w:line="14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indentures governing the 2017 notes and the 2020 notes require that we file reports under the Exchange Act with the SEC (unless the SEC will not accept such filings) and furnish information to the trustee and holders of the notes. See “Description of the New 2017 Notes—Certain Covenants—Reports” and “Description of the New 2020 Notes—Certain Covenants—Reports.” In addition, we are subject to the information and periodic reporting requirements of the Exchange Act and, accordingly, will file periodic reports and other information with the SEC. Such periodic reports and other information will be available for inspection and copying at the SEC’s Public Reference Room at 100 F Street, NE, Washington, D.C. 20549 and through the SEC’s Internet site at http://www.sec.gov. You may obtain information on the operation of the Public Reference Room by calling the SEC at 1-800-SEC-0330.</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Wynn Resorts, our ultimate parent, files periodic reports, proxy statements and other information with the SEC. You may read and copy any document that Wynn Resorts files with the SEC at the SEC’s Public Reference Room. The SEC filings of Wynn Resorts also are available to the public over the Internet at the SEC’s website at http://www.sec.gov. You may find additional information about Wynn Resorts and its subsidiaries on its website at http://www.wynnresorts.com. The information contained on or that can be accessed through the Wynn Resorts website is not incorporated by reference in this prospectus. You should not consider information contained on the Wynn Resorts website or that can be accessed through the website to be part of this prospectus.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258</w:t>
      </w:r>
    </w:p>
    <w:p>
      <w:pPr>
        <w:sectPr>
          <w:pgSz w:w="11900" w:h="16838" w:orient="portrait"/>
          <w:cols w:equalWidth="0" w:num="1">
            <w:col w:w="11400"/>
          </w:cols>
          <w:pgMar w:left="240" w:top="459" w:right="25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80" w:type="dxa"/>
            <w:vAlign w:val="bottom"/>
          </w:tcPr>
          <w:p>
            <w:pPr>
              <w:jc w:val="right"/>
              <w:ind w:right="15"/>
              <w:spacing w:after="0"/>
              <w:rPr>
                <w:sz w:val="20"/>
                <w:szCs w:val="20"/>
                <w:color w:val="auto"/>
              </w:rPr>
            </w:pPr>
            <w:r>
              <w:rPr>
                <w:rFonts w:ascii="Arial" w:cs="Arial" w:eastAsia="Arial" w:hAnsi="Arial"/>
                <w:sz w:val="14"/>
                <w:szCs w:val="14"/>
                <w:b w:val="1"/>
                <w:bCs w:val="1"/>
                <w:color w:val="auto"/>
              </w:rPr>
              <w:t>Page</w:t>
            </w:r>
          </w:p>
        </w:tc>
      </w:tr>
      <w:tr>
        <w:trPr>
          <w:trHeight w:val="95"/>
        </w:trPr>
        <w:tc>
          <w:tcPr>
            <w:tcW w:w="20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r>
      <w:tr>
        <w:trPr>
          <w:trHeight w:val="277"/>
        </w:trPr>
        <w:tc>
          <w:tcPr>
            <w:tcW w:w="10940" w:type="dxa"/>
            <w:vAlign w:val="bottom"/>
            <w:gridSpan w:val="7"/>
          </w:tcPr>
          <w:p>
            <w:pPr>
              <w:spacing w:after="0"/>
              <w:rPr>
                <w:rFonts w:ascii="Arial" w:cs="Arial" w:eastAsia="Arial" w:hAnsi="Arial"/>
                <w:sz w:val="18"/>
                <w:szCs w:val="18"/>
                <w:color w:val="0000EE"/>
              </w:rPr>
            </w:pPr>
            <w:hyperlink w:anchor="page264">
              <w:r>
                <w:rPr>
                  <w:rFonts w:ascii="Arial" w:cs="Arial" w:eastAsia="Arial" w:hAnsi="Arial"/>
                  <w:sz w:val="18"/>
                  <w:szCs w:val="18"/>
                  <w:color w:val="0000EE"/>
                </w:rPr>
                <w:t>Report of Independent Registered Public Accounting Firm</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64"/>
        </w:trPr>
        <w:tc>
          <w:tcPr>
            <w:tcW w:w="4120" w:type="dxa"/>
            <w:vAlign w:val="bottom"/>
            <w:tcBorders>
              <w:top w:val="single" w:sz="8" w:color="0000EE"/>
            </w:tcBorders>
            <w:gridSpan w:val="6"/>
          </w:tcPr>
          <w:p>
            <w:pPr>
              <w:spacing w:after="0"/>
              <w:rPr>
                <w:rFonts w:ascii="Arial" w:cs="Arial" w:eastAsia="Arial" w:hAnsi="Arial"/>
                <w:sz w:val="18"/>
                <w:szCs w:val="18"/>
                <w:color w:val="0000EE"/>
              </w:rPr>
            </w:pPr>
            <w:hyperlink w:anchor="page265">
              <w:r>
                <w:rPr>
                  <w:rFonts w:ascii="Arial" w:cs="Arial" w:eastAsia="Arial" w:hAnsi="Arial"/>
                  <w:sz w:val="18"/>
                  <w:szCs w:val="18"/>
                  <w:color w:val="0000EE"/>
                </w:rPr>
                <w:t>Consolidated Balance Sheets</w:t>
              </w:r>
            </w:hyperlink>
          </w:p>
        </w:tc>
        <w:tc>
          <w:tcPr>
            <w:tcW w:w="682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0"/>
        </w:trPr>
        <w:tc>
          <w:tcPr>
            <w:tcW w:w="204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7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64"/>
        </w:trPr>
        <w:tc>
          <w:tcPr>
            <w:tcW w:w="276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266">
              <w:r>
                <w:rPr>
                  <w:rFonts w:ascii="Arial" w:cs="Arial" w:eastAsia="Arial" w:hAnsi="Arial"/>
                  <w:sz w:val="18"/>
                  <w:szCs w:val="18"/>
                  <w:color w:val="0000EE"/>
                  <w:w w:val="87"/>
                </w:rPr>
                <w:t>Consolidated Statements of Operations</w:t>
              </w:r>
            </w:hyperlink>
          </w:p>
        </w:tc>
        <w:tc>
          <w:tcPr>
            <w:tcW w:w="8180" w:type="dxa"/>
            <w:vAlign w:val="bottom"/>
            <w:gridSpan w:val="5"/>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264"/>
        </w:trPr>
        <w:tc>
          <w:tcPr>
            <w:tcW w:w="322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267">
              <w:r>
                <w:rPr>
                  <w:rFonts w:ascii="Arial" w:cs="Arial" w:eastAsia="Arial" w:hAnsi="Arial"/>
                  <w:sz w:val="18"/>
                  <w:szCs w:val="18"/>
                  <w:color w:val="0000EE"/>
                  <w:w w:val="88"/>
                </w:rPr>
                <w:t>Consolidated Statements of Member’s Equity</w:t>
              </w:r>
            </w:hyperlink>
          </w:p>
        </w:tc>
        <w:tc>
          <w:tcPr>
            <w:tcW w:w="7720" w:type="dxa"/>
            <w:vAlign w:val="bottom"/>
            <w:gridSpan w:val="2"/>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264"/>
        </w:trPr>
        <w:tc>
          <w:tcPr>
            <w:tcW w:w="10940" w:type="dxa"/>
            <w:vAlign w:val="bottom"/>
            <w:gridSpan w:val="7"/>
          </w:tcPr>
          <w:p>
            <w:pPr>
              <w:spacing w:after="0"/>
              <w:rPr>
                <w:rFonts w:ascii="Arial" w:cs="Arial" w:eastAsia="Arial" w:hAnsi="Arial"/>
                <w:sz w:val="18"/>
                <w:szCs w:val="18"/>
                <w:color w:val="0000EE"/>
              </w:rPr>
            </w:pPr>
            <w:hyperlink w:anchor="page268">
              <w:r>
                <w:rPr>
                  <w:rFonts w:ascii="Arial" w:cs="Arial" w:eastAsia="Arial" w:hAnsi="Arial"/>
                  <w:sz w:val="18"/>
                  <w:szCs w:val="18"/>
                  <w:color w:val="0000EE"/>
                </w:rPr>
                <w:t>Consolidated Statements of Cash Flows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20"/>
        </w:trPr>
        <w:tc>
          <w:tcPr>
            <w:tcW w:w="28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64"/>
        </w:trPr>
        <w:tc>
          <w:tcPr>
            <w:tcW w:w="10940" w:type="dxa"/>
            <w:vAlign w:val="bottom"/>
            <w:gridSpan w:val="7"/>
          </w:tcPr>
          <w:p>
            <w:pPr>
              <w:spacing w:after="0"/>
              <w:rPr>
                <w:rFonts w:ascii="Arial" w:cs="Arial" w:eastAsia="Arial" w:hAnsi="Arial"/>
                <w:sz w:val="18"/>
                <w:szCs w:val="18"/>
                <w:color w:val="0000EE"/>
              </w:rPr>
            </w:pPr>
            <w:hyperlink w:anchor="page269">
              <w:r>
                <w:rPr>
                  <w:rFonts w:ascii="Arial" w:cs="Arial" w:eastAsia="Arial" w:hAnsi="Arial"/>
                  <w:sz w:val="18"/>
                  <w:szCs w:val="18"/>
                  <w:color w:val="0000EE"/>
                </w:rPr>
                <w:t>Notes to Consolidated Financial Statements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F-7</w:t>
            </w:r>
          </w:p>
        </w:tc>
      </w:tr>
      <w:tr>
        <w:trPr>
          <w:trHeight w:val="302"/>
        </w:trPr>
        <w:tc>
          <w:tcPr>
            <w:tcW w:w="308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Financial Statement Schedules</w:t>
            </w:r>
          </w:p>
        </w:tc>
        <w:tc>
          <w:tcPr>
            <w:tcW w:w="7860" w:type="dxa"/>
            <w:vAlign w:val="bottom"/>
            <w:gridSpan w:val="3"/>
          </w:tcPr>
          <w:p>
            <w:pPr>
              <w:spacing w:after="0"/>
              <w:rPr>
                <w:sz w:val="24"/>
                <w:szCs w:val="24"/>
                <w:color w:val="auto"/>
              </w:rPr>
            </w:pPr>
          </w:p>
        </w:tc>
        <w:tc>
          <w:tcPr>
            <w:tcW w:w="480" w:type="dxa"/>
            <w:vAlign w:val="bottom"/>
          </w:tcPr>
          <w:p>
            <w:pPr>
              <w:spacing w:after="0"/>
              <w:rPr>
                <w:sz w:val="24"/>
                <w:szCs w:val="24"/>
                <w:color w:val="auto"/>
              </w:rPr>
            </w:pPr>
          </w:p>
        </w:tc>
      </w:tr>
      <w:tr>
        <w:trPr>
          <w:trHeight w:val="284"/>
        </w:trPr>
        <w:tc>
          <w:tcPr>
            <w:tcW w:w="10940" w:type="dxa"/>
            <w:vAlign w:val="bottom"/>
            <w:gridSpan w:val="7"/>
          </w:tcPr>
          <w:p>
            <w:pPr>
              <w:spacing w:after="0"/>
              <w:rPr>
                <w:sz w:val="20"/>
                <w:szCs w:val="20"/>
                <w:color w:val="auto"/>
              </w:rPr>
            </w:pPr>
            <w:r>
              <w:rPr>
                <w:rFonts w:ascii="Arial" w:cs="Arial" w:eastAsia="Arial" w:hAnsi="Arial"/>
                <w:sz w:val="18"/>
                <w:szCs w:val="18"/>
                <w:color w:val="auto"/>
              </w:rPr>
              <w:t>* Schedule II—Valuation and Qualifying Accounts</w:t>
            </w:r>
          </w:p>
        </w:tc>
        <w:tc>
          <w:tcPr>
            <w:tcW w:w="480" w:type="dxa"/>
            <w:vAlign w:val="bottom"/>
          </w:tcPr>
          <w:p>
            <w:pPr>
              <w:jc w:val="right"/>
              <w:spacing w:after="0"/>
              <w:rPr>
                <w:sz w:val="20"/>
                <w:szCs w:val="20"/>
                <w:color w:val="auto"/>
              </w:rPr>
            </w:pPr>
            <w:r>
              <w:rPr>
                <w:rFonts w:ascii="Arial" w:cs="Arial" w:eastAsia="Arial" w:hAnsi="Arial"/>
                <w:sz w:val="18"/>
                <w:szCs w:val="18"/>
                <w:color w:val="auto"/>
              </w:rPr>
              <w:t>F-34</w:t>
            </w:r>
          </w:p>
        </w:tc>
      </w:tr>
    </w:tbl>
    <w:p>
      <w:pPr>
        <w:spacing w:after="0" w:line="61" w:lineRule="exact"/>
        <w:rPr>
          <w:sz w:val="20"/>
          <w:szCs w:val="20"/>
          <w:color w:val="auto"/>
        </w:rPr>
      </w:pPr>
    </w:p>
    <w:p>
      <w:pPr>
        <w:ind w:left="460" w:right="100" w:hanging="452"/>
        <w:spacing w:after="0" w:line="268" w:lineRule="auto"/>
        <w:tabs>
          <w:tab w:leader="none" w:pos="46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We have omitted all other financial statements because they are not required or are not applicable, or the required information is shown in the consolidated financial statements or notes to the consolidated financial statements.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20"/>
          </w:cols>
          <w:pgMar w:left="240" w:top="460" w:right="23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Member of Wynn Las Vegas, LLC:</w:t>
      </w:r>
    </w:p>
    <w:p>
      <w:pPr>
        <w:spacing w:after="0" w:line="15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have audited the accompanying consolidated balance sheets of Wynn Las Vegas, LLC and subsidiaries (the “Company”) as of December 31, 2009 and 2008, and the related consolidated statements of operations, member’s equity, and cash flows for each of the three years in the period ended December 31, 2009. Our audits also included the financial statement schedule listed in the index at F-34. These financial statements and schedule are the responsibility of the Company’s management. Our responsibility is to express an opinion on these financial statements and schedule based on our audits.</w:t>
      </w:r>
    </w:p>
    <w:p>
      <w:pPr>
        <w:spacing w:after="0" w:line="9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0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the Company at December 31, 2009 and 2008, and the consolidated results of their operations and their cash flows for each of the three years in the period ended December 31, 2009, in conformity with U.S. generally accepted accounting principles. Also, in our opinion, the related financial statement schedule referred to above, when considered in relation to the basic financial statements taken as a whole, presents fairly in all material respects the information set forth therein.</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Ernst &amp; Young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26, 2010</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80"/>
          </w:cols>
          <w:pgMar w:left="240" w:top="460" w:right="37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7"/>
          </w:tcPr>
          <w:p>
            <w:pPr>
              <w:jc w:val="right"/>
              <w:ind w:right="7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2008</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12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66,354</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123,315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110,860</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98,282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80,861</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95,206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25,187</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21,648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283,262</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338,451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3,851,668</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4,108,953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14,875</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42,025</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37,462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58,733</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77,969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3,761</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4,555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4,254,324</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4,584,271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820"/>
              <w:spacing w:after="0"/>
              <w:rPr>
                <w:sz w:val="20"/>
                <w:szCs w:val="20"/>
                <w:color w:val="auto"/>
              </w:rPr>
            </w:pPr>
            <w:r>
              <w:rPr>
                <w:rFonts w:ascii="Arial" w:cs="Arial" w:eastAsia="Arial" w:hAnsi="Arial"/>
                <w:sz w:val="18"/>
                <w:szCs w:val="18"/>
                <w:b w:val="1"/>
                <w:bCs w:val="1"/>
                <w:color w:val="auto"/>
              </w:rPr>
              <w:t>LIABILITIES AND MEMBER’S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28,226</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46,701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interest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17,595</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37,521</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50,127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23,309</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Customer deposits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101,507</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96,358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21,480</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200,424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230,688</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429,380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2,551,520</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2,833,423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82,339</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63,905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Interest rate swap</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4,224</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2,868,771</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3,326,708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1,912,146</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1,474,286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w w:val="95"/>
              </w:rPr>
              <w:t>(526,593)</w:t>
            </w:r>
          </w:p>
        </w:tc>
        <w:tc>
          <w:tcPr>
            <w:tcW w:w="10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w w:val="98"/>
              </w:rPr>
              <w:t>(216,723)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1,385,553</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1,257,563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4,254,324</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4,584,271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vMerge w:val="restart"/>
          </w:tcPr>
          <w:p>
            <w:pPr>
              <w:ind w:left="2620"/>
              <w:spacing w:after="0"/>
              <w:rPr>
                <w:sz w:val="20"/>
                <w:szCs w:val="20"/>
                <w:color w:val="auto"/>
              </w:rPr>
            </w:pPr>
            <w:r>
              <w:rPr>
                <w:rFonts w:ascii="Arial" w:cs="Arial" w:eastAsia="Arial" w:hAnsi="Arial"/>
                <w:sz w:val="18"/>
                <w:szCs w:val="18"/>
                <w:color w:val="auto"/>
                <w:w w:val="93"/>
              </w:rPr>
              <w:t>The accompanying notes are an integral part of these consolidated financial statements.</w:t>
            </w: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9220" w:type="dxa"/>
            <w:vAlign w:val="bottom"/>
          </w:tcPr>
          <w:p>
            <w:pPr>
              <w:ind w:left="5580"/>
              <w:spacing w:after="0"/>
              <w:rPr>
                <w:sz w:val="20"/>
                <w:szCs w:val="20"/>
                <w:color w:val="auto"/>
              </w:rPr>
            </w:pPr>
            <w:r>
              <w:rPr>
                <w:rFonts w:ascii="Arial" w:cs="Arial" w:eastAsia="Arial" w:hAnsi="Arial"/>
                <w:sz w:val="18"/>
                <w:szCs w:val="18"/>
                <w:color w:val="auto"/>
              </w:rPr>
              <w:t>F-3</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-4193540</wp:posOffset>
            </wp:positionV>
            <wp:extent cx="1270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-4193540</wp:posOffset>
            </wp:positionV>
            <wp:extent cx="2159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-4193540</wp:posOffset>
            </wp:positionV>
            <wp:extent cx="38735"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-4193540</wp:posOffset>
            </wp:positionV>
            <wp:extent cx="1270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-4193540</wp:posOffset>
            </wp:positionV>
            <wp:extent cx="2159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-4193540</wp:posOffset>
            </wp:positionV>
            <wp:extent cx="38735"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-557530</wp:posOffset>
            </wp:positionV>
            <wp:extent cx="1270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-557530</wp:posOffset>
            </wp:positionV>
            <wp:extent cx="21590"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-557530</wp:posOffset>
            </wp:positionV>
            <wp:extent cx="38735"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-557530</wp:posOffset>
            </wp:positionV>
            <wp:extent cx="1270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-557530</wp:posOffset>
            </wp:positionV>
            <wp:extent cx="2159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-557530</wp:posOffset>
            </wp:positionV>
            <wp:extent cx="38735"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173"/>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ind w:right="173"/>
              <w:spacing w:after="0"/>
              <w:rPr>
                <w:sz w:val="20"/>
                <w:szCs w:val="20"/>
                <w:color w:val="auto"/>
              </w:rPr>
            </w:pPr>
            <w:r>
              <w:rPr>
                <w:rFonts w:ascii="Arial" w:cs="Arial" w:eastAsia="Arial" w:hAnsi="Arial"/>
                <w:sz w:val="14"/>
                <w:szCs w:val="14"/>
                <w:b w:val="1"/>
                <w:bCs w:val="1"/>
                <w:color w:val="auto"/>
              </w:rPr>
              <w:t>2008</w:t>
            </w:r>
          </w:p>
        </w:tc>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2007</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505,779</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479,711</w:t>
            </w:r>
          </w:p>
        </w:tc>
        <w:tc>
          <w:tcPr>
            <w:tcW w:w="5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642,327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321,150</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268,515</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285,702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385,774</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305,702</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311,032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203,399</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202,122</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209,508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1,416,102</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1,256,050</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1,448,569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Less: promotional allowances</w:t>
            </w:r>
          </w:p>
        </w:tc>
        <w:tc>
          <w:tcPr>
            <w:tcW w:w="100" w:type="dxa"/>
            <w:vAlign w:val="bottom"/>
          </w:tcPr>
          <w:p>
            <w:pPr>
              <w:spacing w:after="0"/>
              <w:rPr>
                <w:sz w:val="19"/>
                <w:szCs w:val="19"/>
                <w:color w:val="auto"/>
              </w:rPr>
            </w:pPr>
          </w:p>
        </w:tc>
        <w:tc>
          <w:tcPr>
            <w:tcW w:w="1240" w:type="dxa"/>
            <w:vAlign w:val="bottom"/>
            <w:gridSpan w:val="3"/>
          </w:tcPr>
          <w:p>
            <w:pPr>
              <w:jc w:val="right"/>
              <w:ind w:right="480"/>
              <w:spacing w:after="0"/>
              <w:rPr>
                <w:sz w:val="20"/>
                <w:szCs w:val="20"/>
                <w:color w:val="auto"/>
              </w:rPr>
            </w:pPr>
            <w:r>
              <w:rPr>
                <w:rFonts w:ascii="Arial" w:cs="Arial" w:eastAsia="Arial" w:hAnsi="Arial"/>
                <w:sz w:val="18"/>
                <w:szCs w:val="18"/>
                <w:color w:val="auto"/>
                <w:w w:val="95"/>
              </w:rPr>
              <w:t>(185,982)</w:t>
            </w:r>
          </w:p>
        </w:tc>
        <w:tc>
          <w:tcPr>
            <w:tcW w:w="80" w:type="dxa"/>
            <w:vAlign w:val="bottom"/>
          </w:tcPr>
          <w:p>
            <w:pPr>
              <w:spacing w:after="0"/>
              <w:rPr>
                <w:sz w:val="19"/>
                <w:szCs w:val="19"/>
                <w:color w:val="auto"/>
              </w:rPr>
            </w:pPr>
          </w:p>
        </w:tc>
        <w:tc>
          <w:tcPr>
            <w:tcW w:w="1260" w:type="dxa"/>
            <w:vAlign w:val="bottom"/>
            <w:gridSpan w:val="3"/>
          </w:tcPr>
          <w:p>
            <w:pPr>
              <w:jc w:val="right"/>
              <w:ind w:right="480"/>
              <w:spacing w:after="0"/>
              <w:rPr>
                <w:sz w:val="20"/>
                <w:szCs w:val="20"/>
                <w:color w:val="auto"/>
              </w:rPr>
            </w:pPr>
            <w:r>
              <w:rPr>
                <w:rFonts w:ascii="Arial" w:cs="Arial" w:eastAsia="Arial" w:hAnsi="Arial"/>
                <w:sz w:val="18"/>
                <w:szCs w:val="18"/>
                <w:color w:val="auto"/>
                <w:w w:val="98"/>
              </w:rPr>
              <w:t>(156,159)</w:t>
            </w: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(152,718)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1,230,120</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1,099,891</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1,295,851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277,557</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257,983</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276,523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106,835</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73,782</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75,808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238,272</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188,521</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192,497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133,801</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132,870</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145,460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248,489</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199,540</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199,825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12,438</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24,887</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18,434</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16,505</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19,473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72,373</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313,759</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169,640</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152,839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24,468</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22,406</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1,374,399</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1,158,507</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1,096,026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 income</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5"/>
              </w:rPr>
              <w:t>(144,279)</w:t>
            </w: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(58,616)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199,825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Interest income and other</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4,827</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14,217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5"/>
              </w:rPr>
              <w:t>(157,228)</w:t>
            </w: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(75,855)</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(86,090)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Decrease in swap fair value</w:t>
            </w:r>
          </w:p>
        </w:tc>
        <w:tc>
          <w:tcPr>
            <w:tcW w:w="100" w:type="dxa"/>
            <w:vAlign w:val="bottom"/>
          </w:tcPr>
          <w:p>
            <w:pPr>
              <w:spacing w:after="0"/>
              <w:rPr>
                <w:sz w:val="18"/>
                <w:szCs w:val="18"/>
                <w:color w:val="auto"/>
              </w:rPr>
            </w:pPr>
          </w:p>
        </w:tc>
        <w:tc>
          <w:tcPr>
            <w:tcW w:w="1240" w:type="dxa"/>
            <w:vAlign w:val="bottom"/>
            <w:gridSpan w:val="3"/>
          </w:tcPr>
          <w:p>
            <w:pPr>
              <w:jc w:val="right"/>
              <w:ind w:right="480"/>
              <w:spacing w:after="0"/>
              <w:rPr>
                <w:sz w:val="20"/>
                <w:szCs w:val="20"/>
                <w:color w:val="auto"/>
              </w:rPr>
            </w:pPr>
            <w:r>
              <w:rPr>
                <w:rFonts w:ascii="Arial" w:cs="Arial" w:eastAsia="Arial" w:hAnsi="Arial"/>
                <w:sz w:val="18"/>
                <w:szCs w:val="18"/>
                <w:color w:val="auto"/>
              </w:rPr>
              <w:t>(4,224)</w:t>
            </w:r>
          </w:p>
        </w:tc>
        <w:tc>
          <w:tcPr>
            <w:tcW w:w="80" w:type="dxa"/>
            <w:vAlign w:val="bottom"/>
          </w:tcPr>
          <w:p>
            <w:pPr>
              <w:spacing w:after="0"/>
              <w:rPr>
                <w:sz w:val="18"/>
                <w:szCs w:val="18"/>
                <w:color w:val="auto"/>
              </w:rPr>
            </w:pPr>
          </w:p>
        </w:tc>
        <w:tc>
          <w:tcPr>
            <w:tcW w:w="1260" w:type="dxa"/>
            <w:vAlign w:val="bottom"/>
            <w:gridSpan w:val="3"/>
          </w:tcPr>
          <w:p>
            <w:pPr>
              <w:jc w:val="right"/>
              <w:ind w:right="480"/>
              <w:spacing w:after="0"/>
              <w:rPr>
                <w:sz w:val="20"/>
                <w:szCs w:val="20"/>
                <w:color w:val="auto"/>
              </w:rPr>
            </w:pPr>
            <w:r>
              <w:rPr>
                <w:rFonts w:ascii="Arial" w:cs="Arial" w:eastAsia="Arial" w:hAnsi="Arial"/>
                <w:sz w:val="18"/>
                <w:szCs w:val="18"/>
                <w:color w:val="auto"/>
              </w:rPr>
              <w:t>(416)</w:t>
            </w:r>
          </w:p>
        </w:tc>
        <w:tc>
          <w:tcPr>
            <w:tcW w:w="8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(4,372)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extinguishment of debt</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(3,779)</w:t>
            </w: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100" w:type="dxa"/>
            <w:vAlign w:val="bottom"/>
          </w:tcPr>
          <w:p>
            <w:pPr>
              <w:spacing w:after="0"/>
              <w:rPr>
                <w:sz w:val="19"/>
                <w:szCs w:val="19"/>
                <w:color w:val="auto"/>
              </w:rPr>
            </w:pPr>
          </w:p>
        </w:tc>
        <w:tc>
          <w:tcPr>
            <w:tcW w:w="1240" w:type="dxa"/>
            <w:vAlign w:val="bottom"/>
            <w:gridSpan w:val="3"/>
          </w:tcPr>
          <w:p>
            <w:pPr>
              <w:jc w:val="right"/>
              <w:ind w:right="480"/>
              <w:spacing w:after="0"/>
              <w:rPr>
                <w:sz w:val="20"/>
                <w:szCs w:val="20"/>
                <w:color w:val="auto"/>
              </w:rPr>
            </w:pPr>
            <w:r>
              <w:rPr>
                <w:rFonts w:ascii="Arial" w:cs="Arial" w:eastAsia="Arial" w:hAnsi="Arial"/>
                <w:sz w:val="18"/>
                <w:szCs w:val="18"/>
                <w:color w:val="auto"/>
              </w:rPr>
              <w:t>(427)</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266</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5"/>
              </w:rPr>
              <w:t>(165,591)</w:t>
            </w: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(71,178)</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(75,606)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5"/>
              </w:rPr>
              <w:t>(309,870)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8"/>
              </w:rPr>
              <w:t>(129,794)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124,219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8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-29210</wp:posOffset>
            </wp:positionV>
            <wp:extent cx="1270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-29210</wp:posOffset>
            </wp:positionV>
            <wp:extent cx="21590"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-29210</wp:posOffset>
            </wp:positionV>
            <wp:extent cx="38735"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-29210</wp:posOffset>
            </wp:positionV>
            <wp:extent cx="1270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-29210</wp:posOffset>
            </wp:positionV>
            <wp:extent cx="21590"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38735"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-29210</wp:posOffset>
            </wp:positionV>
            <wp:extent cx="1270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21590"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60" w:right="23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MEMBER’S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$ 1,242,770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04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860" w:type="dxa"/>
            <w:vAlign w:val="bottom"/>
          </w:tcPr>
          <w:p>
            <w:pPr>
              <w:jc w:val="right"/>
              <w:spacing w:after="0"/>
              <w:rPr>
                <w:sz w:val="20"/>
                <w:szCs w:val="20"/>
                <w:color w:val="auto"/>
              </w:rPr>
            </w:pPr>
            <w:r>
              <w:rPr>
                <w:rFonts w:ascii="Arial" w:cs="Arial" w:eastAsia="Arial" w:hAnsi="Arial"/>
                <w:sz w:val="18"/>
                <w:szCs w:val="18"/>
                <w:color w:val="auto"/>
              </w:rPr>
              <w:t>124,219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Parent company stock-based compensation</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6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1,375,020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04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(129,794)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Parent company stock-based compensation</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460" w:type="dxa"/>
            <w:vAlign w:val="bottom"/>
          </w:tcPr>
          <w:p>
            <w:pPr>
              <w:spacing w:after="0"/>
              <w:rPr>
                <w:sz w:val="20"/>
                <w:szCs w:val="20"/>
                <w:color w:val="auto"/>
              </w:rPr>
            </w:pPr>
            <w:r>
              <w:rPr>
                <w:rFonts w:ascii="Arial" w:cs="Arial" w:eastAsia="Arial" w:hAnsi="Arial"/>
                <w:sz w:val="18"/>
                <w:szCs w:val="18"/>
                <w:color w:val="auto"/>
              </w:rPr>
              <w:t>Contributions from Wynn Resorts, Ltd</w:t>
            </w:r>
          </w:p>
        </w:tc>
        <w:tc>
          <w:tcPr>
            <w:tcW w:w="860" w:type="dxa"/>
            <w:vAlign w:val="bottom"/>
          </w:tcPr>
          <w:p>
            <w:pPr>
              <w:jc w:val="right"/>
              <w:spacing w:after="0"/>
              <w:rPr>
                <w:sz w:val="20"/>
                <w:szCs w:val="20"/>
                <w:color w:val="auto"/>
              </w:rPr>
            </w:pPr>
            <w:r>
              <w:rPr>
                <w:rFonts w:ascii="Arial" w:cs="Arial" w:eastAsia="Arial" w:hAnsi="Arial"/>
                <w:sz w:val="18"/>
                <w:szCs w:val="18"/>
                <w:color w:val="auto"/>
              </w:rPr>
              <w:t>2,835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6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1,257,563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04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(309,870)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Parent company stock-based compensation</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460" w:type="dxa"/>
            <w:vAlign w:val="bottom"/>
          </w:tcPr>
          <w:p>
            <w:pPr>
              <w:spacing w:after="0"/>
              <w:rPr>
                <w:sz w:val="20"/>
                <w:szCs w:val="20"/>
                <w:color w:val="auto"/>
              </w:rPr>
            </w:pPr>
            <w:r>
              <w:rPr>
                <w:rFonts w:ascii="Arial" w:cs="Arial" w:eastAsia="Arial" w:hAnsi="Arial"/>
                <w:sz w:val="18"/>
                <w:szCs w:val="18"/>
                <w:color w:val="auto"/>
              </w:rPr>
              <w:t>Contributions from Wynn Resorts, Ltd</w:t>
            </w:r>
          </w:p>
        </w:tc>
        <w:tc>
          <w:tcPr>
            <w:tcW w:w="860" w:type="dxa"/>
            <w:vAlign w:val="bottom"/>
          </w:tcPr>
          <w:p>
            <w:pPr>
              <w:jc w:val="right"/>
              <w:spacing w:after="0"/>
              <w:rPr>
                <w:sz w:val="20"/>
                <w:szCs w:val="20"/>
                <w:color w:val="auto"/>
              </w:rPr>
            </w:pPr>
            <w:r>
              <w:rPr>
                <w:rFonts w:ascii="Arial" w:cs="Arial" w:eastAsia="Arial" w:hAnsi="Arial"/>
                <w:sz w:val="18"/>
                <w:szCs w:val="18"/>
                <w:color w:val="auto"/>
              </w:rPr>
              <w:t>429,490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6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$ 1,385,553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460" w:type="dxa"/>
            <w:vAlign w:val="bottom"/>
            <w:vMerge w:val="restart"/>
          </w:tcPr>
          <w:p>
            <w:pPr>
              <w:jc w:val="center"/>
              <w:ind w:left="832"/>
              <w:spacing w:after="0"/>
              <w:rPr>
                <w:sz w:val="20"/>
                <w:szCs w:val="20"/>
                <w:color w:val="auto"/>
              </w:rPr>
            </w:pPr>
            <w:r>
              <w:rPr>
                <w:rFonts w:ascii="Arial" w:cs="Arial" w:eastAsia="Arial" w:hAnsi="Arial"/>
                <w:sz w:val="18"/>
                <w:szCs w:val="18"/>
                <w:color w:val="auto"/>
                <w:w w:val="87"/>
              </w:rPr>
              <w:t>The accompanying notes are an integral part of these consolidated financial statements.</w:t>
            </w:r>
          </w:p>
        </w:tc>
        <w:tc>
          <w:tcPr>
            <w:tcW w:w="86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1046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0460" w:type="dxa"/>
            <w:vAlign w:val="bottom"/>
          </w:tcPr>
          <w:p>
            <w:pPr>
              <w:jc w:val="center"/>
              <w:ind w:left="852"/>
              <w:spacing w:after="0"/>
              <w:rPr>
                <w:sz w:val="20"/>
                <w:szCs w:val="20"/>
                <w:color w:val="auto"/>
              </w:rPr>
            </w:pPr>
            <w:r>
              <w:rPr>
                <w:rFonts w:ascii="Arial" w:cs="Arial" w:eastAsia="Arial" w:hAnsi="Arial"/>
                <w:sz w:val="18"/>
                <w:szCs w:val="18"/>
                <w:color w:val="auto"/>
                <w:w w:val="88"/>
              </w:rPr>
              <w:t>F-5</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6657975</wp:posOffset>
            </wp:positionH>
            <wp:positionV relativeFrom="paragraph">
              <wp:posOffset>-557530</wp:posOffset>
            </wp:positionV>
            <wp:extent cx="12700"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-557530</wp:posOffset>
            </wp:positionV>
            <wp:extent cx="21590"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-557530</wp:posOffset>
            </wp:positionV>
            <wp:extent cx="38735"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w w:val="87"/>
              </w:rPr>
              <w:t>December 31,</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jc w:val="right"/>
              <w:ind w:right="213"/>
              <w:spacing w:after="0"/>
              <w:rPr>
                <w:sz w:val="20"/>
                <w:szCs w:val="20"/>
                <w:color w:val="auto"/>
              </w:rPr>
            </w:pPr>
            <w:r>
              <w:rPr>
                <w:rFonts w:ascii="Arial" w:cs="Arial" w:eastAsia="Arial" w:hAnsi="Arial"/>
                <w:sz w:val="14"/>
                <w:szCs w:val="14"/>
                <w:b w:val="1"/>
                <w:bCs w:val="1"/>
                <w:color w:val="auto"/>
              </w:rPr>
              <w:t>2008</w:t>
            </w:r>
          </w:p>
        </w:tc>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2007</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Net (loss)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3"/>
          </w:tcPr>
          <w:p>
            <w:pPr>
              <w:jc w:val="right"/>
              <w:ind w:right="480"/>
              <w:spacing w:after="0"/>
              <w:rPr>
                <w:sz w:val="20"/>
                <w:szCs w:val="20"/>
                <w:color w:val="auto"/>
              </w:rPr>
            </w:pPr>
            <w:r>
              <w:rPr>
                <w:rFonts w:ascii="Arial" w:cs="Arial" w:eastAsia="Arial" w:hAnsi="Arial"/>
                <w:sz w:val="18"/>
                <w:szCs w:val="18"/>
                <w:color w:val="auto"/>
                <w:w w:val="88"/>
              </w:rPr>
              <w:t>(309,870)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3"/>
          </w:tcPr>
          <w:p>
            <w:pPr>
              <w:jc w:val="right"/>
              <w:ind w:right="480"/>
              <w:spacing w:after="0"/>
              <w:rPr>
                <w:sz w:val="20"/>
                <w:szCs w:val="20"/>
                <w:color w:val="auto"/>
              </w:rPr>
            </w:pPr>
            <w:r>
              <w:rPr>
                <w:rFonts w:ascii="Arial" w:cs="Arial" w:eastAsia="Arial" w:hAnsi="Arial"/>
                <w:sz w:val="18"/>
                <w:szCs w:val="18"/>
                <w:color w:val="auto"/>
              </w:rPr>
              <w:t>(129,794)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124,219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income to net cash provided by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313,759</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169,640</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152,839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8,370</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9,502</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Loss from extinguishment of debt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3,779</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and writeoff of deferred financing costs and other</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19,624</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11,078</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Equity in income from unconsolidated affiliates, net of distributions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794</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522</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12,438</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24,887</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24,468</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22,406</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6,005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swap fair value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4,224</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(25,016)</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20,342</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860"/>
              <w:spacing w:after="0"/>
              <w:rPr>
                <w:sz w:val="20"/>
                <w:szCs w:val="20"/>
                <w:color w:val="auto"/>
              </w:rPr>
            </w:pPr>
            <w:r>
              <w:rPr>
                <w:rFonts w:ascii="Arial" w:cs="Arial" w:eastAsia="Arial" w:hAnsi="Arial"/>
                <w:sz w:val="18"/>
                <w:szCs w:val="18"/>
                <w:color w:val="auto"/>
              </w:rPr>
              <w:t>Inventories and prepaid expenses and other assets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180</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480"/>
              <w:spacing w:after="0"/>
              <w:rPr>
                <w:sz w:val="20"/>
                <w:szCs w:val="20"/>
                <w:color w:val="auto"/>
              </w:rPr>
            </w:pPr>
            <w:r>
              <w:rPr>
                <w:rFonts w:ascii="Arial" w:cs="Arial" w:eastAsia="Arial" w:hAnsi="Arial"/>
                <w:sz w:val="18"/>
                <w:szCs w:val="18"/>
                <w:color w:val="auto"/>
              </w:rPr>
              <w:t>(38,706)</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(7,022)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(14,227)</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22,392</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36,052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80" w:type="dxa"/>
            <w:vAlign w:val="bottom"/>
          </w:tcPr>
          <w:p>
            <w:pPr>
              <w:ind w:left="860"/>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41,879</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22,455</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80,402</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135,140</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315,714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 payables and retention</w:t>
            </w:r>
          </w:p>
        </w:tc>
        <w:tc>
          <w:tcPr>
            <w:tcW w:w="100" w:type="dxa"/>
            <w:vAlign w:val="bottom"/>
          </w:tcPr>
          <w:p>
            <w:pPr>
              <w:spacing w:after="0"/>
              <w:rPr>
                <w:sz w:val="18"/>
                <w:szCs w:val="18"/>
                <w:color w:val="auto"/>
              </w:rPr>
            </w:pPr>
          </w:p>
        </w:tc>
        <w:tc>
          <w:tcPr>
            <w:tcW w:w="1180" w:type="dxa"/>
            <w:vAlign w:val="bottom"/>
            <w:gridSpan w:val="3"/>
          </w:tcPr>
          <w:p>
            <w:pPr>
              <w:jc w:val="right"/>
              <w:ind w:right="480"/>
              <w:spacing w:after="0"/>
              <w:rPr>
                <w:sz w:val="20"/>
                <w:szCs w:val="20"/>
                <w:color w:val="auto"/>
              </w:rPr>
            </w:pPr>
            <w:r>
              <w:rPr>
                <w:rFonts w:ascii="Arial" w:cs="Arial" w:eastAsia="Arial" w:hAnsi="Arial"/>
                <w:sz w:val="18"/>
                <w:szCs w:val="18"/>
                <w:color w:val="auto"/>
                <w:w w:val="88"/>
              </w:rPr>
              <w:t>(245,040)</w:t>
            </w:r>
          </w:p>
        </w:tc>
        <w:tc>
          <w:tcPr>
            <w:tcW w:w="100" w:type="dxa"/>
            <w:vAlign w:val="bottom"/>
          </w:tcPr>
          <w:p>
            <w:pPr>
              <w:spacing w:after="0"/>
              <w:rPr>
                <w:sz w:val="18"/>
                <w:szCs w:val="18"/>
                <w:color w:val="auto"/>
              </w:rPr>
            </w:pPr>
          </w:p>
        </w:tc>
        <w:tc>
          <w:tcPr>
            <w:tcW w:w="1300" w:type="dxa"/>
            <w:vAlign w:val="bottom"/>
            <w:gridSpan w:val="3"/>
          </w:tcPr>
          <w:p>
            <w:pPr>
              <w:jc w:val="right"/>
              <w:ind w:right="480"/>
              <w:spacing w:after="0"/>
              <w:rPr>
                <w:sz w:val="20"/>
                <w:szCs w:val="20"/>
                <w:color w:val="auto"/>
              </w:rPr>
            </w:pPr>
            <w:r>
              <w:rPr>
                <w:rFonts w:ascii="Arial" w:cs="Arial" w:eastAsia="Arial" w:hAnsi="Arial"/>
                <w:sz w:val="18"/>
                <w:szCs w:val="18"/>
                <w:color w:val="auto"/>
                <w:w w:val="86"/>
              </w:rPr>
              <w:t>(1,129,525)</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(678,480)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 and investments</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31,052</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166,465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Note receivable from Wynn Resorts, Limited</w:t>
            </w:r>
          </w:p>
        </w:tc>
        <w:tc>
          <w:tcPr>
            <w:tcW w:w="100" w:type="dxa"/>
            <w:vAlign w:val="bottom"/>
          </w:tcPr>
          <w:p>
            <w:pPr>
              <w:spacing w:after="0"/>
              <w:rPr>
                <w:sz w:val="18"/>
                <w:szCs w:val="18"/>
                <w:color w:val="auto"/>
              </w:rPr>
            </w:pPr>
          </w:p>
        </w:tc>
        <w:tc>
          <w:tcPr>
            <w:tcW w:w="118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80,000</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4,278</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(35,061)</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Due to affliates, net</w:t>
            </w:r>
          </w:p>
        </w:tc>
        <w:tc>
          <w:tcPr>
            <w:tcW w:w="100" w:type="dxa"/>
            <w:vAlign w:val="bottom"/>
          </w:tcPr>
          <w:p>
            <w:pPr>
              <w:spacing w:after="0"/>
              <w:rPr>
                <w:sz w:val="18"/>
                <w:szCs w:val="18"/>
                <w:color w:val="auto"/>
              </w:rPr>
            </w:pPr>
          </w:p>
        </w:tc>
        <w:tc>
          <w:tcPr>
            <w:tcW w:w="1180" w:type="dxa"/>
            <w:vAlign w:val="bottom"/>
            <w:gridSpan w:val="3"/>
          </w:tcPr>
          <w:p>
            <w:pPr>
              <w:jc w:val="right"/>
              <w:ind w:right="480"/>
              <w:spacing w:after="0"/>
              <w:rPr>
                <w:sz w:val="20"/>
                <w:szCs w:val="20"/>
                <w:color w:val="auto"/>
              </w:rPr>
            </w:pPr>
            <w:r>
              <w:rPr>
                <w:rFonts w:ascii="Arial" w:cs="Arial" w:eastAsia="Arial" w:hAnsi="Arial"/>
                <w:sz w:val="18"/>
                <w:szCs w:val="18"/>
                <w:color w:val="auto"/>
              </w:rPr>
              <w:t>(8,468)</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18,546</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(24,721)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88"/>
              </w:rPr>
              <w:t>(249,188)</w:t>
            </w: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86"/>
              </w:rPr>
              <w:t>(1,032,451)</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8"/>
              </w:rPr>
              <w:t>(562,021)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Principal payments on long-term debt</w:t>
            </w:r>
          </w:p>
        </w:tc>
        <w:tc>
          <w:tcPr>
            <w:tcW w:w="100" w:type="dxa"/>
            <w:vAlign w:val="bottom"/>
          </w:tcPr>
          <w:p>
            <w:pPr>
              <w:spacing w:after="0"/>
              <w:rPr>
                <w:sz w:val="18"/>
                <w:szCs w:val="18"/>
                <w:color w:val="auto"/>
              </w:rPr>
            </w:pPr>
          </w:p>
        </w:tc>
        <w:tc>
          <w:tcPr>
            <w:tcW w:w="1180" w:type="dxa"/>
            <w:vAlign w:val="bottom"/>
            <w:gridSpan w:val="3"/>
          </w:tcPr>
          <w:p>
            <w:pPr>
              <w:jc w:val="right"/>
              <w:ind w:right="480"/>
              <w:spacing w:after="0"/>
              <w:rPr>
                <w:sz w:val="20"/>
                <w:szCs w:val="20"/>
                <w:color w:val="auto"/>
              </w:rPr>
            </w:pPr>
            <w:r>
              <w:rPr>
                <w:rFonts w:ascii="Arial" w:cs="Arial" w:eastAsia="Arial" w:hAnsi="Arial"/>
                <w:sz w:val="18"/>
                <w:szCs w:val="18"/>
                <w:color w:val="auto"/>
                <w:w w:val="88"/>
              </w:rPr>
              <w:t>(929,909)</w:t>
            </w:r>
          </w:p>
        </w:tc>
        <w:tc>
          <w:tcPr>
            <w:tcW w:w="100" w:type="dxa"/>
            <w:vAlign w:val="bottom"/>
          </w:tcPr>
          <w:p>
            <w:pPr>
              <w:spacing w:after="0"/>
              <w:rPr>
                <w:sz w:val="18"/>
                <w:szCs w:val="18"/>
                <w:color w:val="auto"/>
              </w:rPr>
            </w:pPr>
          </w:p>
        </w:tc>
        <w:tc>
          <w:tcPr>
            <w:tcW w:w="1300" w:type="dxa"/>
            <w:vAlign w:val="bottom"/>
            <w:gridSpan w:val="3"/>
          </w:tcPr>
          <w:p>
            <w:pPr>
              <w:jc w:val="right"/>
              <w:ind w:right="480"/>
              <w:spacing w:after="0"/>
              <w:rPr>
                <w:sz w:val="20"/>
                <w:szCs w:val="20"/>
                <w:color w:val="auto"/>
              </w:rPr>
            </w:pPr>
            <w:r>
              <w:rPr>
                <w:rFonts w:ascii="Arial" w:cs="Arial" w:eastAsia="Arial" w:hAnsi="Arial"/>
                <w:sz w:val="18"/>
                <w:szCs w:val="18"/>
                <w:color w:val="auto"/>
              </w:rPr>
              <w:t>(1,400)</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(282,911)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649,481</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879,484</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585,460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Capital contribution from the Parent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412,951</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of deferred financing costs</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(20,698)</w:t>
            </w: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(3,979)</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(3,541)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111,825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874,105</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299,008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tcPr>
          <w:p>
            <w:pPr>
              <w:spacing w:after="0"/>
              <w:rPr>
                <w:sz w:val="18"/>
                <w:szCs w:val="18"/>
                <w:color w:val="auto"/>
              </w:rPr>
            </w:pPr>
          </w:p>
        </w:tc>
        <w:tc>
          <w:tcPr>
            <w:tcW w:w="1180" w:type="dxa"/>
            <w:vAlign w:val="bottom"/>
            <w:gridSpan w:val="3"/>
          </w:tcPr>
          <w:p>
            <w:pPr>
              <w:jc w:val="right"/>
              <w:ind w:right="480"/>
              <w:spacing w:after="0"/>
              <w:rPr>
                <w:sz w:val="20"/>
                <w:szCs w:val="20"/>
                <w:color w:val="auto"/>
              </w:rPr>
            </w:pPr>
            <w:r>
              <w:rPr>
                <w:rFonts w:ascii="Arial" w:cs="Arial" w:eastAsia="Arial" w:hAnsi="Arial"/>
                <w:sz w:val="18"/>
                <w:szCs w:val="18"/>
                <w:color w:val="auto"/>
              </w:rPr>
              <w:t>(56,961)</w:t>
            </w:r>
          </w:p>
        </w:tc>
        <w:tc>
          <w:tcPr>
            <w:tcW w:w="100" w:type="dxa"/>
            <w:vAlign w:val="bottom"/>
          </w:tcPr>
          <w:p>
            <w:pPr>
              <w:spacing w:after="0"/>
              <w:rPr>
                <w:sz w:val="18"/>
                <w:szCs w:val="18"/>
                <w:color w:val="auto"/>
              </w:rPr>
            </w:pPr>
          </w:p>
        </w:tc>
        <w:tc>
          <w:tcPr>
            <w:tcW w:w="1300" w:type="dxa"/>
            <w:vAlign w:val="bottom"/>
            <w:gridSpan w:val="3"/>
          </w:tcPr>
          <w:p>
            <w:pPr>
              <w:jc w:val="right"/>
              <w:ind w:right="480"/>
              <w:spacing w:after="0"/>
              <w:rPr>
                <w:sz w:val="20"/>
                <w:szCs w:val="20"/>
                <w:color w:val="auto"/>
              </w:rPr>
            </w:pPr>
            <w:r>
              <w:rPr>
                <w:rFonts w:ascii="Arial" w:cs="Arial" w:eastAsia="Arial" w:hAnsi="Arial"/>
                <w:sz w:val="18"/>
                <w:szCs w:val="18"/>
                <w:color w:val="auto"/>
              </w:rPr>
              <w:t>(23,206)</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52,701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year</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123,315</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146,521</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93,820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66,354</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123,315</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146,521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8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disclosures: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Cash paid for interest, net of amounts capitalized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138,787</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147,209</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110,298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construction payables and retention</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88"/>
              </w:rPr>
              <w:t>(183,842)</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99,948</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78,308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Capitalized stock-based compensation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524</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573</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contribution from parent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16,539</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-781685</wp:posOffset>
            </wp:positionV>
            <wp:extent cx="12700"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-781685</wp:posOffset>
            </wp:positionV>
            <wp:extent cx="21590"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-781685</wp:posOffset>
            </wp:positionV>
            <wp:extent cx="38735"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-781685</wp:posOffset>
            </wp:positionV>
            <wp:extent cx="12700"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-781685</wp:posOffset>
            </wp:positionV>
            <wp:extent cx="21590"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-781685</wp:posOffset>
            </wp:positionV>
            <wp:extent cx="38735"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-781685</wp:posOffset>
            </wp:positionV>
            <wp:extent cx="12700"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-781685</wp:posOffset>
            </wp:positionV>
            <wp:extent cx="21590"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-781685</wp:posOffset>
            </wp:positionV>
            <wp:extent cx="38735"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60" w:right="23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83"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Wynn Las Vegas, LLC was formed on April 17, 2001 as a Nevada limited liability company. Unless the context otherwise requires, all references herein to the “Company” refer to Wynn Las Vegas, LLC, a Nevada limited liability company and its consolidated subsidiaries. The sole member of the Company is Wynn Resorts Holdings, LLC (“Holdings”). The sole member of Holdings is Wynn Resorts, Limited (“Wynn Resorts”). The Company was organized primarily to construct and operate “Wynn Las Vegas,” a destination resort and casino on the “Strip” in Las Vegas, Nevada. Wynn Las Vegas opened on April 28, 2005. In April 2006, the Company commenced construction of Encore at Wynn Las Vegas (“Encore”), a 2,034 all-suite hotel fully integrated with Wynn Las Vegas. Encore opened on December 22, 2008.</w:t>
      </w:r>
    </w:p>
    <w:p>
      <w:pPr>
        <w:spacing w:after="0" w:line="131"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Wynn Las Vegas Capital Corp. (“Wynn Capital”) is a wholly owned subsidiary of the Company incorporated on June 3, 2002, solely for the purpose of obtaining financing for Wynn Las Vegas. Wynn Capital is authorized to issue 2,000 shares of common stock, par value $0.01. At December 31, 2009, the Company owned the one share that was issued and outstanding. Wynn Capital has neither any significant net assets nor has had any operating activity. Its sole function is to serve as the co-issuer of the mortgage notes described below. Wynn Las Vegas, LLC and Wynn Capital together are hereinafter referred to as the “Issuers”.</w:t>
      </w:r>
    </w:p>
    <w:p>
      <w:pPr>
        <w:spacing w:after="0" w:line="123" w:lineRule="exact"/>
        <w:rPr>
          <w:sz w:val="20"/>
          <w:szCs w:val="20"/>
          <w:color w:val="auto"/>
        </w:rPr>
      </w:pPr>
    </w:p>
    <w:p>
      <w:pPr>
        <w:ind w:left="240" w:right="7920" w:hanging="232"/>
        <w:spacing w:after="0" w:line="332" w:lineRule="auto"/>
        <w:tabs>
          <w:tab w:leader="none" w:pos="187" w:val="left"/>
        </w:tabs>
        <w:numPr>
          <w:ilvl w:val="0"/>
          <w:numId w:val="37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i w:val="1"/>
          <w:iCs w:val="1"/>
          <w:color w:val="auto"/>
        </w:rPr>
        <w:t>Principles of Consolidation</w:t>
      </w:r>
    </w:p>
    <w:p>
      <w:pPr>
        <w:spacing w:after="0" w:line="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wholly-owned subsidiaries. The Company’s investment in the 50%-owned joint venture operating the Ferrari and Maserati automobile dealership inside Wynn Las Vegas is accounted for under the equity method. All significant intercompany accounts and transactions have been eliminated.</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Use of Estimates</w:t>
      </w:r>
    </w:p>
    <w:p>
      <w:pPr>
        <w:spacing w:after="0" w:line="77"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and Cash Equivalents</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Cash and cash equivalents are comprised of highly liquid investments with purchase maturities of three months or less. Cash equivalents are carried at cost, which approximates fair value.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Accounts Receivable and Credit Risk</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At December 31, 2009 and 2008, approximately 68% and 69%, respectively, of the Company’s markers were due from customers residing outside the United States, primarily in Asia. Business or economic conditions or other significant events in these countries could affect the collectibility of such receivables.</w:t>
      </w:r>
    </w:p>
    <w:p>
      <w:pPr>
        <w:spacing w:after="0" w:line="99"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Accounts are written off when management deems them to be uncollectible. Recoveries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00"/>
          </w:cols>
          <w:pgMar w:left="240" w:top="460" w:right="25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of accounts previously written off are recorded when received. An estimated allowance for doubtful accounts is maintained to reduce the Company’s receivables to their carrying amount, which approximates fair value. The allowance is estimated based on specific review of customer accounts as well as management’s experience with collection trends in the casino industry and current economic and business conditions.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Inventories consist of retail merchandise, food and beverage items, which are stated at the lower of cost or market value, and certain operating supplies.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Cost is determined by the first-in, first-out, average and specific identification methods.</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and Equipment</w:t>
      </w:r>
    </w:p>
    <w:p>
      <w:pPr>
        <w:spacing w:after="0" w:line="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Purchases of property and equipment are stated at cost. Depreciation is provided over the estimated useful lives of the assets using the straight-line method as follows:</w:t>
      </w:r>
    </w:p>
    <w:p>
      <w:pPr>
        <w:spacing w:after="0" w:line="11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3880" w:type="dxa"/>
            <w:vAlign w:val="bottom"/>
          </w:tcPr>
          <w:p>
            <w:pPr>
              <w:jc w:val="right"/>
              <w:spacing w:after="0"/>
              <w:rPr>
                <w:sz w:val="20"/>
                <w:szCs w:val="20"/>
                <w:color w:val="auto"/>
              </w:rPr>
            </w:pPr>
            <w:r>
              <w:rPr>
                <w:rFonts w:ascii="Arial" w:cs="Arial" w:eastAsia="Arial" w:hAnsi="Arial"/>
                <w:sz w:val="18"/>
                <w:szCs w:val="18"/>
                <w:color w:val="auto"/>
              </w:rPr>
              <w:t>10 to 45 years</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Land improvements</w:t>
            </w:r>
          </w:p>
        </w:tc>
        <w:tc>
          <w:tcPr>
            <w:tcW w:w="3880" w:type="dxa"/>
            <w:vAlign w:val="bottom"/>
          </w:tcPr>
          <w:p>
            <w:pPr>
              <w:jc w:val="right"/>
              <w:spacing w:after="0"/>
              <w:rPr>
                <w:sz w:val="20"/>
                <w:szCs w:val="20"/>
                <w:color w:val="auto"/>
              </w:rPr>
            </w:pPr>
            <w:r>
              <w:rPr>
                <w:rFonts w:ascii="Arial" w:cs="Arial" w:eastAsia="Arial" w:hAnsi="Arial"/>
                <w:sz w:val="18"/>
                <w:szCs w:val="18"/>
                <w:color w:val="auto"/>
              </w:rPr>
              <w:t>10 to 45 years</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Airplane</w:t>
            </w:r>
          </w:p>
        </w:tc>
        <w:tc>
          <w:tcPr>
            <w:tcW w:w="3880" w:type="dxa"/>
            <w:vAlign w:val="bottom"/>
          </w:tcPr>
          <w:p>
            <w:pPr>
              <w:jc w:val="right"/>
              <w:spacing w:after="0"/>
              <w:rPr>
                <w:sz w:val="20"/>
                <w:szCs w:val="20"/>
                <w:color w:val="auto"/>
              </w:rPr>
            </w:pPr>
            <w:r>
              <w:rPr>
                <w:rFonts w:ascii="Arial" w:cs="Arial" w:eastAsia="Arial" w:hAnsi="Arial"/>
                <w:sz w:val="18"/>
                <w:szCs w:val="18"/>
                <w:color w:val="auto"/>
              </w:rPr>
              <w:t>20 years</w:t>
            </w:r>
          </w:p>
        </w:tc>
      </w:tr>
      <w:tr>
        <w:trPr>
          <w:trHeight w:val="222"/>
        </w:trPr>
        <w:tc>
          <w:tcPr>
            <w:tcW w:w="526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3880" w:type="dxa"/>
            <w:vAlign w:val="bottom"/>
          </w:tcPr>
          <w:p>
            <w:pPr>
              <w:jc w:val="right"/>
              <w:spacing w:after="0"/>
              <w:rPr>
                <w:sz w:val="20"/>
                <w:szCs w:val="20"/>
                <w:color w:val="auto"/>
              </w:rPr>
            </w:pPr>
            <w:r>
              <w:rPr>
                <w:rFonts w:ascii="Arial" w:cs="Arial" w:eastAsia="Arial" w:hAnsi="Arial"/>
                <w:sz w:val="18"/>
                <w:szCs w:val="18"/>
                <w:color w:val="auto"/>
              </w:rPr>
              <w:t>3 to 20 years</w:t>
            </w:r>
          </w:p>
        </w:tc>
      </w:tr>
    </w:tbl>
    <w:p>
      <w:pPr>
        <w:spacing w:after="0" w:line="14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Costs related to improvements are capitalized, while costs of repairs and maintenance are charged to expense as incurred. The cost and accumulated depreciation of property and equipment retired or otherwise disposed of are eliminated from the respective accounts and any resulting gain or loss is included in operations.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Capitalized Interest</w:t>
      </w:r>
    </w:p>
    <w:p>
      <w:pPr>
        <w:spacing w:after="0" w:line="77"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The interest cost associated with major development and construction projects is capitalized and included in the cost of the project. Interest capitalization ceases once a project is substantially complete or no longer undergoing construction activities to prepare it for its intended use. When no debt is specifically identified as being incurred in connection with a construction project, the Company capitalizes interest on amounts expended on the project at the Company’s weighted average cost of borrowed money. Interest of $0, $80.4 million and $33.6 million was capitalized for the years ended December 31, 2009, 2008 and 2007, respectively.</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Intangibles</w:t>
      </w:r>
    </w:p>
    <w:p>
      <w:pPr>
        <w:spacing w:after="0" w:line="77"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Company’s indefinite-lived intangible assets consist primarily of water rights acquired as part of the overall purchase price of the land on which Wynn Las Vegas is located, and trademarks. Indefinite-lived intangible assets are not amortized, but are reviewed annually for impairment. The Company’s finite-lived intangible assets consist of show production rights. Finite-lived intangible assets are amortized over the shorter of their contractual terms or estimated useful lives.</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Long-Lived Assets</w:t>
      </w:r>
    </w:p>
    <w:p>
      <w:pPr>
        <w:spacing w:after="0" w:line="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Long-lived assets, which are not to be disposed of, including intangibles and property and equipment, are periodically reviewed by management for impairment whenever events or changes in circumstances indicate that the carrying value of the asset may not be recoverable. For assets to be held and used, the Company reviews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these assets for impairment whenever indicators of impairment exist. If an indicator of impairment exists, the Company compares the estimated future cash flows of the asset, on an undiscounted basis, to the carrying value of the asset. If the undiscounted cash flows exceed the carrying value, no impairment is indicated. If the undiscounted cash flows do not exceed the carrying value, then impairment is measured as the difference between fair value and carrying value, with fair value typically based on a discounted cash flow model. If an asset is still under development, future cash flows include remaining construction costs.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Deferred Financing Costs</w:t>
      </w:r>
    </w:p>
    <w:p>
      <w:pPr>
        <w:spacing w:after="0" w:line="7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Direct and incremental costs incurred in obtaining loans or in connection with the issuance of long-tem debt are capitalized and amortized to interest expense over the terms of the related debt agreements. Approximately $9.3 million, $8.5 million and $7.2 million, was amortized to interest expense during the years ended December 31, 2009, 2008 and 2007, respectively. Debt discounts incurred in connection with the issuance of debt has been capitalized and is being amortized to interest expense using the effective interest method.</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 Financial Instruments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seeks to manage its market risk, including interest rate risk associated with variable rate borrowings, through balancing fixed-rate and variable-rate borrowings with the use of derivative financial instruments. The fair value of derivative financial instruments are recognized as assets or liabilities at each balance sheet date, with changes in fair value affecting net income (loss) or comprehensive income (loss) as applicable. The Company’s interest rate swaps do not qualify for hedge accounting. Accordingly, changes in the fair value of the interest rate swaps are presented as an increase (decrease) in fair value of swaps in the accompanying Consolidated Statements of Operations.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Company recognizes revenues at the time persuasive evidence of an arrangement exists, the service is provided or the retail goods are sold, prices are fixed or determinable and collection is reasonably assured.</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Casino revenues are measured by the aggregate net difference between gaming wins and losses, with liabilities recognized for funds deposited by customers before gaming play occurs and for chips in the customers’ possession. Hotel, food and beverage, entertainment and other operating revenues are recognized when services are performed. Advance deposits on rooms and advance ticket sales are recorded as customer deposits until services are provided to the customer.</w:t>
      </w:r>
    </w:p>
    <w:p>
      <w:pPr>
        <w:spacing w:after="0" w:line="13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Revenues are recognized net of certain sales incentives which are required to be recorded as a reduction of revenues; consequently, the Company’s casino revenues are reduced by discounts and points earned in customer loyalty programs, such as the player’s club loyalty program.</w:t>
      </w:r>
    </w:p>
    <w:p>
      <w:pPr>
        <w:spacing w:after="0" w:line="7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retail value of accommodations, food and beverage, and other services furnished to guests without charge is included in gross revenues and then deducted as promotional allowances. The estimated cost of providing such promotional allowances is primarily included in casino expenses as follows (amounts in thousands):</w:t>
      </w:r>
    </w:p>
    <w:p>
      <w:pPr>
        <w:spacing w:after="0" w:line="122"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6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80" w:type="dxa"/>
            <w:vAlign w:val="bottom"/>
          </w:tcPr>
          <w:p>
            <w:pPr>
              <w:spacing w:after="0"/>
              <w:rPr>
                <w:sz w:val="8"/>
                <w:szCs w:val="8"/>
                <w:color w:val="auto"/>
              </w:rPr>
            </w:pPr>
          </w:p>
        </w:tc>
        <w:tc>
          <w:tcPr>
            <w:tcW w:w="30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30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jc w:val="right"/>
              <w:ind w:right="139"/>
              <w:spacing w:after="0"/>
              <w:rPr>
                <w:sz w:val="20"/>
                <w:szCs w:val="20"/>
                <w:color w:val="auto"/>
              </w:rPr>
            </w:pPr>
            <w:r>
              <w:rPr>
                <w:rFonts w:ascii="Arial" w:cs="Arial" w:eastAsia="Arial" w:hAnsi="Arial"/>
                <w:sz w:val="14"/>
                <w:szCs w:val="14"/>
                <w:b w:val="1"/>
                <w:bCs w:val="1"/>
                <w:color w:val="auto"/>
              </w:rPr>
              <w:t>2009</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2008</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80" w:type="dxa"/>
            <w:vAlign w:val="bottom"/>
          </w:tcPr>
          <w:p>
            <w:pPr>
              <w:spacing w:after="0"/>
              <w:rPr>
                <w:sz w:val="8"/>
                <w:szCs w:val="8"/>
                <w:color w:val="auto"/>
              </w:rPr>
            </w:pPr>
          </w:p>
        </w:tc>
        <w:tc>
          <w:tcPr>
            <w:tcW w:w="30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80" w:type="dxa"/>
            <w:vAlign w:val="bottom"/>
          </w:tcPr>
          <w:p>
            <w:pPr>
              <w:spacing w:after="0"/>
              <w:rPr>
                <w:sz w:val="8"/>
                <w:szCs w:val="8"/>
                <w:color w:val="auto"/>
              </w:rPr>
            </w:pPr>
          </w:p>
        </w:tc>
        <w:tc>
          <w:tcPr>
            <w:tcW w:w="30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Rooms</w:t>
            </w:r>
          </w:p>
        </w:tc>
        <w:tc>
          <w:tcPr>
            <w:tcW w:w="3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41,591</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$ 27,292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Food and beverage</w:t>
            </w:r>
          </w:p>
        </w:tc>
        <w:tc>
          <w:tcPr>
            <w:tcW w:w="3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59,441</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53,006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53,742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3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12,014</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10,027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9,701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8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80" w:type="dxa"/>
            <w:vAlign w:val="bottom"/>
          </w:tcPr>
          <w:p>
            <w:pPr>
              <w:spacing w:after="0"/>
              <w:rPr>
                <w:sz w:val="8"/>
                <w:szCs w:val="8"/>
                <w:color w:val="auto"/>
              </w:rPr>
            </w:pPr>
          </w:p>
        </w:tc>
        <w:tc>
          <w:tcPr>
            <w:tcW w:w="30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3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113,046</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$ 90,325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$ 88,259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180" w:type="dxa"/>
            <w:vAlign w:val="bottom"/>
            <w:gridSpan w:val="3"/>
          </w:tcPr>
          <w:p>
            <w:pPr>
              <w:jc w:val="right"/>
              <w:ind w:right="1780"/>
              <w:spacing w:after="0"/>
              <w:rPr>
                <w:sz w:val="20"/>
                <w:szCs w:val="20"/>
                <w:color w:val="auto"/>
              </w:rPr>
            </w:pPr>
            <w:r>
              <w:rPr>
                <w:rFonts w:ascii="Arial" w:cs="Arial" w:eastAsia="Arial" w:hAnsi="Arial"/>
                <w:sz w:val="18"/>
                <w:szCs w:val="18"/>
                <w:color w:val="auto"/>
              </w:rPr>
              <w:t>F-9</w:t>
            </w: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-325755</wp:posOffset>
            </wp:positionV>
            <wp:extent cx="12700"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-325755</wp:posOffset>
            </wp:positionV>
            <wp:extent cx="12700"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-325755</wp:posOffset>
            </wp:positionV>
            <wp:extent cx="21590"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-325755</wp:posOffset>
            </wp:positionV>
            <wp:extent cx="12700"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-325755</wp:posOffset>
            </wp:positionV>
            <wp:extent cx="12700"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-325755</wp:posOffset>
            </wp:positionV>
            <wp:extent cx="21590"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-325755</wp:posOffset>
            </wp:positionV>
            <wp:extent cx="12700"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-325755</wp:posOffset>
            </wp:positionV>
            <wp:extent cx="12700"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-325755</wp:posOffset>
            </wp:positionV>
            <wp:extent cx="21590"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00"/>
          </w:cols>
          <w:pgMar w:left="240" w:top="460" w:right="25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Gaming taxes</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is subject to taxes based on gross gaming revenue in the jurisdictions in which it operates, subject to applicable jurisdictional adjustments. These gaming taxes are an assessment on the Company’s gaming revenue and are recorded as an expense within the “Casino” line item in the accompanying Consolidated Statements of Operations. These taxes totaled approximately $36.5 million, $33.4 million and $45.6 million for the years ended December 31, 2009, 2008 and 2007, respectively.</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Advertising Costs</w:t>
      </w:r>
    </w:p>
    <w:p>
      <w:pPr>
        <w:spacing w:after="0" w:line="77" w:lineRule="exact"/>
        <w:rPr>
          <w:sz w:val="20"/>
          <w:szCs w:val="20"/>
          <w:color w:val="auto"/>
        </w:rPr>
      </w:pPr>
    </w:p>
    <w:p>
      <w:pPr>
        <w:ind w:right="140" w:firstLine="456"/>
        <w:spacing w:after="0" w:line="335" w:lineRule="auto"/>
        <w:rPr>
          <w:sz w:val="20"/>
          <w:szCs w:val="20"/>
          <w:color w:val="auto"/>
        </w:rPr>
      </w:pPr>
      <w:r>
        <w:rPr>
          <w:rFonts w:ascii="Arial" w:cs="Arial" w:eastAsia="Arial" w:hAnsi="Arial"/>
          <w:sz w:val="15"/>
          <w:szCs w:val="15"/>
          <w:color w:val="auto"/>
        </w:rPr>
        <w:t>The Company expenses advertising costs the first time the advertising takes place. Advertising costs incurred in development periods are included in pre-opening costs. Once a project is completed, advertising costs are included in general and administrative expenses. Total advertising costs were $17.3 million, $27.1 million including $11.1 million of pre-opening related to Encore and $21.4 million, respectively, for the years ended December 31, 2009, 2008 and 2007.</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Pre-opening costs, consisting primarily of direct salaries and wages, legal and consulting fees, insurance, utilities and advertising, are expensed as incurred.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Company incurred pre-opening costs in connection with Encore prior to its opening on December 22, 2008.</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77" w:lineRule="exact"/>
        <w:rPr>
          <w:sz w:val="20"/>
          <w:szCs w:val="20"/>
          <w:color w:val="auto"/>
        </w:rPr>
      </w:pPr>
    </w:p>
    <w:p>
      <w:pPr>
        <w:ind w:right="480" w:firstLine="456"/>
        <w:spacing w:after="0" w:line="370" w:lineRule="auto"/>
        <w:rPr>
          <w:sz w:val="20"/>
          <w:szCs w:val="20"/>
          <w:color w:val="auto"/>
        </w:rPr>
      </w:pPr>
      <w:r>
        <w:rPr>
          <w:rFonts w:ascii="Arial" w:cs="Arial" w:eastAsia="Arial" w:hAnsi="Arial"/>
          <w:sz w:val="15"/>
          <w:szCs w:val="15"/>
          <w:color w:val="auto"/>
        </w:rPr>
        <w:t>The Company’s operations are reported on the consolidated tax return of Wynn Resorts. As a limited liability company, the Company is considered a partnership for federal income tax purposes. Accordingly, no provision has been made for federal income taxes as such taxes are liabilities of its member.</w:t>
      </w:r>
    </w:p>
    <w:p>
      <w:pPr>
        <w:spacing w:after="0" w:line="4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Resorts’ Equity Instruments Issued to Employees</w:t>
      </w:r>
    </w:p>
    <w:p>
      <w:pPr>
        <w:spacing w:after="0" w:line="77"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Accounting standards require an entity to measure the cost of employee services received in exchange for an award of equity instruments based on the grant-date fair value of the award and recognize that cost over the service period. The Company uses the Black-Scholes valuation model to determine the estimated fair value for each option grant issued. The Black-Scholes determined fair value net of estimated forfeitures is amortized as compensation cost on a straight line basis over the service period.</w:t>
      </w:r>
    </w:p>
    <w:p>
      <w:pPr>
        <w:spacing w:after="0" w:line="130" w:lineRule="exact"/>
        <w:rPr>
          <w:sz w:val="20"/>
          <w:szCs w:val="20"/>
          <w:color w:val="auto"/>
        </w:rPr>
      </w:pPr>
    </w:p>
    <w:p>
      <w:pPr>
        <w:ind w:left="240" w:right="440" w:firstLine="228"/>
        <w:spacing w:after="0" w:line="375" w:lineRule="auto"/>
        <w:rPr>
          <w:sz w:val="20"/>
          <w:szCs w:val="20"/>
          <w:color w:val="auto"/>
        </w:rPr>
      </w:pPr>
      <w:r>
        <w:rPr>
          <w:rFonts w:ascii="Arial" w:cs="Arial" w:eastAsia="Arial" w:hAnsi="Arial"/>
          <w:sz w:val="18"/>
          <w:szCs w:val="18"/>
          <w:color w:val="auto"/>
        </w:rPr>
        <w:t xml:space="preserve">Further information on the Company’s share-based compensation arrangements is included in Note 11 “Benefit Plans—Share-Based Compensation”. </w:t>
      </w:r>
      <w:r>
        <w:rPr>
          <w:rFonts w:ascii="Arial" w:cs="Arial" w:eastAsia="Arial" w:hAnsi="Arial"/>
          <w:sz w:val="18"/>
          <w:szCs w:val="18"/>
          <w:i w:val="1"/>
          <w:iCs w:val="1"/>
          <w:color w:val="auto"/>
        </w:rPr>
        <w:t>Recent Accounting Pronouncements</w:t>
      </w:r>
    </w:p>
    <w:p>
      <w:pPr>
        <w:spacing w:after="0" w:line="1"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In June 2009, the Financial Accounting Standards Board (the “FASB”) issued new accounting standards regarding the consolidation of variable interest entities. These new accounting standards address the effects of elimination of the qualifying special-purpose entity concept from previous standards. These new accounting standards amend previous guidance in determining whether an enterprise has a controlling financial interest in a variable interest entity. This determination identifies the primary beneficiary of a variable interest entity as the enterprise that has both the power to direct the activities of a variable interest entity that most significantly impacts the entity’s economic performance and the ability to absorb losses or the right to receive benefits of the entity that could potentially be significant to the variable interest entity. These new accounting standards are effective January 1, 2010. The Company is currently evaluating the impact, if any, of adopting these new accounting standards on its consolidated financial statements.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459" w:right="25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Reclassifications</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Certain amounts in the consolidated financial statements for 2008 and 2007 have been reclassified to be consistent with the current year presentation. These reclassifications had no effect on the previously reported net (loss) income.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Receivables, net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Receivables, net consisted of the following (amounts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00" w:type="dxa"/>
            <w:vAlign w:val="bottom"/>
            <w:gridSpan w:val="12"/>
          </w:tcPr>
          <w:p>
            <w:pPr>
              <w:ind w:left="3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20" w:type="dxa"/>
            <w:vAlign w:val="bottom"/>
          </w:tcPr>
          <w:p>
            <w:pPr>
              <w:spacing w:after="0"/>
              <w:rPr>
                <w:sz w:val="22"/>
                <w:szCs w:val="22"/>
                <w:color w:val="auto"/>
              </w:rPr>
            </w:pPr>
          </w:p>
        </w:tc>
        <w:tc>
          <w:tcPr>
            <w:tcW w:w="800" w:type="dxa"/>
            <w:vAlign w:val="bottom"/>
            <w:gridSpan w:val="2"/>
          </w:tcPr>
          <w:p>
            <w:pPr>
              <w:ind w:left="480"/>
              <w:spacing w:after="0"/>
              <w:rPr>
                <w:sz w:val="20"/>
                <w:szCs w:val="20"/>
                <w:color w:val="auto"/>
              </w:rPr>
            </w:pPr>
            <w:r>
              <w:rPr>
                <w:rFonts w:ascii="Arial" w:cs="Arial" w:eastAsia="Arial" w:hAnsi="Arial"/>
                <w:sz w:val="14"/>
                <w:szCs w:val="14"/>
                <w:b w:val="1"/>
                <w:bCs w:val="1"/>
                <w:color w:val="auto"/>
                <w:w w:val="96"/>
              </w:rPr>
              <w:t>2009</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jc w:val="right"/>
              <w:ind w:right="116"/>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Borders>
              <w:bottom w:val="single" w:sz="8" w:color="808080"/>
            </w:tcBorders>
            <w:gridSpan w:val="2"/>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10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$149,786</w:t>
            </w:r>
          </w:p>
        </w:tc>
        <w:tc>
          <w:tcPr>
            <w:tcW w:w="24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$142,515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Hotel</w:t>
            </w:r>
          </w:p>
        </w:tc>
        <w:tc>
          <w:tcPr>
            <w:tcW w:w="1000" w:type="dxa"/>
            <w:vAlign w:val="bottom"/>
            <w:gridSpan w:val="5"/>
          </w:tcPr>
          <w:p>
            <w:pPr>
              <w:jc w:val="right"/>
              <w:ind w:right="40"/>
              <w:spacing w:after="0"/>
              <w:rPr>
                <w:sz w:val="20"/>
                <w:szCs w:val="20"/>
                <w:color w:val="auto"/>
              </w:rPr>
            </w:pPr>
            <w:r>
              <w:rPr>
                <w:rFonts w:ascii="Arial" w:cs="Arial" w:eastAsia="Arial" w:hAnsi="Arial"/>
                <w:sz w:val="18"/>
                <w:szCs w:val="18"/>
                <w:color w:val="auto"/>
              </w:rPr>
              <w:t>17,490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13,051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10,990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8,130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178,266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9"/>
              </w:rPr>
              <w:t>163,696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1240" w:type="dxa"/>
            <w:vAlign w:val="bottom"/>
            <w:gridSpan w:val="6"/>
          </w:tcPr>
          <w:p>
            <w:pPr>
              <w:jc w:val="right"/>
              <w:ind w:right="240"/>
              <w:spacing w:after="0"/>
              <w:rPr>
                <w:sz w:val="20"/>
                <w:szCs w:val="20"/>
                <w:color w:val="auto"/>
              </w:rPr>
            </w:pPr>
            <w:r>
              <w:rPr>
                <w:rFonts w:ascii="Arial" w:cs="Arial" w:eastAsia="Arial" w:hAnsi="Arial"/>
                <w:sz w:val="18"/>
                <w:szCs w:val="18"/>
                <w:color w:val="auto"/>
              </w:rPr>
              <w:t>(67,406)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5"/>
          </w:tcPr>
          <w:p>
            <w:pPr>
              <w:jc w:val="right"/>
              <w:ind w:right="40"/>
              <w:spacing w:after="0"/>
              <w:rPr>
                <w:sz w:val="20"/>
                <w:szCs w:val="20"/>
                <w:color w:val="auto"/>
              </w:rPr>
            </w:pPr>
            <w:r>
              <w:rPr>
                <w:rFonts w:ascii="Arial" w:cs="Arial" w:eastAsia="Arial" w:hAnsi="Arial"/>
                <w:sz w:val="18"/>
                <w:szCs w:val="18"/>
                <w:color w:val="auto"/>
                <w:w w:val="95"/>
              </w:rPr>
              <w:t>(65,414)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$ 110,860</w:t>
            </w:r>
          </w:p>
        </w:tc>
        <w:tc>
          <w:tcPr>
            <w:tcW w:w="2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98,282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 Property and Equipment, net</w:t>
            </w:r>
          </w:p>
        </w:tc>
        <w:tc>
          <w:tcPr>
            <w:tcW w:w="280" w:type="dxa"/>
            <w:vAlign w:val="bottom"/>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924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9220" w:type="dxa"/>
            <w:vAlign w:val="bottom"/>
          </w:tcPr>
          <w:p>
            <w:pPr>
              <w:ind w:left="440"/>
              <w:spacing w:after="0"/>
              <w:rPr>
                <w:sz w:val="20"/>
                <w:szCs w:val="20"/>
                <w:color w:val="auto"/>
              </w:rPr>
            </w:pPr>
            <w:r>
              <w:rPr>
                <w:rFonts w:ascii="Arial" w:cs="Arial" w:eastAsia="Arial" w:hAnsi="Arial"/>
                <w:sz w:val="18"/>
                <w:szCs w:val="18"/>
                <w:color w:val="auto"/>
              </w:rPr>
              <w:t>Property and equipment, net consisted of the following (amounts in thousands):</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9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gridSpan w:val="12"/>
          </w:tcPr>
          <w:p>
            <w:pPr>
              <w:ind w:left="2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800" w:type="dxa"/>
            <w:vAlign w:val="bottom"/>
            <w:tcBorders>
              <w:bottom w:val="single" w:sz="8" w:color="808080"/>
            </w:tcBorders>
            <w:gridSpan w:val="2"/>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20" w:type="dxa"/>
            <w:vAlign w:val="bottom"/>
          </w:tcPr>
          <w:p>
            <w:pPr>
              <w:spacing w:after="0"/>
              <w:rPr>
                <w:sz w:val="22"/>
                <w:szCs w:val="22"/>
                <w:color w:val="auto"/>
              </w:rPr>
            </w:pPr>
          </w:p>
        </w:tc>
        <w:tc>
          <w:tcPr>
            <w:tcW w:w="80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jc w:val="right"/>
              <w:ind w:right="196"/>
              <w:spacing w:after="0"/>
              <w:rPr>
                <w:sz w:val="20"/>
                <w:szCs w:val="20"/>
                <w:color w:val="auto"/>
              </w:rPr>
            </w:pPr>
            <w:r>
              <w:rPr>
                <w:rFonts w:ascii="Arial" w:cs="Arial" w:eastAsia="Arial" w:hAnsi="Arial"/>
                <w:sz w:val="14"/>
                <w:szCs w:val="14"/>
                <w:b w:val="1"/>
                <w:bCs w:val="1"/>
                <w:color w:val="auto"/>
                <w:w w:val="89"/>
              </w:rPr>
              <w:t>2008</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800" w:type="dxa"/>
            <w:vAlign w:val="bottom"/>
            <w:tcBorders>
              <w:bottom w:val="single" w:sz="8" w:color="808080"/>
            </w:tcBorders>
            <w:gridSpan w:val="2"/>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692,677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695,474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2,554,224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w w:val="99"/>
              </w:rPr>
              <w:t>2,557,489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Airplane</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44,254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44,254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1,325,677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w w:val="99"/>
              </w:rPr>
              <w:t>1,301,182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23,973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800" w:type="dxa"/>
            <w:vAlign w:val="bottom"/>
            <w:tcBorders>
              <w:bottom w:val="single" w:sz="8" w:color="808080"/>
            </w:tcBorders>
            <w:gridSpan w:val="2"/>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Borders>
              <w:bottom w:val="single" w:sz="8" w:color="808080"/>
            </w:tcBorders>
            <w:gridSpan w:val="3"/>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4,640,805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4,602,978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960" w:type="dxa"/>
            <w:vAlign w:val="bottom"/>
            <w:gridSpan w:val="4"/>
          </w:tcPr>
          <w:p>
            <w:pPr>
              <w:jc w:val="right"/>
              <w:ind w:right="100"/>
              <w:spacing w:after="0"/>
              <w:rPr>
                <w:sz w:val="20"/>
                <w:szCs w:val="20"/>
                <w:color w:val="auto"/>
              </w:rPr>
            </w:pPr>
            <w:r>
              <w:rPr>
                <w:rFonts w:ascii="Arial" w:cs="Arial" w:eastAsia="Arial" w:hAnsi="Arial"/>
                <w:sz w:val="18"/>
                <w:szCs w:val="18"/>
                <w:color w:val="auto"/>
              </w:rPr>
              <w:t>(789,137)</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7"/>
          </w:tcPr>
          <w:p>
            <w:pPr>
              <w:jc w:val="right"/>
              <w:ind w:right="60"/>
              <w:spacing w:after="0"/>
              <w:rPr>
                <w:sz w:val="20"/>
                <w:szCs w:val="20"/>
                <w:color w:val="auto"/>
              </w:rPr>
            </w:pPr>
            <w:r>
              <w:rPr>
                <w:rFonts w:ascii="Arial" w:cs="Arial" w:eastAsia="Arial" w:hAnsi="Arial"/>
                <w:sz w:val="18"/>
                <w:szCs w:val="18"/>
                <w:color w:val="auto"/>
              </w:rPr>
              <w:t>(494,025)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800" w:type="dxa"/>
            <w:vAlign w:val="bottom"/>
            <w:tcBorders>
              <w:bottom w:val="single" w:sz="8" w:color="808080"/>
            </w:tcBorders>
            <w:gridSpan w:val="2"/>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Borders>
              <w:bottom w:val="single" w:sz="8" w:color="808080"/>
            </w:tcBorders>
            <w:gridSpan w:val="3"/>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$3,851,668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4"/>
              </w:rPr>
              <w:t>$ 4,108,953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-2567940</wp:posOffset>
            </wp:positionV>
            <wp:extent cx="12700"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-2567940</wp:posOffset>
            </wp:positionV>
            <wp:extent cx="21590"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-2567940</wp:posOffset>
            </wp:positionV>
            <wp:extent cx="38735"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-2567940</wp:posOffset>
            </wp:positionV>
            <wp:extent cx="12700"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-2567940</wp:posOffset>
            </wp:positionV>
            <wp:extent cx="21590"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-2567940</wp:posOffset>
            </wp:positionV>
            <wp:extent cx="38735"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12700"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21590"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-29210</wp:posOffset>
            </wp:positionV>
            <wp:extent cx="38735"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12700"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21590"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-29210</wp:posOffset>
            </wp:positionV>
            <wp:extent cx="38735"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Depreciation expense for the years ended December 31, 2009, 2008 and 2007 was $300.8 million, $156.4 million and $139.5 million, respectively. The increase during 2009 is due to the depreciation of assets placed in service for Encore in December 2008.</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60" w:right="23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Intangibles, net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Intangibles, net consisted of the following (amounts in thousands):</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6"/>
              </w:rPr>
              <w:t>Show</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3200" w:type="dxa"/>
            <w:vAlign w:val="bottom"/>
            <w:gridSpan w:val="5"/>
          </w:tcPr>
          <w:p>
            <w:pPr>
              <w:ind w:left="2240"/>
              <w:spacing w:after="0" w:line="149" w:lineRule="exact"/>
              <w:rPr>
                <w:sz w:val="20"/>
                <w:szCs w:val="20"/>
                <w:color w:val="auto"/>
              </w:rPr>
            </w:pPr>
            <w:r>
              <w:rPr>
                <w:rFonts w:ascii="Arial" w:cs="Arial" w:eastAsia="Arial" w:hAnsi="Arial"/>
                <w:sz w:val="14"/>
                <w:szCs w:val="14"/>
                <w:b w:val="1"/>
                <w:bCs w:val="1"/>
                <w:color w:val="auto"/>
              </w:rPr>
              <w:t>Production</w:t>
            </w:r>
          </w:p>
        </w:tc>
        <w:tc>
          <w:tcPr>
            <w:tcW w:w="28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Water</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Intangibles,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87"/>
              </w:rPr>
              <w:t>Rights</w:t>
            </w:r>
          </w:p>
        </w:tc>
        <w:tc>
          <w:tcPr>
            <w:tcW w:w="280" w:type="dxa"/>
            <w:vAlign w:val="bottom"/>
          </w:tcPr>
          <w:p>
            <w:pPr>
              <w:spacing w:after="0"/>
              <w:rPr>
                <w:sz w:val="15"/>
                <w:szCs w:val="15"/>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Rights</w:t>
            </w:r>
          </w:p>
        </w:tc>
        <w:tc>
          <w:tcPr>
            <w:tcW w:w="1300" w:type="dxa"/>
            <w:vAlign w:val="bottom"/>
            <w:gridSpan w:val="3"/>
          </w:tcPr>
          <w:p>
            <w:pPr>
              <w:ind w:left="580"/>
              <w:spacing w:after="0"/>
              <w:rPr>
                <w:sz w:val="20"/>
                <w:szCs w:val="20"/>
                <w:color w:val="auto"/>
              </w:rPr>
            </w:pPr>
            <w:r>
              <w:rPr>
                <w:rFonts w:ascii="Arial" w:cs="Arial" w:eastAsia="Arial" w:hAnsi="Arial"/>
                <w:sz w:val="14"/>
                <w:szCs w:val="14"/>
                <w:b w:val="1"/>
                <w:bCs w:val="1"/>
                <w:color w:val="auto"/>
                <w:w w:val="88"/>
              </w:rPr>
              <w:t>Trademarks</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January 1, 2008</w:t>
            </w:r>
          </w:p>
        </w:tc>
        <w:tc>
          <w:tcPr>
            <w:tcW w:w="2340" w:type="dxa"/>
            <w:vAlign w:val="bottom"/>
            <w:gridSpan w:val="2"/>
            <w:shd w:val="clear" w:color="auto" w:fill="CCEEFF"/>
          </w:tcPr>
          <w:p>
            <w:pPr>
              <w:ind w:left="222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17,826</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7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7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25,525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Additions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35</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Write-offs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(6,340)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(6,340)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Amortization</w:t>
            </w:r>
          </w:p>
        </w:tc>
        <w:tc>
          <w:tcPr>
            <w:tcW w:w="2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(2,339)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(2,339)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2008</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9,147</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16,881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Additions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65</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(2,071)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(2,071)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2009</w:t>
            </w:r>
          </w:p>
        </w:tc>
        <w:tc>
          <w:tcPr>
            <w:tcW w:w="2340" w:type="dxa"/>
            <w:vAlign w:val="bottom"/>
            <w:gridSpan w:val="2"/>
            <w:shd w:val="clear" w:color="auto" w:fill="CCEEFF"/>
          </w:tcPr>
          <w:p>
            <w:pPr>
              <w:ind w:left="222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7,076</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7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7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14,875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4084955</wp:posOffset>
            </wp:positionH>
            <wp:positionV relativeFrom="paragraph">
              <wp:posOffset>-29210</wp:posOffset>
            </wp:positionV>
            <wp:extent cx="12700"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-29210</wp:posOffset>
            </wp:positionV>
            <wp:extent cx="21590"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-29210</wp:posOffset>
            </wp:positionV>
            <wp:extent cx="38735"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-29210</wp:posOffset>
            </wp:positionV>
            <wp:extent cx="321310"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-29210</wp:posOffset>
            </wp:positionV>
            <wp:extent cx="12700"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-29210</wp:posOffset>
            </wp:positionV>
            <wp:extent cx="12700"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-29210</wp:posOffset>
            </wp:positionV>
            <wp:extent cx="21590"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-29210</wp:posOffset>
            </wp:positionV>
            <wp:extent cx="12700"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-29210</wp:posOffset>
            </wp:positionV>
            <wp:extent cx="21590"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-29210</wp:posOffset>
            </wp:positionV>
            <wp:extent cx="38735"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Show production rights represent the amounts paid to purchase the rights to present the “Le Rêve” and “Monty Python’s Spamalot” production shows. During the year ended December 31, 2008, the Company wrote-off the show production rights associated with Spamalot as the contract for that show was terminated. The Company expects that amortization of show production rights will be approximately $2.1 million for each of the years 2010 through 2012, and approximately $0.8 million in 2013.</w:t>
      </w:r>
    </w:p>
    <w:p>
      <w:pPr>
        <w:spacing w:after="0" w:line="13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Water rights reflect the fair value allocation determined in the purchase of the property on which Wynn Las Vegas is located in April 2000. The value of the trademarks primarily represents the costs to acquire the “Le Rêve” name. The water rights and trademarks are indefinite-lived assets and, accordingly, not amortized.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Deposits and Other Assets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Deposits and other assets consisted of the following (amounts in thousands):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6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60" w:type="dxa"/>
            <w:vAlign w:val="bottom"/>
          </w:tcPr>
          <w:p>
            <w:pPr>
              <w:spacing w:after="0"/>
              <w:rPr>
                <w:sz w:val="8"/>
                <w:szCs w:val="8"/>
                <w:color w:val="auto"/>
              </w:rPr>
            </w:pPr>
          </w:p>
        </w:tc>
        <w:tc>
          <w:tcPr>
            <w:tcW w:w="504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566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2009</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60" w:type="dxa"/>
            <w:vAlign w:val="bottom"/>
          </w:tcPr>
          <w:p>
            <w:pPr>
              <w:spacing w:after="0"/>
              <w:rPr>
                <w:sz w:val="8"/>
                <w:szCs w:val="8"/>
                <w:color w:val="auto"/>
              </w:rPr>
            </w:pPr>
          </w:p>
        </w:tc>
        <w:tc>
          <w:tcPr>
            <w:tcW w:w="504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60" w:type="dxa"/>
            <w:vAlign w:val="bottom"/>
          </w:tcPr>
          <w:p>
            <w:pPr>
              <w:spacing w:after="0"/>
              <w:rPr>
                <w:sz w:val="8"/>
                <w:szCs w:val="8"/>
                <w:color w:val="auto"/>
              </w:rPr>
            </w:pPr>
          </w:p>
        </w:tc>
        <w:tc>
          <w:tcPr>
            <w:tcW w:w="5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Entertainment production costs</w:t>
            </w:r>
          </w:p>
        </w:tc>
        <w:tc>
          <w:tcPr>
            <w:tcW w:w="5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$ 11,826</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$ 21,878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Base stock</w:t>
            </w:r>
          </w:p>
        </w:tc>
        <w:tc>
          <w:tcPr>
            <w:tcW w:w="5660" w:type="dxa"/>
            <w:vAlign w:val="bottom"/>
            <w:gridSpan w:val="2"/>
          </w:tcPr>
          <w:p>
            <w:pPr>
              <w:jc w:val="right"/>
              <w:spacing w:after="0"/>
              <w:rPr>
                <w:sz w:val="20"/>
                <w:szCs w:val="20"/>
                <w:color w:val="auto"/>
              </w:rPr>
            </w:pPr>
            <w:r>
              <w:rPr>
                <w:rFonts w:ascii="Arial" w:cs="Arial" w:eastAsia="Arial" w:hAnsi="Arial"/>
                <w:sz w:val="18"/>
                <w:szCs w:val="18"/>
                <w:color w:val="auto"/>
              </w:rPr>
              <w:t>22,027</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28,321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w:t>
            </w:r>
          </w:p>
        </w:tc>
        <w:tc>
          <w:tcPr>
            <w:tcW w:w="5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21,130</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24,020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Golf memberships</w:t>
            </w:r>
          </w:p>
        </w:tc>
        <w:tc>
          <w:tcPr>
            <w:tcW w:w="5660" w:type="dxa"/>
            <w:vAlign w:val="bottom"/>
            <w:gridSpan w:val="2"/>
          </w:tcPr>
          <w:p>
            <w:pPr>
              <w:jc w:val="right"/>
              <w:spacing w:after="0"/>
              <w:rPr>
                <w:sz w:val="20"/>
                <w:szCs w:val="20"/>
                <w:color w:val="auto"/>
              </w:rPr>
            </w:pPr>
            <w:r>
              <w:rPr>
                <w:rFonts w:ascii="Arial" w:cs="Arial" w:eastAsia="Arial" w:hAnsi="Arial"/>
                <w:sz w:val="18"/>
                <w:szCs w:val="18"/>
                <w:color w:val="auto"/>
              </w:rPr>
              <w:t>3,750</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3,750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60" w:type="dxa"/>
            <w:vAlign w:val="bottom"/>
          </w:tcPr>
          <w:p>
            <w:pPr>
              <w:spacing w:after="0"/>
              <w:rPr>
                <w:sz w:val="8"/>
                <w:szCs w:val="8"/>
                <w:color w:val="auto"/>
              </w:rPr>
            </w:pPr>
          </w:p>
        </w:tc>
        <w:tc>
          <w:tcPr>
            <w:tcW w:w="504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60" w:type="dxa"/>
            <w:vAlign w:val="bottom"/>
          </w:tcPr>
          <w:p>
            <w:pPr>
              <w:spacing w:after="0"/>
              <w:rPr>
                <w:sz w:val="8"/>
                <w:szCs w:val="8"/>
                <w:color w:val="auto"/>
              </w:rPr>
            </w:pPr>
          </w:p>
        </w:tc>
        <w:tc>
          <w:tcPr>
            <w:tcW w:w="5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5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$ 58,733</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$ 77,969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5660" w:type="dxa"/>
            <w:vAlign w:val="bottom"/>
            <w:gridSpan w:val="2"/>
          </w:tcPr>
          <w:p>
            <w:pPr>
              <w:jc w:val="right"/>
              <w:ind w:right="3872"/>
              <w:spacing w:after="0"/>
              <w:rPr>
                <w:sz w:val="20"/>
                <w:szCs w:val="20"/>
                <w:color w:val="auto"/>
              </w:rPr>
            </w:pPr>
            <w:r>
              <w:rPr>
                <w:rFonts w:ascii="Arial" w:cs="Arial" w:eastAsia="Arial" w:hAnsi="Arial"/>
                <w:sz w:val="18"/>
                <w:szCs w:val="18"/>
                <w:color w:val="auto"/>
              </w:rPr>
              <w:t>F-12</w:t>
            </w: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5843270</wp:posOffset>
            </wp:positionH>
            <wp:positionV relativeFrom="paragraph">
              <wp:posOffset>-325755</wp:posOffset>
            </wp:positionV>
            <wp:extent cx="12700"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-325755</wp:posOffset>
            </wp:positionV>
            <wp:extent cx="12700"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-325755</wp:posOffset>
            </wp:positionV>
            <wp:extent cx="21590"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-325755</wp:posOffset>
            </wp:positionV>
            <wp:extent cx="12700"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-325755</wp:posOffset>
            </wp:positionV>
            <wp:extent cx="12700"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-325755</wp:posOffset>
            </wp:positionV>
            <wp:extent cx="21590"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00"/>
          </w:cols>
          <w:pgMar w:left="240" w:top="460" w:right="25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consisted of the following (amounts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220" w:type="dxa"/>
            <w:vAlign w:val="bottom"/>
          </w:tcPr>
          <w:p>
            <w:pPr>
              <w:spacing w:after="0"/>
              <w:rPr>
                <w:sz w:val="15"/>
                <w:szCs w:val="15"/>
                <w:color w:val="auto"/>
              </w:rPr>
            </w:pPr>
          </w:p>
        </w:tc>
        <w:tc>
          <w:tcPr>
            <w:tcW w:w="218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20" w:type="dxa"/>
            <w:vAlign w:val="bottom"/>
          </w:tcPr>
          <w:p>
            <w:pPr>
              <w:spacing w:after="0"/>
              <w:rPr>
                <w:sz w:val="22"/>
                <w:szCs w:val="22"/>
                <w:color w:val="auto"/>
              </w:rPr>
            </w:pPr>
          </w:p>
        </w:tc>
        <w:tc>
          <w:tcPr>
            <w:tcW w:w="800" w:type="dxa"/>
            <w:vAlign w:val="bottom"/>
          </w:tcPr>
          <w:p>
            <w:pPr>
              <w:jc w:val="right"/>
              <w:ind w:right="176"/>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2008</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w w:val="98"/>
              </w:rPr>
              <w:t xml:space="preserve">6 </w:t>
            </w:r>
            <w:r>
              <w:rPr>
                <w:rFonts w:ascii="Arial" w:cs="Arial" w:eastAsia="Arial" w:hAnsi="Arial"/>
                <w:sz w:val="11"/>
                <w:szCs w:val="11"/>
                <w:color w:val="auto"/>
                <w:w w:val="98"/>
              </w:rPr>
              <w:t>5</w:t>
            </w:r>
            <w:r>
              <w:rPr>
                <w:rFonts w:ascii="Arial" w:cs="Arial" w:eastAsia="Arial" w:hAnsi="Arial"/>
                <w:sz w:val="18"/>
                <w:szCs w:val="18"/>
                <w:color w:val="auto"/>
                <w:w w:val="98"/>
              </w:rPr>
              <w:t>/</w:t>
            </w:r>
            <w:r>
              <w:rPr>
                <w:rFonts w:ascii="Arial" w:cs="Arial" w:eastAsia="Arial" w:hAnsi="Arial"/>
                <w:sz w:val="13"/>
                <w:szCs w:val="13"/>
                <w:color w:val="auto"/>
                <w:w w:val="98"/>
              </w:rPr>
              <w:t>8</w:t>
            </w:r>
            <w:r>
              <w:rPr>
                <w:rFonts w:ascii="Arial" w:cs="Arial" w:eastAsia="Arial" w:hAnsi="Arial"/>
                <w:sz w:val="18"/>
                <w:szCs w:val="18"/>
                <w:color w:val="auto"/>
                <w:w w:val="98"/>
              </w:rPr>
              <w:t xml:space="preserve"> % First Mortgage Notes, due December 1, 2014, net of original issue discount of $8,214 and $9,561, respectively</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$1,626,016</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$ 1,690,439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98"/>
              </w:rPr>
              <w:t xml:space="preserve">7 </w:t>
            </w:r>
            <w:r>
              <w:rPr>
                <w:rFonts w:ascii="Arial" w:cs="Arial" w:eastAsia="Arial" w:hAnsi="Arial"/>
                <w:sz w:val="11"/>
                <w:szCs w:val="11"/>
                <w:color w:val="auto"/>
                <w:w w:val="98"/>
              </w:rPr>
              <w:t>7</w:t>
            </w:r>
            <w:r>
              <w:rPr>
                <w:rFonts w:ascii="Arial" w:cs="Arial" w:eastAsia="Arial" w:hAnsi="Arial"/>
                <w:sz w:val="18"/>
                <w:szCs w:val="18"/>
                <w:color w:val="auto"/>
                <w:w w:val="98"/>
              </w:rPr>
              <w:t>/</w:t>
            </w:r>
            <w:r>
              <w:rPr>
                <w:rFonts w:ascii="Arial" w:cs="Arial" w:eastAsia="Arial" w:hAnsi="Arial"/>
                <w:sz w:val="13"/>
                <w:szCs w:val="13"/>
                <w:color w:val="auto"/>
                <w:w w:val="98"/>
              </w:rPr>
              <w:t>8</w:t>
            </w:r>
            <w:r>
              <w:rPr>
                <w:rFonts w:ascii="Arial" w:cs="Arial" w:eastAsia="Arial" w:hAnsi="Arial"/>
                <w:sz w:val="18"/>
                <w:szCs w:val="18"/>
                <w:color w:val="auto"/>
                <w:w w:val="98"/>
              </w:rPr>
              <w:t xml:space="preserve"> % First Mortgage Notes, due November 1, 2017, net of original issue discount of $10,529 at December 31, 2009</w:t>
            </w:r>
          </w:p>
        </w:tc>
        <w:tc>
          <w:tcPr>
            <w:tcW w:w="800" w:type="dxa"/>
            <w:vAlign w:val="bottom"/>
          </w:tcPr>
          <w:p>
            <w:pPr>
              <w:jc w:val="right"/>
              <w:spacing w:after="0"/>
              <w:rPr>
                <w:sz w:val="20"/>
                <w:szCs w:val="20"/>
                <w:color w:val="auto"/>
              </w:rPr>
            </w:pPr>
            <w:r>
              <w:rPr>
                <w:rFonts w:ascii="Arial" w:cs="Arial" w:eastAsia="Arial" w:hAnsi="Arial"/>
                <w:sz w:val="18"/>
                <w:szCs w:val="18"/>
                <w:color w:val="auto"/>
              </w:rPr>
              <w:t>489,471</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w w:val="96"/>
              </w:rPr>
              <w:t>Revolving Credit Facility; due July 15, 2013; interest at LIBOR plus 3.0% and 1.625% (approximately 3.24% and 2.2%),</w:t>
            </w: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respectively</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252,717</w:t>
            </w: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879,484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93"/>
              </w:rPr>
              <w:t>Term Loan Facility; $40.2 million due September 30, 2012 with the remaining $40.2 million due August 15, 2013; interest at</w:t>
            </w: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LIBOR plus 1.875% (approximately 2.12% and 3.1%, respectively)</w:t>
            </w:r>
          </w:p>
        </w:tc>
        <w:tc>
          <w:tcPr>
            <w:tcW w:w="800" w:type="dxa"/>
            <w:vAlign w:val="bottom"/>
          </w:tcPr>
          <w:p>
            <w:pPr>
              <w:jc w:val="right"/>
              <w:spacing w:after="0"/>
              <w:rPr>
                <w:sz w:val="20"/>
                <w:szCs w:val="20"/>
                <w:color w:val="auto"/>
              </w:rPr>
            </w:pPr>
            <w:r>
              <w:rPr>
                <w:rFonts w:ascii="Arial" w:cs="Arial" w:eastAsia="Arial" w:hAnsi="Arial"/>
                <w:sz w:val="18"/>
                <w:szCs w:val="18"/>
                <w:color w:val="auto"/>
              </w:rPr>
              <w:t>80,446</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225,000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w w:val="96"/>
              </w:rPr>
              <w:t>$42 million Note Payable; due April 1, 2017; interest at LIBOR plus 1.25% (approximately 1.8% and, 3.0% respectively)</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38,150</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39,550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Payable to Affiliate</w:t>
            </w:r>
          </w:p>
        </w:tc>
        <w:tc>
          <w:tcPr>
            <w:tcW w:w="800" w:type="dxa"/>
            <w:vAlign w:val="bottom"/>
          </w:tcPr>
          <w:p>
            <w:pPr>
              <w:jc w:val="right"/>
              <w:spacing w:after="0"/>
              <w:rPr>
                <w:sz w:val="20"/>
                <w:szCs w:val="20"/>
                <w:color w:val="auto"/>
              </w:rPr>
            </w:pPr>
            <w:r>
              <w:rPr>
                <w:rFonts w:ascii="Arial" w:cs="Arial" w:eastAsia="Arial" w:hAnsi="Arial"/>
                <w:sz w:val="18"/>
                <w:szCs w:val="18"/>
                <w:color w:val="auto"/>
              </w:rPr>
              <w:t>65,770</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2,552,570</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2,834,473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240" w:type="dxa"/>
            <w:vAlign w:val="bottom"/>
            <w:gridSpan w:val="3"/>
          </w:tcPr>
          <w:p>
            <w:pPr>
              <w:jc w:val="right"/>
              <w:ind w:right="380"/>
              <w:spacing w:after="0"/>
              <w:rPr>
                <w:sz w:val="20"/>
                <w:szCs w:val="20"/>
                <w:color w:val="auto"/>
              </w:rPr>
            </w:pPr>
            <w:r>
              <w:rPr>
                <w:rFonts w:ascii="Arial" w:cs="Arial" w:eastAsia="Arial" w:hAnsi="Arial"/>
                <w:sz w:val="18"/>
                <w:szCs w:val="18"/>
                <w:color w:val="auto"/>
              </w:rPr>
              <w:t>(1,050)</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$2,551,520</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$ 2,833,423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-29210</wp:posOffset>
            </wp:positionV>
            <wp:extent cx="12700"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21590"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-29210</wp:posOffset>
            </wp:positionV>
            <wp:extent cx="38735"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12700"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21590"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-29210</wp:posOffset>
            </wp:positionV>
            <wp:extent cx="38735"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6 </w:t>
      </w:r>
      <w:r>
        <w:rPr>
          <w:rFonts w:ascii="Arial" w:cs="Arial" w:eastAsia="Arial" w:hAnsi="Arial"/>
          <w:sz w:val="11"/>
          <w:szCs w:val="11"/>
          <w:i w:val="1"/>
          <w:iCs w:val="1"/>
          <w:color w:val="auto"/>
        </w:rPr>
        <w:t>5</w:t>
      </w:r>
      <w:r>
        <w:rPr>
          <w:rFonts w:ascii="Arial" w:cs="Arial" w:eastAsia="Arial" w:hAnsi="Arial"/>
          <w:sz w:val="18"/>
          <w:szCs w:val="18"/>
          <w:i w:val="1"/>
          <w:iCs w:val="1"/>
          <w:color w:val="auto"/>
        </w:rPr>
        <w:t>/</w:t>
      </w:r>
      <w:r>
        <w:rPr>
          <w:rFonts w:ascii="Arial" w:cs="Arial" w:eastAsia="Arial" w:hAnsi="Arial"/>
          <w:sz w:val="13"/>
          <w:szCs w:val="13"/>
          <w:i w:val="1"/>
          <w:iCs w:val="1"/>
          <w:color w:val="auto"/>
        </w:rPr>
        <w:t>8</w:t>
      </w:r>
      <w:r>
        <w:rPr>
          <w:rFonts w:ascii="Arial" w:cs="Arial" w:eastAsia="Arial" w:hAnsi="Arial"/>
          <w:sz w:val="18"/>
          <w:szCs w:val="18"/>
          <w:i w:val="1"/>
          <w:iCs w:val="1"/>
          <w:color w:val="auto"/>
        </w:rPr>
        <w:t>% Wynn Las Vegas First Mortgage Notes</w:t>
      </w:r>
    </w:p>
    <w:p>
      <w:pPr>
        <w:spacing w:after="0" w:line="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On December 14, 2004, the Issuers issued $1.3 billion aggregate principal amount of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due December 1, 2014. On November 6, 2007, the Issuers issued, in a private offering, $400 million aggregate principal amount of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due December 1, 2014 at a price of 97.25% of the principal amount. These notes were issued under the same indenture as the original $1.3 billion first mortgage notes. Both offerings are referred to herein as the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The Company pays interest on the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on June 1st and December 1st of each year. Commencing December 1, 2009, the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are redeemable at the Company’s option at a price equal to 103.313% of the principal amount redeemed and declining ratably on December 1st of each year thereafter to zero on or after December 1, 2012.</w:t>
      </w:r>
    </w:p>
    <w:p>
      <w:pPr>
        <w:spacing w:after="0" w:line="10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 xml:space="preserve">The indenture governing the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contains covenants limiting the ability of the Issuers to incur additional debt, make distributions, investments and restricted payments, create liens, enter into transactions with affiliates, sell assets, enter into sale leaseback transactions, permit restrictions on dividends and other payments by subsidiaries, or engage in mergers, consolidations, sales of substantially all assets, sales of subsidiary stock and other specified types of transactions.</w:t>
      </w:r>
    </w:p>
    <w:p>
      <w:pPr>
        <w:spacing w:after="0" w:line="130"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 xml:space="preserve">The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First Mortgage Notes are obligations of the Issuers, guaranteed by each of the subsidiaries of Wynn Las Vegas, LLC, other than Wynn Completion Guarantor, LLC. Wynn Resorts, Limited does not guarantee the obligations of the Issuers. Subject to an intercreditor agreement and certain exceptions, the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and the guarantees thereof are secured by: (1) a first priority pledge of all of the member’s interests owned by Wynn Las Vegas, LLC in its subsidiaries (other than Wynn Completion Guarantor, LLC) and of Wynn Resorts Holdings, LLC’s 100% member’s interest in Wynn Las Vegas, LLC; (2) first mortgages on all real property constituting Wynn Las Vegas, its golf course and Encore; and (3) a first priority security interest in substantially all other existing and future assets of Wynn Las Vegas, LLC and the guarantors, excluding, among other things, an aircraft beneficially owned by World Travel, LLC.</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obligations of the Issuers and the guarantors under the 6 5/8% First Mortgage Notes rank equal to the right of payment with their existing and future senior secured indebtedness, including indebtedness with respect to the Wynn Las Vegas, LLC credit facilities described below, and rank senior in right of payment to all of their existing and future subordinated indebtedness.</w:t>
      </w:r>
    </w:p>
    <w:p>
      <w:pPr>
        <w:spacing w:after="0" w:line="12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During the year ended December 31, 2009, Wynn Resorts purchased $65.8 million face amount of the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through open market purchases at a discount. The purchase of the notes by Wynn Resorts has not been contributed to the Company and the notes have not been retired. Accordingly, $65.8 million of the 6 5/8% First Mortgage Notes held by Wynn Resorts remain on the Company’s balance sheet as a payable to affiliate within Long-term Debt. If and when such notes are contributed to the Company by Wynn Resorts, the Company would then retire the notes and recognize a gain on the early extinguishment of debt equal to the gain recorded by Wynn Resorts of approximately $13.7 million.</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7 </w:t>
      </w:r>
      <w:r>
        <w:rPr>
          <w:rFonts w:ascii="Arial" w:cs="Arial" w:eastAsia="Arial" w:hAnsi="Arial"/>
          <w:sz w:val="11"/>
          <w:szCs w:val="11"/>
          <w:i w:val="1"/>
          <w:iCs w:val="1"/>
          <w:color w:val="auto"/>
        </w:rPr>
        <w:t>7</w:t>
      </w:r>
      <w:r>
        <w:rPr>
          <w:rFonts w:ascii="Arial" w:cs="Arial" w:eastAsia="Arial" w:hAnsi="Arial"/>
          <w:sz w:val="18"/>
          <w:szCs w:val="18"/>
          <w:i w:val="1"/>
          <w:iCs w:val="1"/>
          <w:color w:val="auto"/>
        </w:rPr>
        <w:t>/</w:t>
      </w:r>
      <w:r>
        <w:rPr>
          <w:rFonts w:ascii="Arial" w:cs="Arial" w:eastAsia="Arial" w:hAnsi="Arial"/>
          <w:sz w:val="13"/>
          <w:szCs w:val="13"/>
          <w:i w:val="1"/>
          <w:iCs w:val="1"/>
          <w:color w:val="auto"/>
        </w:rPr>
        <w:t>8</w:t>
      </w:r>
      <w:r>
        <w:rPr>
          <w:rFonts w:ascii="Arial" w:cs="Arial" w:eastAsia="Arial" w:hAnsi="Arial"/>
          <w:sz w:val="18"/>
          <w:szCs w:val="18"/>
          <w:i w:val="1"/>
          <w:iCs w:val="1"/>
          <w:color w:val="auto"/>
        </w:rPr>
        <w:t>% Wynn Las Vegas First Mortgage Notes</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In October 2009, the Issuers issued, in a private offering, $500 million aggregate principal amount of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due November 1, 2017 at a price of 97.823% of the principal amount. Net proceeds to the Company were approximately $480 million, after deducting the original issue discount and underwriting fees and other expenses. The Company pays interest on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on May 1st and November 1st of each year. Commencing November 1, 2013,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are redeemable at the Company’s option at a price equal to 103.938% of the principal amount redeemed and decline ratably on November 1st of each year thereafter to zero on or after November 1, 2015. The notes rank pari passu with the borrowings under the Wynn Las Vegas credit facilities and the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The notes are senior secured obligations of the Issuers, are guaranteed by Wynn Las Vegas, LLC’s subsidiaries (subject to some exceptions), and are secured on an equal and ratable basis by a first priority lien on substantially all the existing and future assets of the Issuers and guarantors.</w:t>
      </w:r>
    </w:p>
    <w:p>
      <w:pPr>
        <w:spacing w:after="0" w:line="10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have not been registered under the Securities Act of 1933 or under any state securities laws. Therefore, the holders may not offer or sell the notes within the United States to, or for the account or benefit of, any United States person unless the offer or sale would qualify for a registration exemption from the Securities Act and applicable state securities laws. The Issuers have agreed to make an offer to exchange the notes for registered, publically traded notes that have substantially identical terms as the notes.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Credit Facilities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2009, the Wynn Las Vegas Amended and Restated Credit Agreement (the “Credit Agreement”), consisted of a $457.9 million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revolving credit facility (the “Wynn Las Vegas Revolver”) and an $80.4 million term loan facility (the “Wynn Las Vegas Term Loan”) (together the “Wynn Las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Vegas Credit Facilities”). As of December 31, 2009, the Company had borrowed $252.7 million under the Wynn Las Vegas Revolver. The Company also had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$20.2 million of outstanding letters of credit that reduce the availability under the Wynn Las Vegas Revolver. Consequently, there was availability of $185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the Wynn Las Vegas Revolver as of December 31, 2009. As described below, during the year ended December 31, 2009, the Company (a) extended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maturity of the Wynn Las Vegas Revolver, (b) received relief from certain financial covenants, (c) increased the Wynn Las Vegas Revolver by $65 million,</w:t>
      </w:r>
    </w:p>
    <w:p>
      <w:pPr>
        <w:spacing w:after="0" w:line="32" w:lineRule="exact"/>
        <w:rPr>
          <w:sz w:val="20"/>
          <w:szCs w:val="20"/>
          <w:color w:val="auto"/>
        </w:rPr>
      </w:pPr>
    </w:p>
    <w:p>
      <w:pPr>
        <w:ind w:right="620" w:firstLine="8"/>
        <w:spacing w:after="0" w:line="323" w:lineRule="auto"/>
        <w:tabs>
          <w:tab w:leader="none" w:pos="249" w:val="left"/>
        </w:tabs>
        <w:numPr>
          <w:ilvl w:val="0"/>
          <w:numId w:val="372"/>
        </w:numPr>
        <w:rPr>
          <w:rFonts w:ascii="Arial" w:cs="Arial" w:eastAsia="Arial" w:hAnsi="Arial"/>
          <w:sz w:val="16"/>
          <w:szCs w:val="16"/>
          <w:color w:val="auto"/>
        </w:rPr>
      </w:pPr>
      <w:r>
        <w:rPr>
          <w:rFonts w:ascii="Arial" w:cs="Arial" w:eastAsia="Arial" w:hAnsi="Arial"/>
          <w:sz w:val="16"/>
          <w:szCs w:val="16"/>
          <w:color w:val="auto"/>
        </w:rPr>
        <w:t xml:space="preserve">repurchased $87.6 million of Wynn Las Vegas Revolver loans at a discount, and (e) used the net proceeds received from the $500 million 7 </w:t>
      </w:r>
      <w:r>
        <w:rPr>
          <w:rFonts w:ascii="Arial" w:cs="Arial" w:eastAsia="Arial" w:hAnsi="Arial"/>
          <w:sz w:val="10"/>
          <w:szCs w:val="10"/>
          <w:color w:val="auto"/>
        </w:rPr>
        <w:t>7</w:t>
      </w:r>
      <w:r>
        <w:rPr>
          <w:rFonts w:ascii="Arial" w:cs="Arial" w:eastAsia="Arial" w:hAnsi="Arial"/>
          <w:sz w:val="16"/>
          <w:szCs w:val="16"/>
          <w:color w:val="auto"/>
        </w:rPr>
        <w:t xml:space="preserve">/ </w:t>
      </w:r>
      <w:r>
        <w:rPr>
          <w:rFonts w:ascii="Arial" w:cs="Arial" w:eastAsia="Arial" w:hAnsi="Arial"/>
          <w:sz w:val="12"/>
          <w:szCs w:val="12"/>
          <w:color w:val="auto"/>
        </w:rPr>
        <w:t>8</w:t>
      </w:r>
      <w:r>
        <w:rPr>
          <w:rFonts w:ascii="Arial" w:cs="Arial" w:eastAsia="Arial" w:hAnsi="Arial"/>
          <w:sz w:val="16"/>
          <w:szCs w:val="16"/>
          <w:color w:val="auto"/>
        </w:rPr>
        <w:t>% First Mortgage Notes issuance to repay amounts outstanding, including a permanent reduction in the Wynn Las Vegas Credit Facilities of $360 million.</w:t>
      </w:r>
    </w:p>
    <w:p>
      <w:pPr>
        <w:spacing w:after="0" w:line="79"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April 2009, the Company entered into a fourth amendment to the Credit Agreement. This amendment, among other things, (i) provides a waiver of the Consolidated Leverage Ratio, as defined in the Credit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00"/>
          </w:cols>
          <w:pgMar w:left="240" w:top="460" w:right="25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auto"/>
        </w:rPr>
        <w:t>Agreement, until the quarter ending June 30, 2011, and increases such thresholds thereafter; (ii) provides additional flexibility with the Consolidated Interest Coverage Ratio, as defined in the Credit Agreement, by reducing such ratio from 1.75 : 1 to 1.25 : 1 beginning June 30, 2009 through March 31, 2011; and</w:t>
      </w:r>
    </w:p>
    <w:p>
      <w:pPr>
        <w:jc w:val="both"/>
        <w:ind w:right="40" w:firstLine="8"/>
        <w:spacing w:after="0" w:line="254" w:lineRule="auto"/>
        <w:tabs>
          <w:tab w:leader="none" w:pos="307" w:val="left"/>
        </w:tabs>
        <w:numPr>
          <w:ilvl w:val="0"/>
          <w:numId w:val="373"/>
        </w:numPr>
        <w:rPr>
          <w:rFonts w:ascii="Arial" w:cs="Arial" w:eastAsia="Arial" w:hAnsi="Arial"/>
          <w:sz w:val="18"/>
          <w:szCs w:val="18"/>
          <w:color w:val="auto"/>
        </w:rPr>
      </w:pPr>
      <w:r>
        <w:rPr>
          <w:rFonts w:ascii="Arial" w:cs="Arial" w:eastAsia="Arial" w:hAnsi="Arial"/>
          <w:sz w:val="18"/>
          <w:szCs w:val="18"/>
          <w:color w:val="auto"/>
        </w:rPr>
        <w:t>removes the dollar limit on the equity cure provisions for the purpose of the Consolidated Leverage Ratio and the Consolidated Interest Coverage Ratio over the life of the loan. In exchange for the amendments, the Company (i) repaid 30% of the outstanding revolver loans of lenders consenting to the extension of their commitment (approximately $238 million) and permanently reduced such lender commitments by 25%; and (ii) agreed to an increase in the interest rate spread on the Wynn Las Vegas Revolver from LIBOR plus 1.625% to LIBOR plus 3.0%.</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August 2009, pursuant to the terms of the Credit Agreement, the Company expanded the availability of the Wynn Las Vegas Revolver by $65 million.</w:t>
      </w:r>
    </w:p>
    <w:p>
      <w:pPr>
        <w:spacing w:after="0" w:line="181"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September 2009, the Company entered into a fifth amendment to the Credit Agreement. This amendment, among other things, (i) permits Wynn Las Vegas to issue, on or before March 31, 2010, up to $500 million of new senior secured notes and (ii) requires that 75% of the net cash proceeds of any issuance of new senior secured notes be applied to prepay loans and reduce commitments under the Credit Agreement.</w:t>
      </w:r>
    </w:p>
    <w:p>
      <w:pPr>
        <w:spacing w:after="0" w:line="9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October 2009, pursuant to an offer to purchase loans outstanding under the Credit Agreement, the Company purchased loans with a face value of $87.6 million for $84.4 million, reflecting a discounted price of 96.37%. As a result of this transaction, the Wynn Las Vegas Revolver was permanently reduced by $43.8 million and the Wynn Las Vegas Term Loan was permanently reduced by $44.8 million.</w:t>
      </w:r>
    </w:p>
    <w:p>
      <w:pPr>
        <w:spacing w:after="0" w:line="12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 xml:space="preserve">In October 2009, in accordance with the fifth amendment to the Wynn Las Vegas Credit Agreement described above, the Company used the proceeds of the $500 million 7 </w:t>
      </w:r>
      <w:r>
        <w:rPr>
          <w:rFonts w:ascii="Arial" w:cs="Arial" w:eastAsia="Arial" w:hAnsi="Arial"/>
          <w:sz w:val="10"/>
          <w:szCs w:val="10"/>
          <w:color w:val="auto"/>
        </w:rPr>
        <w:t>7</w:t>
      </w:r>
      <w:r>
        <w:rPr>
          <w:rFonts w:ascii="Arial" w:cs="Arial" w:eastAsia="Arial" w:hAnsi="Arial"/>
          <w:sz w:val="16"/>
          <w:szCs w:val="16"/>
          <w:color w:val="auto"/>
        </w:rPr>
        <w:t xml:space="preserve"> /</w:t>
      </w:r>
      <w:r>
        <w:rPr>
          <w:rFonts w:ascii="Arial" w:cs="Arial" w:eastAsia="Arial" w:hAnsi="Arial"/>
          <w:sz w:val="12"/>
          <w:szCs w:val="12"/>
          <w:color w:val="auto"/>
        </w:rPr>
        <w:t>8</w:t>
      </w:r>
      <w:r>
        <w:rPr>
          <w:rFonts w:ascii="Arial" w:cs="Arial" w:eastAsia="Arial" w:hAnsi="Arial"/>
          <w:sz w:val="16"/>
          <w:szCs w:val="16"/>
          <w:color w:val="auto"/>
        </w:rPr>
        <w:t>% First Mortgage Notes to repay amounts outstanding under the Wynn Las Vegas Revolver and Wynn Las Vegas Term Loan.</w:t>
      </w:r>
    </w:p>
    <w:p>
      <w:pPr>
        <w:spacing w:after="0" w:line="7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Wynn Las Vegas Term Loan is payable in two installments of $40.2 million each on September 30, 2012 and August 15, 2013. The Wynn Las Vegas Revolver matures on July 15, 2013.</w:t>
      </w:r>
    </w:p>
    <w:p>
      <w:pPr>
        <w:spacing w:after="0" w:line="118" w:lineRule="exact"/>
        <w:rPr>
          <w:sz w:val="20"/>
          <w:szCs w:val="20"/>
          <w:color w:val="auto"/>
        </w:rPr>
      </w:pPr>
    </w:p>
    <w:p>
      <w:pPr>
        <w:ind w:right="40" w:firstLine="456"/>
        <w:spacing w:after="0" w:line="310" w:lineRule="auto"/>
        <w:rPr>
          <w:sz w:val="20"/>
          <w:szCs w:val="20"/>
          <w:color w:val="auto"/>
        </w:rPr>
      </w:pPr>
      <w:r>
        <w:rPr>
          <w:rFonts w:ascii="Arial" w:cs="Arial" w:eastAsia="Arial" w:hAnsi="Arial"/>
          <w:sz w:val="15"/>
          <w:szCs w:val="15"/>
          <w:color w:val="auto"/>
        </w:rPr>
        <w:t>For purposes of calculating interest, loans under the Wynn Las Vegas Credit Facilities will be designated, at the election of Wynn Las Vegas, LLC, as Eurodollar Loans or, in certain circumstances, Base Rate Loans. As of December 31, 2009, Eurodollar Loans under the Wynn Las Vegas Revolver and Wynn Las Vegas Term Loan bear interest initially at the Eurodollar rate plus 3.0% and the Eurodollar rate plus 1.875%, respectively. Interest on Eurodollar Loans is payable at the end of the applicable interest period in the case of interest periods of one, two or three months, and every three months in the case of interest periods of six months. Base Rate Loans bear interest at (a) the greatest of (i) the rate most recently announced by Deutsche Bank as its “prime rate,” (ii) the Federal Funds Rate plus 1/2 of 1% per annum, and (iii) in the case of a Wynn Las Vegas Revolver loan the one month Eurodollar rate; plus (b) a borrowing margin of 2.0% for Wynn Las Vegas Revolver loans and 0.875% for Wynn Las Vegas Term Loans. Interest on Base Rate Loans will be payable quarterly in arrears. Wynn Las Vegas, LLC also pays, quarterly in arrears, 1.0% per annum on the daily average of unborrowed amounts under the Wynn Las Vegas Revolver.</w:t>
      </w:r>
    </w:p>
    <w:p>
      <w:pPr>
        <w:spacing w:after="0" w:line="95"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Wynn Las Vegas Credit Facilities are obligations of Wynn Las Vegas, LLC, guaranteed by each of the subsidiaries of Wynn Las Vegas, LLC, other than Wynn Completion Guarantor, LLC. Subject to an intercreditor agreement, and certain exceptions, the obligations of Wynn Las Vegas, LLC and each of the guarantors under the Wynn Las Vegas Credit Facilities are secured by: (1) a first priority pledge of all member’s interests owned by Wynn Las Vegas, LLC in its subsidiaries (other than Wynn Completion Guarantor, LLC) and Wynn Resorts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Holdings, LLC’s 100% member’s interest in Wynn Las Vegas, LLC; (2) first mortgages on all real property constituting Wynn Las Vegas, its golf course and Encore; and (3) a first priority security interest in substantially all other existing and future assets of Wynn Las Vegas, LLC and the guarantors, excluding an aircraft beneficially owned by World Travel, LLC.</w:t>
      </w:r>
    </w:p>
    <w:p>
      <w:pPr>
        <w:spacing w:after="0" w:line="12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The obligations of Wynn Las Vegas, LLC and the guarantors under the Wynn Las Vegas Credit Facilities rank equal in right of payment with their existing and future senior indebtedness, including indebtedness with respect to the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and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and ranks senior in right of payment to all of their existing and future subordinated indebtedness.</w:t>
      </w:r>
    </w:p>
    <w:p>
      <w:pPr>
        <w:spacing w:after="0" w:line="12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addition to scheduled amortization payments, Wynn Las Vegas, LLC is required to make mandatory prepayments of indebtedness under the Wynn Las Vegas Credit Facilities from the net proceeds of all debt offerings (other than those constituting certain permitted debt). Wynn Las Vegas, LLC is also required to make mandatory repayments of indebtedness under the Wynn Las Vegas credit facilities from specified percentages of excess cash flow, which percentages may decrease and/or be eliminated based on Wynn Las Vegas, LLC’s leverage ratio. Wynn Las Vegas, LLC has the option to prepay all or any portion of the indebtedness under the Wynn Las Vegas Credit Facilities at any time without premium or penalty.</w:t>
      </w:r>
    </w:p>
    <w:p>
      <w:pPr>
        <w:spacing w:after="0" w:line="102"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Credit Agreement contains customary negative covenants and financial covenants, including negative covenants that restrict Wynn Las Vegas, LLC’s ability to: incur additional indebtedness, including guarantees; create, incur, assume or permit to exist liens on property and assets; declare or pay dividends and make distributions or restrict the ability of Wynn Las Vegas, LLC’s subsidiaries to pay dividends and make distributions; engage in mergers, investments and acquisitions; enter into transactions with affiliates; enter into sale-leaseback transactions; execute modifications to material contracts; engage in sales of assets; make capital expenditures; and make optional prepayments of certain indebtedness. The financial covenants include maintaining a Consolidated Interest Coverage Ratio, as defined, not less than 1.25 : 1 as of December 31, 2009. Management believes that the Company was in compliance with all covenants at December 31, 2009. The Company will be required to maintain a Consolidated Leverage Ratio, as defined, of 6.50 : 1 for the quarterly reporting date ending June 30, 2011, 6.25 : 1 for the quarterly reporting date ending September 30, 2011 and 6.00 : 1 for each quarterly reporting date thereafter to maturity. The Consolidated Interest Coverage Ratio remains at 1.25 : 1 for the quarterly reporting dates through March 31, 2011, and then increases to 1.75 : 1 for the quarterly reporting dates June 30, 2011 to maturity.</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$42 Million Note Payable for Aircraft</w:t>
      </w:r>
    </w:p>
    <w:p>
      <w:pPr>
        <w:spacing w:after="0" w:line="7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On March 30, 2007, World Travel, LLC, a subsidiary of Wynn Las Vegas, entered into a loan agreement with a principal balance of $42 million. The loan is guaranteed by Wynn Las Vegas, LLC and secured by a first priority security interest in one of the Company’s aircraft. Principal payments of $350,000 plus interest are made quarterly with a balloon payment of $28 million due at maturity, April 1, 2017. Interest is calculated at 90-day LIBOR plus 125 basis points.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of Long-term Debt</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The net book value of the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and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at December 31, 2009 and 2008, was approximately $2.2 billion and $1.7 billion, respectively. The estimated fair value of the First Mortgage Notes based upon most recent trades at December 31, 2009 and 2008, was approximately $2.1 billion and $1.25 billion, respectively. The net book value of the Company’s other debt instruments was $400 million and the approximate fair value of such debt was approximately $350 million as of December 31, 2009.</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340"/>
          </w:cols>
          <w:pgMar w:left="240" w:top="460" w:right="31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Scheduled Maturities of Long-Term Debt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Scheduled maturities of long-term debt including the accretion of debt discounts of approximately $18.7 million are as follows (amounts in thousands):</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200" w:type="dxa"/>
            <w:vAlign w:val="bottom"/>
            <w:gridSpan w:val="2"/>
          </w:tcPr>
          <w:p>
            <w:pPr>
              <w:spacing w:after="0"/>
              <w:rPr>
                <w:sz w:val="20"/>
                <w:szCs w:val="20"/>
                <w:color w:val="auto"/>
              </w:rPr>
            </w:pPr>
            <w:r>
              <w:rPr>
                <w:rFonts w:ascii="Arial" w:cs="Arial" w:eastAsia="Arial" w:hAnsi="Arial"/>
                <w:sz w:val="14"/>
                <w:szCs w:val="14"/>
                <w:b w:val="1"/>
                <w:bCs w:val="1"/>
                <w:color w:val="auto"/>
              </w:rPr>
              <w:t>Years Ending December 31,</w:t>
            </w:r>
          </w:p>
        </w:tc>
        <w:tc>
          <w:tcPr>
            <w:tcW w:w="602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83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80" w:type="dxa"/>
            <w:vAlign w:val="bottom"/>
            <w:tcBorders>
              <w:bottom w:val="single" w:sz="8" w:color="808080"/>
            </w:tcBorders>
          </w:tcPr>
          <w:p>
            <w:pPr>
              <w:spacing w:after="0"/>
              <w:rPr>
                <w:sz w:val="8"/>
                <w:szCs w:val="8"/>
                <w:color w:val="auto"/>
              </w:rPr>
            </w:pPr>
          </w:p>
        </w:tc>
        <w:tc>
          <w:tcPr>
            <w:tcW w:w="6020" w:type="dxa"/>
            <w:vAlign w:val="bottom"/>
          </w:tcPr>
          <w:p>
            <w:pPr>
              <w:spacing w:after="0"/>
              <w:rPr>
                <w:sz w:val="8"/>
                <w:szCs w:val="8"/>
                <w:color w:val="auto"/>
              </w:rPr>
            </w:pPr>
          </w:p>
        </w:tc>
        <w:tc>
          <w:tcPr>
            <w:tcW w:w="90" w:type="dxa"/>
            <w:vAlign w:val="bottom"/>
          </w:tcPr>
          <w:p>
            <w:pPr>
              <w:spacing w:after="0"/>
              <w:rPr>
                <w:sz w:val="8"/>
                <w:szCs w:val="8"/>
                <w:color w:val="auto"/>
              </w:rPr>
            </w:pPr>
          </w:p>
        </w:tc>
        <w:tc>
          <w:tcPr>
            <w:tcW w:w="83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80" w:type="dxa"/>
            <w:vAlign w:val="bottom"/>
          </w:tcPr>
          <w:p>
            <w:pPr>
              <w:spacing w:after="0"/>
              <w:rPr>
                <w:sz w:val="8"/>
                <w:szCs w:val="8"/>
                <w:color w:val="auto"/>
              </w:rPr>
            </w:pPr>
          </w:p>
        </w:tc>
        <w:tc>
          <w:tcPr>
            <w:tcW w:w="6020" w:type="dxa"/>
            <w:vAlign w:val="bottom"/>
          </w:tcPr>
          <w:p>
            <w:pPr>
              <w:spacing w:after="0"/>
              <w:rPr>
                <w:sz w:val="8"/>
                <w:szCs w:val="8"/>
                <w:color w:val="auto"/>
              </w:rPr>
            </w:pPr>
          </w:p>
        </w:tc>
        <w:tc>
          <w:tcPr>
            <w:tcW w:w="90" w:type="dxa"/>
            <w:vAlign w:val="bottom"/>
          </w:tcPr>
          <w:p>
            <w:pPr>
              <w:spacing w:after="0"/>
              <w:rPr>
                <w:sz w:val="8"/>
                <w:szCs w:val="8"/>
                <w:color w:val="auto"/>
              </w:rPr>
            </w:pPr>
          </w:p>
        </w:tc>
        <w:tc>
          <w:tcPr>
            <w:tcW w:w="83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611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2011</w:t>
            </w:r>
          </w:p>
        </w:tc>
        <w:tc>
          <w:tcPr>
            <w:tcW w:w="60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830" w:type="dxa"/>
            <w:vAlign w:val="bottom"/>
          </w:tcPr>
          <w:p>
            <w:pPr>
              <w:jc w:val="right"/>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60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8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2013</w:t>
            </w:r>
          </w:p>
        </w:tc>
        <w:tc>
          <w:tcPr>
            <w:tcW w:w="60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830" w:type="dxa"/>
            <w:vAlign w:val="bottom"/>
          </w:tcPr>
          <w:p>
            <w:pPr>
              <w:jc w:val="right"/>
              <w:spacing w:after="0"/>
              <w:rPr>
                <w:sz w:val="20"/>
                <w:szCs w:val="20"/>
                <w:color w:val="auto"/>
              </w:rPr>
            </w:pPr>
            <w:r>
              <w:rPr>
                <w:rFonts w:ascii="Arial" w:cs="Arial" w:eastAsia="Arial" w:hAnsi="Arial"/>
                <w:sz w:val="18"/>
                <w:szCs w:val="18"/>
                <w:color w:val="auto"/>
              </w:rPr>
              <w:t>294,339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60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83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1,701,400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Thereafter</w:t>
            </w:r>
          </w:p>
        </w:tc>
        <w:tc>
          <w:tcPr>
            <w:tcW w:w="60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830" w:type="dxa"/>
            <w:vAlign w:val="bottom"/>
          </w:tcPr>
          <w:p>
            <w:pPr>
              <w:jc w:val="right"/>
              <w:spacing w:after="0"/>
              <w:rPr>
                <w:sz w:val="20"/>
                <w:szCs w:val="20"/>
                <w:color w:val="auto"/>
              </w:rPr>
            </w:pPr>
            <w:r>
              <w:rPr>
                <w:rFonts w:ascii="Arial" w:cs="Arial" w:eastAsia="Arial" w:hAnsi="Arial"/>
                <w:sz w:val="18"/>
                <w:szCs w:val="18"/>
                <w:color w:val="auto"/>
              </w:rPr>
              <w:t>531,500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6020" w:type="dxa"/>
            <w:vAlign w:val="bottom"/>
          </w:tcPr>
          <w:p>
            <w:pPr>
              <w:spacing w:after="0"/>
              <w:rPr>
                <w:sz w:val="8"/>
                <w:szCs w:val="8"/>
                <w:color w:val="auto"/>
              </w:rPr>
            </w:pPr>
          </w:p>
        </w:tc>
        <w:tc>
          <w:tcPr>
            <w:tcW w:w="90" w:type="dxa"/>
            <w:vAlign w:val="bottom"/>
            <w:tcBorders>
              <w:bottom w:val="single" w:sz="8" w:color="808080"/>
            </w:tcBorders>
          </w:tcPr>
          <w:p>
            <w:pPr>
              <w:spacing w:after="0"/>
              <w:rPr>
                <w:sz w:val="8"/>
                <w:szCs w:val="8"/>
                <w:color w:val="auto"/>
              </w:rPr>
            </w:pPr>
          </w:p>
        </w:tc>
        <w:tc>
          <w:tcPr>
            <w:tcW w:w="83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6020" w:type="dxa"/>
            <w:vAlign w:val="bottom"/>
          </w:tcPr>
          <w:p>
            <w:pPr>
              <w:spacing w:after="0"/>
              <w:rPr>
                <w:sz w:val="8"/>
                <w:szCs w:val="8"/>
                <w:color w:val="auto"/>
              </w:rPr>
            </w:pPr>
          </w:p>
        </w:tc>
        <w:tc>
          <w:tcPr>
            <w:tcW w:w="90" w:type="dxa"/>
            <w:vAlign w:val="bottom"/>
          </w:tcPr>
          <w:p>
            <w:pPr>
              <w:spacing w:after="0"/>
              <w:rPr>
                <w:sz w:val="8"/>
                <w:szCs w:val="8"/>
                <w:color w:val="auto"/>
              </w:rPr>
            </w:pPr>
          </w:p>
        </w:tc>
        <w:tc>
          <w:tcPr>
            <w:tcW w:w="83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611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3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2,571,312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6020" w:type="dxa"/>
            <w:vAlign w:val="bottom"/>
          </w:tcPr>
          <w:p>
            <w:pPr>
              <w:spacing w:after="0"/>
              <w:rPr>
                <w:sz w:val="11"/>
                <w:szCs w:val="11"/>
                <w:color w:val="auto"/>
              </w:rPr>
            </w:pPr>
          </w:p>
        </w:tc>
        <w:tc>
          <w:tcPr>
            <w:tcW w:w="90" w:type="dxa"/>
            <w:vAlign w:val="bottom"/>
            <w:tcBorders>
              <w:bottom w:val="single" w:sz="8" w:color="808080"/>
            </w:tcBorders>
          </w:tcPr>
          <w:p>
            <w:pPr>
              <w:spacing w:after="0"/>
              <w:rPr>
                <w:sz w:val="11"/>
                <w:szCs w:val="11"/>
                <w:color w:val="auto"/>
              </w:rPr>
            </w:pPr>
          </w:p>
        </w:tc>
        <w:tc>
          <w:tcPr>
            <w:tcW w:w="83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-29210</wp:posOffset>
            </wp:positionV>
            <wp:extent cx="12700"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21590"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Interest Rate Swap</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has entered into floating-for-fixed interest rate swap arrangements in order to manage interest rate risk relating to certain of its debt facilities. These interest rate swap agreements modify the Company’s exposure to interest rate risk by converting a portion of the Company’s floating-rate debt to a fixed rate. These interest rate swaps essentially fix the interest rate at the percentages noted below; however, changes in the fair value of the interest rate swaps for each reporting period have been recorded in the increase/decrease in swap fair value in the accompanying Consolidated Statements of Operations, as the interest rate swaps do not qualify for hedge accounting.</w:t>
      </w:r>
    </w:p>
    <w:p>
      <w:pPr>
        <w:spacing w:after="0" w:line="12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 measures the fair value of its interest rate swaps on a recurring basis pursuant to accounting standards for fair value measurements. These standards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The Company categorizes its swap contract as Level 2.</w:t>
      </w:r>
    </w:p>
    <w:p>
      <w:pPr>
        <w:spacing w:after="0" w:line="129"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Company currently has one interest rate swap agreement to hedge a portion of the underlying interest rate risk on borrowings under the Wynn Las Vegas Credit Facilities. Under this swap agreement, beginning November 27, 2009, the Company pays a fixed interest rate of 2.485% on borrowings of $250 million incurred under the Wynn Las Vegas Credit Facilities in exchange for receipts on the same amount at a variable interest rate based on the applicable LIBOR at the time of payment. This interest rate swap fixes the interest rate on $250 million of borrowings at approximately 5.485%. This interest rate swap agreement matures in November 2012. As of December 31, 2009, the fair value of this interest rate swap was a liability of $4.2 million, which is included in long term liabilities in the accompanying balance sheet.</w:t>
      </w:r>
    </w:p>
    <w:p>
      <w:pPr>
        <w:spacing w:after="0" w:line="13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December 2008, the Company’s $200 million notional amount interest rate swap that essentially fixed the interest rate on $200 million of the $225 million Wynn Las Vegas Term Loan borrowings matured. Pursuant to the terms of this interest rate swap, the Company paid a fixed rate of 3.793% on the $200 million notional amount and received payments based on LIBOR. This swap fixed the interest rate at approximately 5.7% on $200 million of the then outstanding $225 million term loan.</w:t>
      </w:r>
    </w:p>
    <w:p>
      <w:pPr>
        <w:spacing w:after="0" w:line="124" w:lineRule="exact"/>
        <w:rPr>
          <w:sz w:val="20"/>
          <w:szCs w:val="20"/>
          <w:color w:val="auto"/>
        </w:rPr>
      </w:pPr>
    </w:p>
    <w:p>
      <w:pPr>
        <w:ind w:left="240" w:right="8860" w:hanging="232"/>
        <w:spacing w:after="0" w:line="398" w:lineRule="auto"/>
        <w:tabs>
          <w:tab w:leader="none" w:pos="187" w:val="left"/>
        </w:tabs>
        <w:numPr>
          <w:ilvl w:val="0"/>
          <w:numId w:val="37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Related Party Transactions, net </w:t>
      </w:r>
      <w:r>
        <w:rPr>
          <w:rFonts w:ascii="Arial" w:cs="Arial" w:eastAsia="Arial" w:hAnsi="Arial"/>
          <w:sz w:val="15"/>
          <w:szCs w:val="15"/>
          <w:i w:val="1"/>
          <w:iCs w:val="1"/>
          <w:color w:val="auto"/>
        </w:rPr>
        <w:t>Amounts Due to Affiliates, net</w:t>
      </w:r>
    </w:p>
    <w:p>
      <w:pPr>
        <w:spacing w:after="0" w:line="1" w:lineRule="exact"/>
        <w:rPr>
          <w:sz w:val="20"/>
          <w:szCs w:val="20"/>
          <w:color w:val="auto"/>
        </w:rPr>
      </w:pPr>
    </w:p>
    <w:p>
      <w:pPr>
        <w:ind w:right="900" w:firstLine="456"/>
        <w:spacing w:after="0" w:line="268" w:lineRule="auto"/>
        <w:rPr>
          <w:sz w:val="20"/>
          <w:szCs w:val="20"/>
          <w:color w:val="auto"/>
        </w:rPr>
      </w:pPr>
      <w:r>
        <w:rPr>
          <w:rFonts w:ascii="Arial" w:cs="Arial" w:eastAsia="Arial" w:hAnsi="Arial"/>
          <w:sz w:val="18"/>
          <w:szCs w:val="18"/>
          <w:color w:val="auto"/>
        </w:rPr>
        <w:t>As of December 31, 2009 the Company’s current Due to affiliates, net was comprised of construction payables of approximately $21.4 million, construction retention of approximately $1.8 million and other net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60" w:right="23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amounts due to affiliates totaling $1.7 million (including corporate allocations discussed below). The long-term Due to affiliates is management fees of $82.3 million (equal to 1.5% of revenues and payable upon meeting certain leverage ratios as specified in the documents governing the Company’s Credit Facilities and the First Mortgage Notes indentures).</w:t>
      </w:r>
    </w:p>
    <w:p>
      <w:pPr>
        <w:spacing w:after="0" w:line="12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As of December 31, 2008, the Company’s current Due to affiliates, net was comprised of construction payables of approximately $123.4 million, construction retention of approximately $77.7 million and other net amounts receivable from affiliates totaling $0.7 million. The long-term Due to affiliates is management fees of $63.9 million (equal to 1.5% of net revenues and payable upon meeting certain leverage ratios as specified in the documents governing the Company’s Credit Facilities and the First Mortgage Notes indenture).</w:t>
      </w:r>
    </w:p>
    <w:p>
      <w:pPr>
        <w:spacing w:after="0" w:line="130"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The Company periodically settles amounts due to affiliates with cash receipts and payments, except for the management fee, which is payable upon meeting certain leverage ratios specified in the documents governing the Company’s Credit Facilities and the First Mortgage Notes indenture.</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Corporate Allocations</w:t>
      </w:r>
    </w:p>
    <w:p>
      <w:pPr>
        <w:spacing w:after="0" w:line="7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accompanying Consolidated Statements of Operations include allocations from Wynn Resorts for legal, accounting, human resource, information services, real estate, and other corporate support services. The corporate support service allocations have been determined on a basis that Wynn Resorts and the Company consider to be reasonable estimates of the utilization of service provided or the benefit received by the Company. Wynn Resorts maintains corporate offices at Wynn Las Vegas without charge from the Company. Through September 30, 2008, the Company settled these corporate allocation charges with Wynn Resorts on a periodic basis as discussed in “Amounts Due to Affiliates, net” above. Beginning with the fourth quarter of 2008 and ending with the third quarter of 2009, the Company was unable to and did not intend to settle this corporate allocation and accordingly, such allocations were recorded as a contribution to equity from Wynn Resorts. During the years ended December 31, 2009, 2008 and 2007, approximately $25.0 million, $22 million, and $25.9 million, respectively, was charged to the Company for such corporate allocations.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Amounts due to Officers, net</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periodically provides services to Stephen A. Wynn, Chairman of the Board, Chief Executive Officer and one of the principal stockholders of Wynn Resorts (“Mr. Wynn”), and certain other executive officers and directors of Wynn Resorts. These services include household services, construction work and other personal services. The cost of these services is transferred to Wynn Resorts, Limited on a periodic basis. Mr. Wynn and these other officers and directors have amounts on deposit with Wynn Resorts to prepay any such items, which are replenished on an ongoing basis as needed. At December 31, 2009 and 2008, Wynn Resorts owed Mr. Wynn and the other officers and directors approximately $789,095 and $434,003, respectively.</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Villa Suite Lease</w:t>
      </w:r>
    </w:p>
    <w:p>
      <w:pPr>
        <w:spacing w:after="0" w:line="77" w:lineRule="exact"/>
        <w:rPr>
          <w:sz w:val="20"/>
          <w:szCs w:val="20"/>
          <w:color w:val="auto"/>
        </w:rPr>
      </w:pPr>
    </w:p>
    <w:p>
      <w:pPr>
        <w:ind w:right="120" w:firstLine="456"/>
        <w:spacing w:after="0" w:line="312" w:lineRule="auto"/>
        <w:rPr>
          <w:sz w:val="20"/>
          <w:szCs w:val="20"/>
          <w:color w:val="auto"/>
        </w:rPr>
      </w:pPr>
      <w:r>
        <w:rPr>
          <w:rFonts w:ascii="Arial" w:cs="Arial" w:eastAsia="Arial" w:hAnsi="Arial"/>
          <w:sz w:val="15"/>
          <w:szCs w:val="15"/>
          <w:color w:val="auto"/>
        </w:rPr>
        <w:t>Effective July 1, 2005, Mr. Wynn and Elaine P. Wynn, who is also a director of Wynn Resorts, lease from year to year a villa suite in the Wynn Las Vegas resort. In March 2009, this lease was amended to add an additional unit to the leased premises. Rent is determined by the Audit Committee of the Board of Directors of Wynn Resorts (the “Audit Committee”), and is based on the fair market value of the use of the suite accommodations. Based on third-party appraisals, the Audit Committee determined the rent for each year in the three-year period commencing July 1, 2005 and ending June 30, 2008 to be $580,000. Certain services for, and maintenance of, the suites are included in the rental. For the two year period commencing July 1, 2008 and ending June 30, 2010, based on a third-party appraisal and a reduction in housekeeping services to be provided, the Audit Committee determined the rent for each year will be $520,000. There was no change in the rent when the additional unit was added to the lease in March 2009 due to significant deterioration in the Las Vegas rental market.</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60" w:right="23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Surname Rights Agreement</w:t>
      </w:r>
    </w:p>
    <w:p>
      <w:pPr>
        <w:spacing w:after="0" w:line="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August 6, 2004, Holdings entered into agreements with Mr. Wynn that confirm and clarify Holding’s rights to use the “Wynn” name and Mr. Wynn’s persona in connection with casino resorts. Under the parties’ Surname Rights Agreement, Mr. Wynn granted Holdings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Holdings the exclusive, royalty-free, worldwide right to use his full name, persona and related rights of publicity for casino resorts and related businesses, together with the ability to sublicense the persona and publicity rights to its affiliates, until October 24, 2017. Holdings has sub-licensed rights to the “Wynn” name, persona and marks to the Company.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Property Charges and Other</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Property charges and other for the years ended December 31, 2009, 2008 and 2007, were $24.5 million, $22.4 million and $6 million, respectively.</w:t>
      </w:r>
    </w:p>
    <w:p>
      <w:pPr>
        <w:spacing w:after="0" w:line="181"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In response to the Company’s evaluation of its properties and the reactions of its guests, the Company makes enhancements and refinements to the properties. Costs relating to assets retired as a result of these enhancement and remodel efforts have been expensed as property charges. Property charges and other for the year ended December 31, 2009 include the following: (a) a $16.7 million charge for the abandonment of the front porte-cochere at Encore to make way for an addition to that property, (b) a $5.3 million charge for the write-off of two aircraft deposits, and (c) $2.5 million related to miscellaneous remodels, abandonments and loss on sale of equipment.</w:t>
      </w:r>
    </w:p>
    <w:p>
      <w:pPr>
        <w:spacing w:after="0" w:line="12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Property charges and other for the year ended December 31, 2008 include $17.8 million of costs associated with Spamalot at Wynn Las Vegas which closed in mid-July 2008. Together with the producers, the Company elected to end the show’s run at Wynn Las Vegas pursuant to the contract. The charge includes production rights that were included in intangible assets, show production costs that were included in other assets and certain other property and equipment. The remaining property charges were related to miscellaneous renovations and abandonments at Wynn Las Vegas. During the year ended December 31, 2007, property charges were recorded related to the remodel and enhancements made to the Le Rêve Theater, the abandonment of a marquee sign, two retail outlet conversions and the conversion of </w:t>
      </w:r>
      <w:r>
        <w:rPr>
          <w:rFonts w:ascii="Arial" w:cs="Arial" w:eastAsia="Arial" w:hAnsi="Arial"/>
          <w:sz w:val="16"/>
          <w:szCs w:val="16"/>
          <w:i w:val="1"/>
          <w:iCs w:val="1"/>
          <w:color w:val="auto"/>
        </w:rPr>
        <w:t>Lure</w:t>
      </w:r>
      <w:r>
        <w:rPr>
          <w:rFonts w:ascii="Arial" w:cs="Arial" w:eastAsia="Arial" w:hAnsi="Arial"/>
          <w:sz w:val="16"/>
          <w:szCs w:val="16"/>
          <w:color w:val="auto"/>
        </w:rPr>
        <w:t xml:space="preserve"> to the nighclub </w:t>
      </w:r>
      <w:r>
        <w:rPr>
          <w:rFonts w:ascii="Arial" w:cs="Arial" w:eastAsia="Arial" w:hAnsi="Arial"/>
          <w:sz w:val="16"/>
          <w:szCs w:val="16"/>
          <w:i w:val="1"/>
          <w:iCs w:val="1"/>
          <w:color w:val="auto"/>
        </w:rPr>
        <w:t>Blush.</w:t>
      </w:r>
    </w:p>
    <w:p>
      <w:pPr>
        <w:spacing w:after="0" w:line="101" w:lineRule="exact"/>
        <w:rPr>
          <w:sz w:val="20"/>
          <w:szCs w:val="20"/>
          <w:color w:val="auto"/>
        </w:rPr>
      </w:pPr>
    </w:p>
    <w:p>
      <w:pPr>
        <w:ind w:left="240" w:right="9520" w:hanging="232"/>
        <w:spacing w:after="0" w:line="398" w:lineRule="auto"/>
        <w:tabs>
          <w:tab w:leader="none" w:pos="266" w:val="left"/>
        </w:tabs>
        <w:numPr>
          <w:ilvl w:val="0"/>
          <w:numId w:val="37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Benefit Plans </w:t>
      </w:r>
      <w:r>
        <w:rPr>
          <w:rFonts w:ascii="Arial" w:cs="Arial" w:eastAsia="Arial" w:hAnsi="Arial"/>
          <w:sz w:val="15"/>
          <w:szCs w:val="15"/>
          <w:i w:val="1"/>
          <w:iCs w:val="1"/>
          <w:color w:val="auto"/>
        </w:rPr>
        <w:t>Employee Savings Plan</w:t>
      </w:r>
    </w:p>
    <w:p>
      <w:pPr>
        <w:spacing w:after="0" w:line="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Wynn Resorts established a retirement savings plan under Section 401(k) of the Internal Revenue Code covering its non-union employees in July 2000. The plan allows employees to defer, within prescribed limits, a percentage of their income on a pre-tax basis through contributions to this plan. The Company matches the contributions, within prescribed limits, with an amount equal to 100% of the participant’s initial 2% tax deferred contribution and 50% of the tax deferred contribution between 2% and 4% of the participant’s compensation. The Company recorded charges for matching contributions of approximately $1.2 million, $4.8 million and $4.5 million for the years ended December 31, 2009, 2008 and 2007, respectively. Effective March 16, 2009, the Company suspended matching contributions to this plan.</w:t>
      </w:r>
    </w:p>
    <w:p>
      <w:pPr>
        <w:spacing w:after="0" w:line="13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Union employees are covered by various multi-employer pension plans. The Company recorded expenses of approximately $6.2 million, $4.6 million and $4.5 million under such plans for the years ended December 31, 2009, 2008 and 2007, respectively. Information from the plans’ sponsors is not available to permit the Company to determine its share of unfunded vested benefits, if any.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60" w:right="23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Share-Based Compensation</w:t>
      </w:r>
    </w:p>
    <w:p>
      <w:pPr>
        <w:spacing w:after="0" w:line="77"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Wynn Resorts established the 2002 Stock Incentive Plan (the “Stock Plan”) which provides for the grant of (i) Incentive Stock Options, (ii) compensatory (i.e. nonqualified) stock options, and (iii) nonvested shares of Wynn Resorts’ common stock for employees, directors and independent contractors or consultants of Wynn Resorts and its subsidiaries, including the Company. However, only employees are eligible to receive incentive stock options.</w:t>
      </w:r>
    </w:p>
    <w:p>
      <w:pPr>
        <w:spacing w:after="0" w:line="9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 maximum of 9,750,000 shares of Wynn Resorts’ common stock has been reserved for issuance under the Stock Plan. As of December 31, 2009, 419,545 shares remain available for the grant of stock options or nonvested shares of Wynn Resorts’ common stock.</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 Options</w:t>
      </w:r>
    </w:p>
    <w:p>
      <w:pPr>
        <w:spacing w:after="0" w:line="7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Options are granted at the current market price at the date of grant. The Stock Plan provides for a variety of vesting schedules, including: immediate; 25% each year over four years; 33.33% for each of the third, fourth and fifth years with no vesting in the first two years; cliff vesting at a determined date; and others to be determined at the time of grant. All options expire ten years from the date of grant.</w:t>
      </w:r>
    </w:p>
    <w:p>
      <w:pPr>
        <w:spacing w:after="0" w:line="12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 summary of option activity under the Stock Plan that relates to employees of the Company, as of December 31, 2009, and changes during the year then ended is presented below:</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Weighted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Weighted</w:t>
            </w: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Average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Average</w:t>
            </w: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Remaining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Exercise</w:t>
            </w: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100" w:type="dxa"/>
            <w:vAlign w:val="bottom"/>
          </w:tcPr>
          <w:p>
            <w:pPr>
              <w:spacing w:after="0"/>
              <w:rPr>
                <w:sz w:val="15"/>
                <w:szCs w:val="15"/>
                <w:color w:val="auto"/>
              </w:rPr>
            </w:pPr>
          </w:p>
        </w:tc>
        <w:tc>
          <w:tcPr>
            <w:tcW w:w="102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Options</w:t>
            </w:r>
          </w:p>
        </w:tc>
        <w:tc>
          <w:tcPr>
            <w:tcW w:w="240" w:type="dxa"/>
            <w:vAlign w:val="bottom"/>
          </w:tcPr>
          <w:p>
            <w:pPr>
              <w:spacing w:after="0"/>
              <w:rPr>
                <w:sz w:val="15"/>
                <w:szCs w:val="15"/>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Price</w:t>
            </w: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Term</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10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2009</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1,484,466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93"/>
              </w:rPr>
              <w:t>$ 63.32</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420"/>
              <w:spacing w:after="0"/>
              <w:rPr>
                <w:sz w:val="20"/>
                <w:szCs w:val="20"/>
                <w:color w:val="auto"/>
              </w:rPr>
            </w:pPr>
            <w:r>
              <w:rPr>
                <w:rFonts w:ascii="Arial" w:cs="Arial" w:eastAsia="Arial" w:hAnsi="Arial"/>
                <w:sz w:val="18"/>
                <w:szCs w:val="18"/>
                <w:color w:val="auto"/>
              </w:rPr>
              <w:t>Granted</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920,000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3"/>
          </w:tcPr>
          <w:p>
            <w:pPr>
              <w:jc w:val="center"/>
              <w:ind w:right="200"/>
              <w:spacing w:after="0"/>
              <w:rPr>
                <w:sz w:val="20"/>
                <w:szCs w:val="20"/>
                <w:color w:val="auto"/>
              </w:rPr>
            </w:pPr>
            <w:r>
              <w:rPr>
                <w:rFonts w:ascii="Arial" w:cs="Arial" w:eastAsia="Arial" w:hAnsi="Arial"/>
                <w:sz w:val="18"/>
                <w:szCs w:val="18"/>
                <w:color w:val="auto"/>
                <w:w w:val="93"/>
              </w:rPr>
              <w:t>$ 50.03</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10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w w:val="95"/>
              </w:rPr>
              <w:t>(184,916)</w:t>
            </w:r>
          </w:p>
        </w:tc>
        <w:tc>
          <w:tcPr>
            <w:tcW w:w="124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93"/>
              </w:rPr>
              <w:t>$ 24.66</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420"/>
              <w:spacing w:after="0"/>
              <w:rPr>
                <w:sz w:val="20"/>
                <w:szCs w:val="20"/>
                <w:color w:val="auto"/>
              </w:rPr>
            </w:pPr>
            <w:r>
              <w:rPr>
                <w:rFonts w:ascii="Arial" w:cs="Arial" w:eastAsia="Arial" w:hAnsi="Arial"/>
                <w:sz w:val="18"/>
                <w:szCs w:val="18"/>
                <w:color w:val="auto"/>
              </w:rPr>
              <w:t>Canceled</w:t>
            </w:r>
          </w:p>
        </w:tc>
        <w:tc>
          <w:tcPr>
            <w:tcW w:w="1020" w:type="dxa"/>
            <w:vAlign w:val="bottom"/>
            <w:gridSpan w:val="4"/>
          </w:tcPr>
          <w:p>
            <w:pPr>
              <w:jc w:val="right"/>
              <w:ind w:right="260"/>
              <w:spacing w:after="0"/>
              <w:rPr>
                <w:sz w:val="20"/>
                <w:szCs w:val="20"/>
                <w:color w:val="auto"/>
              </w:rPr>
            </w:pPr>
            <w:r>
              <w:rPr>
                <w:rFonts w:ascii="Arial" w:cs="Arial" w:eastAsia="Arial" w:hAnsi="Arial"/>
                <w:sz w:val="18"/>
                <w:szCs w:val="18"/>
                <w:color w:val="auto"/>
                <w:w w:val="95"/>
              </w:rPr>
              <w:t>(173,333)</w:t>
            </w:r>
          </w:p>
        </w:tc>
        <w:tc>
          <w:tcPr>
            <w:tcW w:w="1240" w:type="dxa"/>
            <w:vAlign w:val="bottom"/>
            <w:gridSpan w:val="3"/>
          </w:tcPr>
          <w:p>
            <w:pPr>
              <w:jc w:val="center"/>
              <w:ind w:right="200"/>
              <w:spacing w:after="0"/>
              <w:rPr>
                <w:sz w:val="20"/>
                <w:szCs w:val="20"/>
                <w:color w:val="auto"/>
              </w:rPr>
            </w:pPr>
            <w:r>
              <w:rPr>
                <w:rFonts w:ascii="Arial" w:cs="Arial" w:eastAsia="Arial" w:hAnsi="Arial"/>
                <w:sz w:val="18"/>
                <w:szCs w:val="18"/>
                <w:color w:val="auto"/>
                <w:w w:val="93"/>
              </w:rPr>
              <w:t>$ 69.44</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Transfer of employees from affiliate</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128,375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93"/>
              </w:rPr>
              <w:t>$ 57.16</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1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2009</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2,174,592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93"/>
              </w:rPr>
              <w:t>$ 60.14</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13,989,061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100" w:type="dxa"/>
            <w:vAlign w:val="bottom"/>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Fully vested and expected to vest at December 31, 2009</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2,022,615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93"/>
              </w:rPr>
              <w:t>$ 59.39</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13,269,627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100" w:type="dxa"/>
            <w:vAlign w:val="bottom"/>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 2009</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683,168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93"/>
              </w:rPr>
              <w:t>$ 52.65</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5,466,946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100" w:type="dxa"/>
            <w:vAlign w:val="bottom"/>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-629285</wp:posOffset>
            </wp:positionV>
            <wp:extent cx="12700"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-629285</wp:posOffset>
            </wp:positionV>
            <wp:extent cx="38735"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-329565</wp:posOffset>
            </wp:positionV>
            <wp:extent cx="12700"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-329565</wp:posOffset>
            </wp:positionV>
            <wp:extent cx="38735"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-29210</wp:posOffset>
            </wp:positionV>
            <wp:extent cx="12700"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-29210</wp:posOffset>
            </wp:positionV>
            <wp:extent cx="38735"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The weighted average fair value of options granted during the years ended December 31, 2009, 2008 and 2007 was $29.04, $60.09 and $0, respectively. The total intrinsic value of the options exercised for the years ended December 31, 2009, 2008 and 2007 was $6 million, $1.3 million and $7.9 million, respectively. As of December 31, 2009, there was a total of $38.1 million of unamortized compensation related to stock options, which is expected to be recognized as compensation over the vesting period of the related grants through May 2019.</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59" w:right="23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Nonvested Shares</w:t>
      </w:r>
    </w:p>
    <w:p>
      <w:pPr>
        <w:spacing w:after="0" w:line="7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 summary of nonvested share activity under the Stock Plan that relates to employees of the Company, as of December 31, 2009, and changes during the year then ended is presented below:</w:t>
      </w:r>
    </w:p>
    <w:p>
      <w:pPr>
        <w:spacing w:after="0" w:line="1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3"/>
          </w:tcPr>
          <w:p>
            <w:pPr>
              <w:ind w:left="260"/>
              <w:spacing w:after="0" w:line="149" w:lineRule="exact"/>
              <w:rPr>
                <w:sz w:val="20"/>
                <w:szCs w:val="20"/>
                <w:color w:val="auto"/>
              </w:rPr>
            </w:pPr>
            <w:r>
              <w:rPr>
                <w:rFonts w:ascii="Arial" w:cs="Arial" w:eastAsia="Arial" w:hAnsi="Arial"/>
                <w:sz w:val="14"/>
                <w:szCs w:val="14"/>
                <w:b w:val="1"/>
                <w:bCs w:val="1"/>
                <w:color w:val="auto"/>
                <w:w w:val="89"/>
              </w:rPr>
              <w:t>Grant Date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320" w:type="dxa"/>
            <w:vAlign w:val="bottom"/>
          </w:tcPr>
          <w:p>
            <w:pPr>
              <w:spacing w:after="0"/>
              <w:rPr>
                <w:sz w:val="15"/>
                <w:szCs w:val="15"/>
                <w:color w:val="auto"/>
              </w:rPr>
            </w:pPr>
          </w:p>
        </w:tc>
        <w:tc>
          <w:tcPr>
            <w:tcW w:w="8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8"/>
              </w:rPr>
              <w:t>Shares</w:t>
            </w:r>
          </w:p>
        </w:tc>
        <w:tc>
          <w:tcPr>
            <w:tcW w:w="260" w:type="dxa"/>
            <w:vAlign w:val="bottom"/>
          </w:tcPr>
          <w:p>
            <w:pPr>
              <w:spacing w:after="0"/>
              <w:rPr>
                <w:sz w:val="15"/>
                <w:szCs w:val="15"/>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3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Nonvested at January 1, 2009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231,750</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center"/>
              <w:ind w:left="96"/>
              <w:spacing w:after="0"/>
              <w:rPr>
                <w:sz w:val="20"/>
                <w:szCs w:val="20"/>
                <w:color w:val="auto"/>
              </w:rPr>
            </w:pPr>
            <w:r>
              <w:rPr>
                <w:rFonts w:ascii="Arial" w:cs="Arial" w:eastAsia="Arial" w:hAnsi="Arial"/>
                <w:sz w:val="18"/>
                <w:szCs w:val="18"/>
                <w:color w:val="auto"/>
                <w:w w:val="88"/>
              </w:rPr>
              <w:t>85.40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Granted</w:t>
            </w:r>
          </w:p>
        </w:tc>
        <w:tc>
          <w:tcPr>
            <w:tcW w:w="8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center"/>
              <w:ind w:left="156"/>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Vested</w:t>
            </w:r>
          </w:p>
        </w:tc>
        <w:tc>
          <w:tcPr>
            <w:tcW w:w="8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left="156"/>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Canceled</w:t>
            </w: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rPr>
              <w:t>(4,500)</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580" w:type="dxa"/>
            <w:vAlign w:val="bottom"/>
          </w:tcPr>
          <w:p>
            <w:pPr>
              <w:jc w:val="center"/>
              <w:ind w:left="96"/>
              <w:spacing w:after="0"/>
              <w:rPr>
                <w:sz w:val="20"/>
                <w:szCs w:val="20"/>
                <w:color w:val="auto"/>
              </w:rPr>
            </w:pPr>
            <w:r>
              <w:rPr>
                <w:rFonts w:ascii="Arial" w:cs="Arial" w:eastAsia="Arial" w:hAnsi="Arial"/>
                <w:sz w:val="18"/>
                <w:szCs w:val="18"/>
                <w:color w:val="auto"/>
                <w:w w:val="88"/>
              </w:rPr>
              <w:t>69.05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3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2009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227,250</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center"/>
              <w:ind w:left="96"/>
              <w:spacing w:after="0"/>
              <w:rPr>
                <w:sz w:val="20"/>
                <w:szCs w:val="20"/>
                <w:color w:val="auto"/>
              </w:rPr>
            </w:pPr>
            <w:r>
              <w:rPr>
                <w:rFonts w:ascii="Arial" w:cs="Arial" w:eastAsia="Arial" w:hAnsi="Arial"/>
                <w:sz w:val="18"/>
                <w:szCs w:val="18"/>
                <w:color w:val="auto"/>
                <w:w w:val="88"/>
              </w:rPr>
              <w:t>85.72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320" w:type="dxa"/>
            <w:vAlign w:val="bottom"/>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-29210</wp:posOffset>
            </wp:positionV>
            <wp:extent cx="12700"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-29210</wp:posOffset>
            </wp:positionV>
            <wp:extent cx="38735"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-29210</wp:posOffset>
            </wp:positionV>
            <wp:extent cx="12700"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21590"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The weighted average grant date fair value of nonvested shares granted during the years ended December 31, 2008 and 2007 was $104.27 and $123.73, respectively. The total fair value of shares vested during the year ended December 31, 2008 was $0.8 million. No shares vested during the years ended December 31, 2009 and 2007. Approximately $10 million of unamortized compensation cost relating to nonvested shares at December 31, 2009, will be recognized as compensation over the vesting period of the related grants through December 2016.</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Compensation Cost</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Wynn Resorts uses the Black-Scholes valuation model to determine the estimated fair value for each option grant issued, with highly subjective assumptions, changes in which could materially affect the estimated fair value. Expected volatility is based on implied and historical factors related to Wynn Resort’s common stock. Expected term represents the weighted average time between the option’s grant date and its exercise date. Wynn Resorts uses the simplified method for companies with a limited trading history to estimate the expected term. The risk-free interest rate used for each period presented is based on the U.S. Treasury yield curve at the time of grant for the period equal to the expected term.</w:t>
      </w:r>
    </w:p>
    <w:p>
      <w:pPr>
        <w:spacing w:after="0" w:line="102"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fair value per option was estimated on the date of grant using the weighted-average assumptions noted in the table below. There were no options granted during the year ended December 31, 2007.</w:t>
      </w:r>
    </w:p>
    <w:p>
      <w:pPr>
        <w:spacing w:after="0" w:line="11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4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306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362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2009</w:t>
            </w:r>
          </w:p>
        </w:tc>
        <w:tc>
          <w:tcPr>
            <w:tcW w:w="1140" w:type="dxa"/>
            <w:vAlign w:val="bottom"/>
          </w:tcPr>
          <w:p>
            <w:pPr>
              <w:spacing w:after="0"/>
              <w:rPr>
                <w:sz w:val="22"/>
                <w:szCs w:val="22"/>
                <w:color w:val="auto"/>
              </w:rPr>
            </w:pPr>
          </w:p>
        </w:tc>
        <w:tc>
          <w:tcPr>
            <w:tcW w:w="560" w:type="dxa"/>
            <w:vAlign w:val="bottom"/>
          </w:tcPr>
          <w:p>
            <w:pPr>
              <w:jc w:val="right"/>
              <w:ind w:right="76"/>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306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1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0" w:type="dxa"/>
            <w:vAlign w:val="bottom"/>
          </w:tcPr>
          <w:p>
            <w:pPr>
              <w:spacing w:after="0"/>
              <w:rPr>
                <w:sz w:val="8"/>
                <w:szCs w:val="8"/>
                <w:color w:val="auto"/>
              </w:rPr>
            </w:pPr>
          </w:p>
        </w:tc>
        <w:tc>
          <w:tcPr>
            <w:tcW w:w="30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4760" w:type="dxa"/>
            <w:vAlign w:val="bottom"/>
            <w:gridSpan w:val="3"/>
            <w:shd w:val="clear" w:color="auto" w:fill="CCEEFF"/>
          </w:tcPr>
          <w:p>
            <w:pPr>
              <w:jc w:val="right"/>
              <w:ind w:right="1000"/>
              <w:spacing w:after="0"/>
              <w:rPr>
                <w:sz w:val="20"/>
                <w:szCs w:val="20"/>
                <w:color w:val="auto"/>
              </w:rPr>
            </w:pPr>
            <w:r>
              <w:rPr>
                <w:rFonts w:ascii="Arial" w:cs="Arial" w:eastAsia="Arial" w:hAnsi="Arial"/>
                <w:sz w:val="18"/>
                <w:szCs w:val="18"/>
                <w:color w:val="auto"/>
              </w:rPr>
              <w:t>0.30%</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4760" w:type="dxa"/>
            <w:vAlign w:val="bottom"/>
            <w:gridSpan w:val="3"/>
          </w:tcPr>
          <w:p>
            <w:pPr>
              <w:jc w:val="right"/>
              <w:ind w:right="1000"/>
              <w:spacing w:after="0"/>
              <w:rPr>
                <w:sz w:val="20"/>
                <w:szCs w:val="20"/>
                <w:color w:val="auto"/>
              </w:rPr>
            </w:pPr>
            <w:r>
              <w:rPr>
                <w:rFonts w:ascii="Arial" w:cs="Arial" w:eastAsia="Arial" w:hAnsi="Arial"/>
                <w:sz w:val="18"/>
                <w:szCs w:val="18"/>
                <w:color w:val="auto"/>
              </w:rPr>
              <w:t>56.2%</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760" w:type="dxa"/>
            <w:vAlign w:val="bottom"/>
            <w:gridSpan w:val="3"/>
            <w:shd w:val="clear" w:color="auto" w:fill="CCEEFF"/>
          </w:tcPr>
          <w:p>
            <w:pPr>
              <w:jc w:val="right"/>
              <w:ind w:right="1000"/>
              <w:spacing w:after="0"/>
              <w:rPr>
                <w:sz w:val="20"/>
                <w:szCs w:val="20"/>
                <w:color w:val="auto"/>
              </w:rPr>
            </w:pPr>
            <w:r>
              <w:rPr>
                <w:rFonts w:ascii="Arial" w:cs="Arial" w:eastAsia="Arial" w:hAnsi="Arial"/>
                <w:sz w:val="18"/>
                <w:szCs w:val="18"/>
                <w:color w:val="auto"/>
              </w:rPr>
              <w:t>2.8%</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Expected average life of options (years)</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1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4760" w:type="dxa"/>
            <w:vAlign w:val="bottom"/>
            <w:gridSpan w:val="3"/>
          </w:tcPr>
          <w:p>
            <w:pPr>
              <w:jc w:val="right"/>
              <w:ind w:right="3640"/>
              <w:spacing w:after="0"/>
              <w:rPr>
                <w:sz w:val="20"/>
                <w:szCs w:val="20"/>
                <w:color w:val="auto"/>
              </w:rPr>
            </w:pPr>
            <w:r>
              <w:rPr>
                <w:rFonts w:ascii="Arial" w:cs="Arial" w:eastAsia="Arial" w:hAnsi="Arial"/>
                <w:sz w:val="18"/>
                <w:szCs w:val="18"/>
                <w:color w:val="auto"/>
              </w:rPr>
              <w:t>F-21</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60" w:right="25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total compensation cost relating both to stock options and nonvested stock for the years ended December 31, 2009, 2008 and 2007 is allocated as follows (amounts in thousands):</w:t>
      </w:r>
    </w:p>
    <w:p>
      <w:pPr>
        <w:spacing w:after="0" w:line="11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380" w:type="dxa"/>
            <w:vAlign w:val="bottom"/>
            <w:gridSpan w:val="5"/>
          </w:tcPr>
          <w:p>
            <w:pPr>
              <w:jc w:val="right"/>
              <w:ind w:right="332"/>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000" w:type="dxa"/>
            <w:vAlign w:val="bottom"/>
          </w:tcPr>
          <w:p>
            <w:pPr>
              <w:spacing w:after="0"/>
              <w:rPr>
                <w:sz w:val="22"/>
                <w:szCs w:val="22"/>
                <w:color w:val="auto"/>
              </w:rPr>
            </w:pPr>
          </w:p>
        </w:tc>
        <w:tc>
          <w:tcPr>
            <w:tcW w:w="2240" w:type="dxa"/>
            <w:vAlign w:val="bottom"/>
            <w:gridSpan w:val="2"/>
          </w:tcPr>
          <w:p>
            <w:pPr>
              <w:jc w:val="right"/>
              <w:ind w:right="42"/>
              <w:spacing w:after="0"/>
              <w:rPr>
                <w:sz w:val="20"/>
                <w:szCs w:val="20"/>
                <w:color w:val="auto"/>
              </w:rPr>
            </w:pPr>
            <w:r>
              <w:rPr>
                <w:rFonts w:ascii="Arial" w:cs="Arial" w:eastAsia="Arial" w:hAnsi="Arial"/>
                <w:sz w:val="14"/>
                <w:szCs w:val="14"/>
                <w:b w:val="1"/>
                <w:bCs w:val="1"/>
                <w:color w:val="auto"/>
              </w:rPr>
              <w:t>2009</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2008</w:t>
            </w:r>
          </w:p>
        </w:tc>
        <w:tc>
          <w:tcPr>
            <w:tcW w:w="94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$4,347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Rooms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374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371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Food and beverage</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Entertainment, retail and other</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210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Preopening costs</w:t>
            </w:r>
          </w:p>
        </w:tc>
        <w:tc>
          <w:tcPr>
            <w:tcW w:w="1740" w:type="dxa"/>
            <w:vAlign w:val="bottom"/>
          </w:tcPr>
          <w:p>
            <w:pPr>
              <w:spacing w:after="0"/>
              <w:rPr>
                <w:sz w:val="19"/>
                <w:szCs w:val="19"/>
                <w:color w:val="auto"/>
              </w:rPr>
            </w:pPr>
          </w:p>
        </w:tc>
        <w:tc>
          <w:tcPr>
            <w:tcW w:w="50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254</w:t>
            </w:r>
          </w:p>
        </w:tc>
        <w:tc>
          <w:tcPr>
            <w:tcW w:w="4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stock-based compensation expense</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$8,370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$9,502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$8,031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-29210</wp:posOffset>
            </wp:positionV>
            <wp:extent cx="12700"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-29210</wp:posOffset>
            </wp:positionV>
            <wp:extent cx="12700"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-29210</wp:posOffset>
            </wp:positionV>
            <wp:extent cx="21590"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-29210</wp:posOffset>
            </wp:positionV>
            <wp:extent cx="12700"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12700"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-29210</wp:posOffset>
            </wp:positionV>
            <wp:extent cx="21590"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-29210</wp:posOffset>
            </wp:positionV>
            <wp:extent cx="12700"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-29210</wp:posOffset>
            </wp:positionV>
            <wp:extent cx="21590"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ind w:left="240" w:right="8660" w:hanging="232"/>
        <w:spacing w:after="0" w:line="373" w:lineRule="auto"/>
        <w:tabs>
          <w:tab w:leader="none" w:pos="275" w:val="left"/>
        </w:tabs>
        <w:numPr>
          <w:ilvl w:val="0"/>
          <w:numId w:val="37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i w:val="1"/>
          <w:iCs w:val="1"/>
          <w:color w:val="auto"/>
        </w:rPr>
        <w:t>Aircraft Deposits</w:t>
      </w:r>
    </w:p>
    <w:p>
      <w:pPr>
        <w:spacing w:after="0" w:line="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Company had made deposits on an aircraft purchase totaling $13.4 million which is included in other assets as of December 31, 2008. The Company was scheduled to take delivery of this airplane in 2009 with additional payments to be made totaling $31.1 million. On February 19, 2009, the Company cancelled the agreement to purchase this aircraft. In connection with this cancellation, the Company wrote-off $5.3 million of deposits, net of amounts refunded.</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Leases and other arrangements</w:t>
      </w:r>
    </w:p>
    <w:p>
      <w:pPr>
        <w:spacing w:after="0" w:line="77" w:lineRule="exact"/>
        <w:rPr>
          <w:sz w:val="20"/>
          <w:szCs w:val="20"/>
          <w:color w:val="auto"/>
        </w:rPr>
      </w:pPr>
    </w:p>
    <w:p>
      <w:pPr>
        <w:ind w:right="260" w:firstLine="456"/>
        <w:spacing w:after="0" w:line="370" w:lineRule="auto"/>
        <w:rPr>
          <w:sz w:val="20"/>
          <w:szCs w:val="20"/>
          <w:color w:val="auto"/>
        </w:rPr>
      </w:pPr>
      <w:r>
        <w:rPr>
          <w:rFonts w:ascii="Arial" w:cs="Arial" w:eastAsia="Arial" w:hAnsi="Arial"/>
          <w:sz w:val="15"/>
          <w:szCs w:val="15"/>
          <w:color w:val="auto"/>
        </w:rPr>
        <w:t>The Company is the lessor under several retail leases and has entered into license and distribution agreements for additional retail outlets. The Company also is a party to joint venture agreements for the operation of one other retail outlet and the Ferrari and Maserati automobile dealership at Wynn Las Vegas.</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represents the future minimum rentals to be received under the operating leases (amounts in thousands):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200" w:type="dxa"/>
            <w:vAlign w:val="bottom"/>
            <w:gridSpan w:val="2"/>
          </w:tcPr>
          <w:p>
            <w:pPr>
              <w:spacing w:after="0"/>
              <w:rPr>
                <w:sz w:val="20"/>
                <w:szCs w:val="20"/>
                <w:color w:val="auto"/>
              </w:rPr>
            </w:pPr>
            <w:r>
              <w:rPr>
                <w:rFonts w:ascii="Arial" w:cs="Arial" w:eastAsia="Arial" w:hAnsi="Arial"/>
                <w:sz w:val="14"/>
                <w:szCs w:val="14"/>
                <w:b w:val="1"/>
                <w:bCs w:val="1"/>
                <w:color w:val="auto"/>
              </w:rPr>
              <w:t>Years Ending December 31,</w:t>
            </w:r>
          </w:p>
        </w:tc>
        <w:tc>
          <w:tcPr>
            <w:tcW w:w="6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80" w:type="dxa"/>
            <w:vAlign w:val="bottom"/>
            <w:tcBorders>
              <w:bottom w:val="single" w:sz="8" w:color="808080"/>
            </w:tcBorders>
          </w:tcPr>
          <w:p>
            <w:pPr>
              <w:spacing w:after="0"/>
              <w:rPr>
                <w:sz w:val="8"/>
                <w:szCs w:val="8"/>
                <w:color w:val="auto"/>
              </w:rPr>
            </w:pPr>
          </w:p>
        </w:tc>
        <w:tc>
          <w:tcPr>
            <w:tcW w:w="6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80" w:type="dxa"/>
            <w:vAlign w:val="bottom"/>
          </w:tcPr>
          <w:p>
            <w:pPr>
              <w:spacing w:after="0"/>
              <w:rPr>
                <w:sz w:val="8"/>
                <w:szCs w:val="8"/>
                <w:color w:val="auto"/>
              </w:rPr>
            </w:pPr>
          </w:p>
        </w:tc>
        <w:tc>
          <w:tcPr>
            <w:tcW w:w="6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6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2011</w:t>
            </w:r>
          </w:p>
        </w:tc>
        <w:tc>
          <w:tcPr>
            <w:tcW w:w="6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6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2013</w:t>
            </w:r>
          </w:p>
        </w:tc>
        <w:tc>
          <w:tcPr>
            <w:tcW w:w="6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6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Thereafter</w:t>
            </w:r>
          </w:p>
        </w:tc>
        <w:tc>
          <w:tcPr>
            <w:tcW w:w="6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1,670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63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6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6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12,864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636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1"/>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6460" w:type="dxa"/>
            <w:vAlign w:val="bottom"/>
            <w:gridSpan w:val="2"/>
          </w:tcPr>
          <w:p>
            <w:pPr>
              <w:jc w:val="right"/>
              <w:ind w:right="3920"/>
              <w:spacing w:after="0"/>
              <w:rPr>
                <w:sz w:val="20"/>
                <w:szCs w:val="20"/>
                <w:color w:val="auto"/>
              </w:rPr>
            </w:pPr>
            <w:r>
              <w:rPr>
                <w:rFonts w:ascii="Arial" w:cs="Arial" w:eastAsia="Arial" w:hAnsi="Arial"/>
                <w:sz w:val="18"/>
                <w:szCs w:val="18"/>
                <w:color w:val="auto"/>
              </w:rPr>
              <w:t>F-22</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6160770</wp:posOffset>
            </wp:positionH>
            <wp:positionV relativeFrom="paragraph">
              <wp:posOffset>-325755</wp:posOffset>
            </wp:positionV>
            <wp:extent cx="372745"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7274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In addition, the Company is the lessee under leases for certain land, buildings and office equipment. At December 31, 2009, the Company was obligated under non-cancellable operating leases, to make future minimum lease payments as follows (amounts in thousands):</w:t>
      </w:r>
    </w:p>
    <w:p>
      <w:pPr>
        <w:spacing w:after="0" w:line="6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200" w:type="dxa"/>
            <w:vAlign w:val="bottom"/>
            <w:gridSpan w:val="2"/>
          </w:tcPr>
          <w:p>
            <w:pPr>
              <w:spacing w:after="0"/>
              <w:rPr>
                <w:sz w:val="20"/>
                <w:szCs w:val="20"/>
                <w:color w:val="auto"/>
              </w:rPr>
            </w:pPr>
            <w:r>
              <w:rPr>
                <w:rFonts w:ascii="Arial" w:cs="Arial" w:eastAsia="Arial" w:hAnsi="Arial"/>
                <w:sz w:val="14"/>
                <w:szCs w:val="14"/>
                <w:b w:val="1"/>
                <w:bCs w:val="1"/>
                <w:color w:val="auto"/>
              </w:rPr>
              <w:t>Years Ending December 31,</w:t>
            </w:r>
          </w:p>
        </w:tc>
        <w:tc>
          <w:tcPr>
            <w:tcW w:w="6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80" w:type="dxa"/>
            <w:vAlign w:val="bottom"/>
            <w:tcBorders>
              <w:bottom w:val="single" w:sz="8" w:color="808080"/>
            </w:tcBorders>
          </w:tcPr>
          <w:p>
            <w:pPr>
              <w:spacing w:after="0"/>
              <w:rPr>
                <w:sz w:val="8"/>
                <w:szCs w:val="8"/>
                <w:color w:val="auto"/>
              </w:rPr>
            </w:pPr>
          </w:p>
        </w:tc>
        <w:tc>
          <w:tcPr>
            <w:tcW w:w="6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80" w:type="dxa"/>
            <w:vAlign w:val="bottom"/>
          </w:tcPr>
          <w:p>
            <w:pPr>
              <w:spacing w:after="0"/>
              <w:rPr>
                <w:sz w:val="8"/>
                <w:szCs w:val="8"/>
                <w:color w:val="auto"/>
              </w:rPr>
            </w:pPr>
          </w:p>
        </w:tc>
        <w:tc>
          <w:tcPr>
            <w:tcW w:w="6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6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2011</w:t>
            </w:r>
          </w:p>
        </w:tc>
        <w:tc>
          <w:tcPr>
            <w:tcW w:w="6940" w:type="dxa"/>
            <w:vAlign w:val="bottom"/>
            <w:gridSpan w:val="2"/>
          </w:tcPr>
          <w:p>
            <w:pPr>
              <w:jc w:val="right"/>
              <w:spacing w:after="0"/>
              <w:rPr>
                <w:sz w:val="20"/>
                <w:szCs w:val="20"/>
                <w:color w:val="auto"/>
              </w:rPr>
            </w:pPr>
            <w:r>
              <w:rPr>
                <w:rFonts w:ascii="Arial" w:cs="Arial" w:eastAsia="Arial" w:hAnsi="Arial"/>
                <w:sz w:val="18"/>
                <w:szCs w:val="18"/>
                <w:color w:val="auto"/>
              </w:rPr>
              <w:t>1,683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6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2013</w:t>
            </w:r>
          </w:p>
        </w:tc>
        <w:tc>
          <w:tcPr>
            <w:tcW w:w="6940" w:type="dxa"/>
            <w:vAlign w:val="bottom"/>
            <w:gridSpan w:val="2"/>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6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Thereafter</w:t>
            </w:r>
          </w:p>
        </w:tc>
        <w:tc>
          <w:tcPr>
            <w:tcW w:w="6940" w:type="dxa"/>
            <w:vAlign w:val="bottom"/>
            <w:gridSpan w:val="2"/>
          </w:tcPr>
          <w:p>
            <w:pPr>
              <w:jc w:val="right"/>
              <w:spacing w:after="0"/>
              <w:rPr>
                <w:sz w:val="20"/>
                <w:szCs w:val="20"/>
                <w:color w:val="auto"/>
              </w:rPr>
            </w:pPr>
            <w:r>
              <w:rPr>
                <w:rFonts w:ascii="Arial" w:cs="Arial" w:eastAsia="Arial" w:hAnsi="Arial"/>
                <w:sz w:val="18"/>
                <w:szCs w:val="18"/>
                <w:color w:val="auto"/>
              </w:rPr>
              <w:t>2,941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64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6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6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$8,348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6440" w:type="dxa"/>
            <w:vAlign w:val="bottom"/>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6212205</wp:posOffset>
            </wp:positionH>
            <wp:positionV relativeFrom="paragraph">
              <wp:posOffset>-29210</wp:posOffset>
            </wp:positionV>
            <wp:extent cx="12700"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-29210</wp:posOffset>
            </wp:positionV>
            <wp:extent cx="21590"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left="240" w:right="1860" w:firstLine="228"/>
        <w:spacing w:after="0" w:line="375" w:lineRule="auto"/>
        <w:rPr>
          <w:sz w:val="20"/>
          <w:szCs w:val="20"/>
          <w:color w:val="auto"/>
        </w:rPr>
      </w:pPr>
      <w:r>
        <w:rPr>
          <w:rFonts w:ascii="Arial" w:cs="Arial" w:eastAsia="Arial" w:hAnsi="Arial"/>
          <w:sz w:val="18"/>
          <w:szCs w:val="18"/>
          <w:color w:val="auto"/>
        </w:rPr>
        <w:t xml:space="preserve">Rent expense for the years ended December 31, 2009, 2008 and 2007 was $8 million, $6.9 million and $7.4 million, respectively. </w:t>
      </w:r>
      <w:r>
        <w:rPr>
          <w:rFonts w:ascii="Arial" w:cs="Arial" w:eastAsia="Arial" w:hAnsi="Arial"/>
          <w:sz w:val="18"/>
          <w:szCs w:val="18"/>
          <w:i w:val="1"/>
          <w:iCs w:val="1"/>
          <w:color w:val="auto"/>
        </w:rPr>
        <w:t>Self-insurance</w:t>
      </w:r>
    </w:p>
    <w:p>
      <w:pPr>
        <w:spacing w:after="0" w:line="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Company is covered under a self-insured medical plan up to a maximum of $300,000 per year for each insured person. Amounts in excess of these thresholds are covered by the Company’s insurance programs, subject to customary policy limits.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Employment Agreements</w:t>
      </w:r>
    </w:p>
    <w:p>
      <w:pPr>
        <w:spacing w:after="0" w:line="7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Company has entered into employment agreements with several executive officers, other members of management and certain key employees. These agreements generally have three-to five-year terms and typically indicate a base salary and often contain provisions for discretionary bonuses. Certain of the executives are also entitled to a separation payment if terminated without “cause” or upon voluntary termination of employment for “good reason” following a “change of control” (as these terms are defined in the employment contracts).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Litigation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does not have any material litigation as of December 31, 2009.</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Sales and Use Tax on Complimentary Meals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In March 2008, the Nevada Supreme Court ruled, in the matter captioned </w:t>
      </w:r>
      <w:r>
        <w:rPr>
          <w:rFonts w:ascii="Arial" w:cs="Arial" w:eastAsia="Arial" w:hAnsi="Arial"/>
          <w:sz w:val="16"/>
          <w:szCs w:val="16"/>
          <w:i w:val="1"/>
          <w:iCs w:val="1"/>
          <w:color w:val="auto"/>
        </w:rPr>
        <w:t>Sparks Nugget, Inc. vs. The State of Nevada Ex Rel. Department of Taxation</w:t>
      </w:r>
      <w:r>
        <w:rPr>
          <w:rFonts w:ascii="Arial" w:cs="Arial" w:eastAsia="Arial" w:hAnsi="Arial"/>
          <w:sz w:val="16"/>
          <w:szCs w:val="16"/>
          <w:color w:val="auto"/>
        </w:rPr>
        <w:t>, that food and non-alcoholic beverages purchased for use in providing complimentary meals to customers and to employees was exempt from sales and use tax. In July 2008, the Court denied the State’s motion for rehearing. Through April 2008, Wynn Las Vegas has paid use tax on these items and has filed for refunds for the periods from April 2005 to April 2008. The amount subject to these refunds is approximately $5.4 million. Due to the uncertainty surrounding this matter, a receivable has not been recorded as of December 31, 2009.</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Member’s Equity</w:t>
      </w:r>
    </w:p>
    <w:p>
      <w:pPr>
        <w:spacing w:after="0" w:line="83"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During the year ended December 31, 2009, Wynn Resorts made cash capital contributions to the Company totaling $413 million. The proceeds from these contributions were used to fund construction costs of Encore paid during the period and to fund paydowns on the Wynn Las Vegas Credit Facilities.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00"/>
          </w:cols>
          <w:pgMar w:left="240" w:top="460" w:right="25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Condensed Consolidating Financial Information of Guarantors and Issuers</w:t>
      </w:r>
    </w:p>
    <w:p>
      <w:pPr>
        <w:spacing w:after="0" w:line="8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following condensed consolidating financial statements present information related to the Issuers of the First Mortgage Notes and their guarantor subsidiaries (World Travel, LLC; Las Vegas Jet, LLC; Wynn Show Performers, LLC; Wynn Golf, LLC; Kevyn, LLC; and Wynn Sunrise, LLC) and non-guarantor subsidiary (Wynn Completion Guarantor, LLC) as of December 31, 2009 and 2008, and for each of the three years in the period ended December 31, 2009.</w:t>
      </w:r>
    </w:p>
    <w:p>
      <w:pPr>
        <w:spacing w:after="0" w:line="13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following condensed consolidating financial statements are presented in the provided form because: (i) the guarantor subsidiaries are wholly owned subsidiaries of Wynn Las Vegas, LLC (an issuer of the First Mortgage Notes); (ii) the guarantee is considered to be full and unconditional, that is, if the Issuers fail to make a scheduled payment, the guarantor subsidiaries are obligated to make the scheduled payment immediately and, if it does not, any holder of the First Mortgage Notes may immediately bring suit directly against the guarantor subsidiaries for payment of all amounts due and payable; and (iii) the guarantee is joint and several.</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380"/>
          </w:cols>
          <w:pgMar w:left="240" w:top="459" w:right="27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5"/>
          </w:tcPr>
          <w:p>
            <w:pPr>
              <w:ind w:left="40"/>
              <w:spacing w:after="0"/>
              <w:rPr>
                <w:sz w:val="20"/>
                <w:szCs w:val="20"/>
                <w:color w:val="auto"/>
              </w:rPr>
            </w:pPr>
            <w:r>
              <w:rPr>
                <w:rFonts w:ascii="Arial" w:cs="Arial" w:eastAsia="Arial" w:hAnsi="Arial"/>
                <w:sz w:val="14"/>
                <w:szCs w:val="14"/>
                <w:b w:val="1"/>
                <w:bCs w:val="1"/>
                <w:color w:val="auto"/>
              </w:rPr>
              <w:t>Guarantor</w:t>
            </w:r>
          </w:p>
        </w:tc>
        <w:tc>
          <w:tcPr>
            <w:tcW w:w="1440" w:type="dxa"/>
            <w:vAlign w:val="bottom"/>
            <w:gridSpan w:val="5"/>
          </w:tcPr>
          <w:p>
            <w:pPr>
              <w:spacing w:after="0"/>
              <w:rPr>
                <w:sz w:val="20"/>
                <w:szCs w:val="20"/>
                <w:color w:val="auto"/>
              </w:rPr>
            </w:pPr>
            <w:r>
              <w:rPr>
                <w:rFonts w:ascii="Arial" w:cs="Arial" w:eastAsia="Arial" w:hAnsi="Arial"/>
                <w:sz w:val="14"/>
                <w:szCs w:val="14"/>
                <w:b w:val="1"/>
                <w:bCs w:val="1"/>
                <w:color w:val="auto"/>
              </w:rPr>
              <w:t>Nonguarantor</w:t>
            </w: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4"/>
          </w:tcPr>
          <w:p>
            <w:pPr>
              <w:ind w:left="100"/>
              <w:spacing w:after="0"/>
              <w:rPr>
                <w:sz w:val="20"/>
                <w:szCs w:val="20"/>
                <w:color w:val="auto"/>
              </w:rPr>
            </w:pPr>
            <w:r>
              <w:rPr>
                <w:rFonts w:ascii="Arial" w:cs="Arial" w:eastAsia="Arial" w:hAnsi="Arial"/>
                <w:sz w:val="14"/>
                <w:szCs w:val="14"/>
                <w:b w:val="1"/>
                <w:bCs w:val="1"/>
                <w:color w:val="auto"/>
              </w:rPr>
              <w:t>Issuers</w:t>
            </w:r>
          </w:p>
        </w:tc>
        <w:tc>
          <w:tcPr>
            <w:tcW w:w="1300" w:type="dxa"/>
            <w:vAlign w:val="bottom"/>
            <w:gridSpan w:val="5"/>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Subsidiary</w:t>
            </w:r>
          </w:p>
        </w:tc>
        <w:tc>
          <w:tcPr>
            <w:tcW w:w="100" w:type="dxa"/>
            <w:vAlign w:val="bottom"/>
          </w:tcPr>
          <w:p>
            <w:pPr>
              <w:spacing w:after="0"/>
              <w:rPr>
                <w:sz w:val="15"/>
                <w:szCs w:val="15"/>
                <w:color w:val="auto"/>
              </w:rPr>
            </w:pPr>
          </w:p>
        </w:tc>
        <w:tc>
          <w:tcPr>
            <w:tcW w:w="118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w w:val="88"/>
              </w:rPr>
              <w:t>Entries</w:t>
            </w:r>
          </w:p>
        </w:tc>
        <w:tc>
          <w:tcPr>
            <w:tcW w:w="80" w:type="dxa"/>
            <w:vAlign w:val="bottom"/>
          </w:tcPr>
          <w:p>
            <w:pPr>
              <w:spacing w:after="0"/>
              <w:rPr>
                <w:sz w:val="15"/>
                <w:szCs w:val="15"/>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65,998</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66,354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110,860</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110,860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80,861</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80,861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Prepaid expenses and other</w:t>
            </w: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24,864</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323</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25,187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282,583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674</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283,262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3,653,786</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197,882</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3,851,668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8,731</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6,144</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42,025</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42,025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58,733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58,733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rPr>
              <w:t>(16,450)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3,761</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16,450</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3,761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4,029,408</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208,461</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16,450</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4,254,324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MEMBER’S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4"/>
            <w:shd w:val="clear" w:color="auto" w:fill="CCEEFF"/>
          </w:tcPr>
          <w:p>
            <w:pPr>
              <w:jc w:val="center"/>
              <w:ind w:right="26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28,226</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28,226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interest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17,595</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36,342</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1,179</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37,521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accrued expenses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23,264</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Customer deposits</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101,340</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167</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101,507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Due to affiliates, net</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95"/>
              </w:rPr>
              <w:t>(163,895)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193,256</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(7,881)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42,872</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195,697</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(7,881)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230,688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2,514,420</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37,100</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2,551,520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82,339</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82,339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Interest rate swap</w:t>
            </w: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4,224</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4,224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2,643,855</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232,797</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(7,881)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2,868,771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Contributed capital</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1,912,146</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12,530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w w:val="92"/>
              </w:rPr>
              <w:t>(12,530)</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1,912,146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Retained earnings (deficit)</w:t>
            </w:r>
          </w:p>
        </w:tc>
        <w:tc>
          <w:tcPr>
            <w:tcW w:w="10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w w:val="95"/>
              </w:rPr>
              <w:t>(526,593)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4"/>
          </w:tcPr>
          <w:p>
            <w:pPr>
              <w:jc w:val="right"/>
              <w:ind w:right="540"/>
              <w:spacing w:after="0"/>
              <w:rPr>
                <w:sz w:val="20"/>
                <w:szCs w:val="20"/>
                <w:color w:val="auto"/>
              </w:rPr>
            </w:pPr>
            <w:r>
              <w:rPr>
                <w:rFonts w:ascii="Arial" w:cs="Arial" w:eastAsia="Arial" w:hAnsi="Arial"/>
                <w:sz w:val="18"/>
                <w:szCs w:val="18"/>
                <w:color w:val="auto"/>
                <w:w w:val="95"/>
              </w:rPr>
              <w:t>(36,866)</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7,886</w:t>
            </w: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28,980</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(526,593)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member’s equity</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1,385,553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w w:val="95"/>
              </w:rPr>
              <w:t>(24,336)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16,450</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1,385,553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4,029,408</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208,461</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16,450</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4,254,324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gridSpan w:val="2"/>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4"/>
          </w:tcPr>
          <w:p>
            <w:pPr>
              <w:jc w:val="center"/>
              <w:ind w:right="280"/>
              <w:spacing w:after="0"/>
              <w:rPr>
                <w:sz w:val="20"/>
                <w:szCs w:val="20"/>
                <w:color w:val="auto"/>
              </w:rPr>
            </w:pPr>
            <w:r>
              <w:rPr>
                <w:rFonts w:ascii="Arial" w:cs="Arial" w:eastAsia="Arial" w:hAnsi="Arial"/>
                <w:sz w:val="18"/>
                <w:szCs w:val="18"/>
                <w:color w:val="auto"/>
                <w:w w:val="91"/>
              </w:rPr>
              <w:t>F-25</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3235960</wp:posOffset>
            </wp:positionH>
            <wp:positionV relativeFrom="paragraph">
              <wp:posOffset>-3962400</wp:posOffset>
            </wp:positionV>
            <wp:extent cx="12700"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-3962400</wp:posOffset>
            </wp:positionV>
            <wp:extent cx="21590"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-3962400</wp:posOffset>
            </wp:positionV>
            <wp:extent cx="38735"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-3962400</wp:posOffset>
            </wp:positionV>
            <wp:extent cx="12700"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-3962400</wp:posOffset>
            </wp:positionV>
            <wp:extent cx="21590"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-3962400</wp:posOffset>
            </wp:positionV>
            <wp:extent cx="38735"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-3962400</wp:posOffset>
            </wp:positionV>
            <wp:extent cx="12700"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-3962400</wp:posOffset>
            </wp:positionV>
            <wp:extent cx="21590"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-3962400</wp:posOffset>
            </wp:positionV>
            <wp:extent cx="38735"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-3962400</wp:posOffset>
            </wp:positionV>
            <wp:extent cx="12700"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-3962400</wp:posOffset>
            </wp:positionV>
            <wp:extent cx="21590"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-3962400</wp:posOffset>
            </wp:positionV>
            <wp:extent cx="38735"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-3962400</wp:posOffset>
            </wp:positionV>
            <wp:extent cx="12700"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-3962400</wp:posOffset>
            </wp:positionV>
            <wp:extent cx="21590"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-3962400</wp:posOffset>
            </wp:positionV>
            <wp:extent cx="38735" cy="298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-325755</wp:posOffset>
            </wp:positionV>
            <wp:extent cx="12700"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-325755</wp:posOffset>
            </wp:positionV>
            <wp:extent cx="21590"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-325755</wp:posOffset>
            </wp:positionV>
            <wp:extent cx="38735"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-325755</wp:posOffset>
            </wp:positionV>
            <wp:extent cx="12700"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-325755</wp:posOffset>
            </wp:positionV>
            <wp:extent cx="21590" cy="298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-325755</wp:posOffset>
            </wp:positionV>
            <wp:extent cx="38735" cy="298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-325755</wp:posOffset>
            </wp:positionV>
            <wp:extent cx="12700" cy="298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-325755</wp:posOffset>
            </wp:positionV>
            <wp:extent cx="21590"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-325755</wp:posOffset>
            </wp:positionV>
            <wp:extent cx="38735"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-325755</wp:posOffset>
            </wp:positionV>
            <wp:extent cx="12700"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-325755</wp:posOffset>
            </wp:positionV>
            <wp:extent cx="21590"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-325755</wp:posOffset>
            </wp:positionV>
            <wp:extent cx="38735" cy="298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-325755</wp:posOffset>
            </wp:positionV>
            <wp:extent cx="12700" cy="29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-325755</wp:posOffset>
            </wp:positionV>
            <wp:extent cx="21590" cy="298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w w:val="94"/>
              </w:rPr>
              <w:t>Guarantor</w:t>
            </w:r>
          </w:p>
        </w:tc>
        <w:tc>
          <w:tcPr>
            <w:tcW w:w="1420" w:type="dxa"/>
            <w:vAlign w:val="bottom"/>
            <w:gridSpan w:val="4"/>
          </w:tcPr>
          <w:p>
            <w:pPr>
              <w:ind w:left="20"/>
              <w:spacing w:after="0"/>
              <w:rPr>
                <w:sz w:val="20"/>
                <w:szCs w:val="20"/>
                <w:color w:val="auto"/>
              </w:rPr>
            </w:pPr>
            <w:r>
              <w:rPr>
                <w:rFonts w:ascii="Arial" w:cs="Arial" w:eastAsia="Arial" w:hAnsi="Arial"/>
                <w:sz w:val="14"/>
                <w:szCs w:val="14"/>
                <w:b w:val="1"/>
                <w:bCs w:val="1"/>
                <w:color w:val="auto"/>
              </w:rPr>
              <w:t>Nonguarantor</w:t>
            </w: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Issuers</w:t>
            </w:r>
          </w:p>
        </w:tc>
        <w:tc>
          <w:tcPr>
            <w:tcW w:w="20" w:type="dxa"/>
            <w:vAlign w:val="bottom"/>
          </w:tcPr>
          <w:p>
            <w:pPr>
              <w:spacing w:after="0"/>
              <w:rPr>
                <w:sz w:val="15"/>
                <w:szCs w:val="15"/>
                <w:color w:val="auto"/>
              </w:rPr>
            </w:pPr>
          </w:p>
        </w:tc>
        <w:tc>
          <w:tcPr>
            <w:tcW w:w="1280" w:type="dxa"/>
            <w:vAlign w:val="bottom"/>
            <w:gridSpan w:val="5"/>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32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86"/>
              </w:rPr>
              <w:t>Subsidiary</w:t>
            </w:r>
          </w:p>
        </w:tc>
        <w:tc>
          <w:tcPr>
            <w:tcW w:w="120" w:type="dxa"/>
            <w:vAlign w:val="bottom"/>
          </w:tcPr>
          <w:p>
            <w:pPr>
              <w:spacing w:after="0"/>
              <w:rPr>
                <w:sz w:val="15"/>
                <w:szCs w:val="15"/>
                <w:color w:val="auto"/>
              </w:rPr>
            </w:pPr>
          </w:p>
        </w:tc>
        <w:tc>
          <w:tcPr>
            <w:tcW w:w="116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88"/>
              </w:rPr>
              <w:t>Entries</w:t>
            </w:r>
          </w:p>
        </w:tc>
        <w:tc>
          <w:tcPr>
            <w:tcW w:w="80" w:type="dxa"/>
            <w:vAlign w:val="bottom"/>
          </w:tcPr>
          <w:p>
            <w:pPr>
              <w:spacing w:after="0"/>
              <w:rPr>
                <w:sz w:val="15"/>
                <w:szCs w:val="15"/>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123,315</w:t>
            </w:r>
          </w:p>
        </w:tc>
        <w:tc>
          <w:tcPr>
            <w:tcW w:w="5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8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123,315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Receivables, net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98,277</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98,282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95,206</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95,206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Prepaid expenses and other</w:t>
            </w: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21,465</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183</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21,648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338,263</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338,451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3,906,460</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202,493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4,108,953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10,737</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37,462</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37,462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64,619</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77,969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8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rPr>
              <w:t>(7,286)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4,555</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7,286</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4,555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4,350,255</w:t>
            </w:r>
          </w:p>
        </w:tc>
        <w:tc>
          <w:tcPr>
            <w:tcW w:w="5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226,725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7,286</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4,584,271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MEMBER’S EQUITY</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46,701</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46,701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interest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10,110</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Accrued compensation and benefits</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48,822</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1,305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50,127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accrued expenses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24,571</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Customer deposits</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96,358</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96,358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Due to affiliates, net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7,302</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201,003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(7,881)</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200,424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233,864</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203,397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(7,881)</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429,380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Long-term debt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2,794,923</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38,500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2,833,423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63,905</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63,905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3,092,692</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241,897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(7,881)</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3,326,708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Member’s equity:</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Contributed capital</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1,474,286</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92"/>
              </w:rPr>
              <w:t>(12,530)</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1,474,286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Retained earnings (deficit)</w:t>
            </w:r>
          </w:p>
        </w:tc>
        <w:tc>
          <w:tcPr>
            <w:tcW w:w="8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w w:val="95"/>
              </w:rPr>
              <w:t>(216,723)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4"/>
          </w:tcPr>
          <w:p>
            <w:pPr>
              <w:jc w:val="right"/>
              <w:ind w:right="520"/>
              <w:spacing w:after="0"/>
              <w:rPr>
                <w:sz w:val="20"/>
                <w:szCs w:val="20"/>
                <w:color w:val="auto"/>
              </w:rPr>
            </w:pPr>
            <w:r>
              <w:rPr>
                <w:rFonts w:ascii="Arial" w:cs="Arial" w:eastAsia="Arial" w:hAnsi="Arial"/>
                <w:sz w:val="18"/>
                <w:szCs w:val="18"/>
                <w:color w:val="auto"/>
                <w:w w:val="95"/>
              </w:rPr>
              <w:t>(27,702)</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7,886</w:t>
            </w: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19,816</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(216,723)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member’s equity</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1,257,563</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w w:val="95"/>
              </w:rPr>
              <w:t>(15,172)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7,286</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1,257,563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liabilities and member’s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4,350,255</w:t>
            </w:r>
          </w:p>
        </w:tc>
        <w:tc>
          <w:tcPr>
            <w:tcW w:w="5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226,725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7,286</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4,584,271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gridSpan w:val="2"/>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3"/>
          </w:tcPr>
          <w:p>
            <w:pPr>
              <w:jc w:val="right"/>
              <w:ind w:right="640"/>
              <w:spacing w:after="0"/>
              <w:rPr>
                <w:sz w:val="20"/>
                <w:szCs w:val="20"/>
                <w:color w:val="auto"/>
              </w:rPr>
            </w:pPr>
            <w:r>
              <w:rPr>
                <w:rFonts w:ascii="Arial" w:cs="Arial" w:eastAsia="Arial" w:hAnsi="Arial"/>
                <w:sz w:val="18"/>
                <w:szCs w:val="18"/>
                <w:color w:val="auto"/>
              </w:rPr>
              <w:t>F-26</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3270250</wp:posOffset>
            </wp:positionH>
            <wp:positionV relativeFrom="paragraph">
              <wp:posOffset>-3825240</wp:posOffset>
            </wp:positionV>
            <wp:extent cx="12700" cy="298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-3825240</wp:posOffset>
            </wp:positionV>
            <wp:extent cx="21590" cy="298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-3825240</wp:posOffset>
            </wp:positionV>
            <wp:extent cx="38735" cy="298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-3825240</wp:posOffset>
            </wp:positionV>
            <wp:extent cx="12700" cy="298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-3825240</wp:posOffset>
            </wp:positionV>
            <wp:extent cx="21590"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-3825240</wp:posOffset>
            </wp:positionV>
            <wp:extent cx="38735" cy="298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-3825240</wp:posOffset>
            </wp:positionV>
            <wp:extent cx="12700" cy="298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-3825240</wp:posOffset>
            </wp:positionV>
            <wp:extent cx="21590" cy="298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-3825240</wp:posOffset>
            </wp:positionV>
            <wp:extent cx="38735" cy="298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-3825240</wp:posOffset>
            </wp:positionV>
            <wp:extent cx="12700" cy="298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-3825240</wp:posOffset>
            </wp:positionV>
            <wp:extent cx="21590" cy="298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-3825240</wp:posOffset>
            </wp:positionV>
            <wp:extent cx="38735" cy="298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-3825240</wp:posOffset>
            </wp:positionV>
            <wp:extent cx="12700" cy="298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-3825240</wp:posOffset>
            </wp:positionV>
            <wp:extent cx="21590" cy="298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-3825240</wp:posOffset>
            </wp:positionV>
            <wp:extent cx="38735" cy="298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-325755</wp:posOffset>
            </wp:positionV>
            <wp:extent cx="12700" cy="298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-325755</wp:posOffset>
            </wp:positionV>
            <wp:extent cx="21590" cy="298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-325755</wp:posOffset>
            </wp:positionV>
            <wp:extent cx="38735" cy="298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-325755</wp:posOffset>
            </wp:positionV>
            <wp:extent cx="12700" cy="298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-325755</wp:posOffset>
            </wp:positionV>
            <wp:extent cx="21590" cy="298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-325755</wp:posOffset>
            </wp:positionV>
            <wp:extent cx="38735" cy="298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-325755</wp:posOffset>
            </wp:positionV>
            <wp:extent cx="12700" cy="298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-325755</wp:posOffset>
            </wp:positionV>
            <wp:extent cx="21590" cy="298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-325755</wp:posOffset>
            </wp:positionV>
            <wp:extent cx="38735" cy="298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-325755</wp:posOffset>
            </wp:positionV>
            <wp:extent cx="12700" cy="298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-325755</wp:posOffset>
            </wp:positionV>
            <wp:extent cx="21590" cy="298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-325755</wp:posOffset>
            </wp:positionV>
            <wp:extent cx="38735" cy="298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-325755</wp:posOffset>
            </wp:positionV>
            <wp:extent cx="12700" cy="298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-325755</wp:posOffset>
            </wp:positionV>
            <wp:extent cx="21590" cy="298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0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w w:val="94"/>
              </w:rPr>
              <w:t>Guarantor</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8"/>
              </w:rPr>
              <w:t>Nonguarantor</w:t>
            </w:r>
          </w:p>
        </w:tc>
        <w:tc>
          <w:tcPr>
            <w:tcW w:w="480" w:type="dxa"/>
            <w:vAlign w:val="bottom"/>
          </w:tcPr>
          <w:p>
            <w:pPr>
              <w:spacing w:after="0"/>
              <w:rPr>
                <w:sz w:val="14"/>
                <w:szCs w:val="14"/>
                <w:color w:val="auto"/>
              </w:rPr>
            </w:pPr>
          </w:p>
        </w:tc>
        <w:tc>
          <w:tcPr>
            <w:tcW w:w="118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87"/>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w w:val="97"/>
              </w:rPr>
              <w:t>Issuers</w:t>
            </w:r>
          </w:p>
        </w:tc>
        <w:tc>
          <w:tcPr>
            <w:tcW w:w="130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rPr>
              <w:t>Subsidiary</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80" w:type="dxa"/>
            <w:vAlign w:val="bottom"/>
          </w:tcPr>
          <w:p>
            <w:pPr>
              <w:spacing w:after="0"/>
              <w:rPr>
                <w:sz w:val="15"/>
                <w:szCs w:val="15"/>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505,779</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505,779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321,075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321,150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385,774</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385,774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202,972</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427</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1,415,600</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427</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1,416,102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Less: promotional allowances</w:t>
            </w:r>
          </w:p>
        </w:tc>
        <w:tc>
          <w:tcPr>
            <w:tcW w:w="10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w w:val="95"/>
              </w:rPr>
              <w:t>(185,982)</w:t>
            </w:r>
          </w:p>
        </w:tc>
        <w:tc>
          <w:tcPr>
            <w:tcW w:w="180" w:type="dxa"/>
            <w:vAlign w:val="bottom"/>
          </w:tcPr>
          <w:p>
            <w:pPr>
              <w:spacing w:after="0"/>
              <w:rPr>
                <w:sz w:val="19"/>
                <w:szCs w:val="19"/>
                <w:color w:val="auto"/>
              </w:rPr>
            </w:pPr>
          </w:p>
        </w:tc>
        <w:tc>
          <w:tcPr>
            <w:tcW w:w="11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(185,982)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1,229,618</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427</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1,230,120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277,557</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277,557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106,760</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106,835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238,272</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238,272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133,801</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133,801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250,279</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ind w:right="520"/>
              <w:spacing w:after="0"/>
              <w:rPr>
                <w:sz w:val="20"/>
                <w:szCs w:val="20"/>
                <w:color w:val="auto"/>
              </w:rPr>
            </w:pPr>
            <w:r>
              <w:rPr>
                <w:rFonts w:ascii="Arial" w:cs="Arial" w:eastAsia="Arial" w:hAnsi="Arial"/>
                <w:sz w:val="18"/>
                <w:szCs w:val="18"/>
                <w:color w:val="auto"/>
              </w:rPr>
              <w:t>(2,217)</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427</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248,489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12,438</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18,434</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18,434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Pre-opening costs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309,012</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4,747</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313,759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19,206</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5,262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1,366,105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7,867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427</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1,374,399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95"/>
              </w:rPr>
              <w:t>(136,487)</w:t>
            </w: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(7,792)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(144,279)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Interest and other income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 of capitalized interest</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95"/>
              </w:rPr>
              <w:t>(156,262)</w:t>
            </w: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(966)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(157,228)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Decrease in swap fair value</w:t>
            </w:r>
          </w:p>
        </w:tc>
        <w:tc>
          <w:tcPr>
            <w:tcW w:w="100" w:type="dxa"/>
            <w:vAlign w:val="bottom"/>
          </w:tcPr>
          <w:p>
            <w:pPr>
              <w:spacing w:after="0"/>
              <w:rPr>
                <w:sz w:val="18"/>
                <w:szCs w:val="18"/>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rPr>
              <w:t>(4,224)</w:t>
            </w:r>
          </w:p>
        </w:tc>
        <w:tc>
          <w:tcPr>
            <w:tcW w:w="180" w:type="dxa"/>
            <w:vAlign w:val="bottom"/>
          </w:tcPr>
          <w:p>
            <w:pPr>
              <w:spacing w:after="0"/>
              <w:rPr>
                <w:sz w:val="18"/>
                <w:szCs w:val="18"/>
                <w:color w:val="auto"/>
              </w:rPr>
            </w:pPr>
          </w:p>
        </w:tc>
        <w:tc>
          <w:tcPr>
            <w:tcW w:w="11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(4,224)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on extinguishment of debt</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(3,779)</w:t>
            </w: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(3,779)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Equity in income (loss) from unconsolidated affiliates</w:t>
            </w:r>
          </w:p>
        </w:tc>
        <w:tc>
          <w:tcPr>
            <w:tcW w:w="10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rPr>
              <w:t>(9,164)</w:t>
            </w:r>
          </w:p>
        </w:tc>
        <w:tc>
          <w:tcPr>
            <w:tcW w:w="180" w:type="dxa"/>
            <w:vAlign w:val="bottom"/>
          </w:tcPr>
          <w:p>
            <w:pPr>
              <w:spacing w:after="0"/>
              <w:rPr>
                <w:sz w:val="19"/>
                <w:szCs w:val="19"/>
                <w:color w:val="auto"/>
              </w:rPr>
            </w:pPr>
          </w:p>
        </w:tc>
        <w:tc>
          <w:tcPr>
            <w:tcW w:w="1120" w:type="dxa"/>
            <w:vAlign w:val="bottom"/>
            <w:gridSpan w:val="3"/>
          </w:tcPr>
          <w:p>
            <w:pPr>
              <w:jc w:val="right"/>
              <w:ind w:right="520"/>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9,164</w:t>
            </w: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95"/>
              </w:rPr>
              <w:t>(173,383)</w:t>
            </w: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(1,372)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9,164</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(165,591)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95"/>
              </w:rPr>
              <w:t>(309,870)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(9,164)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9,164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(309,870)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gridSpan w:val="2"/>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3"/>
          </w:tcPr>
          <w:p>
            <w:pPr>
              <w:jc w:val="right"/>
              <w:ind w:right="840"/>
              <w:spacing w:after="0"/>
              <w:rPr>
                <w:sz w:val="20"/>
                <w:szCs w:val="20"/>
                <w:color w:val="auto"/>
              </w:rPr>
            </w:pPr>
            <w:r>
              <w:rPr>
                <w:rFonts w:ascii="Arial" w:cs="Arial" w:eastAsia="Arial" w:hAnsi="Arial"/>
                <w:sz w:val="18"/>
                <w:szCs w:val="18"/>
                <w:color w:val="auto"/>
              </w:rPr>
              <w:t>F-27</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3390265</wp:posOffset>
            </wp:positionH>
            <wp:positionV relativeFrom="paragraph">
              <wp:posOffset>-325755</wp:posOffset>
            </wp:positionV>
            <wp:extent cx="12700" cy="298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-325755</wp:posOffset>
            </wp:positionV>
            <wp:extent cx="21590" cy="298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-325755</wp:posOffset>
            </wp:positionV>
            <wp:extent cx="38735" cy="298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-325755</wp:posOffset>
            </wp:positionV>
            <wp:extent cx="12700" cy="298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-325755</wp:posOffset>
            </wp:positionV>
            <wp:extent cx="21590" cy="298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-325755</wp:posOffset>
            </wp:positionV>
            <wp:extent cx="38735" cy="298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-325755</wp:posOffset>
            </wp:positionV>
            <wp:extent cx="12700" cy="298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-325755</wp:posOffset>
            </wp:positionV>
            <wp:extent cx="12700" cy="298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-325755</wp:posOffset>
            </wp:positionV>
            <wp:extent cx="21590" cy="298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-325755</wp:posOffset>
            </wp:positionV>
            <wp:extent cx="441325" cy="298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-325755</wp:posOffset>
            </wp:positionV>
            <wp:extent cx="12700" cy="298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-325755</wp:posOffset>
            </wp:positionV>
            <wp:extent cx="21590" cy="298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80" w:type="dxa"/>
            <w:vAlign w:val="bottom"/>
            <w:gridSpan w:val="5"/>
          </w:tcPr>
          <w:p>
            <w:pPr>
              <w:ind w:left="60"/>
              <w:spacing w:after="0"/>
              <w:rPr>
                <w:sz w:val="20"/>
                <w:szCs w:val="20"/>
                <w:color w:val="auto"/>
              </w:rPr>
            </w:pPr>
            <w:r>
              <w:rPr>
                <w:rFonts w:ascii="Arial" w:cs="Arial" w:eastAsia="Arial" w:hAnsi="Arial"/>
                <w:sz w:val="14"/>
                <w:szCs w:val="14"/>
                <w:b w:val="1"/>
                <w:bCs w:val="1"/>
                <w:color w:val="auto"/>
              </w:rPr>
              <w:t>Guarantor</w:t>
            </w:r>
          </w:p>
        </w:tc>
        <w:tc>
          <w:tcPr>
            <w:tcW w:w="1480" w:type="dxa"/>
            <w:vAlign w:val="bottom"/>
            <w:gridSpan w:val="4"/>
          </w:tcPr>
          <w:p>
            <w:pPr>
              <w:spacing w:after="0"/>
              <w:rPr>
                <w:sz w:val="20"/>
                <w:szCs w:val="20"/>
                <w:color w:val="auto"/>
              </w:rPr>
            </w:pPr>
            <w:r>
              <w:rPr>
                <w:rFonts w:ascii="Arial" w:cs="Arial" w:eastAsia="Arial" w:hAnsi="Arial"/>
                <w:sz w:val="14"/>
                <w:szCs w:val="14"/>
                <w:b w:val="1"/>
                <w:bCs w:val="1"/>
                <w:color w:val="auto"/>
              </w:rPr>
              <w:t>Nonguarantor</w:t>
            </w:r>
          </w:p>
        </w:tc>
        <w:tc>
          <w:tcPr>
            <w:tcW w:w="1340" w:type="dxa"/>
            <w:vAlign w:val="bottom"/>
            <w:gridSpan w:val="5"/>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3"/>
          </w:tcPr>
          <w:p>
            <w:pPr>
              <w:jc w:val="right"/>
              <w:ind w:right="840"/>
              <w:spacing w:after="0"/>
              <w:rPr>
                <w:sz w:val="20"/>
                <w:szCs w:val="20"/>
                <w:color w:val="auto"/>
              </w:rPr>
            </w:pPr>
            <w:r>
              <w:rPr>
                <w:rFonts w:ascii="Arial" w:cs="Arial" w:eastAsia="Arial" w:hAnsi="Arial"/>
                <w:sz w:val="14"/>
                <w:szCs w:val="14"/>
                <w:b w:val="1"/>
                <w:bCs w:val="1"/>
                <w:color w:val="auto"/>
                <w:w w:val="97"/>
              </w:rPr>
              <w:t>Issuers</w:t>
            </w:r>
          </w:p>
        </w:tc>
        <w:tc>
          <w:tcPr>
            <w:tcW w:w="1380" w:type="dxa"/>
            <w:vAlign w:val="bottom"/>
            <w:gridSpan w:val="5"/>
          </w:tcPr>
          <w:p>
            <w:pPr>
              <w:ind w:left="2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Subsidiary</w:t>
            </w:r>
          </w:p>
        </w:tc>
        <w:tc>
          <w:tcPr>
            <w:tcW w:w="100" w:type="dxa"/>
            <w:vAlign w:val="bottom"/>
          </w:tcPr>
          <w:p>
            <w:pPr>
              <w:spacing w:after="0"/>
              <w:rPr>
                <w:sz w:val="15"/>
                <w:szCs w:val="15"/>
                <w:color w:val="auto"/>
              </w:rPr>
            </w:pPr>
          </w:p>
        </w:tc>
        <w:tc>
          <w:tcPr>
            <w:tcW w:w="124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w w:val="92"/>
              </w:rPr>
              <w:t>Entries</w:t>
            </w:r>
          </w:p>
        </w:tc>
        <w:tc>
          <w:tcPr>
            <w:tcW w:w="80" w:type="dxa"/>
            <w:vAlign w:val="bottom"/>
          </w:tcPr>
          <w:p>
            <w:pPr>
              <w:spacing w:after="0"/>
              <w:rPr>
                <w:sz w:val="15"/>
                <w:szCs w:val="15"/>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479,711</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479,711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268,515</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268,515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305,702</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305,702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202,388</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(266)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202,122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1,256,316</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(266)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1,256,050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Less: promotional allowances</w:t>
            </w:r>
          </w:p>
        </w:tc>
        <w:tc>
          <w:tcPr>
            <w:tcW w:w="100" w:type="dxa"/>
            <w:vAlign w:val="bottom"/>
          </w:tcPr>
          <w:p>
            <w:pPr>
              <w:spacing w:after="0"/>
              <w:rPr>
                <w:sz w:val="19"/>
                <w:szCs w:val="19"/>
                <w:color w:val="auto"/>
              </w:rPr>
            </w:pPr>
          </w:p>
        </w:tc>
        <w:tc>
          <w:tcPr>
            <w:tcW w:w="1340" w:type="dxa"/>
            <w:vAlign w:val="bottom"/>
            <w:gridSpan w:val="3"/>
          </w:tcPr>
          <w:p>
            <w:pPr>
              <w:jc w:val="right"/>
              <w:ind w:right="580"/>
              <w:spacing w:after="0"/>
              <w:rPr>
                <w:sz w:val="20"/>
                <w:szCs w:val="20"/>
                <w:color w:val="auto"/>
              </w:rPr>
            </w:pPr>
            <w:r>
              <w:rPr>
                <w:rFonts w:ascii="Arial" w:cs="Arial" w:eastAsia="Arial" w:hAnsi="Arial"/>
                <w:sz w:val="18"/>
                <w:szCs w:val="18"/>
                <w:color w:val="auto"/>
                <w:w w:val="95"/>
              </w:rPr>
              <w:t>(156,159)</w:t>
            </w:r>
          </w:p>
        </w:tc>
        <w:tc>
          <w:tcPr>
            <w:tcW w:w="180" w:type="dxa"/>
            <w:vAlign w:val="bottom"/>
          </w:tcPr>
          <w:p>
            <w:pPr>
              <w:spacing w:after="0"/>
              <w:rPr>
                <w:sz w:val="19"/>
                <w:szCs w:val="19"/>
                <w:color w:val="auto"/>
              </w:rPr>
            </w:pP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(156,159)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1,100,157</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(266)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1,099,891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257,983</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257,983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73,782</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73,782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188,521</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188,521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132,870</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132,870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201,017</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jc w:val="right"/>
              <w:ind w:right="580"/>
              <w:spacing w:after="0"/>
              <w:rPr>
                <w:sz w:val="20"/>
                <w:szCs w:val="20"/>
                <w:color w:val="auto"/>
              </w:rPr>
            </w:pPr>
            <w:r>
              <w:rPr>
                <w:rFonts w:ascii="Arial" w:cs="Arial" w:eastAsia="Arial" w:hAnsi="Arial"/>
                <w:sz w:val="18"/>
                <w:szCs w:val="18"/>
                <w:color w:val="auto"/>
              </w:rPr>
              <w:t>(1,216)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ind w:left="553"/>
              <w:spacing w:after="0"/>
              <w:rPr>
                <w:sz w:val="20"/>
                <w:szCs w:val="20"/>
                <w:color w:val="auto"/>
              </w:rPr>
            </w:pPr>
            <w:r>
              <w:rPr>
                <w:rFonts w:ascii="Arial" w:cs="Arial" w:eastAsia="Arial" w:hAnsi="Arial"/>
                <w:sz w:val="18"/>
                <w:szCs w:val="18"/>
                <w:color w:val="auto"/>
                <w:w w:val="79"/>
              </w:rPr>
              <w:t>5</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right"/>
              <w:ind w:right="600"/>
              <w:spacing w:after="0"/>
              <w:rPr>
                <w:sz w:val="20"/>
                <w:szCs w:val="20"/>
                <w:color w:val="auto"/>
              </w:rPr>
            </w:pPr>
            <w:r>
              <w:rPr>
                <w:rFonts w:ascii="Arial" w:cs="Arial" w:eastAsia="Arial" w:hAnsi="Arial"/>
                <w:sz w:val="18"/>
                <w:szCs w:val="18"/>
                <w:color w:val="auto"/>
              </w:rPr>
              <w:t>(266)</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199,540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24,887</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16,505</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16,505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Pre-opening costs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72,373</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72,373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165,121</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4,519</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169,640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21,916</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490</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1,154,975</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3,793</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center"/>
              <w:ind w:left="553"/>
              <w:spacing w:after="0"/>
              <w:rPr>
                <w:sz w:val="20"/>
                <w:szCs w:val="20"/>
                <w:color w:val="auto"/>
              </w:rPr>
            </w:pPr>
            <w:r>
              <w:rPr>
                <w:rFonts w:ascii="Arial" w:cs="Arial" w:eastAsia="Arial" w:hAnsi="Arial"/>
                <w:sz w:val="18"/>
                <w:szCs w:val="18"/>
                <w:color w:val="auto"/>
                <w:w w:val="79"/>
              </w:rPr>
              <w:t>5</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(266)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1,158,507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(54,818)</w:t>
            </w: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(3,793)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0"/>
              </w:rPr>
              <w:t>(5)</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(58,616)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Interest and other income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4,205</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w w:val="79"/>
              </w:rPr>
              <w:t>622</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4,827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 of capitalized interest</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(73,652)</w:t>
            </w: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(2,203)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(75,855)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Decrease in swap fair value</w:t>
            </w:r>
          </w:p>
        </w:tc>
        <w:tc>
          <w:tcPr>
            <w:tcW w:w="100" w:type="dxa"/>
            <w:vAlign w:val="bottom"/>
          </w:tcPr>
          <w:p>
            <w:pPr>
              <w:spacing w:after="0"/>
              <w:rPr>
                <w:sz w:val="18"/>
                <w:szCs w:val="18"/>
                <w:color w:val="auto"/>
              </w:rPr>
            </w:pPr>
          </w:p>
        </w:tc>
        <w:tc>
          <w:tcPr>
            <w:tcW w:w="1340" w:type="dxa"/>
            <w:vAlign w:val="bottom"/>
            <w:gridSpan w:val="3"/>
          </w:tcPr>
          <w:p>
            <w:pPr>
              <w:jc w:val="right"/>
              <w:ind w:right="580"/>
              <w:spacing w:after="0"/>
              <w:rPr>
                <w:sz w:val="20"/>
                <w:szCs w:val="20"/>
                <w:color w:val="auto"/>
              </w:rPr>
            </w:pPr>
            <w:r>
              <w:rPr>
                <w:rFonts w:ascii="Arial" w:cs="Arial" w:eastAsia="Arial" w:hAnsi="Arial"/>
                <w:sz w:val="18"/>
                <w:szCs w:val="18"/>
                <w:color w:val="auto"/>
              </w:rPr>
              <w:t>(416)</w:t>
            </w:r>
          </w:p>
        </w:tc>
        <w:tc>
          <w:tcPr>
            <w:tcW w:w="180" w:type="dxa"/>
            <w:vAlign w:val="bottom"/>
          </w:tcPr>
          <w:p>
            <w:pPr>
              <w:spacing w:after="0"/>
              <w:rPr>
                <w:sz w:val="18"/>
                <w:szCs w:val="18"/>
                <w:color w:val="auto"/>
              </w:rPr>
            </w:pP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income (loss) from unconsolidated affiliates</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(5,113)</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266</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(74,976)</w:t>
            </w: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(1,937)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79"/>
              </w:rPr>
              <w:t>622</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(71,178)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w w:val="95"/>
              </w:rPr>
              <w:t>(129,794)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(5,730)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79"/>
              </w:rPr>
              <w:t>617</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(129,794)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gridSpan w:val="2"/>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3"/>
          </w:tcPr>
          <w:p>
            <w:pPr>
              <w:jc w:val="right"/>
              <w:ind w:right="440"/>
              <w:spacing w:after="0"/>
              <w:rPr>
                <w:sz w:val="20"/>
                <w:szCs w:val="20"/>
                <w:color w:val="auto"/>
              </w:rPr>
            </w:pPr>
            <w:r>
              <w:rPr>
                <w:rFonts w:ascii="Arial" w:cs="Arial" w:eastAsia="Arial" w:hAnsi="Arial"/>
                <w:sz w:val="18"/>
                <w:szCs w:val="18"/>
                <w:color w:val="auto"/>
              </w:rPr>
              <w:t>F-28</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3098800</wp:posOffset>
            </wp:positionH>
            <wp:positionV relativeFrom="paragraph">
              <wp:posOffset>-325755</wp:posOffset>
            </wp:positionV>
            <wp:extent cx="12700" cy="298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3150235</wp:posOffset>
            </wp:positionH>
            <wp:positionV relativeFrom="paragraph">
              <wp:posOffset>-325755</wp:posOffset>
            </wp:positionV>
            <wp:extent cx="21590" cy="298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-325755</wp:posOffset>
            </wp:positionV>
            <wp:extent cx="38735" cy="298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-325755</wp:posOffset>
            </wp:positionV>
            <wp:extent cx="12700" cy="298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-325755</wp:posOffset>
            </wp:positionV>
            <wp:extent cx="21590" cy="298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-325755</wp:posOffset>
            </wp:positionV>
            <wp:extent cx="38735" cy="298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-325755</wp:posOffset>
            </wp:positionV>
            <wp:extent cx="12700" cy="298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-325755</wp:posOffset>
            </wp:positionV>
            <wp:extent cx="21590" cy="298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-325755</wp:posOffset>
            </wp:positionV>
            <wp:extent cx="38735" cy="298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-325755</wp:posOffset>
            </wp:positionV>
            <wp:extent cx="12700" cy="298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-325755</wp:posOffset>
            </wp:positionV>
            <wp:extent cx="21590" cy="298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-325755</wp:posOffset>
            </wp:positionV>
            <wp:extent cx="38735" cy="298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-325755</wp:posOffset>
            </wp:positionV>
            <wp:extent cx="12700" cy="298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-325755</wp:posOffset>
            </wp:positionV>
            <wp:extent cx="21590" cy="298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80" w:type="dxa"/>
            <w:vAlign w:val="bottom"/>
            <w:gridSpan w:val="5"/>
          </w:tcPr>
          <w:p>
            <w:pPr>
              <w:ind w:left="60"/>
              <w:spacing w:after="0"/>
              <w:rPr>
                <w:sz w:val="20"/>
                <w:szCs w:val="20"/>
                <w:color w:val="auto"/>
              </w:rPr>
            </w:pPr>
            <w:r>
              <w:rPr>
                <w:rFonts w:ascii="Arial" w:cs="Arial" w:eastAsia="Arial" w:hAnsi="Arial"/>
                <w:sz w:val="14"/>
                <w:szCs w:val="14"/>
                <w:b w:val="1"/>
                <w:bCs w:val="1"/>
                <w:color w:val="auto"/>
              </w:rPr>
              <w:t>Guarantor</w:t>
            </w:r>
          </w:p>
        </w:tc>
        <w:tc>
          <w:tcPr>
            <w:tcW w:w="1480" w:type="dxa"/>
            <w:vAlign w:val="bottom"/>
            <w:gridSpan w:val="4"/>
          </w:tcPr>
          <w:p>
            <w:pPr>
              <w:spacing w:after="0"/>
              <w:rPr>
                <w:sz w:val="20"/>
                <w:szCs w:val="20"/>
                <w:color w:val="auto"/>
              </w:rPr>
            </w:pPr>
            <w:r>
              <w:rPr>
                <w:rFonts w:ascii="Arial" w:cs="Arial" w:eastAsia="Arial" w:hAnsi="Arial"/>
                <w:sz w:val="14"/>
                <w:szCs w:val="14"/>
                <w:b w:val="1"/>
                <w:bCs w:val="1"/>
                <w:color w:val="auto"/>
              </w:rPr>
              <w:t>Nonguarantor</w:t>
            </w:r>
          </w:p>
        </w:tc>
        <w:tc>
          <w:tcPr>
            <w:tcW w:w="1340" w:type="dxa"/>
            <w:vAlign w:val="bottom"/>
            <w:gridSpan w:val="5"/>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3"/>
          </w:tcPr>
          <w:p>
            <w:pPr>
              <w:jc w:val="right"/>
              <w:ind w:right="840"/>
              <w:spacing w:after="0"/>
              <w:rPr>
                <w:sz w:val="20"/>
                <w:szCs w:val="20"/>
                <w:color w:val="auto"/>
              </w:rPr>
            </w:pPr>
            <w:r>
              <w:rPr>
                <w:rFonts w:ascii="Arial" w:cs="Arial" w:eastAsia="Arial" w:hAnsi="Arial"/>
                <w:sz w:val="14"/>
                <w:szCs w:val="14"/>
                <w:b w:val="1"/>
                <w:bCs w:val="1"/>
                <w:color w:val="auto"/>
                <w:w w:val="97"/>
              </w:rPr>
              <w:t>Issuers</w:t>
            </w:r>
          </w:p>
        </w:tc>
        <w:tc>
          <w:tcPr>
            <w:tcW w:w="1380" w:type="dxa"/>
            <w:vAlign w:val="bottom"/>
            <w:gridSpan w:val="5"/>
          </w:tcPr>
          <w:p>
            <w:pPr>
              <w:ind w:left="2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Subsidiary</w:t>
            </w:r>
          </w:p>
        </w:tc>
        <w:tc>
          <w:tcPr>
            <w:tcW w:w="100" w:type="dxa"/>
            <w:vAlign w:val="bottom"/>
          </w:tcPr>
          <w:p>
            <w:pPr>
              <w:spacing w:after="0"/>
              <w:rPr>
                <w:sz w:val="15"/>
                <w:szCs w:val="15"/>
                <w:color w:val="auto"/>
              </w:rPr>
            </w:pPr>
          </w:p>
        </w:tc>
        <w:tc>
          <w:tcPr>
            <w:tcW w:w="124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w w:val="92"/>
              </w:rPr>
              <w:t>Entries</w:t>
            </w:r>
          </w:p>
        </w:tc>
        <w:tc>
          <w:tcPr>
            <w:tcW w:w="80" w:type="dxa"/>
            <w:vAlign w:val="bottom"/>
          </w:tcPr>
          <w:p>
            <w:pPr>
              <w:spacing w:after="0"/>
              <w:rPr>
                <w:sz w:val="15"/>
                <w:szCs w:val="15"/>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642,327</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642,327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285,702</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285,702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311,032</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311,032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210,304</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(796)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209,508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1,449,365</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(796)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1,448,569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Less: promotional allowances</w:t>
            </w:r>
          </w:p>
        </w:tc>
        <w:tc>
          <w:tcPr>
            <w:tcW w:w="100" w:type="dxa"/>
            <w:vAlign w:val="bottom"/>
          </w:tcPr>
          <w:p>
            <w:pPr>
              <w:spacing w:after="0"/>
              <w:rPr>
                <w:sz w:val="19"/>
                <w:szCs w:val="19"/>
                <w:color w:val="auto"/>
              </w:rPr>
            </w:pPr>
          </w:p>
        </w:tc>
        <w:tc>
          <w:tcPr>
            <w:tcW w:w="1340" w:type="dxa"/>
            <w:vAlign w:val="bottom"/>
            <w:gridSpan w:val="3"/>
          </w:tcPr>
          <w:p>
            <w:pPr>
              <w:jc w:val="right"/>
              <w:ind w:right="580"/>
              <w:spacing w:after="0"/>
              <w:rPr>
                <w:sz w:val="20"/>
                <w:szCs w:val="20"/>
                <w:color w:val="auto"/>
              </w:rPr>
            </w:pPr>
            <w:r>
              <w:rPr>
                <w:rFonts w:ascii="Arial" w:cs="Arial" w:eastAsia="Arial" w:hAnsi="Arial"/>
                <w:sz w:val="18"/>
                <w:szCs w:val="18"/>
                <w:color w:val="auto"/>
                <w:w w:val="95"/>
              </w:rPr>
              <w:t>(152,718)</w:t>
            </w:r>
          </w:p>
        </w:tc>
        <w:tc>
          <w:tcPr>
            <w:tcW w:w="180" w:type="dxa"/>
            <w:vAlign w:val="bottom"/>
          </w:tcPr>
          <w:p>
            <w:pPr>
              <w:spacing w:after="0"/>
              <w:rPr>
                <w:sz w:val="19"/>
                <w:szCs w:val="19"/>
                <w:color w:val="auto"/>
              </w:rPr>
            </w:pP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(152,718)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1,296,647</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(796)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1,295,851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276,523</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276,523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75,808</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75,808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192,497</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192,497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145,460</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145,460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202,135</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jc w:val="right"/>
              <w:ind w:right="580"/>
              <w:spacing w:after="0"/>
              <w:rPr>
                <w:sz w:val="20"/>
                <w:szCs w:val="20"/>
                <w:color w:val="auto"/>
              </w:rPr>
            </w:pPr>
            <w:r>
              <w:rPr>
                <w:rFonts w:ascii="Arial" w:cs="Arial" w:eastAsia="Arial" w:hAnsi="Arial"/>
                <w:sz w:val="18"/>
                <w:szCs w:val="18"/>
                <w:color w:val="auto"/>
              </w:rPr>
              <w:t>(1,519)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right"/>
              <w:ind w:right="600"/>
              <w:spacing w:after="0"/>
              <w:rPr>
                <w:sz w:val="20"/>
                <w:szCs w:val="20"/>
                <w:color w:val="auto"/>
              </w:rPr>
            </w:pPr>
            <w:r>
              <w:rPr>
                <w:rFonts w:ascii="Arial" w:cs="Arial" w:eastAsia="Arial" w:hAnsi="Arial"/>
                <w:sz w:val="18"/>
                <w:szCs w:val="18"/>
                <w:color w:val="auto"/>
              </w:rPr>
              <w:t>(796)</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199,825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21,139</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19,473</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19,473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Pre-opening costs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6,457</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147,413</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5,426</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152,839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6,005</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1,092,910</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3,907</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(796)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1,096,026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203,737</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(3,907)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199,825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Interest and other income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12,321</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1,896</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14,217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 of capitalized interest</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(83,249)</w:t>
            </w: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(2,841)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(86,090)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Decrease in swap fair value</w:t>
            </w:r>
          </w:p>
        </w:tc>
        <w:tc>
          <w:tcPr>
            <w:tcW w:w="100" w:type="dxa"/>
            <w:vAlign w:val="bottom"/>
          </w:tcPr>
          <w:p>
            <w:pPr>
              <w:spacing w:after="0"/>
              <w:rPr>
                <w:sz w:val="18"/>
                <w:szCs w:val="18"/>
                <w:color w:val="auto"/>
              </w:rPr>
            </w:pPr>
          </w:p>
        </w:tc>
        <w:tc>
          <w:tcPr>
            <w:tcW w:w="1340" w:type="dxa"/>
            <w:vAlign w:val="bottom"/>
            <w:gridSpan w:val="3"/>
          </w:tcPr>
          <w:p>
            <w:pPr>
              <w:jc w:val="right"/>
              <w:ind w:right="580"/>
              <w:spacing w:after="0"/>
              <w:rPr>
                <w:sz w:val="20"/>
                <w:szCs w:val="20"/>
                <w:color w:val="auto"/>
              </w:rPr>
            </w:pPr>
            <w:r>
              <w:rPr>
                <w:rFonts w:ascii="Arial" w:cs="Arial" w:eastAsia="Arial" w:hAnsi="Arial"/>
                <w:sz w:val="18"/>
                <w:szCs w:val="18"/>
                <w:color w:val="auto"/>
              </w:rPr>
              <w:t>(4,372)</w:t>
            </w:r>
          </w:p>
        </w:tc>
        <w:tc>
          <w:tcPr>
            <w:tcW w:w="180" w:type="dxa"/>
            <w:vAlign w:val="bottom"/>
          </w:tcPr>
          <w:p>
            <w:pPr>
              <w:spacing w:after="0"/>
              <w:rPr>
                <w:sz w:val="18"/>
                <w:szCs w:val="18"/>
                <w:color w:val="auto"/>
              </w:rPr>
            </w:pP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(4,372)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on extinguishment of debt</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(157)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Equity in income (loss) from unconsolidated affiliates</w:t>
            </w:r>
          </w:p>
        </w:tc>
        <w:tc>
          <w:tcPr>
            <w:tcW w:w="100" w:type="dxa"/>
            <w:vAlign w:val="bottom"/>
          </w:tcPr>
          <w:p>
            <w:pPr>
              <w:spacing w:after="0"/>
              <w:rPr>
                <w:sz w:val="19"/>
                <w:szCs w:val="19"/>
                <w:color w:val="auto"/>
              </w:rPr>
            </w:pPr>
          </w:p>
        </w:tc>
        <w:tc>
          <w:tcPr>
            <w:tcW w:w="1340" w:type="dxa"/>
            <w:vAlign w:val="bottom"/>
            <w:gridSpan w:val="3"/>
          </w:tcPr>
          <w:p>
            <w:pPr>
              <w:jc w:val="right"/>
              <w:ind w:right="580"/>
              <w:spacing w:after="0"/>
              <w:rPr>
                <w:sz w:val="20"/>
                <w:szCs w:val="20"/>
                <w:color w:val="auto"/>
              </w:rPr>
            </w:pPr>
            <w:r>
              <w:rPr>
                <w:rFonts w:ascii="Arial" w:cs="Arial" w:eastAsia="Arial" w:hAnsi="Arial"/>
                <w:sz w:val="18"/>
                <w:szCs w:val="18"/>
                <w:color w:val="auto"/>
              </w:rPr>
              <w:t>(4,218)</w:t>
            </w:r>
          </w:p>
        </w:tc>
        <w:tc>
          <w:tcPr>
            <w:tcW w:w="18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w w:val="79"/>
              </w:rPr>
              <w:t>796</w:t>
            </w: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4,218</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(79,518)</w:t>
            </w: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(2,202)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(75,606)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124,219</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(6,109)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124,219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gridSpan w:val="2"/>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3"/>
          </w:tcPr>
          <w:p>
            <w:pPr>
              <w:jc w:val="right"/>
              <w:ind w:right="440"/>
              <w:spacing w:after="0"/>
              <w:rPr>
                <w:sz w:val="20"/>
                <w:szCs w:val="20"/>
                <w:color w:val="auto"/>
              </w:rPr>
            </w:pPr>
            <w:r>
              <w:rPr>
                <w:rFonts w:ascii="Arial" w:cs="Arial" w:eastAsia="Arial" w:hAnsi="Arial"/>
                <w:sz w:val="18"/>
                <w:szCs w:val="18"/>
                <w:color w:val="auto"/>
              </w:rPr>
              <w:t>F-29</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3098800</wp:posOffset>
            </wp:positionH>
            <wp:positionV relativeFrom="paragraph">
              <wp:posOffset>-325755</wp:posOffset>
            </wp:positionV>
            <wp:extent cx="12700" cy="298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3150235</wp:posOffset>
            </wp:positionH>
            <wp:positionV relativeFrom="paragraph">
              <wp:posOffset>-325755</wp:posOffset>
            </wp:positionV>
            <wp:extent cx="21590" cy="298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-325755</wp:posOffset>
            </wp:positionV>
            <wp:extent cx="38735" cy="298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-325755</wp:posOffset>
            </wp:positionV>
            <wp:extent cx="12700" cy="298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-325755</wp:posOffset>
            </wp:positionV>
            <wp:extent cx="21590" cy="298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-325755</wp:posOffset>
            </wp:positionV>
            <wp:extent cx="38735" cy="298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-325755</wp:posOffset>
            </wp:positionV>
            <wp:extent cx="12700" cy="298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-325755</wp:posOffset>
            </wp:positionV>
            <wp:extent cx="21590" cy="298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-325755</wp:posOffset>
            </wp:positionV>
            <wp:extent cx="38735" cy="298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-325755</wp:posOffset>
            </wp:positionV>
            <wp:extent cx="12700" cy="298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-325755</wp:posOffset>
            </wp:positionV>
            <wp:extent cx="21590" cy="298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-325755</wp:posOffset>
            </wp:positionV>
            <wp:extent cx="38735" cy="298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-325755</wp:posOffset>
            </wp:positionV>
            <wp:extent cx="12700" cy="298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-325755</wp:posOffset>
            </wp:positionV>
            <wp:extent cx="21590" cy="298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w w:val="97"/>
              </w:rPr>
              <w:t>Guarantor</w:t>
            </w:r>
          </w:p>
        </w:tc>
        <w:tc>
          <w:tcPr>
            <w:tcW w:w="20" w:type="dxa"/>
            <w:vAlign w:val="bottom"/>
          </w:tcPr>
          <w:p>
            <w:pPr>
              <w:spacing w:after="0"/>
              <w:rPr>
                <w:sz w:val="14"/>
                <w:szCs w:val="14"/>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6"/>
              </w:rPr>
              <w:t>Non-guarantor</w:t>
            </w:r>
          </w:p>
        </w:tc>
        <w:tc>
          <w:tcPr>
            <w:tcW w:w="360" w:type="dxa"/>
            <w:vAlign w:val="bottom"/>
          </w:tcPr>
          <w:p>
            <w:pPr>
              <w:spacing w:after="0"/>
              <w:rPr>
                <w:sz w:val="14"/>
                <w:szCs w:val="14"/>
                <w:color w:val="auto"/>
              </w:rPr>
            </w:pPr>
          </w:p>
        </w:tc>
        <w:tc>
          <w:tcPr>
            <w:tcW w:w="1180" w:type="dxa"/>
            <w:vAlign w:val="bottom"/>
            <w:gridSpan w:val="4"/>
          </w:tcPr>
          <w:p>
            <w:pPr>
              <w:ind w:left="20"/>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93"/>
              </w:rPr>
              <w:t>Issuers</w:t>
            </w:r>
          </w:p>
        </w:tc>
        <w:tc>
          <w:tcPr>
            <w:tcW w:w="1200" w:type="dxa"/>
            <w:vAlign w:val="bottom"/>
            <w:gridSpan w:val="4"/>
          </w:tcPr>
          <w:p>
            <w:pPr>
              <w:ind w:left="20"/>
              <w:spacing w:after="0"/>
              <w:rPr>
                <w:sz w:val="20"/>
                <w:szCs w:val="20"/>
                <w:color w:val="auto"/>
              </w:rPr>
            </w:pPr>
            <w:r>
              <w:rPr>
                <w:rFonts w:ascii="Arial" w:cs="Arial" w:eastAsia="Arial" w:hAnsi="Arial"/>
                <w:sz w:val="14"/>
                <w:szCs w:val="14"/>
                <w:b w:val="1"/>
                <w:bCs w:val="1"/>
                <w:color w:val="auto"/>
              </w:rPr>
              <w:t>Subsidiaries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1"/>
              </w:rPr>
              <w:t>Subsidiaries</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5"/>
                <w:szCs w:val="15"/>
                <w:color w:val="auto"/>
              </w:rPr>
            </w:pPr>
          </w:p>
        </w:tc>
        <w:tc>
          <w:tcPr>
            <w:tcW w:w="7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Net (loss)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3"/>
          </w:tcPr>
          <w:p>
            <w:pPr>
              <w:jc w:val="right"/>
              <w:ind w:right="420"/>
              <w:spacing w:after="0"/>
              <w:rPr>
                <w:sz w:val="20"/>
                <w:szCs w:val="20"/>
                <w:color w:val="auto"/>
              </w:rPr>
            </w:pPr>
            <w:r>
              <w:rPr>
                <w:rFonts w:ascii="Arial" w:cs="Arial" w:eastAsia="Arial" w:hAnsi="Arial"/>
                <w:sz w:val="18"/>
                <w:szCs w:val="18"/>
                <w:color w:val="auto"/>
                <w:w w:val="88"/>
              </w:rPr>
              <w:t>(309,870)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420"/>
              <w:spacing w:after="0"/>
              <w:rPr>
                <w:sz w:val="20"/>
                <w:szCs w:val="20"/>
                <w:color w:val="auto"/>
              </w:rPr>
            </w:pPr>
            <w:r>
              <w:rPr>
                <w:rFonts w:ascii="Arial" w:cs="Arial" w:eastAsia="Arial" w:hAnsi="Arial"/>
                <w:sz w:val="18"/>
                <w:szCs w:val="18"/>
                <w:color w:val="auto"/>
              </w:rPr>
              <w:t>(9,164)</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9,164</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(309,870)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w w:val="98"/>
              </w:rPr>
              <w:t>Adjustments to reconcile net (loss) income to net cash provided by (used</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 operating activities:</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309,012</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4,747</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313,759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8,370</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Loss from extinguishment of debt</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3,779</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3,779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and writeoff of deferred financing costs and other</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19,624</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Equity in (income) loss from unconsolidated affiliates, net of</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distributions</w:t>
            </w:r>
          </w:p>
        </w:tc>
        <w:tc>
          <w:tcPr>
            <w:tcW w:w="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9,164</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794</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jc w:val="right"/>
              <w:ind w:right="420"/>
              <w:spacing w:after="0"/>
              <w:rPr>
                <w:sz w:val="20"/>
                <w:szCs w:val="20"/>
                <w:color w:val="auto"/>
              </w:rPr>
            </w:pPr>
            <w:r>
              <w:rPr>
                <w:rFonts w:ascii="Arial" w:cs="Arial" w:eastAsia="Arial" w:hAnsi="Arial"/>
                <w:sz w:val="18"/>
                <w:szCs w:val="18"/>
                <w:color w:val="auto"/>
              </w:rPr>
              <w:t>(9,164)</w:t>
            </w: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12,438</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Property charges and other</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19,206</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5,262</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24,468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Decrease in swap fair value</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4,224</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Increase (decrease) in cash from changes in:</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(25,021)</w:t>
            </w: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Inventories and prepaid expenses and other assets</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320</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ind w:right="420"/>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(14,274)</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(14,227)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48,765</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3"/>
          </w:tcPr>
          <w:p>
            <w:pPr>
              <w:jc w:val="right"/>
              <w:ind w:right="420"/>
              <w:spacing w:after="0"/>
              <w:rPr>
                <w:sz w:val="20"/>
                <w:szCs w:val="20"/>
                <w:color w:val="auto"/>
              </w:rPr>
            </w:pPr>
            <w:r>
              <w:rPr>
                <w:rFonts w:ascii="Arial" w:cs="Arial" w:eastAsia="Arial" w:hAnsi="Arial"/>
                <w:sz w:val="18"/>
                <w:szCs w:val="18"/>
                <w:color w:val="auto"/>
              </w:rPr>
              <w:t>(6,886)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41,879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operating activities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85,737</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(5,340)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80,402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Capital expenditures, net of construction payables and retention</w:t>
            </w:r>
          </w:p>
        </w:tc>
        <w:tc>
          <w:tcPr>
            <w:tcW w:w="80" w:type="dxa"/>
            <w:vAlign w:val="bottom"/>
          </w:tcPr>
          <w:p>
            <w:pPr>
              <w:spacing w:after="0"/>
              <w:rPr>
                <w:sz w:val="18"/>
                <w:szCs w:val="18"/>
                <w:color w:val="auto"/>
              </w:rPr>
            </w:pPr>
          </w:p>
        </w:tc>
        <w:tc>
          <w:tcPr>
            <w:tcW w:w="1120" w:type="dxa"/>
            <w:vAlign w:val="bottom"/>
            <w:gridSpan w:val="3"/>
          </w:tcPr>
          <w:p>
            <w:pPr>
              <w:jc w:val="right"/>
              <w:ind w:right="420"/>
              <w:spacing w:after="0"/>
              <w:rPr>
                <w:sz w:val="20"/>
                <w:szCs w:val="20"/>
                <w:color w:val="auto"/>
              </w:rPr>
            </w:pPr>
            <w:r>
              <w:rPr>
                <w:rFonts w:ascii="Arial" w:cs="Arial" w:eastAsia="Arial" w:hAnsi="Arial"/>
                <w:sz w:val="18"/>
                <w:szCs w:val="18"/>
                <w:color w:val="auto"/>
                <w:w w:val="88"/>
              </w:rPr>
              <w:t>(244,904)</w:t>
            </w:r>
          </w:p>
        </w:tc>
        <w:tc>
          <w:tcPr>
            <w:tcW w:w="180" w:type="dxa"/>
            <w:vAlign w:val="bottom"/>
          </w:tcPr>
          <w:p>
            <w:pPr>
              <w:spacing w:after="0"/>
              <w:rPr>
                <w:sz w:val="18"/>
                <w:szCs w:val="18"/>
                <w:color w:val="auto"/>
              </w:rPr>
            </w:pPr>
          </w:p>
        </w:tc>
        <w:tc>
          <w:tcPr>
            <w:tcW w:w="1020" w:type="dxa"/>
            <w:vAlign w:val="bottom"/>
            <w:gridSpan w:val="3"/>
          </w:tcPr>
          <w:p>
            <w:pPr>
              <w:jc w:val="right"/>
              <w:ind w:right="420"/>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(245,040)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Deposits and other assets</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(3,810)</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8,088</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Due to affiliates, net</w:t>
            </w:r>
          </w:p>
        </w:tc>
        <w:tc>
          <w:tcPr>
            <w:tcW w:w="80" w:type="dxa"/>
            <w:vAlign w:val="bottom"/>
          </w:tcPr>
          <w:p>
            <w:pPr>
              <w:spacing w:after="0"/>
              <w:rPr>
                <w:sz w:val="18"/>
                <w:szCs w:val="18"/>
                <w:color w:val="auto"/>
              </w:rPr>
            </w:pPr>
          </w:p>
        </w:tc>
        <w:tc>
          <w:tcPr>
            <w:tcW w:w="1120" w:type="dxa"/>
            <w:vAlign w:val="bottom"/>
            <w:gridSpan w:val="3"/>
          </w:tcPr>
          <w:p>
            <w:pPr>
              <w:jc w:val="right"/>
              <w:ind w:right="420"/>
              <w:spacing w:after="0"/>
              <w:rPr>
                <w:sz w:val="20"/>
                <w:szCs w:val="20"/>
                <w:color w:val="auto"/>
              </w:rPr>
            </w:pPr>
            <w:r>
              <w:rPr>
                <w:rFonts w:ascii="Arial" w:cs="Arial" w:eastAsia="Arial" w:hAnsi="Arial"/>
                <w:sz w:val="18"/>
                <w:szCs w:val="18"/>
                <w:color w:val="auto"/>
              </w:rPr>
              <w:t>(7,607)</w:t>
            </w:r>
          </w:p>
        </w:tc>
        <w:tc>
          <w:tcPr>
            <w:tcW w:w="180" w:type="dxa"/>
            <w:vAlign w:val="bottom"/>
          </w:tcPr>
          <w:p>
            <w:pPr>
              <w:spacing w:after="0"/>
              <w:rPr>
                <w:sz w:val="18"/>
                <w:szCs w:val="18"/>
                <w:color w:val="auto"/>
              </w:rPr>
            </w:pPr>
          </w:p>
        </w:tc>
        <w:tc>
          <w:tcPr>
            <w:tcW w:w="1020" w:type="dxa"/>
            <w:vAlign w:val="bottom"/>
            <w:gridSpan w:val="3"/>
          </w:tcPr>
          <w:p>
            <w:pPr>
              <w:jc w:val="right"/>
              <w:ind w:right="420"/>
              <w:spacing w:after="0"/>
              <w:rPr>
                <w:sz w:val="20"/>
                <w:szCs w:val="20"/>
                <w:color w:val="auto"/>
              </w:rPr>
            </w:pPr>
            <w:r>
              <w:rPr>
                <w:rFonts w:ascii="Arial" w:cs="Arial" w:eastAsia="Arial" w:hAnsi="Arial"/>
                <w:sz w:val="18"/>
                <w:szCs w:val="18"/>
                <w:color w:val="auto"/>
              </w:rPr>
              <w:t>(861)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(8,468)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of assets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investing activities</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w w:val="88"/>
              </w:rPr>
              <w:t>(256,279)</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7,091</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8"/>
              </w:rPr>
              <w:t>(249,188)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Principal payments on long-term debt</w:t>
            </w:r>
          </w:p>
        </w:tc>
        <w:tc>
          <w:tcPr>
            <w:tcW w:w="80" w:type="dxa"/>
            <w:vAlign w:val="bottom"/>
          </w:tcPr>
          <w:p>
            <w:pPr>
              <w:spacing w:after="0"/>
              <w:rPr>
                <w:sz w:val="18"/>
                <w:szCs w:val="18"/>
                <w:color w:val="auto"/>
              </w:rPr>
            </w:pPr>
          </w:p>
        </w:tc>
        <w:tc>
          <w:tcPr>
            <w:tcW w:w="1120" w:type="dxa"/>
            <w:vAlign w:val="bottom"/>
            <w:gridSpan w:val="3"/>
          </w:tcPr>
          <w:p>
            <w:pPr>
              <w:jc w:val="right"/>
              <w:ind w:right="420"/>
              <w:spacing w:after="0"/>
              <w:rPr>
                <w:sz w:val="20"/>
                <w:szCs w:val="20"/>
                <w:color w:val="auto"/>
              </w:rPr>
            </w:pPr>
            <w:r>
              <w:rPr>
                <w:rFonts w:ascii="Arial" w:cs="Arial" w:eastAsia="Arial" w:hAnsi="Arial"/>
                <w:sz w:val="18"/>
                <w:szCs w:val="18"/>
                <w:color w:val="auto"/>
                <w:w w:val="88"/>
              </w:rPr>
              <w:t>(928,509)</w:t>
            </w:r>
          </w:p>
        </w:tc>
        <w:tc>
          <w:tcPr>
            <w:tcW w:w="180" w:type="dxa"/>
            <w:vAlign w:val="bottom"/>
          </w:tcPr>
          <w:p>
            <w:pPr>
              <w:spacing w:after="0"/>
              <w:rPr>
                <w:sz w:val="18"/>
                <w:szCs w:val="18"/>
                <w:color w:val="auto"/>
              </w:rPr>
            </w:pPr>
          </w:p>
        </w:tc>
        <w:tc>
          <w:tcPr>
            <w:tcW w:w="1020" w:type="dxa"/>
            <w:vAlign w:val="bottom"/>
            <w:gridSpan w:val="3"/>
          </w:tcPr>
          <w:p>
            <w:pPr>
              <w:jc w:val="right"/>
              <w:ind w:right="420"/>
              <w:spacing w:after="0"/>
              <w:rPr>
                <w:sz w:val="20"/>
                <w:szCs w:val="20"/>
                <w:color w:val="auto"/>
              </w:rPr>
            </w:pPr>
            <w:r>
              <w:rPr>
                <w:rFonts w:ascii="Arial" w:cs="Arial" w:eastAsia="Arial" w:hAnsi="Arial"/>
                <w:sz w:val="18"/>
                <w:szCs w:val="18"/>
                <w:color w:val="auto"/>
              </w:rPr>
              <w:t>(1,400)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(929,909)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long-term debt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649,481</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649,481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Capital contribution from the Parent</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412,951</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412,951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of deferred financing costs</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(20,698)</w:t>
            </w: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(20,698)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financing activities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113,225</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(1,400)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111,825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Increase (decrease) in cash and cash equivalents</w:t>
            </w:r>
          </w:p>
        </w:tc>
        <w:tc>
          <w:tcPr>
            <w:tcW w:w="80" w:type="dxa"/>
            <w:vAlign w:val="bottom"/>
          </w:tcPr>
          <w:p>
            <w:pPr>
              <w:spacing w:after="0"/>
              <w:rPr>
                <w:sz w:val="18"/>
                <w:szCs w:val="18"/>
                <w:color w:val="auto"/>
              </w:rPr>
            </w:pPr>
          </w:p>
        </w:tc>
        <w:tc>
          <w:tcPr>
            <w:tcW w:w="1120" w:type="dxa"/>
            <w:vAlign w:val="bottom"/>
            <w:gridSpan w:val="3"/>
          </w:tcPr>
          <w:p>
            <w:pPr>
              <w:jc w:val="right"/>
              <w:ind w:right="420"/>
              <w:spacing w:after="0"/>
              <w:rPr>
                <w:sz w:val="20"/>
                <w:szCs w:val="20"/>
                <w:color w:val="auto"/>
              </w:rPr>
            </w:pPr>
            <w:r>
              <w:rPr>
                <w:rFonts w:ascii="Arial" w:cs="Arial" w:eastAsia="Arial" w:hAnsi="Arial"/>
                <w:sz w:val="18"/>
                <w:szCs w:val="18"/>
                <w:color w:val="auto"/>
              </w:rPr>
              <w:t>(57,317)</w:t>
            </w: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351</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(56,961)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beginning of period</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123,315</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123,315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65,998</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w:t>
            </w:r>
          </w:p>
        </w:tc>
        <w:tc>
          <w:tcPr>
            <w:tcW w:w="4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66,354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-29210</wp:posOffset>
            </wp:positionV>
            <wp:extent cx="12700" cy="298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-29210</wp:posOffset>
            </wp:positionV>
            <wp:extent cx="21590" cy="298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-29210</wp:posOffset>
            </wp:positionV>
            <wp:extent cx="38735" cy="298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-29210</wp:posOffset>
            </wp:positionV>
            <wp:extent cx="12700" cy="298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-29210</wp:posOffset>
            </wp:positionV>
            <wp:extent cx="21590" cy="298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-29210</wp:posOffset>
            </wp:positionV>
            <wp:extent cx="38735" cy="298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-29210</wp:posOffset>
            </wp:positionV>
            <wp:extent cx="12700" cy="298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12700" cy="298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-29210</wp:posOffset>
            </wp:positionV>
            <wp:extent cx="21590" cy="298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-29210</wp:posOffset>
            </wp:positionV>
            <wp:extent cx="12700" cy="298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21590" cy="298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-29210</wp:posOffset>
            </wp:positionV>
            <wp:extent cx="38735" cy="298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-29210</wp:posOffset>
            </wp:positionV>
            <wp:extent cx="12700" cy="298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-29210</wp:posOffset>
            </wp:positionV>
            <wp:extent cx="21590" cy="298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F-30</w:t>
      </w:r>
    </w:p>
    <w:p>
      <w:pPr>
        <w:sectPr>
          <w:pgSz w:w="11900" w:h="16838" w:orient="portrait"/>
          <w:cols w:equalWidth="0" w:num="1">
            <w:col w:w="11420"/>
          </w:cols>
          <w:pgMar w:left="240" w:top="460" w:right="239" w:bottom="1440" w:gutter="0" w:footer="0" w:header="0"/>
          <w:type w:val="continuous"/>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w w:val="97"/>
              </w:rPr>
              <w:t>Guarantor</w:t>
            </w:r>
          </w:p>
        </w:tc>
        <w:tc>
          <w:tcPr>
            <w:tcW w:w="1420" w:type="dxa"/>
            <w:vAlign w:val="bottom"/>
            <w:gridSpan w:val="4"/>
          </w:tcPr>
          <w:p>
            <w:pPr>
              <w:spacing w:after="0"/>
              <w:rPr>
                <w:sz w:val="20"/>
                <w:szCs w:val="20"/>
                <w:color w:val="auto"/>
              </w:rPr>
            </w:pPr>
            <w:r>
              <w:rPr>
                <w:rFonts w:ascii="Arial" w:cs="Arial" w:eastAsia="Arial" w:hAnsi="Arial"/>
                <w:sz w:val="14"/>
                <w:szCs w:val="14"/>
                <w:b w:val="1"/>
                <w:bCs w:val="1"/>
                <w:color w:val="auto"/>
              </w:rPr>
              <w:t>Non-guarantor</w:t>
            </w:r>
          </w:p>
        </w:tc>
        <w:tc>
          <w:tcPr>
            <w:tcW w:w="124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rPr>
              <w:t>Issuers</w:t>
            </w: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5"/>
                <w:szCs w:val="15"/>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5"/>
                <w:szCs w:val="15"/>
                <w:color w:val="auto"/>
              </w:rPr>
            </w:pPr>
          </w:p>
        </w:tc>
        <w:tc>
          <w:tcPr>
            <w:tcW w:w="112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5"/>
                <w:szCs w:val="15"/>
                <w:color w:val="auto"/>
              </w:rPr>
            </w:pPr>
          </w:p>
        </w:tc>
        <w:tc>
          <w:tcPr>
            <w:tcW w:w="8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Net (loss)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3"/>
          </w:tcPr>
          <w:p>
            <w:pPr>
              <w:jc w:val="right"/>
              <w:ind w:right="500"/>
              <w:spacing w:after="0"/>
              <w:rPr>
                <w:sz w:val="20"/>
                <w:szCs w:val="20"/>
                <w:color w:val="auto"/>
              </w:rPr>
            </w:pPr>
            <w:r>
              <w:rPr>
                <w:rFonts w:ascii="Arial" w:cs="Arial" w:eastAsia="Arial" w:hAnsi="Arial"/>
                <w:sz w:val="18"/>
                <w:szCs w:val="18"/>
                <w:color w:val="auto"/>
              </w:rPr>
              <w:t>(129,794)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500"/>
              <w:spacing w:after="0"/>
              <w:rPr>
                <w:sz w:val="20"/>
                <w:szCs w:val="20"/>
                <w:color w:val="auto"/>
              </w:rPr>
            </w:pPr>
            <w:r>
              <w:rPr>
                <w:rFonts w:ascii="Arial" w:cs="Arial" w:eastAsia="Arial" w:hAnsi="Arial"/>
                <w:sz w:val="18"/>
                <w:szCs w:val="18"/>
                <w:color w:val="auto"/>
              </w:rPr>
              <w:t>(5,730)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ind w:left="520"/>
              <w:spacing w:after="0"/>
              <w:rPr>
                <w:sz w:val="20"/>
                <w:szCs w:val="20"/>
                <w:color w:val="auto"/>
              </w:rPr>
            </w:pPr>
            <w:r>
              <w:rPr>
                <w:rFonts w:ascii="Arial" w:cs="Arial" w:eastAsia="Arial" w:hAnsi="Arial"/>
                <w:sz w:val="18"/>
                <w:szCs w:val="18"/>
                <w:color w:val="auto"/>
                <w:w w:val="99"/>
              </w:rPr>
              <w:t>617</w:t>
            </w:r>
          </w:p>
        </w:tc>
        <w:tc>
          <w:tcPr>
            <w:tcW w:w="5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5,113</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(129,794)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w w:val="99"/>
              </w:rPr>
              <w:t>Adjustments to reconcile net (loss) income to net cash provided</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by (used in) operating activities:</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165,121</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4,519</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169,640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9,502</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Amortization and writeoff of deferred financing costs and</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11,078</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3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11,078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income (loss) from unconsolidated affiliates, net of</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distributions</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5,113</w:t>
            </w: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(5,113)</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Provision for doubtful accounts</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24,887</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24,887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21,916</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Decrease in swap fair value</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416</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cash from changes in:</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Receivables</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20,309</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right"/>
              <w:ind w:right="50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20,342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 and prepaid expenses and other assets</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(38,691)</w:t>
            </w: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22,327</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65</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22,392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29,739</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(7,284)</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141,923</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(7,395)</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612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135,140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Capital expenditures, net of construction payables and</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retentions</w:t>
            </w:r>
          </w:p>
        </w:tc>
        <w:tc>
          <w:tcPr>
            <w:tcW w:w="100" w:type="dxa"/>
            <w:vAlign w:val="bottom"/>
          </w:tcPr>
          <w:p>
            <w:pPr>
              <w:spacing w:after="0"/>
              <w:rPr>
                <w:sz w:val="19"/>
                <w:szCs w:val="19"/>
                <w:color w:val="auto"/>
              </w:rPr>
            </w:pPr>
          </w:p>
        </w:tc>
        <w:tc>
          <w:tcPr>
            <w:tcW w:w="1320" w:type="dxa"/>
            <w:vAlign w:val="bottom"/>
            <w:gridSpan w:val="3"/>
          </w:tcPr>
          <w:p>
            <w:pPr>
              <w:jc w:val="right"/>
              <w:ind w:right="500"/>
              <w:spacing w:after="0"/>
              <w:rPr>
                <w:sz w:val="20"/>
                <w:szCs w:val="20"/>
                <w:color w:val="auto"/>
              </w:rPr>
            </w:pPr>
            <w:r>
              <w:rPr>
                <w:rFonts w:ascii="Arial" w:cs="Arial" w:eastAsia="Arial" w:hAnsi="Arial"/>
                <w:sz w:val="18"/>
                <w:szCs w:val="18"/>
                <w:color w:val="auto"/>
                <w:w w:val="86"/>
              </w:rPr>
              <w:t>(1,128,089)</w:t>
            </w:r>
          </w:p>
        </w:tc>
        <w:tc>
          <w:tcPr>
            <w:tcW w:w="160" w:type="dxa"/>
            <w:vAlign w:val="bottom"/>
          </w:tcPr>
          <w:p>
            <w:pPr>
              <w:spacing w:after="0"/>
              <w:rPr>
                <w:sz w:val="19"/>
                <w:szCs w:val="19"/>
                <w:color w:val="auto"/>
              </w:rPr>
            </w:pPr>
          </w:p>
        </w:tc>
        <w:tc>
          <w:tcPr>
            <w:tcW w:w="1120" w:type="dxa"/>
            <w:vAlign w:val="bottom"/>
            <w:gridSpan w:val="3"/>
          </w:tcPr>
          <w:p>
            <w:pPr>
              <w:jc w:val="right"/>
              <w:ind w:right="500"/>
              <w:spacing w:after="0"/>
              <w:rPr>
                <w:sz w:val="20"/>
                <w:szCs w:val="20"/>
                <w:color w:val="auto"/>
              </w:rPr>
            </w:pPr>
            <w:r>
              <w:rPr>
                <w:rFonts w:ascii="Arial" w:cs="Arial" w:eastAsia="Arial" w:hAnsi="Arial"/>
                <w:sz w:val="18"/>
                <w:szCs w:val="18"/>
                <w:color w:val="auto"/>
              </w:rPr>
              <w:t>(1,436)</w:t>
            </w:r>
          </w:p>
        </w:tc>
        <w:tc>
          <w:tcPr>
            <w:tcW w:w="80" w:type="dxa"/>
            <w:vAlign w:val="bottom"/>
          </w:tcPr>
          <w:p>
            <w:pPr>
              <w:spacing w:after="0"/>
              <w:rPr>
                <w:sz w:val="19"/>
                <w:szCs w:val="19"/>
                <w:color w:val="auto"/>
              </w:rPr>
            </w:pPr>
          </w:p>
        </w:tc>
        <w:tc>
          <w:tcPr>
            <w:tcW w:w="13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w w:val="89"/>
              </w:rPr>
              <w:t>(1,129,525)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cash and investments</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31,052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31,052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Note receivable from Wynn Resorts, Limited</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80,000</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(26,161)</w:t>
            </w: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(8,900)</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31,044</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19,166</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right"/>
              <w:ind w:right="500"/>
              <w:spacing w:after="0"/>
              <w:rPr>
                <w:sz w:val="20"/>
                <w:szCs w:val="20"/>
                <w:color w:val="auto"/>
              </w:rPr>
            </w:pPr>
            <w:r>
              <w:rPr>
                <w:rFonts w:ascii="Arial" w:cs="Arial" w:eastAsia="Arial" w:hAnsi="Arial"/>
                <w:sz w:val="18"/>
                <w:szCs w:val="18"/>
                <w:color w:val="auto"/>
              </w:rPr>
              <w:t>(31,664)</w:t>
            </w: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18,546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of assets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2,537</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86"/>
              </w:rPr>
              <w:t>(1,040,669)</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8,830</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(612)</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9"/>
              </w:rPr>
              <w:t>(1,032,451)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Principal payments on long-term debt</w:t>
            </w:r>
          </w:p>
        </w:tc>
        <w:tc>
          <w:tcPr>
            <w:tcW w:w="100" w:type="dxa"/>
            <w:vAlign w:val="bottom"/>
          </w:tcPr>
          <w:p>
            <w:pPr>
              <w:spacing w:after="0"/>
              <w:rPr>
                <w:sz w:val="18"/>
                <w:szCs w:val="18"/>
                <w:color w:val="auto"/>
              </w:rPr>
            </w:pPr>
          </w:p>
        </w:tc>
        <w:tc>
          <w:tcPr>
            <w:tcW w:w="13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3"/>
          </w:tcPr>
          <w:p>
            <w:pPr>
              <w:jc w:val="right"/>
              <w:ind w:right="500"/>
              <w:spacing w:after="0"/>
              <w:rPr>
                <w:sz w:val="20"/>
                <w:szCs w:val="20"/>
                <w:color w:val="auto"/>
              </w:rPr>
            </w:pPr>
            <w:r>
              <w:rPr>
                <w:rFonts w:ascii="Arial" w:cs="Arial" w:eastAsia="Arial" w:hAnsi="Arial"/>
                <w:sz w:val="18"/>
                <w:szCs w:val="18"/>
                <w:color w:val="auto"/>
              </w:rPr>
              <w:t>(1,400)</w:t>
            </w:r>
          </w:p>
        </w:tc>
        <w:tc>
          <w:tcPr>
            <w:tcW w:w="80" w:type="dxa"/>
            <w:vAlign w:val="bottom"/>
          </w:tcPr>
          <w:p>
            <w:pPr>
              <w:spacing w:after="0"/>
              <w:rPr>
                <w:sz w:val="18"/>
                <w:szCs w:val="18"/>
                <w:color w:val="auto"/>
              </w:rPr>
            </w:pPr>
          </w:p>
        </w:tc>
        <w:tc>
          <w:tcPr>
            <w:tcW w:w="13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879,484</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879,484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Payments of deferred financing costs</w:t>
            </w:r>
          </w:p>
        </w:tc>
        <w:tc>
          <w:tcPr>
            <w:tcW w:w="100" w:type="dxa"/>
            <w:vAlign w:val="bottom"/>
          </w:tcPr>
          <w:p>
            <w:pPr>
              <w:spacing w:after="0"/>
              <w:rPr>
                <w:sz w:val="19"/>
                <w:szCs w:val="19"/>
                <w:color w:val="auto"/>
              </w:rPr>
            </w:pPr>
          </w:p>
        </w:tc>
        <w:tc>
          <w:tcPr>
            <w:tcW w:w="1320" w:type="dxa"/>
            <w:vAlign w:val="bottom"/>
            <w:gridSpan w:val="3"/>
          </w:tcPr>
          <w:p>
            <w:pPr>
              <w:jc w:val="right"/>
              <w:ind w:right="500"/>
              <w:spacing w:after="0"/>
              <w:rPr>
                <w:sz w:val="20"/>
                <w:szCs w:val="20"/>
                <w:color w:val="auto"/>
              </w:rPr>
            </w:pPr>
            <w:r>
              <w:rPr>
                <w:rFonts w:ascii="Arial" w:cs="Arial" w:eastAsia="Arial" w:hAnsi="Arial"/>
                <w:sz w:val="18"/>
                <w:szCs w:val="18"/>
                <w:color w:val="auto"/>
              </w:rPr>
              <w:t>(3,979)</w:t>
            </w:r>
          </w:p>
        </w:tc>
        <w:tc>
          <w:tcPr>
            <w:tcW w:w="160" w:type="dxa"/>
            <w:vAlign w:val="bottom"/>
          </w:tcPr>
          <w:p>
            <w:pPr>
              <w:spacing w:after="0"/>
              <w:rPr>
                <w:sz w:val="19"/>
                <w:szCs w:val="19"/>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3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(3,979)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875,505</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(1,400)</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874,105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(Decrease) increase in cash and cash equivalents</w:t>
            </w:r>
          </w:p>
        </w:tc>
        <w:tc>
          <w:tcPr>
            <w:tcW w:w="100" w:type="dxa"/>
            <w:vAlign w:val="bottom"/>
          </w:tcPr>
          <w:p>
            <w:pPr>
              <w:spacing w:after="0"/>
              <w:rPr>
                <w:sz w:val="18"/>
                <w:szCs w:val="18"/>
                <w:color w:val="auto"/>
              </w:rPr>
            </w:pPr>
          </w:p>
        </w:tc>
        <w:tc>
          <w:tcPr>
            <w:tcW w:w="1320" w:type="dxa"/>
            <w:vAlign w:val="bottom"/>
            <w:gridSpan w:val="3"/>
          </w:tcPr>
          <w:p>
            <w:pPr>
              <w:jc w:val="right"/>
              <w:ind w:right="500"/>
              <w:spacing w:after="0"/>
              <w:rPr>
                <w:sz w:val="20"/>
                <w:szCs w:val="20"/>
                <w:color w:val="auto"/>
              </w:rPr>
            </w:pPr>
            <w:r>
              <w:rPr>
                <w:rFonts w:ascii="Arial" w:cs="Arial" w:eastAsia="Arial" w:hAnsi="Arial"/>
                <w:sz w:val="18"/>
                <w:szCs w:val="18"/>
                <w:color w:val="auto"/>
              </w:rPr>
              <w:t>(23,241)</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(23,206)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beginning of period</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146,556</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146,521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123,315</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3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123,315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3227705</wp:posOffset>
            </wp:positionH>
            <wp:positionV relativeFrom="paragraph">
              <wp:posOffset>-29210</wp:posOffset>
            </wp:positionV>
            <wp:extent cx="12700" cy="298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-29210</wp:posOffset>
            </wp:positionV>
            <wp:extent cx="21590" cy="298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-29210</wp:posOffset>
            </wp:positionV>
            <wp:extent cx="38735" cy="298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-29210</wp:posOffset>
            </wp:positionV>
            <wp:extent cx="12700" cy="298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-29210</wp:posOffset>
            </wp:positionV>
            <wp:extent cx="21590" cy="298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-29210</wp:posOffset>
            </wp:positionV>
            <wp:extent cx="38735" cy="298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-29210</wp:posOffset>
            </wp:positionV>
            <wp:extent cx="12700" cy="298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-29210</wp:posOffset>
            </wp:positionV>
            <wp:extent cx="21590" cy="298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-29210</wp:posOffset>
            </wp:positionV>
            <wp:extent cx="38735" cy="298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-29210</wp:posOffset>
            </wp:positionV>
            <wp:extent cx="12700" cy="298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-29210</wp:posOffset>
            </wp:positionV>
            <wp:extent cx="21590" cy="298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-29210</wp:posOffset>
            </wp:positionV>
            <wp:extent cx="38735" cy="298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-29210</wp:posOffset>
            </wp:positionV>
            <wp:extent cx="12700" cy="298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-29210</wp:posOffset>
            </wp:positionV>
            <wp:extent cx="21590" cy="298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F-31</w:t>
      </w:r>
    </w:p>
    <w:p>
      <w:pPr>
        <w:sectPr>
          <w:pgSz w:w="11900" w:h="16838" w:orient="portrait"/>
          <w:cols w:equalWidth="0" w:num="1">
            <w:col w:w="11420"/>
          </w:cols>
          <w:pgMar w:left="240" w:top="459" w:right="239" w:bottom="1440" w:gutter="0" w:footer="0" w:header="0"/>
          <w:type w:val="continuous"/>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97"/>
              </w:rPr>
              <w:t>Guarantor</w:t>
            </w:r>
          </w:p>
        </w:tc>
        <w:tc>
          <w:tcPr>
            <w:tcW w:w="20" w:type="dxa"/>
            <w:vAlign w:val="bottom"/>
          </w:tcPr>
          <w:p>
            <w:pPr>
              <w:spacing w:after="0"/>
              <w:rPr>
                <w:sz w:val="14"/>
                <w:szCs w:val="14"/>
                <w:color w:val="auto"/>
              </w:rPr>
            </w:pPr>
          </w:p>
        </w:tc>
        <w:tc>
          <w:tcPr>
            <w:tcW w:w="1340" w:type="dxa"/>
            <w:vAlign w:val="bottom"/>
            <w:gridSpan w:val="5"/>
          </w:tcPr>
          <w:p>
            <w:pPr>
              <w:spacing w:after="0"/>
              <w:rPr>
                <w:sz w:val="20"/>
                <w:szCs w:val="20"/>
                <w:color w:val="auto"/>
              </w:rPr>
            </w:pPr>
            <w:r>
              <w:rPr>
                <w:rFonts w:ascii="Arial" w:cs="Arial" w:eastAsia="Arial" w:hAnsi="Arial"/>
                <w:sz w:val="14"/>
                <w:szCs w:val="14"/>
                <w:b w:val="1"/>
                <w:bCs w:val="1"/>
                <w:color w:val="auto"/>
              </w:rPr>
              <w:t>Non-guarantor</w:t>
            </w:r>
          </w:p>
        </w:tc>
        <w:tc>
          <w:tcPr>
            <w:tcW w:w="116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Issuers</w:t>
            </w: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w w:val="81"/>
              </w:rPr>
              <w:t>Subsidiaries</w:t>
            </w:r>
          </w:p>
        </w:tc>
        <w:tc>
          <w:tcPr>
            <w:tcW w:w="120" w:type="dxa"/>
            <w:vAlign w:val="bottom"/>
          </w:tcPr>
          <w:p>
            <w:pPr>
              <w:spacing w:after="0"/>
              <w:rPr>
                <w:sz w:val="15"/>
                <w:szCs w:val="15"/>
                <w:color w:val="auto"/>
              </w:rPr>
            </w:pPr>
          </w:p>
        </w:tc>
        <w:tc>
          <w:tcPr>
            <w:tcW w:w="104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88"/>
              </w:rPr>
              <w:t>Entries</w:t>
            </w:r>
          </w:p>
        </w:tc>
        <w:tc>
          <w:tcPr>
            <w:tcW w:w="8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Net income (loss)</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$ 124,219</w:t>
            </w:r>
          </w:p>
        </w:tc>
        <w:tc>
          <w:tcPr>
            <w:tcW w:w="4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400"/>
              <w:spacing w:after="0"/>
              <w:rPr>
                <w:sz w:val="20"/>
                <w:szCs w:val="20"/>
                <w:color w:val="auto"/>
              </w:rPr>
            </w:pPr>
            <w:r>
              <w:rPr>
                <w:rFonts w:ascii="Arial" w:cs="Arial" w:eastAsia="Arial" w:hAnsi="Arial"/>
                <w:sz w:val="18"/>
                <w:szCs w:val="18"/>
                <w:color w:val="auto"/>
              </w:rPr>
              <w:t>(6,109)</w:t>
            </w:r>
          </w:p>
        </w:tc>
        <w:tc>
          <w:tcPr>
            <w:tcW w:w="100" w:type="dxa"/>
            <w:vAlign w:val="bottom"/>
            <w:gridSpan w:val="2"/>
          </w:tcPr>
          <w:p>
            <w:pPr>
              <w:ind w:left="2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1,891</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4,218</w:t>
            </w:r>
          </w:p>
        </w:tc>
        <w:tc>
          <w:tcPr>
            <w:tcW w:w="4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$ 124,219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w w:val="91"/>
              </w:rPr>
              <w:t>Adjustments to reconcile net income (loss) to net cash provided by (used</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 operating activities:</w:t>
            </w: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147,413</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5,426</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152,839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8,031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Loss from extinguishment of debt</w:t>
            </w:r>
          </w:p>
        </w:tc>
        <w:tc>
          <w:tcPr>
            <w:tcW w:w="340" w:type="dxa"/>
            <w:vAlign w:val="bottom"/>
          </w:tcPr>
          <w:p>
            <w:pPr>
              <w:spacing w:after="0"/>
              <w:rPr>
                <w:sz w:val="18"/>
                <w:szCs w:val="18"/>
                <w:color w:val="auto"/>
              </w:rPr>
            </w:pPr>
          </w:p>
        </w:tc>
        <w:tc>
          <w:tcPr>
            <w:tcW w:w="120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157</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and writeoff of deferred financing costs and other</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10,795</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Equity in income (loss) from unconsolidated affiliates, net of</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distributions</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4,218</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431</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3"/>
          </w:tcPr>
          <w:p>
            <w:pPr>
              <w:jc w:val="right"/>
              <w:ind w:right="420"/>
              <w:spacing w:after="0"/>
              <w:rPr>
                <w:sz w:val="20"/>
                <w:szCs w:val="20"/>
                <w:color w:val="auto"/>
              </w:rPr>
            </w:pPr>
            <w:r>
              <w:rPr>
                <w:rFonts w:ascii="Arial" w:cs="Arial" w:eastAsia="Arial" w:hAnsi="Arial"/>
                <w:sz w:val="18"/>
                <w:szCs w:val="18"/>
                <w:color w:val="auto"/>
              </w:rPr>
              <w:t>(4,218)</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21,139</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Property charges and other</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6,005</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6,005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Decrease in swap fair value</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4,372</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Increase (decrease) in cash from changes in:</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w:t>
            </w:r>
          </w:p>
        </w:tc>
        <w:tc>
          <w:tcPr>
            <w:tcW w:w="154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(41,744)</w:t>
            </w: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Inventories and prepaid expenses and other assets</w:t>
            </w:r>
          </w:p>
        </w:tc>
        <w:tc>
          <w:tcPr>
            <w:tcW w:w="1540" w:type="dxa"/>
            <w:vAlign w:val="bottom"/>
            <w:gridSpan w:val="4"/>
          </w:tcPr>
          <w:p>
            <w:pPr>
              <w:jc w:val="right"/>
              <w:ind w:right="420"/>
              <w:spacing w:after="0"/>
              <w:rPr>
                <w:sz w:val="20"/>
                <w:szCs w:val="20"/>
                <w:color w:val="auto"/>
              </w:rPr>
            </w:pPr>
            <w:r>
              <w:rPr>
                <w:rFonts w:ascii="Arial" w:cs="Arial" w:eastAsia="Arial" w:hAnsi="Arial"/>
                <w:sz w:val="18"/>
                <w:szCs w:val="18"/>
                <w:color w:val="auto"/>
              </w:rPr>
              <w:t>(7,252)</w:t>
            </w: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230</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(7,022)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35,963</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36,052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7,642</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3"/>
          </w:tcPr>
          <w:p>
            <w:pPr>
              <w:jc w:val="right"/>
              <w:ind w:right="400"/>
              <w:spacing w:after="0"/>
              <w:rPr>
                <w:sz w:val="20"/>
                <w:szCs w:val="20"/>
                <w:color w:val="auto"/>
              </w:rPr>
            </w:pPr>
            <w:r>
              <w:rPr>
                <w:rFonts w:ascii="Arial" w:cs="Arial" w:eastAsia="Arial" w:hAnsi="Arial"/>
                <w:sz w:val="18"/>
                <w:szCs w:val="18"/>
                <w:color w:val="auto"/>
              </w:rPr>
              <w:t>(7,177)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operating activities</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320,801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(6,978)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315,714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w w:val="98"/>
              </w:rPr>
              <w:t>Capital expenditures, net of construction payables and retentions</w:t>
            </w:r>
          </w:p>
        </w:tc>
        <w:tc>
          <w:tcPr>
            <w:tcW w:w="1540" w:type="dxa"/>
            <w:vAlign w:val="bottom"/>
            <w:gridSpan w:val="4"/>
          </w:tcPr>
          <w:p>
            <w:pPr>
              <w:jc w:val="right"/>
              <w:ind w:right="420"/>
              <w:spacing w:after="0"/>
              <w:rPr>
                <w:sz w:val="20"/>
                <w:szCs w:val="20"/>
                <w:color w:val="auto"/>
              </w:rPr>
            </w:pPr>
            <w:r>
              <w:rPr>
                <w:rFonts w:ascii="Arial" w:cs="Arial" w:eastAsia="Arial" w:hAnsi="Arial"/>
                <w:sz w:val="18"/>
                <w:szCs w:val="18"/>
                <w:color w:val="auto"/>
              </w:rPr>
              <w:t>(667,060)</w:t>
            </w:r>
          </w:p>
        </w:tc>
        <w:tc>
          <w:tcPr>
            <w:tcW w:w="140" w:type="dxa"/>
            <w:vAlign w:val="bottom"/>
          </w:tcPr>
          <w:p>
            <w:pPr>
              <w:spacing w:after="0"/>
              <w:rPr>
                <w:sz w:val="18"/>
                <w:szCs w:val="18"/>
                <w:color w:val="auto"/>
              </w:rPr>
            </w:pPr>
          </w:p>
        </w:tc>
        <w:tc>
          <w:tcPr>
            <w:tcW w:w="1040" w:type="dxa"/>
            <w:vAlign w:val="bottom"/>
            <w:gridSpan w:val="3"/>
          </w:tcPr>
          <w:p>
            <w:pPr>
              <w:jc w:val="right"/>
              <w:ind w:right="400"/>
              <w:spacing w:after="0"/>
              <w:rPr>
                <w:sz w:val="20"/>
                <w:szCs w:val="20"/>
                <w:color w:val="auto"/>
              </w:rPr>
            </w:pPr>
            <w:r>
              <w:rPr>
                <w:rFonts w:ascii="Arial" w:cs="Arial" w:eastAsia="Arial" w:hAnsi="Arial"/>
                <w:sz w:val="18"/>
                <w:szCs w:val="18"/>
                <w:color w:val="auto"/>
                <w:w w:val="92"/>
              </w:rPr>
              <w:t>(11,420)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(678,480)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cash and investments</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143,586</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22,879</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166,465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Deposits and other assets</w:t>
            </w:r>
          </w:p>
        </w:tc>
        <w:tc>
          <w:tcPr>
            <w:tcW w:w="1540" w:type="dxa"/>
            <w:vAlign w:val="bottom"/>
            <w:gridSpan w:val="4"/>
          </w:tcPr>
          <w:p>
            <w:pPr>
              <w:jc w:val="right"/>
              <w:ind w:right="420"/>
              <w:spacing w:after="0"/>
              <w:rPr>
                <w:sz w:val="20"/>
                <w:szCs w:val="20"/>
                <w:color w:val="auto"/>
              </w:rPr>
            </w:pPr>
            <w:r>
              <w:rPr>
                <w:rFonts w:ascii="Arial" w:cs="Arial" w:eastAsia="Arial" w:hAnsi="Arial"/>
                <w:sz w:val="18"/>
                <w:szCs w:val="18"/>
                <w:color w:val="auto"/>
              </w:rPr>
              <w:t>(21,542)</w:t>
            </w:r>
          </w:p>
        </w:tc>
        <w:tc>
          <w:tcPr>
            <w:tcW w:w="140" w:type="dxa"/>
            <w:vAlign w:val="bottom"/>
          </w:tcPr>
          <w:p>
            <w:pPr>
              <w:spacing w:after="0"/>
              <w:rPr>
                <w:sz w:val="18"/>
                <w:szCs w:val="18"/>
                <w:color w:val="auto"/>
              </w:rPr>
            </w:pPr>
          </w:p>
        </w:tc>
        <w:tc>
          <w:tcPr>
            <w:tcW w:w="1040" w:type="dxa"/>
            <w:vAlign w:val="bottom"/>
            <w:gridSpan w:val="3"/>
          </w:tcPr>
          <w:p>
            <w:pPr>
              <w:jc w:val="right"/>
              <w:ind w:right="400"/>
              <w:spacing w:after="0"/>
              <w:rPr>
                <w:sz w:val="20"/>
                <w:szCs w:val="20"/>
                <w:color w:val="auto"/>
              </w:rPr>
            </w:pPr>
            <w:r>
              <w:rPr>
                <w:rFonts w:ascii="Arial" w:cs="Arial" w:eastAsia="Arial" w:hAnsi="Arial"/>
                <w:sz w:val="18"/>
                <w:szCs w:val="18"/>
                <w:color w:val="auto"/>
              </w:rPr>
              <w:t>(4,707)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(26,249)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Due to affiliates, net</w:t>
            </w:r>
          </w:p>
        </w:tc>
        <w:tc>
          <w:tcPr>
            <w:tcW w:w="154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(20,585)</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20,634</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(24,770)</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(24,721)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Proceeds from sale of assets</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964</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investing activities</w:t>
            </w:r>
          </w:p>
        </w:tc>
        <w:tc>
          <w:tcPr>
            <w:tcW w:w="154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(564,637)</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4,507</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(1,891)</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(562,021)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Principal payments on long-term debt</w:t>
            </w:r>
          </w:p>
        </w:tc>
        <w:tc>
          <w:tcPr>
            <w:tcW w:w="1540" w:type="dxa"/>
            <w:vAlign w:val="bottom"/>
            <w:gridSpan w:val="4"/>
          </w:tcPr>
          <w:p>
            <w:pPr>
              <w:jc w:val="right"/>
              <w:ind w:right="420"/>
              <w:spacing w:after="0"/>
              <w:rPr>
                <w:sz w:val="20"/>
                <w:szCs w:val="20"/>
                <w:color w:val="auto"/>
              </w:rPr>
            </w:pPr>
            <w:r>
              <w:rPr>
                <w:rFonts w:ascii="Arial" w:cs="Arial" w:eastAsia="Arial" w:hAnsi="Arial"/>
                <w:sz w:val="18"/>
                <w:szCs w:val="18"/>
                <w:color w:val="auto"/>
              </w:rPr>
              <w:t>(243,352)</w:t>
            </w:r>
          </w:p>
        </w:tc>
        <w:tc>
          <w:tcPr>
            <w:tcW w:w="140" w:type="dxa"/>
            <w:vAlign w:val="bottom"/>
          </w:tcPr>
          <w:p>
            <w:pPr>
              <w:spacing w:after="0"/>
              <w:rPr>
                <w:sz w:val="18"/>
                <w:szCs w:val="18"/>
                <w:color w:val="auto"/>
              </w:rPr>
            </w:pPr>
          </w:p>
        </w:tc>
        <w:tc>
          <w:tcPr>
            <w:tcW w:w="1040" w:type="dxa"/>
            <w:vAlign w:val="bottom"/>
            <w:gridSpan w:val="3"/>
          </w:tcPr>
          <w:p>
            <w:pPr>
              <w:jc w:val="right"/>
              <w:ind w:right="400"/>
              <w:spacing w:after="0"/>
              <w:rPr>
                <w:sz w:val="20"/>
                <w:szCs w:val="20"/>
                <w:color w:val="auto"/>
              </w:rPr>
            </w:pPr>
            <w:r>
              <w:rPr>
                <w:rFonts w:ascii="Arial" w:cs="Arial" w:eastAsia="Arial" w:hAnsi="Arial"/>
                <w:sz w:val="18"/>
                <w:szCs w:val="18"/>
                <w:color w:val="auto"/>
                <w:w w:val="92"/>
              </w:rPr>
              <w:t>(39,559)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(282,911)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long-term debt</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543,460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42,000</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585,460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Payments of deferred financing costs</w:t>
            </w:r>
          </w:p>
        </w:tc>
        <w:tc>
          <w:tcPr>
            <w:tcW w:w="1540" w:type="dxa"/>
            <w:vAlign w:val="bottom"/>
            <w:gridSpan w:val="4"/>
          </w:tcPr>
          <w:p>
            <w:pPr>
              <w:jc w:val="right"/>
              <w:ind w:right="420"/>
              <w:spacing w:after="0"/>
              <w:rPr>
                <w:sz w:val="20"/>
                <w:szCs w:val="20"/>
                <w:color w:val="auto"/>
              </w:rPr>
            </w:pPr>
            <w:r>
              <w:rPr>
                <w:rFonts w:ascii="Arial" w:cs="Arial" w:eastAsia="Arial" w:hAnsi="Arial"/>
                <w:sz w:val="18"/>
                <w:szCs w:val="18"/>
                <w:color w:val="auto"/>
              </w:rPr>
              <w:t>(3,541)</w:t>
            </w:r>
          </w:p>
        </w:tc>
        <w:tc>
          <w:tcPr>
            <w:tcW w:w="140" w:type="dxa"/>
            <w:vAlign w:val="bottom"/>
          </w:tcPr>
          <w:p>
            <w:pPr>
              <w:spacing w:after="0"/>
              <w:rPr>
                <w:sz w:val="19"/>
                <w:szCs w:val="19"/>
                <w:color w:val="auto"/>
              </w:rPr>
            </w:pPr>
          </w:p>
        </w:tc>
        <w:tc>
          <w:tcPr>
            <w:tcW w:w="104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(3,541)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financing activities</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296,567</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2,441</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299,008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Increase (decrease) in cash and cash equivalents</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52,731</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3"/>
          </w:tcPr>
          <w:p>
            <w:pPr>
              <w:jc w:val="right"/>
              <w:ind w:right="400"/>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52,701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beginning of period</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93,825</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93,820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end of period</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$ 146,556</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(35)</w:t>
            </w: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26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$ 146,521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Borders>
              <w:bottom w:val="single" w:sz="8" w:color="808080"/>
            </w:tcBorders>
            <w:gridSpan w:val="2"/>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540" w:type="dxa"/>
            <w:vAlign w:val="bottom"/>
            <w:gridSpan w:val="4"/>
          </w:tcPr>
          <w:p>
            <w:pPr>
              <w:jc w:val="right"/>
              <w:ind w:right="1000"/>
              <w:spacing w:after="0"/>
              <w:rPr>
                <w:sz w:val="20"/>
                <w:szCs w:val="20"/>
                <w:color w:val="auto"/>
              </w:rPr>
            </w:pPr>
            <w:r>
              <w:rPr>
                <w:rFonts w:ascii="Arial" w:cs="Arial" w:eastAsia="Arial" w:hAnsi="Arial"/>
                <w:sz w:val="18"/>
                <w:szCs w:val="18"/>
                <w:color w:val="auto"/>
              </w:rPr>
              <w:t>F-32</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3604895</wp:posOffset>
            </wp:positionH>
            <wp:positionV relativeFrom="paragraph">
              <wp:posOffset>-325755</wp:posOffset>
            </wp:positionV>
            <wp:extent cx="12700" cy="298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-325755</wp:posOffset>
            </wp:positionV>
            <wp:extent cx="21590" cy="298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-325755</wp:posOffset>
            </wp:positionV>
            <wp:extent cx="38735" cy="298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-325755</wp:posOffset>
            </wp:positionV>
            <wp:extent cx="12700" cy="298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-325755</wp:posOffset>
            </wp:positionV>
            <wp:extent cx="21590" cy="298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-325755</wp:posOffset>
            </wp:positionV>
            <wp:extent cx="38735" cy="298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-325755</wp:posOffset>
            </wp:positionV>
            <wp:extent cx="12700" cy="298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-325755</wp:posOffset>
            </wp:positionV>
            <wp:extent cx="21590" cy="298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-325755</wp:posOffset>
            </wp:positionV>
            <wp:extent cx="38735" cy="298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-325755</wp:posOffset>
            </wp:positionV>
            <wp:extent cx="12700" cy="298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-325755</wp:posOffset>
            </wp:positionV>
            <wp:extent cx="21590" cy="298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-325755</wp:posOffset>
            </wp:positionV>
            <wp:extent cx="38735" cy="298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-325755</wp:posOffset>
            </wp:positionV>
            <wp:extent cx="12700" cy="298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-325755</wp:posOffset>
            </wp:positionV>
            <wp:extent cx="21590" cy="298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94" w:name="page295"/>
    <w:bookmarkEnd w:id="2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Quarterly Financial Information (Unaudited)</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selected quarterly financial information for 2009 and 2008 (amounts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380" w:type="dxa"/>
            <w:vAlign w:val="bottom"/>
            <w:gridSpan w:val="8"/>
          </w:tcPr>
          <w:p>
            <w:pPr>
              <w:jc w:val="right"/>
              <w:ind w:right="940"/>
              <w:spacing w:after="0"/>
              <w:rPr>
                <w:sz w:val="20"/>
                <w:szCs w:val="20"/>
                <w:color w:val="auto"/>
              </w:rPr>
            </w:pPr>
            <w:r>
              <w:rPr>
                <w:rFonts w:ascii="Arial" w:cs="Arial" w:eastAsia="Arial" w:hAnsi="Arial"/>
                <w:sz w:val="14"/>
                <w:szCs w:val="14"/>
                <w:b w:val="1"/>
                <w:bCs w:val="1"/>
                <w:color w:val="auto"/>
              </w:rPr>
              <w:t>Year Ended December 31, 2009</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020" w:type="dxa"/>
            <w:vAlign w:val="bottom"/>
          </w:tcPr>
          <w:p>
            <w:pPr>
              <w:spacing w:after="0"/>
              <w:rPr>
                <w:sz w:val="22"/>
                <w:szCs w:val="22"/>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First</w:t>
            </w:r>
          </w:p>
        </w:tc>
        <w:tc>
          <w:tcPr>
            <w:tcW w:w="180" w:type="dxa"/>
            <w:vAlign w:val="bottom"/>
          </w:tcPr>
          <w:p>
            <w:pPr>
              <w:spacing w:after="0"/>
              <w:rPr>
                <w:sz w:val="22"/>
                <w:szCs w:val="22"/>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Second</w:t>
            </w:r>
          </w:p>
        </w:tc>
        <w:tc>
          <w:tcPr>
            <w:tcW w:w="180" w:type="dxa"/>
            <w:vAlign w:val="bottom"/>
          </w:tcPr>
          <w:p>
            <w:pPr>
              <w:spacing w:after="0"/>
              <w:rPr>
                <w:sz w:val="22"/>
                <w:szCs w:val="22"/>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Third</w:t>
            </w:r>
          </w:p>
        </w:tc>
        <w:tc>
          <w:tcPr>
            <w:tcW w:w="200" w:type="dxa"/>
            <w:vAlign w:val="bottom"/>
          </w:tcPr>
          <w:p>
            <w:pPr>
              <w:spacing w:after="0"/>
              <w:rPr>
                <w:sz w:val="22"/>
                <w:szCs w:val="22"/>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Fourth</w:t>
            </w: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$291,522</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$312,959</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$324,461</w:t>
            </w:r>
          </w:p>
        </w:tc>
        <w:tc>
          <w:tcPr>
            <w:tcW w:w="2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$ 301,178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$1,230,120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Operating loss</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(58,383)</w:t>
            </w: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(8,346)</w:t>
            </w: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(20,886)</w:t>
            </w:r>
          </w:p>
        </w:tc>
        <w:tc>
          <w:tcPr>
            <w:tcW w:w="1360" w:type="dxa"/>
            <w:vAlign w:val="bottom"/>
            <w:gridSpan w:val="3"/>
          </w:tcPr>
          <w:p>
            <w:pPr>
              <w:jc w:val="right"/>
              <w:ind w:right="380"/>
              <w:spacing w:after="0"/>
              <w:rPr>
                <w:sz w:val="20"/>
                <w:szCs w:val="20"/>
                <w:color w:val="auto"/>
              </w:rPr>
            </w:pPr>
            <w:r>
              <w:rPr>
                <w:rFonts w:ascii="Arial" w:cs="Arial" w:eastAsia="Arial" w:hAnsi="Arial"/>
                <w:sz w:val="18"/>
                <w:szCs w:val="18"/>
                <w:color w:val="auto"/>
              </w:rPr>
              <w:t>(56,664)</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(144,279)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(95,464)</w:t>
            </w: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(46,183)</w:t>
            </w: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(63,751)</w:t>
            </w:r>
          </w:p>
        </w:tc>
        <w:tc>
          <w:tcPr>
            <w:tcW w:w="13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(104,472)</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(309,870)</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80" w:type="dxa"/>
            <w:vAlign w:val="bottom"/>
            <w:gridSpan w:val="8"/>
          </w:tcPr>
          <w:p>
            <w:pPr>
              <w:jc w:val="right"/>
              <w:ind w:right="940"/>
              <w:spacing w:after="0"/>
              <w:rPr>
                <w:sz w:val="20"/>
                <w:szCs w:val="20"/>
                <w:color w:val="auto"/>
              </w:rPr>
            </w:pPr>
            <w:r>
              <w:rPr>
                <w:rFonts w:ascii="Arial" w:cs="Arial" w:eastAsia="Arial" w:hAnsi="Arial"/>
                <w:sz w:val="14"/>
                <w:szCs w:val="14"/>
                <w:b w:val="1"/>
                <w:bCs w:val="1"/>
                <w:color w:val="auto"/>
              </w:rPr>
              <w:t>Year Ended December 31, 2008</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920" w:type="dxa"/>
            <w:vAlign w:val="bottom"/>
            <w:tcBorders>
              <w:bottom w:val="single" w:sz="8" w:color="808080"/>
            </w:tcBorders>
            <w:gridSpan w:val="2"/>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gridSpan w:val="2"/>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gridSpan w:val="2"/>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gridSpan w:val="2"/>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020" w:type="dxa"/>
            <w:vAlign w:val="bottom"/>
          </w:tcPr>
          <w:p>
            <w:pPr>
              <w:spacing w:after="0"/>
              <w:rPr>
                <w:sz w:val="22"/>
                <w:szCs w:val="22"/>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First</w:t>
            </w:r>
          </w:p>
        </w:tc>
        <w:tc>
          <w:tcPr>
            <w:tcW w:w="180" w:type="dxa"/>
            <w:vAlign w:val="bottom"/>
          </w:tcPr>
          <w:p>
            <w:pPr>
              <w:spacing w:after="0"/>
              <w:rPr>
                <w:sz w:val="22"/>
                <w:szCs w:val="22"/>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Second</w:t>
            </w:r>
          </w:p>
        </w:tc>
        <w:tc>
          <w:tcPr>
            <w:tcW w:w="180" w:type="dxa"/>
            <w:vAlign w:val="bottom"/>
          </w:tcPr>
          <w:p>
            <w:pPr>
              <w:spacing w:after="0"/>
              <w:rPr>
                <w:sz w:val="22"/>
                <w:szCs w:val="22"/>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Third</w:t>
            </w:r>
          </w:p>
        </w:tc>
        <w:tc>
          <w:tcPr>
            <w:tcW w:w="200" w:type="dxa"/>
            <w:vAlign w:val="bottom"/>
          </w:tcPr>
          <w:p>
            <w:pPr>
              <w:spacing w:after="0"/>
              <w:rPr>
                <w:sz w:val="22"/>
                <w:szCs w:val="22"/>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Fourth</w:t>
            </w: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$287,601</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$295,468</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$294,800</w:t>
            </w:r>
          </w:p>
        </w:tc>
        <w:tc>
          <w:tcPr>
            <w:tcW w:w="2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$ 222,022</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$1,099,891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Operating income (loss)</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(8,873)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20,343</w:t>
            </w:r>
          </w:p>
        </w:tc>
        <w:tc>
          <w:tcPr>
            <w:tcW w:w="240" w:type="dxa"/>
            <w:vAlign w:val="bottom"/>
          </w:tcPr>
          <w:p>
            <w:pPr>
              <w:spacing w:after="0"/>
              <w:rPr>
                <w:sz w:val="18"/>
                <w:szCs w:val="18"/>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(332)</w:t>
            </w:r>
          </w:p>
        </w:tc>
        <w:tc>
          <w:tcPr>
            <w:tcW w:w="1360" w:type="dxa"/>
            <w:vAlign w:val="bottom"/>
            <w:gridSpan w:val="3"/>
          </w:tcPr>
          <w:p>
            <w:pPr>
              <w:jc w:val="right"/>
              <w:ind w:right="380"/>
              <w:spacing w:after="0"/>
              <w:rPr>
                <w:sz w:val="20"/>
                <w:szCs w:val="20"/>
                <w:color w:val="auto"/>
              </w:rPr>
            </w:pPr>
            <w:r>
              <w:rPr>
                <w:rFonts w:ascii="Arial" w:cs="Arial" w:eastAsia="Arial" w:hAnsi="Arial"/>
                <w:sz w:val="18"/>
                <w:szCs w:val="18"/>
                <w:color w:val="auto"/>
              </w:rPr>
              <w:t>(69,754)</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(58,616)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(28,767)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5,078</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(16,098)</w:t>
            </w:r>
          </w:p>
        </w:tc>
        <w:tc>
          <w:tcPr>
            <w:tcW w:w="13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(90,007)</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(129,794)</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Events subsequent to the date of the auditors report (unaudited)</w:t>
      </w:r>
    </w:p>
    <w:p>
      <w:pPr>
        <w:spacing w:after="0" w:line="8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On April 28, 2010, the Company completed an offer to exchange its outstanding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for a new series of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due 2020 (the “2020 Notes”). A total of $382 million in principal amount of the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were validly tendered. Included in this amount are $30 million of tendered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held by Wynn Resorts. Noteholders who validly tendered the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prior to the early delivery time received an early delivery payment of 1% of the amount tendered in cash which totaled approximately $3.8 million. In accordance with accounting standards, this will be included as deferred financing costs and amortized over the life of the 2020 Notes.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59" w:right="239" w:bottom="1440" w:gutter="0" w:footer="0" w:header="0"/>
        </w:sectPr>
      </w:pPr>
    </w:p>
    <w:bookmarkStart w:id="295" w:name="page296"/>
    <w:bookmarkEnd w:id="2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5"/>
              </w:rPr>
              <w:t>Balance at</w:t>
            </w:r>
          </w:p>
        </w:tc>
        <w:tc>
          <w:tcPr>
            <w:tcW w:w="540" w:type="dxa"/>
            <w:vAlign w:val="bottom"/>
          </w:tcPr>
          <w:p>
            <w:pPr>
              <w:spacing w:after="0"/>
              <w:rPr>
                <w:sz w:val="14"/>
                <w:szCs w:val="14"/>
                <w:color w:val="auto"/>
              </w:rPr>
            </w:pPr>
          </w:p>
        </w:tc>
        <w:tc>
          <w:tcPr>
            <w:tcW w:w="13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4"/>
              </w:rPr>
              <w:t>Provisions for</w:t>
            </w:r>
          </w:p>
        </w:tc>
        <w:tc>
          <w:tcPr>
            <w:tcW w:w="12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9"/>
              </w:rPr>
              <w:t>Write-offs,</w:t>
            </w:r>
          </w:p>
        </w:tc>
        <w:tc>
          <w:tcPr>
            <w:tcW w:w="10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January 1,</w:t>
            </w:r>
          </w:p>
        </w:tc>
        <w:tc>
          <w:tcPr>
            <w:tcW w:w="540" w:type="dxa"/>
            <w:vAlign w:val="bottom"/>
          </w:tcPr>
          <w:p>
            <w:pPr>
              <w:spacing w:after="0"/>
              <w:rPr>
                <w:sz w:val="12"/>
                <w:szCs w:val="12"/>
                <w:color w:val="auto"/>
              </w:rPr>
            </w:pPr>
          </w:p>
        </w:tc>
        <w:tc>
          <w:tcPr>
            <w:tcW w:w="13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Doubtful</w:t>
            </w:r>
          </w:p>
        </w:tc>
        <w:tc>
          <w:tcPr>
            <w:tcW w:w="12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Net of</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3940" w:type="dxa"/>
            <w:vAlign w:val="bottom"/>
            <w:gridSpan w:val="2"/>
          </w:tcPr>
          <w:p>
            <w:pPr>
              <w:jc w:val="center"/>
              <w:ind w:left="3261"/>
              <w:spacing w:after="0"/>
              <w:rPr>
                <w:sz w:val="20"/>
                <w:szCs w:val="20"/>
                <w:color w:val="auto"/>
              </w:rPr>
            </w:pPr>
            <w:r>
              <w:rPr>
                <w:rFonts w:ascii="Arial" w:cs="Arial" w:eastAsia="Arial" w:hAnsi="Arial"/>
                <w:sz w:val="14"/>
                <w:szCs w:val="14"/>
                <w:b w:val="1"/>
                <w:bCs w:val="1"/>
                <w:color w:val="auto"/>
                <w:w w:val="89"/>
              </w:rPr>
              <w:t>2009</w:t>
            </w:r>
          </w:p>
        </w:tc>
        <w:tc>
          <w:tcPr>
            <w:tcW w:w="540" w:type="dxa"/>
            <w:vAlign w:val="bottom"/>
          </w:tcPr>
          <w:p>
            <w:pPr>
              <w:spacing w:after="0"/>
              <w:rPr>
                <w:sz w:val="15"/>
                <w:szCs w:val="15"/>
                <w:color w:val="auto"/>
              </w:rPr>
            </w:pPr>
          </w:p>
        </w:tc>
        <w:tc>
          <w:tcPr>
            <w:tcW w:w="13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Accounts</w:t>
            </w:r>
          </w:p>
        </w:tc>
        <w:tc>
          <w:tcPr>
            <w:tcW w:w="12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2"/>
              </w:rPr>
              <w:t>Recoveries</w:t>
            </w:r>
          </w:p>
        </w:tc>
        <w:tc>
          <w:tcPr>
            <w:tcW w:w="100" w:type="dxa"/>
            <w:vAlign w:val="bottom"/>
          </w:tcPr>
          <w:p>
            <w:pPr>
              <w:spacing w:after="0"/>
              <w:rPr>
                <w:sz w:val="15"/>
                <w:szCs w:val="15"/>
                <w:color w:val="auto"/>
              </w:rPr>
            </w:pPr>
          </w:p>
        </w:tc>
        <w:tc>
          <w:tcPr>
            <w:tcW w:w="700" w:type="dxa"/>
            <w:vAlign w:val="bottom"/>
          </w:tcPr>
          <w:p>
            <w:pPr>
              <w:jc w:val="center"/>
              <w:ind w:right="26"/>
              <w:spacing w:after="0"/>
              <w:rPr>
                <w:sz w:val="20"/>
                <w:szCs w:val="20"/>
                <w:color w:val="auto"/>
              </w:rPr>
            </w:pPr>
            <w:r>
              <w:rPr>
                <w:rFonts w:ascii="Arial" w:cs="Arial" w:eastAsia="Arial" w:hAnsi="Arial"/>
                <w:sz w:val="14"/>
                <w:szCs w:val="14"/>
                <w:b w:val="1"/>
                <w:bCs w:val="1"/>
                <w:color w:val="auto"/>
                <w:w w:val="89"/>
              </w:rPr>
              <w:t>2009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32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3940" w:type="dxa"/>
            <w:vAlign w:val="bottom"/>
            <w:gridSpan w:val="2"/>
            <w:shd w:val="clear" w:color="auto" w:fill="CCEEFF"/>
          </w:tcPr>
          <w:p>
            <w:pPr>
              <w:jc w:val="center"/>
              <w:ind w:left="3241"/>
              <w:spacing w:after="0"/>
              <w:rPr>
                <w:sz w:val="20"/>
                <w:szCs w:val="20"/>
                <w:color w:val="auto"/>
              </w:rPr>
            </w:pPr>
            <w:r>
              <w:rPr>
                <w:rFonts w:ascii="Arial" w:cs="Arial" w:eastAsia="Arial" w:hAnsi="Arial"/>
                <w:sz w:val="18"/>
                <w:szCs w:val="18"/>
                <w:color w:val="auto"/>
                <w:w w:val="88"/>
              </w:rPr>
              <w:t>$ 65,414</w:t>
            </w:r>
          </w:p>
        </w:tc>
        <w:tc>
          <w:tcPr>
            <w:tcW w:w="19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12,438</w:t>
            </w: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(10,446)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5"/>
              </w:rPr>
              <w:t>Balance at</w:t>
            </w:r>
          </w:p>
        </w:tc>
        <w:tc>
          <w:tcPr>
            <w:tcW w:w="540" w:type="dxa"/>
            <w:vAlign w:val="bottom"/>
          </w:tcPr>
          <w:p>
            <w:pPr>
              <w:spacing w:after="0"/>
              <w:rPr>
                <w:sz w:val="24"/>
                <w:szCs w:val="24"/>
                <w:color w:val="auto"/>
              </w:rPr>
            </w:pPr>
          </w:p>
        </w:tc>
        <w:tc>
          <w:tcPr>
            <w:tcW w:w="13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4"/>
              </w:rPr>
              <w:t>Provisions for</w:t>
            </w:r>
          </w:p>
        </w:tc>
        <w:tc>
          <w:tcPr>
            <w:tcW w:w="12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9"/>
              </w:rPr>
              <w:t>Write-offs,</w:t>
            </w:r>
          </w:p>
        </w:tc>
        <w:tc>
          <w:tcPr>
            <w:tcW w:w="100" w:type="dxa"/>
            <w:vAlign w:val="bottom"/>
          </w:tcPr>
          <w:p>
            <w:pPr>
              <w:spacing w:after="0"/>
              <w:rPr>
                <w:sz w:val="24"/>
                <w:szCs w:val="2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January 1,</w:t>
            </w:r>
          </w:p>
        </w:tc>
        <w:tc>
          <w:tcPr>
            <w:tcW w:w="540" w:type="dxa"/>
            <w:vAlign w:val="bottom"/>
          </w:tcPr>
          <w:p>
            <w:pPr>
              <w:spacing w:after="0"/>
              <w:rPr>
                <w:sz w:val="12"/>
                <w:szCs w:val="12"/>
                <w:color w:val="auto"/>
              </w:rPr>
            </w:pPr>
          </w:p>
        </w:tc>
        <w:tc>
          <w:tcPr>
            <w:tcW w:w="13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Doubtful</w:t>
            </w:r>
          </w:p>
        </w:tc>
        <w:tc>
          <w:tcPr>
            <w:tcW w:w="12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Net of</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3940" w:type="dxa"/>
            <w:vAlign w:val="bottom"/>
            <w:gridSpan w:val="2"/>
          </w:tcPr>
          <w:p>
            <w:pPr>
              <w:jc w:val="center"/>
              <w:ind w:left="3261"/>
              <w:spacing w:after="0"/>
              <w:rPr>
                <w:sz w:val="20"/>
                <w:szCs w:val="20"/>
                <w:color w:val="auto"/>
              </w:rPr>
            </w:pPr>
            <w:r>
              <w:rPr>
                <w:rFonts w:ascii="Arial" w:cs="Arial" w:eastAsia="Arial" w:hAnsi="Arial"/>
                <w:sz w:val="14"/>
                <w:szCs w:val="14"/>
                <w:b w:val="1"/>
                <w:bCs w:val="1"/>
                <w:color w:val="auto"/>
                <w:w w:val="89"/>
              </w:rPr>
              <w:t>2008</w:t>
            </w:r>
          </w:p>
        </w:tc>
        <w:tc>
          <w:tcPr>
            <w:tcW w:w="540" w:type="dxa"/>
            <w:vAlign w:val="bottom"/>
          </w:tcPr>
          <w:p>
            <w:pPr>
              <w:spacing w:after="0"/>
              <w:rPr>
                <w:sz w:val="15"/>
                <w:szCs w:val="15"/>
                <w:color w:val="auto"/>
              </w:rPr>
            </w:pPr>
          </w:p>
        </w:tc>
        <w:tc>
          <w:tcPr>
            <w:tcW w:w="13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Accounts</w:t>
            </w:r>
          </w:p>
        </w:tc>
        <w:tc>
          <w:tcPr>
            <w:tcW w:w="12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2"/>
              </w:rPr>
              <w:t>Recoveries</w:t>
            </w:r>
          </w:p>
        </w:tc>
        <w:tc>
          <w:tcPr>
            <w:tcW w:w="100" w:type="dxa"/>
            <w:vAlign w:val="bottom"/>
          </w:tcPr>
          <w:p>
            <w:pPr>
              <w:spacing w:after="0"/>
              <w:rPr>
                <w:sz w:val="15"/>
                <w:szCs w:val="15"/>
                <w:color w:val="auto"/>
              </w:rPr>
            </w:pPr>
          </w:p>
        </w:tc>
        <w:tc>
          <w:tcPr>
            <w:tcW w:w="700" w:type="dxa"/>
            <w:vAlign w:val="bottom"/>
          </w:tcPr>
          <w:p>
            <w:pPr>
              <w:jc w:val="center"/>
              <w:ind w:right="26"/>
              <w:spacing w:after="0"/>
              <w:rPr>
                <w:sz w:val="20"/>
                <w:szCs w:val="20"/>
                <w:color w:val="auto"/>
              </w:rPr>
            </w:pPr>
            <w:r>
              <w:rPr>
                <w:rFonts w:ascii="Arial" w:cs="Arial" w:eastAsia="Arial" w:hAnsi="Arial"/>
                <w:sz w:val="14"/>
                <w:szCs w:val="14"/>
                <w:b w:val="1"/>
                <w:bCs w:val="1"/>
                <w:color w:val="auto"/>
                <w:w w:val="89"/>
              </w:rPr>
              <w:t>2008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32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3940" w:type="dxa"/>
            <w:vAlign w:val="bottom"/>
            <w:gridSpan w:val="2"/>
            <w:shd w:val="clear" w:color="auto" w:fill="CCEEFF"/>
          </w:tcPr>
          <w:p>
            <w:pPr>
              <w:jc w:val="center"/>
              <w:ind w:left="3241"/>
              <w:spacing w:after="0"/>
              <w:rPr>
                <w:sz w:val="20"/>
                <w:szCs w:val="20"/>
                <w:color w:val="auto"/>
              </w:rPr>
            </w:pPr>
            <w:r>
              <w:rPr>
                <w:rFonts w:ascii="Arial" w:cs="Arial" w:eastAsia="Arial" w:hAnsi="Arial"/>
                <w:sz w:val="18"/>
                <w:szCs w:val="18"/>
                <w:color w:val="auto"/>
                <w:w w:val="88"/>
              </w:rPr>
              <w:t>$ 50,604</w:t>
            </w:r>
          </w:p>
        </w:tc>
        <w:tc>
          <w:tcPr>
            <w:tcW w:w="19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24,887</w:t>
            </w: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(10,077)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5"/>
              </w:rPr>
              <w:t>Balance at</w:t>
            </w:r>
          </w:p>
        </w:tc>
        <w:tc>
          <w:tcPr>
            <w:tcW w:w="540" w:type="dxa"/>
            <w:vAlign w:val="bottom"/>
          </w:tcPr>
          <w:p>
            <w:pPr>
              <w:spacing w:after="0"/>
              <w:rPr>
                <w:sz w:val="24"/>
                <w:szCs w:val="24"/>
                <w:color w:val="auto"/>
              </w:rPr>
            </w:pPr>
          </w:p>
        </w:tc>
        <w:tc>
          <w:tcPr>
            <w:tcW w:w="13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4"/>
              </w:rPr>
              <w:t>Provisions for</w:t>
            </w:r>
          </w:p>
        </w:tc>
        <w:tc>
          <w:tcPr>
            <w:tcW w:w="12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9"/>
              </w:rPr>
              <w:t>Write-offs,</w:t>
            </w:r>
          </w:p>
        </w:tc>
        <w:tc>
          <w:tcPr>
            <w:tcW w:w="100" w:type="dxa"/>
            <w:vAlign w:val="bottom"/>
          </w:tcPr>
          <w:p>
            <w:pPr>
              <w:spacing w:after="0"/>
              <w:rPr>
                <w:sz w:val="24"/>
                <w:szCs w:val="2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January 1,</w:t>
            </w:r>
          </w:p>
        </w:tc>
        <w:tc>
          <w:tcPr>
            <w:tcW w:w="540" w:type="dxa"/>
            <w:vAlign w:val="bottom"/>
          </w:tcPr>
          <w:p>
            <w:pPr>
              <w:spacing w:after="0"/>
              <w:rPr>
                <w:sz w:val="12"/>
                <w:szCs w:val="12"/>
                <w:color w:val="auto"/>
              </w:rPr>
            </w:pPr>
          </w:p>
        </w:tc>
        <w:tc>
          <w:tcPr>
            <w:tcW w:w="13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Doubtful</w:t>
            </w:r>
          </w:p>
        </w:tc>
        <w:tc>
          <w:tcPr>
            <w:tcW w:w="12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Net of</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3940" w:type="dxa"/>
            <w:vAlign w:val="bottom"/>
            <w:gridSpan w:val="2"/>
          </w:tcPr>
          <w:p>
            <w:pPr>
              <w:jc w:val="center"/>
              <w:ind w:left="3261"/>
              <w:spacing w:after="0"/>
              <w:rPr>
                <w:sz w:val="20"/>
                <w:szCs w:val="20"/>
                <w:color w:val="auto"/>
              </w:rPr>
            </w:pPr>
            <w:r>
              <w:rPr>
                <w:rFonts w:ascii="Arial" w:cs="Arial" w:eastAsia="Arial" w:hAnsi="Arial"/>
                <w:sz w:val="14"/>
                <w:szCs w:val="14"/>
                <w:b w:val="1"/>
                <w:bCs w:val="1"/>
                <w:color w:val="auto"/>
                <w:w w:val="89"/>
              </w:rPr>
              <w:t>2007</w:t>
            </w:r>
          </w:p>
        </w:tc>
        <w:tc>
          <w:tcPr>
            <w:tcW w:w="540" w:type="dxa"/>
            <w:vAlign w:val="bottom"/>
          </w:tcPr>
          <w:p>
            <w:pPr>
              <w:spacing w:after="0"/>
              <w:rPr>
                <w:sz w:val="15"/>
                <w:szCs w:val="15"/>
                <w:color w:val="auto"/>
              </w:rPr>
            </w:pPr>
          </w:p>
        </w:tc>
        <w:tc>
          <w:tcPr>
            <w:tcW w:w="13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Accounts</w:t>
            </w:r>
          </w:p>
        </w:tc>
        <w:tc>
          <w:tcPr>
            <w:tcW w:w="12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2"/>
              </w:rPr>
              <w:t>Recoveries</w:t>
            </w:r>
          </w:p>
        </w:tc>
        <w:tc>
          <w:tcPr>
            <w:tcW w:w="100" w:type="dxa"/>
            <w:vAlign w:val="bottom"/>
          </w:tcPr>
          <w:p>
            <w:pPr>
              <w:spacing w:after="0"/>
              <w:rPr>
                <w:sz w:val="15"/>
                <w:szCs w:val="15"/>
                <w:color w:val="auto"/>
              </w:rPr>
            </w:pPr>
          </w:p>
        </w:tc>
        <w:tc>
          <w:tcPr>
            <w:tcW w:w="700" w:type="dxa"/>
            <w:vAlign w:val="bottom"/>
          </w:tcPr>
          <w:p>
            <w:pPr>
              <w:jc w:val="center"/>
              <w:ind w:right="26"/>
              <w:spacing w:after="0"/>
              <w:rPr>
                <w:sz w:val="20"/>
                <w:szCs w:val="20"/>
                <w:color w:val="auto"/>
              </w:rPr>
            </w:pPr>
            <w:r>
              <w:rPr>
                <w:rFonts w:ascii="Arial" w:cs="Arial" w:eastAsia="Arial" w:hAnsi="Arial"/>
                <w:sz w:val="14"/>
                <w:szCs w:val="14"/>
                <w:b w:val="1"/>
                <w:bCs w:val="1"/>
                <w:color w:val="auto"/>
                <w:w w:val="89"/>
              </w:rPr>
              <w:t>2007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32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3940" w:type="dxa"/>
            <w:vAlign w:val="bottom"/>
            <w:gridSpan w:val="2"/>
            <w:shd w:val="clear" w:color="auto" w:fill="CCEEFF"/>
          </w:tcPr>
          <w:p>
            <w:pPr>
              <w:jc w:val="center"/>
              <w:ind w:left="3241"/>
              <w:spacing w:after="0"/>
              <w:rPr>
                <w:sz w:val="20"/>
                <w:szCs w:val="20"/>
                <w:color w:val="auto"/>
              </w:rPr>
            </w:pPr>
            <w:r>
              <w:rPr>
                <w:rFonts w:ascii="Arial" w:cs="Arial" w:eastAsia="Arial" w:hAnsi="Arial"/>
                <w:sz w:val="18"/>
                <w:szCs w:val="18"/>
                <w:color w:val="auto"/>
                <w:w w:val="88"/>
              </w:rPr>
              <w:t>$ 35,002</w:t>
            </w:r>
          </w:p>
        </w:tc>
        <w:tc>
          <w:tcPr>
            <w:tcW w:w="19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21,139</w:t>
            </w: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(5,537)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50,604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940" w:type="dxa"/>
            <w:vAlign w:val="bottom"/>
            <w:gridSpan w:val="2"/>
          </w:tcPr>
          <w:p>
            <w:pPr>
              <w:ind w:left="2040"/>
              <w:spacing w:after="0"/>
              <w:rPr>
                <w:sz w:val="20"/>
                <w:szCs w:val="20"/>
                <w:color w:val="auto"/>
              </w:rPr>
            </w:pPr>
            <w:r>
              <w:rPr>
                <w:rFonts w:ascii="Arial" w:cs="Arial" w:eastAsia="Arial" w:hAnsi="Arial"/>
                <w:sz w:val="18"/>
                <w:szCs w:val="18"/>
                <w:color w:val="auto"/>
              </w:rPr>
              <w:t>F-34</w:t>
            </w: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96" w:name="page297"/>
    <w:bookmarkEnd w:id="2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20. </w:t>
      </w:r>
      <w:r>
        <w:rPr>
          <w:rFonts w:ascii="Arial" w:cs="Arial" w:eastAsia="Arial" w:hAnsi="Arial"/>
          <w:sz w:val="18"/>
          <w:szCs w:val="18"/>
          <w:b w:val="1"/>
          <w:bCs w:val="1"/>
          <w:i w:val="1"/>
          <w:iCs w:val="1"/>
          <w:color w:val="auto"/>
        </w:rPr>
        <w:t>Indemnification of Directors, Officers, Managers and Members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Section 78.7502 of the Nevada Revised Statutes (the “NRS”) permits a corporation to indemnify any person who was or is a party or is threatened to be made a party to any threatened, pending or completed action, suit or proceeding, whether civil, criminal, administrative or investigative (except an action by or in the right of the corporation), by reason of being or having been an officer, director, employee or agent of the corporation or serving or having served in certain capacities at the request of the corporation. Indemnification may include attorneys’ fees, judgments, fines and amounts paid in settlement actually and reasonably incurred by the person to be indemnified in connection with the action, suit or proceeding. A corporation may indemnify any person who was or is a party or is threatened to be made a party to any threatened, pending or completed action or suit by or in the right of the corporation to procure a judgment in its favor by reason of being or having been an officer, director, employee or agent of the corporation or serving or having served in certain capacities at the request of the corporation except that indemnification may not be made for any claim, issue or matter as to which such a person has been finally adjudged by a court of competent jurisdiction to be liable to the corporation or for amounts paid in settlement to the corporation, unless and only to the extent that the court in which the action or suit was brought or other court of competent jurisdiction determines upon application that, in view of all the circumstances, the person is fairly and reasonably entitled to indemnity for such expenses as the court deems proper. However, to be entitled to indemnification, the person to be indemnified in either case must not be found to have breached his or her fiduciary duties with such breach involving intentional misconduct, fraud or a knowing violation of the law or must have acted in good faith and in a manner which he or she reasonably believed to be in or not opposed to the best interests of the corporation and, with respect to any criminal action or proceeding, such person must have had no reasonable cause to believe his or her conduct was unlawful.</w:t>
      </w:r>
    </w:p>
    <w:p>
      <w:pPr>
        <w:spacing w:after="0" w:line="12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Section 78.7502 of the NRS also provides that to the extent a director, officer, employee or agent of a corporation has been successful on the merits or otherwise in defense of any such action, suit or proceeding he or she must be indemnified by the corporation against expenses, including attorneys’ fees actually and reasonably incurred in connection with the defense.</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Section 78.751 of the NRS permits a corporation, in its articles of incorporation, bylaws or other agreement, to provide for the payment of expenses incurred by an officer or director in defending any civil or criminal action, suit or proceeding as they are incurred and in advance of the final disposition of the action, suit or proceeding, upon receipt of an undertaking to repay the amount if it is ultimately determined by a court of competent jurisdiction that the person is not entitled to indemnification by the corporation.</w:t>
      </w:r>
    </w:p>
    <w:p>
      <w:pPr>
        <w:spacing w:after="0" w:line="143"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Section 78.752 of the NRS permits a corporation to purchase and maintain insurance or make other financial arrangements on behalf of the corporation’s current and former officers, directors, employees or agents, or any persons serving or who have served in certain capacities at the request of the corporation, for any liability and expenses incurred by them in their capacities as officers, directors, employees or agents or arising out of their status as such, whether or not the corporation has the authority to indemnify him, her or them against such liability and expenses.</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Wynn Resorts’ bylaws provide that it will indemnify its directors and officers to the maximum extent permitted by Nevada law, including in certain circumstances in which indemnification would be otherwise discretionary under Nevada law. In addition, Wynn Resorts has entered into separate indemnification agreements with its directors and officers that require Wynn Resorts, among other things, to indemnify such directors and officers against certain liabilities that may arise by reason of their status or service other than liabilities arising from willful misconduct of a culpable nature. Wynn Resorts also intends to maintain director and officer liability insurance, if available on reasonable terms.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360"/>
          </w:cols>
          <w:pgMar w:left="240" w:top="460" w:right="299" w:bottom="1440" w:gutter="0" w:footer="0" w:header="0"/>
        </w:sectPr>
      </w:pPr>
    </w:p>
    <w:bookmarkStart w:id="297" w:name="page298"/>
    <w:bookmarkEnd w:id="2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Section 86.411 of the NRS permits a limited liability company to indemnify any person who was or is a party or is threatened to be made a party to any threatened, pending or completed action, suit or proceeding, whether civil, criminal, administrative or investigative (except an action by or in the right of the limited liability company), by reason of being or having been a manager, member, employee or agent of the limited liability company or serving or having served in certain capacities at the request of the limited liability company. As with corporations, indemnification may include attorneys’ fees, judgments, fines and amounts paid in settlement actually and reasonably incurred by the person to be indemnified in connection with the action, suit or proceeding. Section 86.421 of the NRS permits a limited liability company to indemnify any person who was or is a party or is threatened to be made a party to any threatened, pending or completed action or suit by or in the right of the limited liability company to procure a judgment in its favor by reason of being or having been a manager, member, employee or agent of the limited liability company or serving or having served in certain capacities at the request of the limited liability company except that indemnification may not be made for any claim, issue or matter as to which such a person has been finally adjudged by a court of competent jurisdiction to be liable to the limited liability company or for amounts paid in settlement to the limited liability company, unless and only to the extent that the court in which the action or suit was brought or other court of competent jurisdiction determines upon application that, in view of all the circumstances, the person is fairly and reasonably entitled to indemnity for such expenses as the court deems proper. However, to be entitled to indemnification, the person to be indemnified in either case must have acted in good faith and in a manner which he or she reasonably believed to be in or not opposed to the best interests of the limited liability company and, with respect to any criminal action or proceeding, such person must have had no reasonable cause to believe his or her conduct was unlawful.</w:t>
      </w:r>
    </w:p>
    <w:p>
      <w:pPr>
        <w:spacing w:after="0" w:line="12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Section 86.431 of the NRS also provides that to the extent a manager, member, employee or agent of a limited liability has been successful on the merits or otherwise in defense of any such action, he or she must be indemnified by the limited liability company against expenses, including attorneys’ fees actually and reasonably incurred in connection with the defense.</w:t>
      </w:r>
    </w:p>
    <w:p>
      <w:pPr>
        <w:spacing w:after="0" w:line="14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Section 86.441 of the NRS permits a limited liability company, in its articles of organization, operating agreement or other agreement, to provide for the payment of expenses incurred by members or managers in defending any civil or criminal action, suit or proceeding as they are incurred and in advance of the final disposition of the action, suit or proceeding, upon receipt of an undertaking to repay the amount if it is ultimately determined by a court of competent jurisdiction that the person is not entitled to indemnification by the company.</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Section 86.461 of the NRS permits a limited liability to purchase and maintain insurance or make other financial arrangements on behalf of the limited liability company’s current and former managers, members employees or agents, or any persons serving or who have served in certain capacities at the request of the limited liability company, for any liability and expenses incurred by them in their capacities as managers, members, employees or agents or arising out of their status as such, whether or not the limited liability company has the authority to indemnify him, her or them against such liability and expenses.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21. </w:t>
      </w:r>
      <w:r>
        <w:rPr>
          <w:rFonts w:ascii="Arial" w:cs="Arial" w:eastAsia="Arial" w:hAnsi="Arial"/>
          <w:sz w:val="18"/>
          <w:szCs w:val="18"/>
          <w:b w:val="1"/>
          <w:bCs w:val="1"/>
          <w:i w:val="1"/>
          <w:iCs w:val="1"/>
          <w:color w:val="auto"/>
        </w:rPr>
        <w:t>Exhibits and Financial Statement Schedules.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21(a). </w:t>
      </w:r>
      <w:r>
        <w:rPr>
          <w:rFonts w:ascii="Arial" w:cs="Arial" w:eastAsia="Arial" w:hAnsi="Arial"/>
          <w:sz w:val="18"/>
          <w:szCs w:val="18"/>
          <w:b w:val="1"/>
          <w:bCs w:val="1"/>
          <w:i w:val="1"/>
          <w:iCs w:val="1"/>
          <w:color w:val="auto"/>
        </w:rPr>
        <w:t>Exhibits</w:t>
      </w:r>
      <w:r>
        <w:rPr>
          <w:rFonts w:ascii="Arial" w:cs="Arial" w:eastAsia="Arial" w:hAnsi="Arial"/>
          <w:sz w:val="18"/>
          <w:szCs w:val="18"/>
          <w:b w:val="1"/>
          <w:bCs w:val="1"/>
          <w:color w:val="auto"/>
        </w:rPr>
        <w: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520" w:type="dxa"/>
            <w:vAlign w:val="bottom"/>
          </w:tcPr>
          <w:p>
            <w:pPr>
              <w:spacing w:after="0"/>
              <w:rPr>
                <w:sz w:val="14"/>
                <w:szCs w:val="14"/>
                <w:color w:val="auto"/>
              </w:rPr>
            </w:pPr>
          </w:p>
        </w:tc>
        <w:tc>
          <w:tcPr>
            <w:tcW w:w="1980" w:type="dxa"/>
            <w:vAlign w:val="bottom"/>
            <w:gridSpan w:val="2"/>
          </w:tcPr>
          <w:p>
            <w:pPr>
              <w:ind w:left="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80" w:type="dxa"/>
            <w:vAlign w:val="bottom"/>
            <w:vMerge w:val="restart"/>
          </w:tcPr>
          <w:p>
            <w:pPr>
              <w:spacing w:after="0"/>
              <w:rPr>
                <w:sz w:val="20"/>
                <w:szCs w:val="20"/>
                <w:color w:val="auto"/>
              </w:rPr>
            </w:pPr>
            <w:r>
              <w:rPr>
                <w:rFonts w:ascii="Arial" w:cs="Arial" w:eastAsia="Arial" w:hAnsi="Arial"/>
                <w:sz w:val="18"/>
                <w:szCs w:val="18"/>
                <w:color w:val="auto"/>
              </w:rPr>
              <w:t>LLC. (1)</w:t>
            </w: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6220" w:type="dxa"/>
            <w:vAlign w:val="bottom"/>
            <w:gridSpan w:val="2"/>
          </w:tcPr>
          <w:p>
            <w:pPr>
              <w:ind w:left="780"/>
              <w:spacing w:after="0"/>
              <w:rPr>
                <w:sz w:val="20"/>
                <w:szCs w:val="20"/>
                <w:color w:val="auto"/>
              </w:rPr>
            </w:pPr>
            <w:r>
              <w:rPr>
                <w:rFonts w:ascii="Arial" w:cs="Arial" w:eastAsia="Arial" w:hAnsi="Arial"/>
                <w:sz w:val="18"/>
                <w:szCs w:val="18"/>
                <w:color w:val="auto"/>
                <w:w w:val="88"/>
              </w:rPr>
              <w:t>Second Amended and Restated Articles of Organization of Wynn Las Vegas,</w:t>
            </w: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7"/>
              </w:rPr>
              <w:t>3.2</w:t>
            </w:r>
          </w:p>
        </w:tc>
        <w:tc>
          <w:tcPr>
            <w:tcW w:w="7500" w:type="dxa"/>
            <w:vAlign w:val="bottom"/>
            <w:gridSpan w:val="3"/>
          </w:tcPr>
          <w:p>
            <w:pPr>
              <w:ind w:left="780"/>
              <w:spacing w:after="0"/>
              <w:rPr>
                <w:sz w:val="20"/>
                <w:szCs w:val="20"/>
                <w:color w:val="auto"/>
              </w:rPr>
            </w:pPr>
            <w:r>
              <w:rPr>
                <w:rFonts w:ascii="Arial" w:cs="Arial" w:eastAsia="Arial" w:hAnsi="Arial"/>
                <w:sz w:val="18"/>
                <w:szCs w:val="18"/>
                <w:color w:val="auto"/>
              </w:rPr>
              <w:t>Second Amended and Restated Operating Agreement of Wynn Las Vegas, LLC. (1)</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7"/>
              </w:rPr>
              <w:t>3.3</w:t>
            </w:r>
          </w:p>
        </w:tc>
        <w:tc>
          <w:tcPr>
            <w:tcW w:w="7500" w:type="dxa"/>
            <w:vAlign w:val="bottom"/>
            <w:gridSpan w:val="3"/>
          </w:tcPr>
          <w:p>
            <w:pPr>
              <w:ind w:left="780"/>
              <w:spacing w:after="0"/>
              <w:rPr>
                <w:sz w:val="20"/>
                <w:szCs w:val="20"/>
                <w:color w:val="auto"/>
              </w:rPr>
            </w:pPr>
            <w:r>
              <w:rPr>
                <w:rFonts w:ascii="Arial" w:cs="Arial" w:eastAsia="Arial" w:hAnsi="Arial"/>
                <w:sz w:val="18"/>
                <w:szCs w:val="18"/>
                <w:color w:val="auto"/>
                <w:w w:val="92"/>
              </w:rPr>
              <w:t>First Amended and Restated Articles of Incorporation of Wynn Las Vegas Capital Corp. (1)</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7"/>
              </w:rPr>
              <w:t>3.4</w:t>
            </w:r>
          </w:p>
        </w:tc>
        <w:tc>
          <w:tcPr>
            <w:tcW w:w="7500" w:type="dxa"/>
            <w:vAlign w:val="bottom"/>
            <w:gridSpan w:val="3"/>
          </w:tcPr>
          <w:p>
            <w:pPr>
              <w:ind w:left="780"/>
              <w:spacing w:after="0"/>
              <w:rPr>
                <w:sz w:val="20"/>
                <w:szCs w:val="20"/>
                <w:color w:val="auto"/>
              </w:rPr>
            </w:pPr>
            <w:r>
              <w:rPr>
                <w:rFonts w:ascii="Arial" w:cs="Arial" w:eastAsia="Arial" w:hAnsi="Arial"/>
                <w:sz w:val="18"/>
                <w:szCs w:val="18"/>
                <w:color w:val="auto"/>
                <w:w w:val="89"/>
              </w:rPr>
              <w:t>Certificate of Amendment of the Articles of Incorporation of Wynn Las Vegas Capital Corp. (1)</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7"/>
              </w:rPr>
              <w:t>3.5</w:t>
            </w:r>
          </w:p>
        </w:tc>
        <w:tc>
          <w:tcPr>
            <w:tcW w:w="7500" w:type="dxa"/>
            <w:vAlign w:val="bottom"/>
            <w:gridSpan w:val="3"/>
          </w:tcPr>
          <w:p>
            <w:pPr>
              <w:ind w:left="780"/>
              <w:spacing w:after="0"/>
              <w:rPr>
                <w:sz w:val="20"/>
                <w:szCs w:val="20"/>
                <w:color w:val="auto"/>
              </w:rPr>
            </w:pPr>
            <w:r>
              <w:rPr>
                <w:rFonts w:ascii="Arial" w:cs="Arial" w:eastAsia="Arial" w:hAnsi="Arial"/>
                <w:sz w:val="18"/>
                <w:szCs w:val="18"/>
                <w:color w:val="auto"/>
              </w:rPr>
              <w:t>First Amended and Restated Bylaws of Wynn Las Vegas Capital Corp. (1)</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500" w:type="dxa"/>
            <w:vAlign w:val="bottom"/>
            <w:gridSpan w:val="3"/>
          </w:tcPr>
          <w:p>
            <w:pPr>
              <w:ind w:left="5120"/>
              <w:spacing w:after="0"/>
              <w:rPr>
                <w:sz w:val="20"/>
                <w:szCs w:val="20"/>
                <w:color w:val="auto"/>
              </w:rPr>
            </w:pPr>
            <w:r>
              <w:rPr>
                <w:rFonts w:ascii="Arial" w:cs="Arial" w:eastAsia="Arial" w:hAnsi="Arial"/>
                <w:sz w:val="18"/>
                <w:szCs w:val="18"/>
                <w:color w:val="auto"/>
              </w:rPr>
              <w:t>II-2</w:t>
            </w: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298" w:name="page299"/>
    <w:bookmarkEnd w:id="2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gridSpan w:val="2"/>
          </w:tcPr>
          <w:p>
            <w:pPr>
              <w:spacing w:after="0"/>
              <w:rPr>
                <w:sz w:val="20"/>
                <w:szCs w:val="20"/>
                <w:color w:val="auto"/>
              </w:rPr>
            </w:pPr>
            <w:r>
              <w:rPr>
                <w:rFonts w:ascii="Arial" w:cs="Arial" w:eastAsia="Arial" w:hAnsi="Arial"/>
                <w:sz w:val="14"/>
                <w:szCs w:val="14"/>
                <w:b w:val="1"/>
                <w:bCs w:val="1"/>
                <w:color w:val="auto"/>
                <w:w w:val="94"/>
              </w:rPr>
              <w:t>Exhibit</w:t>
            </w:r>
          </w:p>
        </w:tc>
        <w:tc>
          <w:tcPr>
            <w:tcW w:w="5460" w:type="dxa"/>
            <w:vAlign w:val="bottom"/>
          </w:tcPr>
          <w:p>
            <w:pPr>
              <w:spacing w:after="0"/>
              <w:rPr>
                <w:sz w:val="14"/>
                <w:szCs w:val="14"/>
                <w:color w:val="auto"/>
              </w:rPr>
            </w:pPr>
          </w:p>
        </w:tc>
        <w:tc>
          <w:tcPr>
            <w:tcW w:w="5420" w:type="dxa"/>
            <w:vAlign w:val="bottom"/>
            <w:gridSpan w:val="2"/>
          </w:tcPr>
          <w:p>
            <w:pPr>
              <w:ind w:left="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7"/>
              </w:rPr>
              <w:t>3.6</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First Amendment to the First Amended and Restated Bylaws of Wynn Las Vegas Capital Corp. (1)</w:t>
            </w:r>
          </w:p>
        </w:tc>
        <w:tc>
          <w:tcPr>
            <w:tcW w:w="0" w:type="dxa"/>
            <w:vAlign w:val="bottom"/>
          </w:tcPr>
          <w:p>
            <w:pPr>
              <w:spacing w:after="0"/>
              <w:rPr>
                <w:sz w:val="1"/>
                <w:szCs w:val="1"/>
                <w:color w:val="auto"/>
              </w:rPr>
            </w:pPr>
          </w:p>
        </w:tc>
      </w:tr>
      <w:tr>
        <w:trPr>
          <w:trHeight w:val="316"/>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7"/>
              </w:rPr>
              <w:t>3.7</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Second Amendment to the First Amended and Restated Bylaws of Wynn Las Vegas Capital Corp. (1)</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7"/>
              </w:rPr>
              <w:t>3.8</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Articles of Organization of Kevyn, LLC (19)</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7"/>
              </w:rPr>
              <w:t>3.9</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Operating Agreement of Kevyn, LLC (19)</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91"/>
              </w:rPr>
              <w:t>3.10</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Amended and Restated Articles of Organization of Wynn Golf, LLC. (1)</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5"/>
              </w:rPr>
              <w:t>3.11</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First Amended and Restated Operating Agreement of Wynn Golf, LLC. (1)</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91"/>
              </w:rPr>
              <w:t>3.12</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Second Amended and Restated Articles of Organization of Las Vegas Jet, LLC. (1)</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91"/>
              </w:rPr>
              <w:t>3.13</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Second Amended and Restated Operating Agreement of Las Vegas Jet, LLC. (1)</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91"/>
              </w:rPr>
              <w:t>3.14</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Articles of Organization of Wynn Sunrise, LLC. (1)</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91"/>
              </w:rPr>
              <w:t>3.15</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First Amended and Restated Operating Agreement of Wynn Sunrise, LLC. (1)</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91"/>
              </w:rPr>
              <w:t>3.16</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Second Amended and Restated Articles of Organization of World Travel, LLC. (1)</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91"/>
              </w:rPr>
              <w:t>3.17</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Second Amended and Restated Operating Agreement of World Travel, LLC. (1)</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91"/>
              </w:rPr>
              <w:t>3.18</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First Amended and Restated Articles of Organization of Wynn Show Performers, LLC. (1)</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91"/>
              </w:rPr>
              <w:t>3.19</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First Amended and Restated Operating Agreement of Wynn Show Performers, LLC. (1)</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7"/>
              </w:rPr>
              <w:t>4.1</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89"/>
              </w:rPr>
              <w:t>Indenture, dated as of December 14, 2004, among Wynn Las Vegas, LLC, Wynn Las Vegas Capital Corp., the Guarantors set forth therein and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U.S. Bank National Association, as trustee. (3)</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7"/>
              </w:rPr>
              <w:t>4.2</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88"/>
              </w:rPr>
              <w:t>Supplemental Indenture, dated as of December 14, 2004, among Wynn Las Vegas, LLC, Wynn Las Vegas Capital Corp., the Guarantors set forth</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therein and Wells Fargo Bank, National Association, as trustee. (3)</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7"/>
              </w:rPr>
              <w:t>4.3</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88"/>
              </w:rPr>
              <w:t>First Supplemental Indenture, dated as of June 29, 2005, among Wynn Las Vegas, LLC, Wynn Las Vegas Capital Corp., the Guarantors set forth</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therein and U.S. Bank National Association, as trustee. (8)</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7"/>
              </w:rPr>
              <w:t>4.4</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0"/>
              </w:rPr>
              <w:t>Second Supplemental Indenture, dated as of July 29, 2005, among Wynn Las Vegas, LLC, Wynn Las Vegas Capital Corp., the Guarantors set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forth therein and U.S. Bank National Association, as trustee. (19)</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7"/>
              </w:rPr>
              <w:t>4.5</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87"/>
              </w:rPr>
              <w:t>Indenture, dated as of October 19, 2009, among Wynn Las Vegas, LLC, Wynn Las Vegas Capital Corp., the Guarantors set forth therein and U.S.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Bank National Association, as trustee. (22)</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7"/>
              </w:rPr>
              <w:t>4.6</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2"/>
              </w:rPr>
              <w:t>Registration Rights Agreement, dated as of December 14, 2004, by and among Wynn Las Vegas, LLC, Wynn Las Vegas Capital Corp.,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3"/>
              </w:rPr>
              <w:t>Guarantor signatories thereto and Deutsche Bank Securities Inc., Banc of America Securities LLC, Bear, Stearns &amp; Co. Inc., J.P. Morgan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Securities Inc. and SG Americas Securities, LLC. (4)</w:t>
            </w:r>
          </w:p>
        </w:tc>
        <w:tc>
          <w:tcPr>
            <w:tcW w:w="0" w:type="dxa"/>
            <w:vAlign w:val="bottom"/>
          </w:tcPr>
          <w:p>
            <w:pPr>
              <w:spacing w:after="0"/>
              <w:rPr>
                <w:sz w:val="1"/>
                <w:szCs w:val="1"/>
                <w:color w:val="auto"/>
              </w:rPr>
            </w:pPr>
          </w:p>
        </w:tc>
      </w:tr>
      <w:tr>
        <w:trPr>
          <w:trHeight w:val="216"/>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7"/>
              </w:rPr>
              <w:t>4.7</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3"/>
              </w:rPr>
              <w:t>Registration Rights Agreement, dated as of November 6, 2007, by and among Wynn Las Vegas, LLC, Wynn Las Vegas Capital Corp.,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Guarantor signatories thereto and Deutsche Bank Securities Inc., Banc of America Securities LLC. (16)</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7"/>
              </w:rPr>
              <w:t>4.8</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93"/>
              </w:rPr>
              <w:t>Registration Rights Agreement, dated as of October 19, 2009, by and among Wynn Las Vegas, LLC, Wynn Las Vegas Capital Corp.,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Guarantors set forth therein, Deutsche Bank Securities Inc. and Banc of America Securities LLC. (22)</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7"/>
              </w:rPr>
              <w:t>4.9</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88"/>
              </w:rPr>
              <w:t>Indenture, dated as of April 28, 2010, by and among Wynn Las Vegas, LLC, Wynn Las Vegas Capital Corp., the Guarantors set forth therein and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U.S. Bank National Association, as trustee. (24)</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91"/>
              </w:rPr>
              <w:t>4.10</w:t>
            </w: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w w:val="88"/>
              </w:rPr>
              <w:t>Registration Rights Agreement, dated as of April 28, 2010, by and among Wynn Las Vegas, LLC, Wynn Las Vegas Capital Corp., the Guarantors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80" w:type="dxa"/>
            <w:vAlign w:val="bottom"/>
            <w:gridSpan w:val="3"/>
          </w:tcPr>
          <w:p>
            <w:pPr>
              <w:ind w:left="660"/>
              <w:spacing w:after="0"/>
              <w:rPr>
                <w:sz w:val="20"/>
                <w:szCs w:val="20"/>
                <w:color w:val="auto"/>
              </w:rPr>
            </w:pPr>
            <w:r>
              <w:rPr>
                <w:rFonts w:ascii="Arial" w:cs="Arial" w:eastAsia="Arial" w:hAnsi="Arial"/>
                <w:sz w:val="18"/>
                <w:szCs w:val="18"/>
                <w:color w:val="auto"/>
              </w:rPr>
              <w:t>set forth therein, Deutsche Bank Securities Inc., Banc of America Securities LLC and J.P. Morgan Securities Inc. (24)</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340"/>
          </w:cols>
          <w:pgMar w:left="240" w:top="460" w:right="319" w:bottom="1440" w:gutter="0" w:footer="0" w:header="0"/>
        </w:sectPr>
      </w:pPr>
    </w:p>
    <w:bookmarkStart w:id="299" w:name="page300"/>
    <w:bookmarkEnd w:id="2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gridSpan w:val="2"/>
          </w:tcPr>
          <w:p>
            <w:pPr>
              <w:spacing w:after="0"/>
              <w:rPr>
                <w:sz w:val="20"/>
                <w:szCs w:val="20"/>
                <w:color w:val="auto"/>
              </w:rPr>
            </w:pPr>
            <w:r>
              <w:rPr>
                <w:rFonts w:ascii="Arial" w:cs="Arial" w:eastAsia="Arial" w:hAnsi="Arial"/>
                <w:sz w:val="14"/>
                <w:szCs w:val="14"/>
                <w:b w:val="1"/>
                <w:bCs w:val="1"/>
                <w:color w:val="auto"/>
                <w:w w:val="94"/>
              </w:rPr>
              <w:t>Exhibit</w:t>
            </w:r>
          </w:p>
        </w:tc>
        <w:tc>
          <w:tcPr>
            <w:tcW w:w="5420" w:type="dxa"/>
            <w:vAlign w:val="bottom"/>
            <w:vMerge w:val="restart"/>
          </w:tcPr>
          <w:p>
            <w:pPr>
              <w:ind w:left="580"/>
              <w:spacing w:after="0"/>
              <w:rPr>
                <w:sz w:val="20"/>
                <w:szCs w:val="20"/>
                <w:color w:val="auto"/>
              </w:rPr>
            </w:pPr>
            <w:r>
              <w:rPr>
                <w:rFonts w:ascii="Arial" w:cs="Arial" w:eastAsia="Arial" w:hAnsi="Arial"/>
                <w:sz w:val="18"/>
                <w:szCs w:val="18"/>
                <w:color w:val="auto"/>
              </w:rPr>
              <w:t>Opinion of Skadden, Arps, Slate, Meagher &amp; Flom LLP (25)</w:t>
            </w:r>
          </w:p>
        </w:tc>
        <w:tc>
          <w:tcPr>
            <w:tcW w:w="5520" w:type="dxa"/>
            <w:vAlign w:val="bottom"/>
            <w:gridSpan w:val="2"/>
          </w:tcPr>
          <w:p>
            <w:pPr>
              <w:ind w:left="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5.1</w:t>
            </w:r>
          </w:p>
        </w:tc>
        <w:tc>
          <w:tcPr>
            <w:tcW w:w="5420" w:type="dxa"/>
            <w:vAlign w:val="bottom"/>
            <w:vMerge w:val="continue"/>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7"/>
              </w:rPr>
              <w:t>5.2</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Opinion of Brownstein Hyatt Farber Schreck, LLP (25)</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5"/>
              </w:rPr>
              <w:t>10.1</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0"/>
              </w:rPr>
              <w:t>Amended and Restated Master Disbursement Agreement, dated as of October 25, 2007, by and among Wynn Las Vegas, LLC, Deutsche Bank</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5"/>
              </w:rPr>
              <w:t>Trust Company Americas, as the initial Bank Agent, and Deutsche Bank Trust Company America, as the initial Disbursement Agent. (17)</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5"/>
              </w:rPr>
              <w:t>10.2</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7"/>
              </w:rPr>
              <w:t>First Amendment to Amended and Restated Master Disbursement Agreement, dated as of October 31, 2007, by and among Wynn Las Vegas, LLC,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2"/>
              </w:rPr>
              <w:t>Deutsche Bank Trust Company Americas, as the initial Bank Agent, and Deutsche Bank Trust Company America, as the initial Disbursement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Agent. (15)</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5"/>
              </w:rPr>
              <w:t>10.3</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8"/>
              </w:rPr>
              <w:t>Second Amendment to Amended and Restated Master Disbursement Agreement, dated as of November 6, 2007, by and among Wynn Las Vegas,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0"/>
              </w:rPr>
              <w:t>LLC, Deutsche Bank Trust Company Americas, as the Bank Agent, and Deutsche Bank Trust Company Americas, as the Disbursement Agent.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20" w:type="dxa"/>
            <w:vAlign w:val="bottom"/>
          </w:tcPr>
          <w:p>
            <w:pPr>
              <w:ind w:left="580"/>
              <w:spacing w:after="0"/>
              <w:rPr>
                <w:sz w:val="20"/>
                <w:szCs w:val="20"/>
                <w:color w:val="auto"/>
              </w:rPr>
            </w:pPr>
            <w:r>
              <w:rPr>
                <w:rFonts w:ascii="Arial" w:cs="Arial" w:eastAsia="Arial" w:hAnsi="Arial"/>
                <w:sz w:val="18"/>
                <w:szCs w:val="18"/>
                <w:color w:val="auto"/>
              </w:rPr>
              <w:t>(16)</w:t>
            </w:r>
          </w:p>
        </w:tc>
        <w:tc>
          <w:tcPr>
            <w:tcW w:w="70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5"/>
              </w:rPr>
              <w:t>10.4</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0"/>
              </w:rPr>
              <w:t>Third Amendment to Amended and Restated Master Disbursement Agreement, dated October 19, 2009, by and among Wynn Las Vegas, LLC,</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1"/>
              </w:rPr>
              <w:t>Deutsche Bank Trust Company Americas, as the Bank Agent, and Deutsche Bank Trust Company Americas, as the Disbursement Agent. (22)</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5"/>
              </w:rPr>
              <w:t>10.5</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9"/>
              </w:rPr>
              <w:t>Promissory Note and Agreement, dated May 24, 2005, by Wells Fargo Northwest, National Association, not in its individual capacity but solely 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5"/>
              </w:rPr>
              <w:t>owner trustee, and World Travel, LLC; and accepted and agreed to by Bank of America, N.A., as lender and Wells Fargo Bank, National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Association, not in its individual capacity but solely as collateral agent. (9)</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5"/>
              </w:rPr>
              <w:t>10.6</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9"/>
              </w:rPr>
              <w:t>Promissory Note and Agreement, dated May 24, 2005, by Wells Fargo Northwest, National Association, not in its individual capacity but solely 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1"/>
              </w:rPr>
              <w:t>owner trustee, and World Travel, LLC; and accepted and agreed to by The CIT Group / Equipment Financing, Inc., as lender and Wells Fargo</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Bank, National Association, not in its individual capacity but solely as collateral agent. (9)</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5"/>
              </w:rPr>
              <w:t>10.7</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0"/>
              </w:rPr>
              <w:t>Aircraft Security Agreement, dated May 24, 2005, between Wells Fargo Northwest, National Association, not in its individual capacity but solely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1"/>
              </w:rPr>
              <w:t>as owner trustee, World Travel, LLC and Wells Fargo Bank, National Association, not in its individual capacity but solely as collateral agent. (9)</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5"/>
              </w:rPr>
              <w:t>10.8</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3"/>
              </w:rPr>
              <w:t>Guaranty, dated May 24, 2005, by Wynn Las Vegas, LLC in favor of The CIT Group / Equipment Financing, Inc., Bank of America, N.A. and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Wells Fargo Bank, National Association, not in its individual capacity but solely as collateral agent. (9)</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5"/>
              </w:rPr>
              <w:t>10.9</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Agreement of Termination, dated June 30, 2005, by and between Stephen A. Wynn and Wynn Las Vegas, LLC. (10)</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8"/>
              </w:rPr>
              <w:t>10.10</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2"/>
              </w:rPr>
              <w:t>Fourth Amended and Restated Art Rental and Licensing Agreement, dated as of June 30, 2005, between Stephen A. Wynn, as lessor, Wynn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Gallery, LLC, as lessee. (10)</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4"/>
              </w:rPr>
              <w:t>10.11</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8"/>
              </w:rPr>
              <w:t>Lump Sum Agreement, by and between Wynn Las Vegas, LLC and Wadsworth Golf Construction Company, effective as of February 18, 2003. (6)</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8"/>
              </w:rPr>
              <w:t>10.12</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0"/>
              </w:rPr>
              <w:t>Completion Guaranty, dated December 14, 2004, by Wynn Completion Guarantor, LLC in favor of Deutsche Bank Trust Company Americas, as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the Bank Agent, and U.S. Bank National Association, as Indenture Trustee. (4)</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8"/>
              </w:rPr>
              <w:t>10.13</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0"/>
              </w:rPr>
              <w:t>Purchase Agreement, dated October 25, 2002, by and among Wynn Las Vegas, LLC, Wynn Las Vegas Capital Corp. and Stephen A. Wynn. (2)</w:t>
            </w:r>
          </w:p>
        </w:tc>
        <w:tc>
          <w:tcPr>
            <w:tcW w:w="0" w:type="dxa"/>
            <w:vAlign w:val="bottom"/>
          </w:tcPr>
          <w:p>
            <w:pPr>
              <w:spacing w:after="0"/>
              <w:rPr>
                <w:sz w:val="1"/>
                <w:szCs w:val="1"/>
                <w:color w:val="auto"/>
              </w:rPr>
            </w:pP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8"/>
              </w:rPr>
              <w:t>10.14</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1"/>
              </w:rPr>
              <w:t>Purchase Agreement, dated October 25, 2002, by and among Wynn Las Vegas, LLC, Wynn Las Vegas Capital Corp. and Aruze USA, Inc. (2)</w:t>
            </w:r>
          </w:p>
        </w:tc>
        <w:tc>
          <w:tcPr>
            <w:tcW w:w="0" w:type="dxa"/>
            <w:vAlign w:val="bottom"/>
          </w:tcPr>
          <w:p>
            <w:pPr>
              <w:spacing w:after="0"/>
              <w:rPr>
                <w:sz w:val="1"/>
                <w:szCs w:val="1"/>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8"/>
              </w:rPr>
              <w:t>10.15</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8"/>
              </w:rPr>
              <w:t>Acknowledgement and Agreement, dated as of September 1, 2004, among Wynn Las Vegas, LLC, Wells Fargo Bank, National Association and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lenders named therein. (7)</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00"/>
          </w:cols>
          <w:pgMar w:left="240" w:top="459" w:right="259" w:bottom="1440" w:gutter="0" w:footer="0" w:header="0"/>
        </w:sectPr>
      </w:pPr>
    </w:p>
    <w:bookmarkStart w:id="300" w:name="page301"/>
    <w:bookmarkEnd w:id="3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Exhibit</w:t>
            </w:r>
          </w:p>
        </w:tc>
        <w:tc>
          <w:tcPr>
            <w:tcW w:w="5420" w:type="dxa"/>
            <w:vAlign w:val="bottom"/>
          </w:tcPr>
          <w:p>
            <w:pPr>
              <w:spacing w:after="0"/>
              <w:rPr>
                <w:sz w:val="14"/>
                <w:szCs w:val="14"/>
                <w:color w:val="auto"/>
              </w:rPr>
            </w:pPr>
          </w:p>
        </w:tc>
        <w:tc>
          <w:tcPr>
            <w:tcW w:w="5500" w:type="dxa"/>
            <w:vAlign w:val="bottom"/>
            <w:gridSpan w:val="4"/>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20" w:type="dxa"/>
            <w:vAlign w:val="bottom"/>
          </w:tcPr>
          <w:p>
            <w:pPr>
              <w:spacing w:after="0"/>
              <w:rPr>
                <w:sz w:val="17"/>
                <w:szCs w:val="17"/>
                <w:color w:val="auto"/>
              </w:rPr>
            </w:pPr>
          </w:p>
        </w:tc>
        <w:tc>
          <w:tcPr>
            <w:tcW w:w="4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8"/>
              </w:rPr>
              <w:t>10.16</w:t>
            </w:r>
          </w:p>
        </w:tc>
        <w:tc>
          <w:tcPr>
            <w:tcW w:w="5420" w:type="dxa"/>
            <w:vAlign w:val="bottom"/>
          </w:tcPr>
          <w:p>
            <w:pPr>
              <w:ind w:left="580"/>
              <w:spacing w:after="0" w:line="201" w:lineRule="exact"/>
              <w:rPr>
                <w:sz w:val="20"/>
                <w:szCs w:val="20"/>
                <w:color w:val="auto"/>
              </w:rPr>
            </w:pPr>
            <w:r>
              <w:rPr>
                <w:rFonts w:ascii="Arial" w:cs="Arial" w:eastAsia="Arial" w:hAnsi="Arial"/>
                <w:sz w:val="18"/>
                <w:szCs w:val="18"/>
                <w:color w:val="auto"/>
                <w:w w:val="90"/>
              </w:rPr>
              <w:t>Third Amended and Restated Art Rental and Licensing Agreement,</w:t>
            </w:r>
          </w:p>
        </w:tc>
        <w:tc>
          <w:tcPr>
            <w:tcW w:w="70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w w:val="76"/>
              </w:rPr>
              <w:t>dated as of</w:t>
            </w:r>
          </w:p>
        </w:tc>
        <w:tc>
          <w:tcPr>
            <w:tcW w:w="4800" w:type="dxa"/>
            <w:vAlign w:val="bottom"/>
            <w:gridSpan w:val="2"/>
          </w:tcPr>
          <w:p>
            <w:pPr>
              <w:ind w:left="60"/>
              <w:spacing w:after="0" w:line="201" w:lineRule="exact"/>
              <w:rPr>
                <w:sz w:val="20"/>
                <w:szCs w:val="20"/>
                <w:color w:val="auto"/>
              </w:rPr>
            </w:pPr>
            <w:r>
              <w:rPr>
                <w:rFonts w:ascii="Arial" w:cs="Arial" w:eastAsia="Arial" w:hAnsi="Arial"/>
                <w:sz w:val="18"/>
                <w:szCs w:val="18"/>
                <w:color w:val="auto"/>
                <w:w w:val="90"/>
              </w:rPr>
              <w:t>August 6, 2004, by and between Stephen A. Wynn and Wynn Las</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rPr>
              <w:t>Vegas, LLC. (5)</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10.17</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92"/>
              </w:rPr>
              <w:t>Deed of Trust, Assignment of Rents and Leases, Security Agreement and Fixture Filing, dated as of December 14, 2004, made by Wynn Las</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90"/>
              </w:rPr>
              <w:t>Vegas, LLC, as trustor, to Nevada Title Company, as trustee, for the benefit of Deutsche Bank Trust Company Americas, as collateral agent. (4)</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10.18</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89"/>
              </w:rPr>
              <w:t>Deed of Trust, Assignment of Rents and Leases, Security Agreement and Fixture Filing, dated as of December 14, 2004, made by Wynn Sunrise,</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95"/>
              </w:rPr>
              <w:t>LLC, as trustor, to Nevada Title Company, as trustee, for the benefit of Deutsche Bank Trust Company Americas, as collateral agent. (4)</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10.19</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91"/>
              </w:rPr>
              <w:t>Deed of Trust, Assignment of Rents and Leases, Security Agreement and Fixture Filing, dated as of December 14, 2004, made by Wynn Golf,</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95"/>
              </w:rPr>
              <w:t>LLC, as trustor, to Nevada Title Company, as trustee, for the benefit of Deutsche Bank Trust Company Americas, as collateral agent. (4)</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10.20</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88"/>
              </w:rPr>
              <w:t>Guarantee and Collateral Agreement, dated as of December 14, 2004, made by Wynn Resorts Holdings, LLC, Wynn Las Vegas, LLC, Wynn Show</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91"/>
              </w:rPr>
              <w:t>Performers, LLC, Wynn Las Vegas Capital Corp., Wynn Golf, LLC, World Travel, LLC, Las Vegas Jet, LLC, Wynn Sunrise, LLC and the other</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rPr>
              <w:t>Grantors from time to time party thereto in favor of Deutsche Bank Trust Company Americas, as administrative agent. (4)</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10.21</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89"/>
              </w:rPr>
              <w:t>Intercreditor Agreement, dated as of December 14, 2004, among Deutsche Bank Trust Company Americas, as bank agent, Deutsche Bank Trust</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rPr>
              <w:t>Company Americas, as collateral agent, and U.S. Bank National Association, as trustee. (3)</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10.22</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91"/>
              </w:rPr>
              <w:t>Pledge and Security Agreement, dated as of December 14, 2004, made by Wynn Resorts Holdings, LLC, Wynn Las Vegas, LLC, Wynn Show</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91"/>
              </w:rPr>
              <w:t>Performers, LLC, Wynn Las Vegas Capital Corp., Wynn Golf, LLC, World Travel, LLC, Las Vegas Jet, LLC, Wynn Sunrise, LLC and the other</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rPr>
              <w:t>Grantors from time to time party thereto in favor of Deutsche Bank Trust Company Americas, as administrative agent. (4)</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10.23</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88"/>
              </w:rPr>
              <w:t>Management Fees Subordination Agreement, dated as of December 14, 2004, by Wynn Resorts, Limited, Wynn Las Vegas, LLC, Wynn Las Vegas</w:t>
            </w:r>
          </w:p>
        </w:tc>
      </w:tr>
      <w:tr>
        <w:trPr>
          <w:trHeight w:val="184"/>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920" w:type="dxa"/>
            <w:vAlign w:val="bottom"/>
            <w:gridSpan w:val="5"/>
          </w:tcPr>
          <w:p>
            <w:pPr>
              <w:ind w:left="580"/>
              <w:spacing w:after="0" w:line="184" w:lineRule="exact"/>
              <w:rPr>
                <w:sz w:val="20"/>
                <w:szCs w:val="20"/>
                <w:color w:val="auto"/>
              </w:rPr>
            </w:pPr>
            <w:r>
              <w:rPr>
                <w:rFonts w:ascii="Arial" w:cs="Arial" w:eastAsia="Arial" w:hAnsi="Arial"/>
                <w:sz w:val="18"/>
                <w:szCs w:val="18"/>
                <w:color w:val="auto"/>
                <w:w w:val="89"/>
              </w:rPr>
              <w:t>Capital Corp., and those subsidiaries of Wynn Las Vegas, LLC listed on Exhibit 21.1 hereto in favor of Deutsche Bank Trust Company Americas,</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80" w:type="dxa"/>
            <w:vAlign w:val="bottom"/>
            <w:gridSpan w:val="2"/>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rPr>
              <w:t>as administrative agent, and U.S. Bank National Association, as trustee. (4)</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10.24</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89"/>
              </w:rPr>
              <w:t>Management Agreement, made as of December 14, 2004, by and among Wynn Las Vegas, LLC, Wynn Show Performers, LLC, Wynn Las Vegas</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rPr>
              <w:t>Capital Corp., Wynn Golf, LLC, World Travel, LLC, Las Vegas Jet, LLC, Wynn Sunrise, LLC, and Wynn Resorts, Limited. (4)</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10.25</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90"/>
              </w:rPr>
              <w:t>Irrevocable Trust Agreement, dated as of December 14, 2004, by and among Wynn Las Vegas, LLC, Wynn Las Vegas Capital Corp., and Wells</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rPr>
              <w:t>Fargo Bank, National Association, as Trustee. (4)</w:t>
            </w:r>
          </w:p>
        </w:tc>
      </w:tr>
      <w:tr>
        <w:trPr>
          <w:trHeight w:val="216"/>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10.26</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88"/>
              </w:rPr>
              <w:t>Amended and Restated Project Administration Services Agreement, dated December 14, 2004, between Wynn Las Vegas, LLC and Wynn Design</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rPr>
              <w:t>&amp; Development, LLC. (4)</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10.27</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91"/>
              </w:rPr>
              <w:t>Intellectual Property License Agreement, dated as of December 14, 2004, by and among Wynn Resorts Holdings, Wynn Resorts, Limited and</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rPr>
              <w:t>Wynn Las Vegas, LLC. (4)</w:t>
            </w: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10.28</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rPr>
              <w:t>Employment Agreement, dated as of August 31, 2005, between Wynn Las Vegas, LLC and Andrew Pascal. (11)</w:t>
            </w: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10.29</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94"/>
              </w:rPr>
              <w:t>First Amendment to Employment Agreement, dated December 31, 2008, by and between Wynn Las Vegas, LLC and Andrew Pascal (13)</w:t>
            </w: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10.30</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rPr>
              <w:t>Employment Agreement, dated as of May 5, 2009 by and between Wynn Las Vegas, LLC and Scott Peterson. (23)</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10.31</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87"/>
              </w:rPr>
              <w:t>Amended and Restated Credit Agreement, dated as of August 15, 2006 among Wynn Las Vegas, LLC, as the Borrower, several lenders and agents,</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rPr>
              <w:t>and Deutsche Bank Trust Company Americas, as Administrative Agent. (18)</w:t>
            </w:r>
          </w:p>
        </w:tc>
      </w:tr>
    </w:tbl>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380"/>
          </w:cols>
          <w:pgMar w:left="240" w:top="460" w:right="279" w:bottom="1440" w:gutter="0" w:footer="0" w:header="0"/>
        </w:sectPr>
      </w:pPr>
    </w:p>
    <w:bookmarkStart w:id="301" w:name="page302"/>
    <w:bookmarkEnd w:id="3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gridSpan w:val="2"/>
          </w:tcPr>
          <w:p>
            <w:pPr>
              <w:spacing w:after="0"/>
              <w:rPr>
                <w:sz w:val="20"/>
                <w:szCs w:val="20"/>
                <w:color w:val="auto"/>
              </w:rPr>
            </w:pPr>
            <w:r>
              <w:rPr>
                <w:rFonts w:ascii="Arial" w:cs="Arial" w:eastAsia="Arial" w:hAnsi="Arial"/>
                <w:sz w:val="14"/>
                <w:szCs w:val="14"/>
                <w:b w:val="1"/>
                <w:bCs w:val="1"/>
                <w:color w:val="auto"/>
                <w:w w:val="94"/>
              </w:rPr>
              <w:t>Exhibit</w:t>
            </w:r>
          </w:p>
        </w:tc>
        <w:tc>
          <w:tcPr>
            <w:tcW w:w="5420" w:type="dxa"/>
            <w:vAlign w:val="bottom"/>
          </w:tcPr>
          <w:p>
            <w:pPr>
              <w:spacing w:after="0"/>
              <w:rPr>
                <w:sz w:val="14"/>
                <w:szCs w:val="14"/>
                <w:color w:val="auto"/>
              </w:rPr>
            </w:pPr>
          </w:p>
        </w:tc>
        <w:tc>
          <w:tcPr>
            <w:tcW w:w="5540" w:type="dxa"/>
            <w:vAlign w:val="bottom"/>
            <w:gridSpan w:val="2"/>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20" w:type="dxa"/>
            <w:vAlign w:val="bottom"/>
          </w:tcPr>
          <w:p>
            <w:pPr>
              <w:spacing w:after="0"/>
              <w:rPr>
                <w:sz w:val="17"/>
                <w:szCs w:val="17"/>
                <w:color w:val="auto"/>
              </w:rPr>
            </w:pPr>
          </w:p>
        </w:tc>
        <w:tc>
          <w:tcPr>
            <w:tcW w:w="4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8"/>
              </w:rPr>
              <w:t>10.32</w:t>
            </w:r>
          </w:p>
        </w:tc>
        <w:tc>
          <w:tcPr>
            <w:tcW w:w="5420" w:type="dxa"/>
            <w:vAlign w:val="bottom"/>
          </w:tcPr>
          <w:p>
            <w:pPr>
              <w:ind w:left="580"/>
              <w:spacing w:after="0" w:line="201" w:lineRule="exact"/>
              <w:rPr>
                <w:sz w:val="20"/>
                <w:szCs w:val="20"/>
                <w:color w:val="auto"/>
              </w:rPr>
            </w:pPr>
            <w:r>
              <w:rPr>
                <w:rFonts w:ascii="Arial" w:cs="Arial" w:eastAsia="Arial" w:hAnsi="Arial"/>
                <w:sz w:val="18"/>
                <w:szCs w:val="18"/>
                <w:color w:val="auto"/>
                <w:w w:val="88"/>
              </w:rPr>
              <w:t>First Amendment to Amended and Restated Credit Agreement dated</w:t>
            </w:r>
          </w:p>
        </w:tc>
        <w:tc>
          <w:tcPr>
            <w:tcW w:w="700" w:type="dxa"/>
            <w:vAlign w:val="bottom"/>
            <w:tcBorders>
              <w:top w:val="single" w:sz="8" w:color="auto"/>
            </w:tcBorders>
          </w:tcPr>
          <w:p>
            <w:pPr>
              <w:ind w:left="20"/>
              <w:spacing w:after="0" w:line="201" w:lineRule="exact"/>
              <w:rPr>
                <w:sz w:val="20"/>
                <w:szCs w:val="20"/>
                <w:color w:val="auto"/>
              </w:rPr>
            </w:pPr>
            <w:r>
              <w:rPr>
                <w:rFonts w:ascii="Arial" w:cs="Arial" w:eastAsia="Arial" w:hAnsi="Arial"/>
                <w:sz w:val="18"/>
                <w:szCs w:val="18"/>
                <w:color w:val="auto"/>
              </w:rPr>
              <w:t>April 9,</w:t>
            </w:r>
          </w:p>
        </w:tc>
        <w:tc>
          <w:tcPr>
            <w:tcW w:w="4840" w:type="dxa"/>
            <w:vAlign w:val="bottom"/>
          </w:tcPr>
          <w:p>
            <w:pPr>
              <w:spacing w:after="0" w:line="201" w:lineRule="exact"/>
              <w:rPr>
                <w:sz w:val="20"/>
                <w:szCs w:val="20"/>
                <w:color w:val="auto"/>
              </w:rPr>
            </w:pPr>
            <w:r>
              <w:rPr>
                <w:rFonts w:ascii="Arial" w:cs="Arial" w:eastAsia="Arial" w:hAnsi="Arial"/>
                <w:sz w:val="18"/>
                <w:szCs w:val="18"/>
                <w:color w:val="auto"/>
                <w:w w:val="88"/>
              </w:rPr>
              <w:t>2007 among Wynn Las Vegas, LLC, Wynn Las Vegas Capital Corp.,</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Wynn Show Performers, LLC, Wynn Golf, LLC, Wynn Sunrise, LLC, World Travel, LLC, Kevyn, LLC, Las Vegas Jet, LLC, and Deutsche Bank</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89"/>
              </w:rPr>
              <w:t>Trust Company Americas, as Administrative Agent on behalf of the several banks and other financial institutions or entities from time to time party</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to Wynn Las Vegas LLC’s Amended and Restated Credit Agreement, dated as of August 15, 2006. (14)</w:t>
            </w: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8"/>
              </w:rPr>
              <w:t>10.33</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88"/>
              </w:rPr>
              <w:t>Second Amendment to Amended and Restated Credit Agreement dated October 31, 2007 among Wynn Las Vegas, LLC, Wynn Las Vegas Capital</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Corp., Wynn Show Performers, LLC, Wynn Golf, LLC, Wynn Sunrise, LLC, World Travel, LLC, Kevyn, LLC, Las Vegas Jet, LLC, Wynn Resorts</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4"/>
              </w:rPr>
              <w:t>Holdings, LLC, Wynn Completion Guarantors, LLC and Deutsche Bank Trust Company Americas, as Administrative Agent on behalf of the</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5"/>
              </w:rPr>
              <w:t>several banks and other financial institutions or entities from time to time party to Wynn Las Vegas LLC’s Amended and Restated Credit</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Agreement, dated as of August 15, 2006. (15)</w:t>
            </w: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8"/>
              </w:rPr>
              <w:t>10.34</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89"/>
              </w:rPr>
              <w:t>Third Amendment to Amended and Restated Credit Agreement dated as of September 17, 2008 among Wynn Las Vegas, LLC, Wynn Las Vegas</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Capital Corp., Wynn Show Performers, LLC, Wynn Golf, LLC, Wynn Sunrise, LLC, World Travel, LLC, Kevyn, LLC, Las Vegas Jet, LLC, Wynn</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Resorts Holdings, LLC, Wynn Completion Guarantor, LLC and Deutsche Bank Trust Company Americas, as Administrative Agent on behalf of</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2"/>
              </w:rPr>
              <w:t>the several banks and other financial institutions or entities from time to time party to Wynn Las Vegas, LLC’s Amended and Restated Credit</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Agreement, dated as of August 15, 2006. (12)</w:t>
            </w: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8"/>
              </w:rPr>
              <w:t>10.35</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89"/>
              </w:rPr>
              <w:t>Fourth Amendment to Amended and Restated Credit Agreement, dated as of April 17, 2009, among Wynn Las Vegas, LLC and Wynn Las Vegas</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Capital Corp., Wynn Show Performers, LLC, Wynn Golf, LLC, Wynn Sunrise, LLC, World Travel, LLC, Kevyn, LLC, Las Vegas Jet, LLC, Wynn</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0"/>
              </w:rPr>
              <w:t>Resorts Holdings, LLC, Wynn Completion Guarantors, LLC and Deutsche Bank Trust Company Americas, as Administrative Agent on behalf of</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3"/>
              </w:rPr>
              <w:t>the several banks and other financial institutions or entities from time to time party to Wynn Las Vegas LLC’s Amended and Restated Credit</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Agreement, dated as of August 15, 2006. (20)</w:t>
            </w: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8"/>
              </w:rPr>
              <w:t>10.36</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Fifth Amendment to Amended and Restated Credit Agreement, dated as of September 10, 2009, among Wynn Las Vegas, LLC and Wynn Las</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Vegas Capital Corp., Wynn Show Performers, LLC, Wynn Golf, LLC, Wynn Sunrise, LLC, World Travel, LLC, Kevyn, LLC, Las Vegas Jet, LLC,</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2"/>
              </w:rPr>
              <w:t>Wynn Resorts Holdings, LLC, Wynn Completion Guarantors, LLC and Deutsche Bank Trust Company Americas, as Administrative Agent on</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behalf of the several banks and other financial institutions or entities from time to time party to Wynn Las Vegas LLC’s Amended and Restated</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Credit Agreement, dated as of August 15, 2006. (21)</w:t>
            </w: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8"/>
              </w:rPr>
              <w:t>10.37</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89"/>
              </w:rPr>
              <w:t>Sixth Amendment to Amended and Restated Credit Agreement dated as of April 28, 2010 among Wynn Las Vegas, LLC, Wynn Las Vegas Capital</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Corp., Wynn Show Performers, LLC, Wynn Golf, LLC, Wynn Sunrise, LLC, World Travel, LLC, Kevyn, LLC, Las Vegas Jet, LLC, Wynn Resorts</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Holdings, LLC, Wynn Completion Guarantor, LLC and Deutsche Bank Trust Company Americas, as Administrative Agent. (24)</w:t>
            </w: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8"/>
              </w:rPr>
              <w:t>10.38</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2"/>
              </w:rPr>
              <w:t>Fourth Amendment to Amended and Restated Master Disbursement Agreement, dated April 28,2010, by and among Wynn Las Vegas, LLC,</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Deutsche Bank Trust Company Americas, as the Bank Agent, and Deutsche Bank Trust Company Americas, as the Disbursement Agent. (24)</w:t>
            </w: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5"/>
              </w:rPr>
              <w:t>12.1</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Statements re Computation of Ratios. (25)</w:t>
            </w: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5"/>
              </w:rPr>
              <w:t>21.1</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Subsidiaries of the Registrant. (25)</w:t>
            </w: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5"/>
              </w:rPr>
              <w:t>23.1</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Consent of Ernst &amp; Young LLP. (25)</w:t>
            </w:r>
          </w:p>
        </w:tc>
      </w:tr>
      <w:tr>
        <w:trPr>
          <w:trHeight w:val="324"/>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5"/>
              </w:rPr>
              <w:t>23.2</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Consent of Skadden, Arps, Slate, Meagher &amp; Flom LLP (included in Exhibit 5.1). (25)</w:t>
            </w:r>
          </w:p>
        </w:tc>
      </w:tr>
      <w:tr>
        <w:trPr>
          <w:trHeight w:val="36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960" w:type="dxa"/>
            <w:vAlign w:val="bottom"/>
            <w:gridSpan w:val="3"/>
          </w:tcPr>
          <w:p>
            <w:pPr>
              <w:ind w:left="5120"/>
              <w:spacing w:after="0"/>
              <w:rPr>
                <w:sz w:val="20"/>
                <w:szCs w:val="20"/>
                <w:color w:val="auto"/>
              </w:rPr>
            </w:pPr>
            <w:r>
              <w:rPr>
                <w:rFonts w:ascii="Arial" w:cs="Arial" w:eastAsia="Arial" w:hAnsi="Arial"/>
                <w:sz w:val="18"/>
                <w:szCs w:val="18"/>
                <w:color w:val="auto"/>
              </w:rPr>
              <w:t>II-6</w:t>
            </w:r>
          </w:p>
        </w:tc>
      </w:tr>
    </w:tbl>
    <w:p>
      <w:pPr>
        <w:sectPr>
          <w:pgSz w:w="11900" w:h="16838" w:orient="portrait"/>
          <w:cols w:equalWidth="0" w:num="1">
            <w:col w:w="11420"/>
          </w:cols>
          <w:pgMar w:left="240" w:top="460" w:right="239" w:bottom="1440" w:gutter="0" w:footer="0" w:header="0"/>
        </w:sectPr>
      </w:pPr>
    </w:p>
    <w:bookmarkStart w:id="302" w:name="page303"/>
    <w:bookmarkEnd w:id="3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46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520" w:type="dxa"/>
            <w:vAlign w:val="bottom"/>
          </w:tcPr>
          <w:p>
            <w:pPr>
              <w:spacing w:after="0"/>
              <w:rPr>
                <w:sz w:val="14"/>
                <w:szCs w:val="14"/>
                <w:color w:val="auto"/>
              </w:rPr>
            </w:pPr>
          </w:p>
        </w:tc>
      </w:tr>
      <w:tr>
        <w:trPr>
          <w:trHeight w:val="316"/>
        </w:trPr>
        <w:tc>
          <w:tcPr>
            <w:tcW w:w="460" w:type="dxa"/>
            <w:vAlign w:val="bottom"/>
          </w:tcPr>
          <w:p>
            <w:pPr>
              <w:jc w:val="center"/>
              <w:spacing w:after="0"/>
              <w:rPr>
                <w:sz w:val="20"/>
                <w:szCs w:val="20"/>
                <w:color w:val="auto"/>
              </w:rPr>
            </w:pPr>
            <w:r>
              <w:rPr>
                <w:rFonts w:ascii="Arial" w:cs="Arial" w:eastAsia="Arial" w:hAnsi="Arial"/>
                <w:sz w:val="18"/>
                <w:szCs w:val="18"/>
                <w:color w:val="auto"/>
                <w:w w:val="91"/>
              </w:rPr>
              <w:t>23.3</w:t>
            </w: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rPr>
              <w:t>Consent of Brownstein Hyatt Farber Schreck, LLP (included in Exhibit 5.2). (25)</w:t>
            </w:r>
          </w:p>
        </w:tc>
      </w:tr>
      <w:tr>
        <w:trPr>
          <w:trHeight w:val="324"/>
        </w:trPr>
        <w:tc>
          <w:tcPr>
            <w:tcW w:w="460" w:type="dxa"/>
            <w:vAlign w:val="bottom"/>
          </w:tcPr>
          <w:p>
            <w:pPr>
              <w:jc w:val="center"/>
              <w:spacing w:after="0"/>
              <w:rPr>
                <w:sz w:val="20"/>
                <w:szCs w:val="20"/>
                <w:color w:val="auto"/>
              </w:rPr>
            </w:pPr>
            <w:r>
              <w:rPr>
                <w:rFonts w:ascii="Arial" w:cs="Arial" w:eastAsia="Arial" w:hAnsi="Arial"/>
                <w:sz w:val="18"/>
                <w:szCs w:val="18"/>
                <w:color w:val="auto"/>
                <w:w w:val="91"/>
              </w:rPr>
              <w:t>24.1</w:t>
            </w: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rPr>
              <w:t>Powers of Attorney (included in the signature pages to the Registration Statement). (25)</w:t>
            </w:r>
          </w:p>
        </w:tc>
      </w:tr>
      <w:tr>
        <w:trPr>
          <w:trHeight w:val="318"/>
        </w:trPr>
        <w:tc>
          <w:tcPr>
            <w:tcW w:w="460" w:type="dxa"/>
            <w:vAlign w:val="bottom"/>
          </w:tcPr>
          <w:p>
            <w:pPr>
              <w:jc w:val="center"/>
              <w:spacing w:after="0"/>
              <w:rPr>
                <w:sz w:val="20"/>
                <w:szCs w:val="20"/>
                <w:color w:val="auto"/>
              </w:rPr>
            </w:pPr>
            <w:r>
              <w:rPr>
                <w:rFonts w:ascii="Arial" w:cs="Arial" w:eastAsia="Arial" w:hAnsi="Arial"/>
                <w:sz w:val="18"/>
                <w:szCs w:val="18"/>
                <w:color w:val="auto"/>
                <w:w w:val="91"/>
              </w:rPr>
              <w:t>25.1</w:t>
            </w: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w w:val="89"/>
              </w:rPr>
              <w:t>Statement of Eligibility and Qualification on Form T-1 of U.S. Bank National Association, as trustee under the Indenture for Wynn Las Vegas,</w:t>
            </w:r>
          </w:p>
        </w:tc>
      </w:tr>
      <w:tr>
        <w:trPr>
          <w:trHeight w:val="222"/>
        </w:trPr>
        <w:tc>
          <w:tcPr>
            <w:tcW w:w="460" w:type="dxa"/>
            <w:vAlign w:val="bottom"/>
          </w:tcPr>
          <w:p>
            <w:pPr>
              <w:spacing w:after="0"/>
              <w:rPr>
                <w:sz w:val="19"/>
                <w:szCs w:val="19"/>
                <w:color w:val="auto"/>
              </w:rPr>
            </w:pP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rPr>
              <w:t>LLC and Wynn Las Vegas Capital Corp.’s 7.875% First Mortgage Notes due 2017. (25)</w:t>
            </w:r>
          </w:p>
        </w:tc>
      </w:tr>
      <w:tr>
        <w:trPr>
          <w:trHeight w:val="324"/>
        </w:trPr>
        <w:tc>
          <w:tcPr>
            <w:tcW w:w="46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rPr>
              <w:t>Form of Letter of Transmittal. (25)</w:t>
            </w:r>
          </w:p>
        </w:tc>
      </w:tr>
      <w:tr>
        <w:trPr>
          <w:trHeight w:val="324"/>
        </w:trPr>
        <w:tc>
          <w:tcPr>
            <w:tcW w:w="460" w:type="dxa"/>
            <w:vAlign w:val="bottom"/>
          </w:tcPr>
          <w:p>
            <w:pPr>
              <w:jc w:val="center"/>
              <w:spacing w:after="0"/>
              <w:rPr>
                <w:sz w:val="20"/>
                <w:szCs w:val="20"/>
                <w:color w:val="auto"/>
              </w:rPr>
            </w:pPr>
            <w:r>
              <w:rPr>
                <w:rFonts w:ascii="Arial" w:cs="Arial" w:eastAsia="Arial" w:hAnsi="Arial"/>
                <w:sz w:val="18"/>
                <w:szCs w:val="18"/>
                <w:color w:val="auto"/>
                <w:w w:val="91"/>
              </w:rPr>
              <w:t>99.2</w:t>
            </w: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rPr>
              <w:t>Form of Notice of Guaranteed Delivery. (25)</w:t>
            </w:r>
          </w:p>
        </w:tc>
      </w:tr>
      <w:tr>
        <w:trPr>
          <w:trHeight w:val="324"/>
        </w:trPr>
        <w:tc>
          <w:tcPr>
            <w:tcW w:w="460" w:type="dxa"/>
            <w:vAlign w:val="bottom"/>
          </w:tcPr>
          <w:p>
            <w:pPr>
              <w:jc w:val="center"/>
              <w:spacing w:after="0"/>
              <w:rPr>
                <w:sz w:val="20"/>
                <w:szCs w:val="20"/>
                <w:color w:val="auto"/>
              </w:rPr>
            </w:pPr>
            <w:r>
              <w:rPr>
                <w:rFonts w:ascii="Arial" w:cs="Arial" w:eastAsia="Arial" w:hAnsi="Arial"/>
                <w:sz w:val="18"/>
                <w:szCs w:val="18"/>
                <w:color w:val="auto"/>
                <w:w w:val="91"/>
              </w:rPr>
              <w:t>99.3</w:t>
            </w: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rPr>
              <w:t>Form of Letter to Clients. (25)</w:t>
            </w:r>
          </w:p>
        </w:tc>
      </w:tr>
      <w:tr>
        <w:trPr>
          <w:trHeight w:val="324"/>
        </w:trPr>
        <w:tc>
          <w:tcPr>
            <w:tcW w:w="460" w:type="dxa"/>
            <w:vAlign w:val="bottom"/>
          </w:tcPr>
          <w:p>
            <w:pPr>
              <w:jc w:val="center"/>
              <w:spacing w:after="0"/>
              <w:rPr>
                <w:sz w:val="20"/>
                <w:szCs w:val="20"/>
                <w:color w:val="auto"/>
              </w:rPr>
            </w:pPr>
            <w:r>
              <w:rPr>
                <w:rFonts w:ascii="Arial" w:cs="Arial" w:eastAsia="Arial" w:hAnsi="Arial"/>
                <w:sz w:val="18"/>
                <w:szCs w:val="18"/>
                <w:color w:val="auto"/>
                <w:w w:val="91"/>
              </w:rPr>
              <w:t>99.4</w:t>
            </w: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rPr>
              <w:t>Form of Letter to Brokers, Dealers, Commercial Banks, Trust Companies and Other Nominees. (25)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580" w:hanging="572"/>
        <w:spacing w:after="0"/>
        <w:tabs>
          <w:tab w:leader="none" w:pos="58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Previously filed with the Registration Statement on Form S-4 (File No. 333-124052) filed by the registrant on April 13, 2005.</w:t>
      </w:r>
    </w:p>
    <w:p>
      <w:pPr>
        <w:spacing w:after="0" w:line="15" w:lineRule="exact"/>
        <w:rPr>
          <w:rFonts w:ascii="Arial" w:cs="Arial" w:eastAsia="Arial" w:hAnsi="Arial"/>
          <w:sz w:val="18"/>
          <w:szCs w:val="18"/>
          <w:color w:val="auto"/>
        </w:rPr>
      </w:pPr>
    </w:p>
    <w:p>
      <w:pPr>
        <w:ind w:left="580" w:hanging="572"/>
        <w:spacing w:after="0"/>
        <w:tabs>
          <w:tab w:leader="none" w:pos="58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November 18, 2002.</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December 17, 2004.</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Wynn Resorts on March 15, 2005.</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Wynn Resorts on November 4, 2004.</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Wynn Resorts on May 15, 2003.</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September 8, 2004.</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June 29, 2005.</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May 25, 2005.</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Incorporated by reference from the Periodic Report on form 10-Q filed by Wynn Resorts, Limited on August 2, 2005.</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September 1, 2005.</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September 19, 2008.</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the Registrant on March 2, 2009.</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August 9, 2007.</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November 1, 2007.</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November 13, 2007.</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October 31, 2007.</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November 9, 2006.</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the Registrant on February 22, 2008.</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April 21, 2009.</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September 14, 2009.</w:t>
      </w:r>
    </w:p>
    <w:p>
      <w:pPr>
        <w:spacing w:after="0" w:line="15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140"/>
          </w:cols>
          <w:pgMar w:left="240" w:top="459" w:right="519" w:bottom="1440" w:gutter="0" w:footer="0" w:header="0"/>
        </w:sectPr>
      </w:pPr>
    </w:p>
    <w:bookmarkStart w:id="303" w:name="page304"/>
    <w:bookmarkEnd w:id="3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hanging="572"/>
        <w:spacing w:after="0"/>
        <w:tabs>
          <w:tab w:leader="none" w:pos="58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October 20, 2009.</w:t>
      </w:r>
    </w:p>
    <w:p>
      <w:pPr>
        <w:spacing w:after="0" w:line="15" w:lineRule="exact"/>
        <w:rPr>
          <w:rFonts w:ascii="Arial" w:cs="Arial" w:eastAsia="Arial" w:hAnsi="Arial"/>
          <w:sz w:val="18"/>
          <w:szCs w:val="18"/>
          <w:color w:val="auto"/>
        </w:rPr>
      </w:pPr>
    </w:p>
    <w:p>
      <w:pPr>
        <w:ind w:left="580" w:hanging="572"/>
        <w:spacing w:after="0"/>
        <w:tabs>
          <w:tab w:leader="none" w:pos="58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May 8, 2009.</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April 28, 2010.</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21(b). </w:t>
      </w:r>
      <w:r>
        <w:rPr>
          <w:rFonts w:ascii="Arial" w:cs="Arial" w:eastAsia="Arial" w:hAnsi="Arial"/>
          <w:sz w:val="18"/>
          <w:szCs w:val="18"/>
          <w:b w:val="1"/>
          <w:bCs w:val="1"/>
          <w:i w:val="1"/>
          <w:iCs w:val="1"/>
          <w:color w:val="auto"/>
        </w:rPr>
        <w:t>Financial Statement Schedules.</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None. We have omitted financial statement schedules because they are not required or are not applicable, or the required information is shown in the financial statements or notes to the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22. </w:t>
      </w:r>
      <w:r>
        <w:rPr>
          <w:rFonts w:ascii="Arial" w:cs="Arial" w:eastAsia="Arial" w:hAnsi="Arial"/>
          <w:sz w:val="18"/>
          <w:szCs w:val="18"/>
          <w:b w:val="1"/>
          <w:bCs w:val="1"/>
          <w:i w:val="1"/>
          <w:iCs w:val="1"/>
          <w:color w:val="auto"/>
        </w:rPr>
        <w:t>Undertakings</w:t>
      </w:r>
    </w:p>
    <w:p>
      <w:pPr>
        <w:spacing w:after="0" w:line="96" w:lineRule="exact"/>
        <w:rPr>
          <w:sz w:val="20"/>
          <w:szCs w:val="20"/>
          <w:color w:val="auto"/>
        </w:rPr>
      </w:pPr>
    </w:p>
    <w:p>
      <w:pPr>
        <w:ind w:left="700" w:hanging="236"/>
        <w:spacing w:after="0"/>
        <w:tabs>
          <w:tab w:leader="none" w:pos="70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379"/>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90" w:lineRule="exact"/>
        <w:rPr>
          <w:rFonts w:ascii="Arial" w:cs="Arial" w:eastAsia="Arial" w:hAnsi="Arial"/>
          <w:sz w:val="18"/>
          <w:szCs w:val="18"/>
          <w:color w:val="auto"/>
        </w:rPr>
      </w:pPr>
    </w:p>
    <w:p>
      <w:pPr>
        <w:ind w:left="1560" w:hanging="219"/>
        <w:spacing w:after="0"/>
        <w:tabs>
          <w:tab w:leader="none" w:pos="1560" w:val="left"/>
        </w:tabs>
        <w:numPr>
          <w:ilvl w:val="2"/>
          <w:numId w:val="379"/>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90" w:lineRule="exact"/>
        <w:rPr>
          <w:rFonts w:ascii="Arial" w:cs="Arial" w:eastAsia="Arial" w:hAnsi="Arial"/>
          <w:sz w:val="18"/>
          <w:szCs w:val="18"/>
          <w:color w:val="auto"/>
        </w:rPr>
      </w:pPr>
    </w:p>
    <w:p>
      <w:pPr>
        <w:ind w:left="920" w:firstLine="421"/>
        <w:spacing w:after="0" w:line="314" w:lineRule="auto"/>
        <w:tabs>
          <w:tab w:leader="none" w:pos="1598" w:val="left"/>
        </w:tabs>
        <w:numPr>
          <w:ilvl w:val="2"/>
          <w:numId w:val="379"/>
        </w:numPr>
        <w:rPr>
          <w:rFonts w:ascii="Arial" w:cs="Arial" w:eastAsia="Arial" w:hAnsi="Arial"/>
          <w:sz w:val="15"/>
          <w:szCs w:val="15"/>
          <w:color w:val="auto"/>
        </w:rPr>
      </w:pPr>
      <w:r>
        <w:rPr>
          <w:rFonts w:ascii="Arial" w:cs="Arial" w:eastAsia="Arial" w:hAnsi="Arial"/>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23" w:lineRule="exact"/>
        <w:rPr>
          <w:rFonts w:ascii="Arial" w:cs="Arial" w:eastAsia="Arial" w:hAnsi="Arial"/>
          <w:sz w:val="15"/>
          <w:szCs w:val="15"/>
          <w:color w:val="auto"/>
        </w:rPr>
      </w:pPr>
    </w:p>
    <w:p>
      <w:pPr>
        <w:ind w:left="920" w:right="260" w:firstLine="421"/>
        <w:spacing w:after="0" w:line="268" w:lineRule="auto"/>
        <w:tabs>
          <w:tab w:leader="none" w:pos="1647" w:val="left"/>
        </w:tabs>
        <w:numPr>
          <w:ilvl w:val="2"/>
          <w:numId w:val="379"/>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0" w:lineRule="exact"/>
        <w:rPr>
          <w:rFonts w:ascii="Arial" w:cs="Arial" w:eastAsia="Arial" w:hAnsi="Arial"/>
          <w:sz w:val="18"/>
          <w:szCs w:val="18"/>
          <w:color w:val="auto"/>
        </w:rPr>
      </w:pPr>
    </w:p>
    <w:p>
      <w:pPr>
        <w:ind w:left="460" w:right="340" w:firstLine="443"/>
        <w:spacing w:after="0" w:line="259" w:lineRule="auto"/>
        <w:tabs>
          <w:tab w:leader="none" w:pos="1147" w:val="left"/>
        </w:tabs>
        <w:numPr>
          <w:ilvl w:val="1"/>
          <w:numId w:val="379"/>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59" w:lineRule="exact"/>
        <w:rPr>
          <w:rFonts w:ascii="Arial" w:cs="Arial" w:eastAsia="Arial" w:hAnsi="Arial"/>
          <w:sz w:val="18"/>
          <w:szCs w:val="18"/>
          <w:color w:val="auto"/>
        </w:rPr>
      </w:pPr>
    </w:p>
    <w:p>
      <w:pPr>
        <w:ind w:left="460" w:right="800" w:firstLine="443"/>
        <w:spacing w:after="0" w:line="268" w:lineRule="auto"/>
        <w:tabs>
          <w:tab w:leader="none" w:pos="1147" w:val="left"/>
        </w:tabs>
        <w:numPr>
          <w:ilvl w:val="1"/>
          <w:numId w:val="379"/>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50" w:lineRule="exact"/>
        <w:rPr>
          <w:rFonts w:ascii="Arial" w:cs="Arial" w:eastAsia="Arial" w:hAnsi="Arial"/>
          <w:sz w:val="18"/>
          <w:szCs w:val="18"/>
          <w:color w:val="auto"/>
        </w:rPr>
      </w:pPr>
    </w:p>
    <w:p>
      <w:pPr>
        <w:ind w:left="460" w:right="60" w:firstLine="443"/>
        <w:spacing w:after="0" w:line="287" w:lineRule="auto"/>
        <w:tabs>
          <w:tab w:leader="none" w:pos="1147" w:val="left"/>
        </w:tabs>
        <w:numPr>
          <w:ilvl w:val="1"/>
          <w:numId w:val="379"/>
        </w:numPr>
        <w:rPr>
          <w:rFonts w:ascii="Arial" w:cs="Arial" w:eastAsia="Arial" w:hAnsi="Arial"/>
          <w:sz w:val="16"/>
          <w:szCs w:val="16"/>
          <w:color w:val="auto"/>
        </w:rPr>
      </w:pPr>
      <w:r>
        <w:rPr>
          <w:rFonts w:ascii="Arial" w:cs="Arial" w:eastAsia="Arial" w:hAnsi="Arial"/>
          <w:sz w:val="16"/>
          <w:szCs w:val="16"/>
          <w:color w:val="auto"/>
        </w:rPr>
        <w:t xml:space="preserve">That, for purposes of determining any liability under the Securities Act to any purchaser, each prospectus filed by the registrant pursuant to Rule 424(b)(3) shall be deemed to be part of the registration statement as of the date the filed prospectus was deemed part of and included in the registration statement; and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statement made in a registration statement or prospectus that is part of the registration statement or made in a document incorporated or deemed incorporated by reference into the registration statement or</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II-8</w:t>
      </w:r>
    </w:p>
    <w:p>
      <w:pPr>
        <w:sectPr>
          <w:pgSz w:w="11900" w:h="16838" w:orient="portrait"/>
          <w:cols w:equalWidth="0" w:num="1">
            <w:col w:w="11400"/>
          </w:cols>
          <w:pgMar w:left="240" w:top="460" w:right="259" w:bottom="1440" w:gutter="0" w:footer="0" w:header="0"/>
        </w:sectPr>
      </w:pPr>
    </w:p>
    <w:bookmarkStart w:id="304" w:name="page305"/>
    <w:bookmarkEnd w:id="3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40"/>
        <w:spacing w:after="0" w:line="259" w:lineRule="auto"/>
        <w:rPr>
          <w:sz w:val="20"/>
          <w:szCs w:val="20"/>
          <w:color w:val="auto"/>
        </w:rPr>
      </w:pPr>
      <w:r>
        <w:rPr>
          <w:rFonts w:ascii="Arial" w:cs="Arial" w:eastAsia="Arial" w:hAnsi="Arial"/>
          <w:sz w:val="18"/>
          <w:szCs w:val="18"/>
          <w:color w:val="auto"/>
        </w:rPr>
        <w:t>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and</w:t>
      </w:r>
    </w:p>
    <w:p>
      <w:pPr>
        <w:spacing w:after="0" w:line="59" w:lineRule="exact"/>
        <w:rPr>
          <w:sz w:val="20"/>
          <w:szCs w:val="20"/>
          <w:color w:val="auto"/>
        </w:rPr>
      </w:pPr>
    </w:p>
    <w:p>
      <w:pPr>
        <w:jc w:val="both"/>
        <w:ind w:left="460" w:right="80" w:firstLine="443"/>
        <w:spacing w:after="0" w:line="255" w:lineRule="auto"/>
        <w:tabs>
          <w:tab w:leader="none" w:pos="1147" w:val="left"/>
        </w:tabs>
        <w:numPr>
          <w:ilvl w:val="1"/>
          <w:numId w:val="380"/>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61" w:lineRule="exact"/>
        <w:rPr>
          <w:rFonts w:ascii="Arial" w:cs="Arial" w:eastAsia="Arial" w:hAnsi="Arial"/>
          <w:sz w:val="18"/>
          <w:szCs w:val="18"/>
          <w:color w:val="auto"/>
        </w:rPr>
      </w:pPr>
    </w:p>
    <w:p>
      <w:pPr>
        <w:ind w:left="1560" w:hanging="219"/>
        <w:spacing w:after="0"/>
        <w:tabs>
          <w:tab w:leader="none" w:pos="1560" w:val="left"/>
        </w:tabs>
        <w:numPr>
          <w:ilvl w:val="2"/>
          <w:numId w:val="380"/>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113" w:lineRule="exact"/>
        <w:rPr>
          <w:rFonts w:ascii="Arial" w:cs="Arial" w:eastAsia="Arial" w:hAnsi="Arial"/>
          <w:sz w:val="16"/>
          <w:szCs w:val="16"/>
          <w:color w:val="auto"/>
        </w:rPr>
      </w:pPr>
    </w:p>
    <w:p>
      <w:pPr>
        <w:ind w:left="920" w:right="400" w:firstLine="421"/>
        <w:spacing w:after="0" w:line="268" w:lineRule="auto"/>
        <w:tabs>
          <w:tab w:leader="none" w:pos="1598" w:val="left"/>
        </w:tabs>
        <w:numPr>
          <w:ilvl w:val="2"/>
          <w:numId w:val="380"/>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50" w:lineRule="exact"/>
        <w:rPr>
          <w:rFonts w:ascii="Arial" w:cs="Arial" w:eastAsia="Arial" w:hAnsi="Arial"/>
          <w:sz w:val="18"/>
          <w:szCs w:val="18"/>
          <w:color w:val="auto"/>
        </w:rPr>
      </w:pPr>
    </w:p>
    <w:p>
      <w:pPr>
        <w:ind w:left="920" w:firstLine="421"/>
        <w:spacing w:after="0" w:line="268" w:lineRule="auto"/>
        <w:tabs>
          <w:tab w:leader="none" w:pos="1647" w:val="left"/>
        </w:tabs>
        <w:numPr>
          <w:ilvl w:val="2"/>
          <w:numId w:val="380"/>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50" w:lineRule="exact"/>
        <w:rPr>
          <w:rFonts w:ascii="Arial" w:cs="Arial" w:eastAsia="Arial" w:hAnsi="Arial"/>
          <w:sz w:val="18"/>
          <w:szCs w:val="18"/>
          <w:color w:val="auto"/>
        </w:rPr>
      </w:pPr>
    </w:p>
    <w:p>
      <w:pPr>
        <w:ind w:left="1640" w:hanging="299"/>
        <w:spacing w:after="0"/>
        <w:tabs>
          <w:tab w:leader="none" w:pos="1640" w:val="left"/>
        </w:tabs>
        <w:numPr>
          <w:ilvl w:val="2"/>
          <w:numId w:val="380"/>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The undersigned registrants hereby undertake that:</w:t>
      </w:r>
    </w:p>
    <w:p>
      <w:pPr>
        <w:spacing w:after="0" w:line="90" w:lineRule="exact"/>
        <w:rPr>
          <w:rFonts w:ascii="Arial" w:cs="Arial" w:eastAsia="Arial" w:hAnsi="Arial"/>
          <w:sz w:val="18"/>
          <w:szCs w:val="18"/>
          <w:color w:val="auto"/>
        </w:rPr>
      </w:pPr>
    </w:p>
    <w:p>
      <w:pPr>
        <w:ind w:left="460" w:right="100" w:firstLine="443"/>
        <w:spacing w:after="0" w:line="312" w:lineRule="auto"/>
        <w:tabs>
          <w:tab w:leader="none" w:pos="1147" w:val="left"/>
        </w:tabs>
        <w:numPr>
          <w:ilvl w:val="1"/>
          <w:numId w:val="381"/>
        </w:numPr>
        <w:rPr>
          <w:rFonts w:ascii="Arial" w:cs="Arial" w:eastAsia="Arial" w:hAnsi="Arial"/>
          <w:sz w:val="15"/>
          <w:szCs w:val="15"/>
          <w:color w:val="auto"/>
        </w:rPr>
      </w:pPr>
      <w:r>
        <w:rPr>
          <w:rFonts w:ascii="Arial" w:cs="Arial" w:eastAsia="Arial" w:hAnsi="Arial"/>
          <w:sz w:val="15"/>
          <w:szCs w:val="15"/>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4" w:lineRule="exact"/>
        <w:rPr>
          <w:rFonts w:ascii="Arial" w:cs="Arial" w:eastAsia="Arial" w:hAnsi="Arial"/>
          <w:sz w:val="15"/>
          <w:szCs w:val="15"/>
          <w:color w:val="auto"/>
        </w:rPr>
      </w:pPr>
    </w:p>
    <w:p>
      <w:pPr>
        <w:ind w:left="460" w:right="20" w:firstLine="443"/>
        <w:spacing w:after="0" w:line="256" w:lineRule="auto"/>
        <w:tabs>
          <w:tab w:leader="none" w:pos="1147" w:val="left"/>
        </w:tabs>
        <w:numPr>
          <w:ilvl w:val="1"/>
          <w:numId w:val="381"/>
        </w:numPr>
        <w:rPr>
          <w:rFonts w:ascii="Arial" w:cs="Arial" w:eastAsia="Arial" w:hAnsi="Arial"/>
          <w:sz w:val="18"/>
          <w:szCs w:val="18"/>
          <w:color w:val="auto"/>
        </w:rPr>
      </w:pPr>
      <w:r>
        <w:rPr>
          <w:rFonts w:ascii="Arial" w:cs="Arial" w:eastAsia="Arial" w:hAnsi="Arial"/>
          <w:sz w:val="18"/>
          <w:szCs w:val="18"/>
          <w:color w:val="auto"/>
        </w:rPr>
        <w:t>The undersigned registrants hereby undertake to respond to requests for information that is incorporated by reference into the 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62" w:lineRule="exact"/>
        <w:rPr>
          <w:rFonts w:ascii="Arial" w:cs="Arial" w:eastAsia="Arial" w:hAnsi="Arial"/>
          <w:sz w:val="18"/>
          <w:szCs w:val="18"/>
          <w:color w:val="auto"/>
        </w:rPr>
      </w:pPr>
    </w:p>
    <w:p>
      <w:pPr>
        <w:ind w:left="460" w:right="20" w:firstLine="443"/>
        <w:spacing w:after="0" w:line="332" w:lineRule="auto"/>
        <w:tabs>
          <w:tab w:leader="none" w:pos="1147" w:val="left"/>
        </w:tabs>
        <w:numPr>
          <w:ilvl w:val="1"/>
          <w:numId w:val="381"/>
        </w:numPr>
        <w:rPr>
          <w:rFonts w:ascii="Arial" w:cs="Arial" w:eastAsia="Arial" w:hAnsi="Arial"/>
          <w:sz w:val="16"/>
          <w:szCs w:val="16"/>
          <w:color w:val="auto"/>
        </w:rPr>
      </w:pPr>
      <w:r>
        <w:rPr>
          <w:rFonts w:ascii="Arial" w:cs="Arial" w:eastAsia="Arial" w:hAnsi="Arial"/>
          <w:sz w:val="16"/>
          <w:szCs w:val="16"/>
          <w:color w:val="auto"/>
        </w:rPr>
        <w:t>The undersigned registrants hereby undertake to supply by means of a post-effective amendment all information concerning a transaction, and the company being acquired involved therein, that was not the subject of and included in the registration statement when it became effective.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II-9</w:t>
      </w:r>
    </w:p>
    <w:p>
      <w:pPr>
        <w:sectPr>
          <w:pgSz w:w="11900" w:h="16838" w:orient="portrait"/>
          <w:cols w:equalWidth="0" w:num="1">
            <w:col w:w="11420"/>
          </w:cols>
          <w:pgMar w:left="240" w:top="459" w:right="239" w:bottom="1440" w:gutter="0" w:footer="0" w:header="0"/>
        </w:sectPr>
      </w:pPr>
    </w:p>
    <w:bookmarkStart w:id="305" w:name="page306"/>
    <w:bookmarkEnd w:id="3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Las Vegas, State of Nevada, on May 5, 2010.</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LAS VEGAS, LLC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RESORTS HOLDINGS, LLC,</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RESORTS, LIMITED,</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48"/>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tc>
      </w:tr>
      <w:tr>
        <w:trPr>
          <w:trHeight w:val="143"/>
        </w:trPr>
        <w:tc>
          <w:tcPr>
            <w:tcW w:w="540" w:type="dxa"/>
            <w:vAlign w:val="bottom"/>
          </w:tcPr>
          <w:p>
            <w:pPr>
              <w:spacing w:after="0" w:line="143" w:lineRule="exact"/>
              <w:rPr>
                <w:sz w:val="20"/>
                <w:szCs w:val="20"/>
                <w:color w:val="auto"/>
              </w:rPr>
            </w:pPr>
            <w:r>
              <w:rPr>
                <w:rFonts w:ascii="Arial" w:cs="Arial" w:eastAsia="Arial" w:hAnsi="Arial"/>
                <w:sz w:val="14"/>
                <w:szCs w:val="14"/>
                <w:b w:val="1"/>
                <w:bCs w:val="1"/>
                <w:color w:val="auto"/>
              </w:rPr>
              <w:t>Name:</w:t>
            </w:r>
          </w:p>
        </w:tc>
        <w:tc>
          <w:tcPr>
            <w:tcW w:w="4020" w:type="dxa"/>
            <w:vAlign w:val="bottom"/>
          </w:tcPr>
          <w:p>
            <w:pPr>
              <w:ind w:left="1620"/>
              <w:spacing w:after="0" w:line="143" w:lineRule="exact"/>
              <w:rPr>
                <w:sz w:val="20"/>
                <w:szCs w:val="20"/>
                <w:color w:val="auto"/>
              </w:rPr>
            </w:pPr>
            <w:r>
              <w:rPr>
                <w:rFonts w:ascii="Arial" w:cs="Arial" w:eastAsia="Arial" w:hAnsi="Arial"/>
                <w:sz w:val="14"/>
                <w:szCs w:val="14"/>
                <w:b w:val="1"/>
                <w:bCs w:val="1"/>
                <w:color w:val="auto"/>
              </w:rPr>
              <w:t>Matt Maddox</w:t>
            </w:r>
          </w:p>
        </w:tc>
      </w:tr>
      <w:tr>
        <w:trPr>
          <w:trHeight w:val="174"/>
        </w:trPr>
        <w:tc>
          <w:tcPr>
            <w:tcW w:w="54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020" w:type="dxa"/>
            <w:vAlign w:val="bottom"/>
          </w:tcPr>
          <w:p>
            <w:pPr>
              <w:ind w:left="920"/>
              <w:spacing w:after="0"/>
              <w:rPr>
                <w:sz w:val="20"/>
                <w:szCs w:val="20"/>
                <w:color w:val="auto"/>
              </w:rPr>
            </w:pPr>
            <w:r>
              <w:rPr>
                <w:rFonts w:ascii="Arial" w:cs="Arial" w:eastAsia="Arial" w:hAnsi="Arial"/>
                <w:sz w:val="14"/>
                <w:szCs w:val="14"/>
                <w:b w:val="1"/>
                <w:bCs w:val="1"/>
                <w:color w:val="auto"/>
              </w:rPr>
              <w:t>Chief Financial Officer and Treasurer</w:t>
            </w:r>
          </w:p>
        </w:tc>
      </w:tr>
    </w:tbl>
    <w:p>
      <w:pPr>
        <w:spacing w:after="0" w:line="14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8" w:lineRule="exact"/>
        <w:rPr>
          <w:sz w:val="20"/>
          <w:szCs w:val="20"/>
          <w:color w:val="auto"/>
        </w:rPr>
      </w:pPr>
    </w:p>
    <w:p>
      <w:pPr>
        <w:ind w:left="2240"/>
        <w:spacing w:after="0"/>
        <w:tabs>
          <w:tab w:leader="none" w:pos="7060" w:val="left"/>
          <w:tab w:leader="none" w:pos="102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Chairman of the Board</w:t>
            </w:r>
          </w:p>
        </w:tc>
        <w:tc>
          <w:tcPr>
            <w:tcW w:w="2240" w:type="dxa"/>
            <w:vAlign w:val="bottom"/>
          </w:tcPr>
          <w:p>
            <w:pPr>
              <w:ind w:left="1340"/>
              <w:spacing w:after="0"/>
              <w:rPr>
                <w:sz w:val="20"/>
                <w:szCs w:val="20"/>
                <w:color w:val="auto"/>
              </w:rPr>
            </w:pPr>
            <w:r>
              <w:rPr>
                <w:rFonts w:ascii="Arial" w:cs="Arial" w:eastAsia="Arial" w:hAnsi="Arial"/>
                <w:sz w:val="18"/>
                <w:szCs w:val="18"/>
                <w:color w:val="auto"/>
                <w:w w:val="88"/>
              </w:rPr>
              <w:t>May 5,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6"/>
              </w:rPr>
              <w:t>Stephen A. Wynn</w:t>
            </w:r>
          </w:p>
        </w:tc>
        <w:tc>
          <w:tcPr>
            <w:tcW w:w="356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spacing w:after="0"/>
              <w:rPr>
                <w:sz w:val="24"/>
                <w:szCs w:val="24"/>
                <w:color w:val="auto"/>
              </w:rPr>
            </w:pPr>
          </w:p>
        </w:tc>
        <w:tc>
          <w:tcPr>
            <w:tcW w:w="3560" w:type="dxa"/>
            <w:vAlign w:val="bottom"/>
          </w:tcPr>
          <w:p>
            <w:pPr>
              <w:ind w:left="220"/>
              <w:spacing w:after="0"/>
              <w:rPr>
                <w:sz w:val="20"/>
                <w:szCs w:val="20"/>
                <w:color w:val="auto"/>
              </w:rPr>
            </w:pPr>
            <w:r>
              <w:rPr>
                <w:rFonts w:ascii="Arial" w:cs="Arial" w:eastAsia="Arial" w:hAnsi="Arial"/>
                <w:sz w:val="18"/>
                <w:szCs w:val="18"/>
                <w:color w:val="auto"/>
              </w:rPr>
              <w:t>Vice Chairman of the Board</w:t>
            </w:r>
          </w:p>
        </w:tc>
        <w:tc>
          <w:tcPr>
            <w:tcW w:w="2240" w:type="dxa"/>
            <w:vAlign w:val="bottom"/>
          </w:tcPr>
          <w:p>
            <w:pPr>
              <w:spacing w:after="0"/>
              <w:rPr>
                <w:sz w:val="24"/>
                <w:szCs w:val="24"/>
                <w:color w:val="auto"/>
              </w:rPr>
            </w:pP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Kazuo Okada</w:t>
            </w:r>
          </w:p>
        </w:tc>
        <w:tc>
          <w:tcPr>
            <w:tcW w:w="356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40" w:type="dxa"/>
            <w:vAlign w:val="bottom"/>
          </w:tcPr>
          <w:p>
            <w:pPr>
              <w:ind w:left="1340"/>
              <w:spacing w:after="0"/>
              <w:rPr>
                <w:sz w:val="20"/>
                <w:szCs w:val="20"/>
                <w:color w:val="auto"/>
              </w:rPr>
            </w:pPr>
            <w:r>
              <w:rPr>
                <w:rFonts w:ascii="Arial" w:cs="Arial" w:eastAsia="Arial" w:hAnsi="Arial"/>
                <w:sz w:val="18"/>
                <w:szCs w:val="18"/>
                <w:color w:val="auto"/>
                <w:w w:val="88"/>
              </w:rPr>
              <w:t>May 5,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9"/>
              </w:rPr>
              <w:t>Linda Chen</w:t>
            </w:r>
          </w:p>
        </w:tc>
        <w:tc>
          <w:tcPr>
            <w:tcW w:w="356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40" w:type="dxa"/>
            <w:vAlign w:val="bottom"/>
          </w:tcPr>
          <w:p>
            <w:pPr>
              <w:ind w:left="1340"/>
              <w:spacing w:after="0"/>
              <w:rPr>
                <w:sz w:val="20"/>
                <w:szCs w:val="20"/>
                <w:color w:val="auto"/>
              </w:rPr>
            </w:pPr>
            <w:r>
              <w:rPr>
                <w:rFonts w:ascii="Arial" w:cs="Arial" w:eastAsia="Arial" w:hAnsi="Arial"/>
                <w:sz w:val="18"/>
                <w:szCs w:val="18"/>
                <w:color w:val="auto"/>
                <w:w w:val="88"/>
              </w:rPr>
              <w:t>May 5,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4"/>
              </w:rPr>
              <w:t>Russell Goldsmith</w:t>
            </w:r>
          </w:p>
        </w:tc>
        <w:tc>
          <w:tcPr>
            <w:tcW w:w="356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40" w:type="dxa"/>
            <w:vAlign w:val="bottom"/>
          </w:tcPr>
          <w:p>
            <w:pPr>
              <w:ind w:left="1340"/>
              <w:spacing w:after="0"/>
              <w:rPr>
                <w:sz w:val="20"/>
                <w:szCs w:val="20"/>
                <w:color w:val="auto"/>
              </w:rPr>
            </w:pPr>
            <w:r>
              <w:rPr>
                <w:rFonts w:ascii="Arial" w:cs="Arial" w:eastAsia="Arial" w:hAnsi="Arial"/>
                <w:sz w:val="18"/>
                <w:szCs w:val="18"/>
                <w:color w:val="auto"/>
                <w:w w:val="88"/>
              </w:rPr>
              <w:t>May 5,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1"/>
              </w:rPr>
              <w:t>Dr. Ray R. Irani</w:t>
            </w:r>
          </w:p>
        </w:tc>
        <w:tc>
          <w:tcPr>
            <w:tcW w:w="356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40" w:type="dxa"/>
            <w:vAlign w:val="bottom"/>
          </w:tcPr>
          <w:p>
            <w:pPr>
              <w:ind w:left="1340"/>
              <w:spacing w:after="0"/>
              <w:rPr>
                <w:sz w:val="20"/>
                <w:szCs w:val="20"/>
                <w:color w:val="auto"/>
              </w:rPr>
            </w:pPr>
            <w:r>
              <w:rPr>
                <w:rFonts w:ascii="Arial" w:cs="Arial" w:eastAsia="Arial" w:hAnsi="Arial"/>
                <w:sz w:val="18"/>
                <w:szCs w:val="18"/>
                <w:color w:val="auto"/>
                <w:w w:val="88"/>
              </w:rPr>
              <w:t>May 5,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Robert J. Miller</w:t>
            </w:r>
          </w:p>
        </w:tc>
        <w:tc>
          <w:tcPr>
            <w:tcW w:w="356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40" w:type="dxa"/>
            <w:vAlign w:val="bottom"/>
          </w:tcPr>
          <w:p>
            <w:pPr>
              <w:ind w:left="1340"/>
              <w:spacing w:after="0"/>
              <w:rPr>
                <w:sz w:val="20"/>
                <w:szCs w:val="20"/>
                <w:color w:val="auto"/>
              </w:rPr>
            </w:pPr>
            <w:r>
              <w:rPr>
                <w:rFonts w:ascii="Arial" w:cs="Arial" w:eastAsia="Arial" w:hAnsi="Arial"/>
                <w:sz w:val="18"/>
                <w:szCs w:val="18"/>
                <w:color w:val="auto"/>
                <w:w w:val="88"/>
              </w:rPr>
              <w:t>May 5,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John A. Moran</w:t>
            </w:r>
          </w:p>
        </w:tc>
        <w:tc>
          <w:tcPr>
            <w:tcW w:w="356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40" w:type="dxa"/>
            <w:vAlign w:val="bottom"/>
          </w:tcPr>
          <w:p>
            <w:pPr>
              <w:ind w:left="1340"/>
              <w:spacing w:after="0"/>
              <w:rPr>
                <w:sz w:val="20"/>
                <w:szCs w:val="20"/>
                <w:color w:val="auto"/>
              </w:rPr>
            </w:pPr>
            <w:r>
              <w:rPr>
                <w:rFonts w:ascii="Arial" w:cs="Arial" w:eastAsia="Arial" w:hAnsi="Arial"/>
                <w:sz w:val="18"/>
                <w:szCs w:val="18"/>
                <w:color w:val="auto"/>
                <w:w w:val="88"/>
              </w:rPr>
              <w:t>May 5,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8"/>
              </w:rPr>
              <w:t>Alvin V. Shoemaker</w:t>
            </w:r>
          </w:p>
        </w:tc>
        <w:tc>
          <w:tcPr>
            <w:tcW w:w="356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40" w:type="dxa"/>
            <w:vAlign w:val="bottom"/>
          </w:tcPr>
          <w:p>
            <w:pPr>
              <w:ind w:left="1340"/>
              <w:spacing w:after="0"/>
              <w:rPr>
                <w:sz w:val="20"/>
                <w:szCs w:val="20"/>
                <w:color w:val="auto"/>
              </w:rPr>
            </w:pPr>
            <w:r>
              <w:rPr>
                <w:rFonts w:ascii="Arial" w:cs="Arial" w:eastAsia="Arial" w:hAnsi="Arial"/>
                <w:sz w:val="18"/>
                <w:szCs w:val="18"/>
                <w:color w:val="auto"/>
                <w:w w:val="88"/>
              </w:rPr>
              <w:t>May 5,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3"/>
              </w:rPr>
              <w:t>D. Boone Wayson</w:t>
            </w:r>
          </w:p>
        </w:tc>
        <w:tc>
          <w:tcPr>
            <w:tcW w:w="356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40" w:type="dxa"/>
            <w:vAlign w:val="bottom"/>
          </w:tcPr>
          <w:p>
            <w:pPr>
              <w:ind w:left="1340"/>
              <w:spacing w:after="0"/>
              <w:rPr>
                <w:sz w:val="20"/>
                <w:szCs w:val="20"/>
                <w:color w:val="auto"/>
              </w:rPr>
            </w:pPr>
            <w:r>
              <w:rPr>
                <w:rFonts w:ascii="Arial" w:cs="Arial" w:eastAsia="Arial" w:hAnsi="Arial"/>
                <w:sz w:val="18"/>
                <w:szCs w:val="18"/>
                <w:color w:val="auto"/>
                <w:w w:val="88"/>
              </w:rPr>
              <w:t>May 5,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7"/>
              </w:rPr>
              <w:t>Elaine P. Wynn</w:t>
            </w:r>
          </w:p>
        </w:tc>
        <w:tc>
          <w:tcPr>
            <w:tcW w:w="356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40" w:type="dxa"/>
            <w:vAlign w:val="bottom"/>
          </w:tcPr>
          <w:p>
            <w:pPr>
              <w:ind w:left="1340"/>
              <w:spacing w:after="0"/>
              <w:rPr>
                <w:sz w:val="20"/>
                <w:szCs w:val="20"/>
                <w:color w:val="auto"/>
              </w:rPr>
            </w:pPr>
            <w:r>
              <w:rPr>
                <w:rFonts w:ascii="Arial" w:cs="Arial" w:eastAsia="Arial" w:hAnsi="Arial"/>
                <w:sz w:val="18"/>
                <w:szCs w:val="18"/>
                <w:color w:val="auto"/>
                <w:w w:val="88"/>
              </w:rPr>
              <w:t>May 5,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1"/>
              </w:rPr>
              <w:t>Allan Zeman</w:t>
            </w:r>
          </w:p>
        </w:tc>
        <w:tc>
          <w:tcPr>
            <w:tcW w:w="356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350"/>
        </w:trPr>
        <w:tc>
          <w:tcPr>
            <w:tcW w:w="5040" w:type="dxa"/>
            <w:vAlign w:val="bottom"/>
          </w:tcPr>
          <w:p>
            <w:pPr>
              <w:spacing w:after="0"/>
              <w:rPr>
                <w:sz w:val="24"/>
                <w:szCs w:val="24"/>
                <w:color w:val="auto"/>
              </w:rPr>
            </w:pPr>
          </w:p>
        </w:tc>
        <w:tc>
          <w:tcPr>
            <w:tcW w:w="3560" w:type="dxa"/>
            <w:vAlign w:val="bottom"/>
          </w:tcPr>
          <w:p>
            <w:pPr>
              <w:ind w:left="500"/>
              <w:spacing w:after="0"/>
              <w:rPr>
                <w:sz w:val="20"/>
                <w:szCs w:val="20"/>
                <w:color w:val="auto"/>
              </w:rPr>
            </w:pPr>
            <w:r>
              <w:rPr>
                <w:rFonts w:ascii="Arial" w:cs="Arial" w:eastAsia="Arial" w:hAnsi="Arial"/>
                <w:sz w:val="18"/>
                <w:szCs w:val="18"/>
                <w:color w:val="auto"/>
              </w:rPr>
              <w:t>II-10</w:t>
            </w:r>
          </w:p>
        </w:tc>
        <w:tc>
          <w:tcPr>
            <w:tcW w:w="22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06" w:name="page307"/>
    <w:bookmarkEnd w:id="30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left="500"/>
        <w:spacing w:after="0"/>
        <w:rPr>
          <w:sz w:val="20"/>
          <w:szCs w:val="20"/>
          <w:color w:val="auto"/>
        </w:rPr>
      </w:pPr>
      <w:r>
        <w:rPr>
          <w:rFonts w:ascii="Arial" w:cs="Arial" w:eastAsia="Arial" w:hAnsi="Arial"/>
          <w:sz w:val="14"/>
          <w:szCs w:val="14"/>
          <w:b w:val="1"/>
          <w:bCs w:val="1"/>
          <w:u w:val="single" w:color="auto"/>
          <w:color w:val="auto"/>
        </w:rPr>
        <w:t>Signature</w:t>
      </w:r>
    </w:p>
    <w:p>
      <w:pPr>
        <w:spacing w:after="0" w:line="222" w:lineRule="exact"/>
        <w:rPr>
          <w:sz w:val="20"/>
          <w:szCs w:val="20"/>
          <w:color w:val="auto"/>
        </w:rPr>
      </w:pPr>
    </w:p>
    <w:p>
      <w:pPr>
        <w:ind w:left="1560"/>
        <w:spacing w:after="0"/>
        <w:tabs>
          <w:tab w:leader="none" w:pos="1880" w:val="left"/>
        </w:tabs>
        <w:rPr>
          <w:sz w:val="20"/>
          <w:szCs w:val="20"/>
          <w:color w:val="auto"/>
        </w:rPr>
      </w:pPr>
      <w:r>
        <w:rPr>
          <w:rFonts w:ascii="Arial" w:cs="Arial" w:eastAsia="Arial" w:hAnsi="Arial"/>
          <w:sz w:val="18"/>
          <w:szCs w:val="18"/>
          <w:color w:val="auto"/>
        </w:rPr>
        <w:t>/s/</w:t>
        <w:tab/>
        <w:t>A</w:t>
      </w:r>
      <w:r>
        <w:rPr>
          <w:rFonts w:ascii="Arial" w:cs="Arial" w:eastAsia="Arial" w:hAnsi="Arial"/>
          <w:sz w:val="14"/>
          <w:szCs w:val="14"/>
          <w:color w:val="auto"/>
        </w:rPr>
        <w:t>NDREW</w:t>
      </w:r>
      <w:r>
        <w:rPr>
          <w:rFonts w:ascii="Arial" w:cs="Arial" w:eastAsia="Arial" w:hAnsi="Arial"/>
          <w:sz w:val="18"/>
          <w:szCs w:val="18"/>
          <w:color w:val="auto"/>
        </w:rPr>
        <w:t xml:space="preserve"> P</w:t>
      </w:r>
      <w:r>
        <w:rPr>
          <w:rFonts w:ascii="Arial" w:cs="Arial" w:eastAsia="Arial" w:hAnsi="Arial"/>
          <w:sz w:val="14"/>
          <w:szCs w:val="14"/>
          <w:color w:val="auto"/>
        </w:rPr>
        <w:t>ASCAL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jc w:val="center"/>
        <w:ind w:left="500"/>
        <w:spacing w:after="0"/>
        <w:rPr>
          <w:sz w:val="20"/>
          <w:szCs w:val="20"/>
          <w:color w:val="auto"/>
        </w:rPr>
      </w:pPr>
      <w:r>
        <w:rPr>
          <w:rFonts w:ascii="Arial" w:cs="Arial" w:eastAsia="Arial" w:hAnsi="Arial"/>
          <w:sz w:val="14"/>
          <w:szCs w:val="14"/>
          <w:b w:val="1"/>
          <w:bCs w:val="1"/>
          <w:color w:val="auto"/>
        </w:rPr>
        <w:t>Andrew Pascal</w:t>
      </w:r>
    </w:p>
    <w:p>
      <w:pPr>
        <w:spacing w:after="0" w:line="262" w:lineRule="exact"/>
        <w:rPr>
          <w:sz w:val="20"/>
          <w:szCs w:val="20"/>
          <w:color w:val="auto"/>
        </w:rPr>
      </w:pPr>
    </w:p>
    <w:p>
      <w:pPr>
        <w:ind w:left="1560"/>
        <w:spacing w:after="0"/>
        <w:tabs>
          <w:tab w:leader="none" w:pos="18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COTT</w:t>
      </w:r>
      <w:r>
        <w:rPr>
          <w:rFonts w:ascii="Arial" w:cs="Arial" w:eastAsia="Arial" w:hAnsi="Arial"/>
          <w:sz w:val="16"/>
          <w:szCs w:val="16"/>
          <w:color w:val="auto"/>
        </w:rPr>
        <w:t xml:space="preserve"> P</w:t>
      </w:r>
      <w:r>
        <w:rPr>
          <w:rFonts w:ascii="Arial" w:cs="Arial" w:eastAsia="Arial" w:hAnsi="Arial"/>
          <w:sz w:val="13"/>
          <w:szCs w:val="13"/>
          <w:color w:val="auto"/>
        </w:rPr>
        <w:t>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jc w:val="center"/>
        <w:ind w:left="500"/>
        <w:spacing w:after="0"/>
        <w:rPr>
          <w:sz w:val="20"/>
          <w:szCs w:val="20"/>
          <w:color w:val="auto"/>
        </w:rPr>
      </w:pPr>
      <w:r>
        <w:rPr>
          <w:rFonts w:ascii="Arial" w:cs="Arial" w:eastAsia="Arial" w:hAnsi="Arial"/>
          <w:sz w:val="14"/>
          <w:szCs w:val="14"/>
          <w:b w:val="1"/>
          <w:bCs w:val="1"/>
          <w:color w:val="auto"/>
        </w:rPr>
        <w:t>Scott Peterson</w:t>
      </w:r>
    </w:p>
    <w:p>
      <w:pPr>
        <w:spacing w:after="0" w:line="200" w:lineRule="exact"/>
        <w:rPr>
          <w:sz w:val="20"/>
          <w:szCs w:val="20"/>
          <w:color w:val="auto"/>
        </w:rPr>
      </w:pPr>
    </w:p>
    <w:p>
      <w:pPr>
        <w:spacing w:after="0" w:line="265" w:lineRule="exact"/>
        <w:rPr>
          <w:sz w:val="20"/>
          <w:szCs w:val="20"/>
          <w:color w:val="auto"/>
        </w:rPr>
      </w:pPr>
    </w:p>
    <w:p>
      <w:pPr>
        <w:spacing w:after="0"/>
        <w:tabs>
          <w:tab w:leader="none" w:pos="1900" w:val="left"/>
          <w:tab w:leader="none" w:pos="2260" w:val="left"/>
        </w:tabs>
        <w:rPr>
          <w:sz w:val="20"/>
          <w:szCs w:val="20"/>
          <w:color w:val="auto"/>
        </w:rPr>
      </w:pPr>
      <w:r>
        <w:rPr>
          <w:rFonts w:ascii="Arial" w:cs="Arial" w:eastAsia="Arial" w:hAnsi="Arial"/>
          <w:sz w:val="18"/>
          <w:szCs w:val="18"/>
          <w:color w:val="auto"/>
        </w:rPr>
        <w:t>* 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K</w:t>
      </w:r>
      <w:r>
        <w:rPr>
          <w:rFonts w:ascii="Arial" w:cs="Arial" w:eastAsia="Arial" w:hAnsi="Arial"/>
          <w:sz w:val="14"/>
          <w:szCs w:val="14"/>
          <w:color w:val="auto"/>
        </w:rPr>
        <w:t>IM</w:t>
      </w:r>
      <w:r>
        <w:rPr>
          <w:rFonts w:ascii="Arial" w:cs="Arial" w:eastAsia="Arial" w:hAnsi="Arial"/>
          <w:sz w:val="18"/>
          <w:szCs w:val="18"/>
          <w:color w:val="auto"/>
        </w:rPr>
        <w:t xml:space="preserve"> S</w:t>
      </w:r>
      <w:r>
        <w:rPr>
          <w:rFonts w:ascii="Arial" w:cs="Arial" w:eastAsia="Arial" w:hAnsi="Arial"/>
          <w:sz w:val="14"/>
          <w:szCs w:val="14"/>
          <w:color w:val="auto"/>
        </w:rPr>
        <w:t>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10795</wp:posOffset>
            </wp:positionV>
            <wp:extent cx="2546985"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jc w:val="center"/>
        <w:ind w:left="640"/>
        <w:spacing w:after="0"/>
        <w:rPr>
          <w:sz w:val="20"/>
          <w:szCs w:val="20"/>
          <w:color w:val="auto"/>
        </w:rPr>
      </w:pPr>
      <w:r>
        <w:rPr>
          <w:rFonts w:ascii="Arial" w:cs="Arial" w:eastAsia="Arial" w:hAnsi="Arial"/>
          <w:sz w:val="14"/>
          <w:szCs w:val="14"/>
          <w:b w:val="1"/>
          <w:bCs w:val="1"/>
          <w:color w:val="auto"/>
        </w:rPr>
        <w:t>Kim Sinatra</w:t>
      </w:r>
    </w:p>
    <w:p>
      <w:pPr>
        <w:spacing w:after="0" w:line="1" w:lineRule="exact"/>
        <w:rPr>
          <w:sz w:val="20"/>
          <w:szCs w:val="20"/>
          <w:color w:val="auto"/>
        </w:rPr>
      </w:pPr>
    </w:p>
    <w:p>
      <w:pPr>
        <w:jc w:val="center"/>
        <w:ind w:left="640"/>
        <w:spacing w:after="0"/>
        <w:rPr>
          <w:sz w:val="20"/>
          <w:szCs w:val="20"/>
          <w:color w:val="auto"/>
        </w:rPr>
      </w:pPr>
      <w:r>
        <w:rPr>
          <w:rFonts w:ascii="Arial" w:cs="Arial" w:eastAsia="Arial" w:hAnsi="Arial"/>
          <w:sz w:val="14"/>
          <w:szCs w:val="14"/>
          <w:b w:val="1"/>
          <w:bCs w:val="1"/>
          <w:color w:val="auto"/>
        </w:rPr>
        <w:t>Attorney-in-fact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20" w:type="dxa"/>
            <w:vAlign w:val="bottom"/>
          </w:tcPr>
          <w:p>
            <w:pPr>
              <w:spacing w:after="0"/>
              <w:rPr>
                <w:sz w:val="14"/>
                <w:szCs w:val="14"/>
                <w:color w:val="auto"/>
              </w:rPr>
            </w:pPr>
          </w:p>
        </w:tc>
        <w:tc>
          <w:tcPr>
            <w:tcW w:w="228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880" w:type="dxa"/>
            <w:vAlign w:val="bottom"/>
          </w:tcPr>
          <w:p>
            <w:pPr>
              <w:spacing w:after="0"/>
              <w:rPr>
                <w:sz w:val="14"/>
                <w:szCs w:val="14"/>
                <w:color w:val="auto"/>
              </w:rPr>
            </w:pPr>
          </w:p>
        </w:tc>
        <w:tc>
          <w:tcPr>
            <w:tcW w:w="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8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17"/>
        </w:trPr>
        <w:tc>
          <w:tcPr>
            <w:tcW w:w="4100" w:type="dxa"/>
            <w:vAlign w:val="bottom"/>
            <w:gridSpan w:val="3"/>
          </w:tcPr>
          <w:p>
            <w:pPr>
              <w:spacing w:after="0"/>
              <w:rPr>
                <w:sz w:val="20"/>
                <w:szCs w:val="20"/>
                <w:color w:val="auto"/>
              </w:rPr>
            </w:pPr>
            <w:r>
              <w:rPr>
                <w:rFonts w:ascii="Arial" w:cs="Arial" w:eastAsia="Arial" w:hAnsi="Arial"/>
                <w:sz w:val="18"/>
                <w:szCs w:val="18"/>
                <w:color w:val="auto"/>
              </w:rPr>
              <w:t>Chief Operating Officer and President (Principal</w:t>
            </w:r>
          </w:p>
        </w:tc>
        <w:tc>
          <w:tcPr>
            <w:tcW w:w="1480" w:type="dxa"/>
            <w:vAlign w:val="bottom"/>
            <w:gridSpan w:val="3"/>
          </w:tcPr>
          <w:p>
            <w:pPr>
              <w:jc w:val="center"/>
              <w:ind w:left="492"/>
              <w:spacing w:after="0"/>
              <w:rPr>
                <w:sz w:val="20"/>
                <w:szCs w:val="20"/>
                <w:color w:val="auto"/>
              </w:rPr>
            </w:pPr>
            <w:r>
              <w:rPr>
                <w:rFonts w:ascii="Arial" w:cs="Arial" w:eastAsia="Arial" w:hAnsi="Arial"/>
                <w:sz w:val="18"/>
                <w:szCs w:val="18"/>
                <w:color w:val="auto"/>
                <w:w w:val="90"/>
              </w:rPr>
              <w:t>May 5, 2010</w:t>
            </w:r>
          </w:p>
        </w:tc>
      </w:tr>
      <w:tr>
        <w:trPr>
          <w:trHeight w:val="222"/>
        </w:trPr>
        <w:tc>
          <w:tcPr>
            <w:tcW w:w="4100" w:type="dxa"/>
            <w:vAlign w:val="bottom"/>
            <w:gridSpan w:val="3"/>
          </w:tcPr>
          <w:p>
            <w:pPr>
              <w:ind w:left="220"/>
              <w:spacing w:after="0"/>
              <w:rPr>
                <w:sz w:val="20"/>
                <w:szCs w:val="20"/>
                <w:color w:val="auto"/>
              </w:rPr>
            </w:pPr>
            <w:r>
              <w:rPr>
                <w:rFonts w:ascii="Arial" w:cs="Arial" w:eastAsia="Arial" w:hAnsi="Arial"/>
                <w:sz w:val="18"/>
                <w:szCs w:val="18"/>
                <w:color w:val="auto"/>
              </w:rPr>
              <w:t>Executive Officer)</w:t>
            </w: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26"/>
        </w:trPr>
        <w:tc>
          <w:tcPr>
            <w:tcW w:w="4100" w:type="dxa"/>
            <w:vAlign w:val="bottom"/>
            <w:gridSpan w:val="3"/>
          </w:tcPr>
          <w:p>
            <w:pPr>
              <w:spacing w:after="0"/>
              <w:rPr>
                <w:sz w:val="20"/>
                <w:szCs w:val="20"/>
                <w:color w:val="auto"/>
              </w:rPr>
            </w:pPr>
            <w:r>
              <w:rPr>
                <w:rFonts w:ascii="Arial" w:cs="Arial" w:eastAsia="Arial" w:hAnsi="Arial"/>
                <w:sz w:val="18"/>
                <w:szCs w:val="18"/>
                <w:color w:val="auto"/>
              </w:rPr>
              <w:t>Senior Vice President and Chief Financial Officer</w:t>
            </w:r>
          </w:p>
        </w:tc>
        <w:tc>
          <w:tcPr>
            <w:tcW w:w="1480" w:type="dxa"/>
            <w:vAlign w:val="bottom"/>
            <w:gridSpan w:val="3"/>
          </w:tcPr>
          <w:p>
            <w:pPr>
              <w:jc w:val="center"/>
              <w:ind w:left="492"/>
              <w:spacing w:after="0"/>
              <w:rPr>
                <w:sz w:val="20"/>
                <w:szCs w:val="20"/>
                <w:color w:val="auto"/>
              </w:rPr>
            </w:pPr>
            <w:r>
              <w:rPr>
                <w:rFonts w:ascii="Arial" w:cs="Arial" w:eastAsia="Arial" w:hAnsi="Arial"/>
                <w:sz w:val="18"/>
                <w:szCs w:val="18"/>
                <w:color w:val="auto"/>
                <w:w w:val="90"/>
              </w:rPr>
              <w:t>May 5, 2010</w:t>
            </w:r>
          </w:p>
        </w:tc>
      </w:tr>
      <w:tr>
        <w:trPr>
          <w:trHeight w:val="222"/>
        </w:trPr>
        <w:tc>
          <w:tcPr>
            <w:tcW w:w="4100" w:type="dxa"/>
            <w:vAlign w:val="bottom"/>
            <w:gridSpan w:val="3"/>
          </w:tcPr>
          <w:p>
            <w:pPr>
              <w:ind w:left="220"/>
              <w:spacing w:after="0"/>
              <w:rPr>
                <w:sz w:val="20"/>
                <w:szCs w:val="20"/>
                <w:color w:val="auto"/>
              </w:rPr>
            </w:pPr>
            <w:r>
              <w:rPr>
                <w:rFonts w:ascii="Arial" w:cs="Arial" w:eastAsia="Arial" w:hAnsi="Arial"/>
                <w:sz w:val="18"/>
                <w:szCs w:val="18"/>
                <w:color w:val="auto"/>
              </w:rPr>
              <w:t>(Principal Financial and Accounting Officer)</w:t>
            </w: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-3347085</wp:posOffset>
            </wp:positionH>
            <wp:positionV relativeFrom="paragraph">
              <wp:posOffset>-1464310</wp:posOffset>
            </wp:positionV>
            <wp:extent cx="7289165" cy="381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II-11</w:t>
      </w:r>
    </w:p>
    <w:p>
      <w:pPr>
        <w:sectPr>
          <w:pgSz w:w="11900" w:h="16838" w:orient="portrait"/>
          <w:cols w:equalWidth="0" w:num="2">
            <w:col w:w="4540" w:space="720"/>
            <w:col w:w="5580"/>
          </w:cols>
          <w:pgMar w:left="240" w:top="460" w:right="819" w:bottom="1440" w:gutter="0" w:footer="0" w:header="0"/>
        </w:sectPr>
      </w:pPr>
    </w:p>
    <w:bookmarkStart w:id="307" w:name="page308"/>
    <w:bookmarkEnd w:id="3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Las Vegas, State of Nevada, on May 5, 2010.</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LAS VEGAS CAPITAL CORP.</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4"/>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tc>
      </w:tr>
      <w:tr>
        <w:trPr>
          <w:trHeight w:val="143"/>
        </w:trPr>
        <w:tc>
          <w:tcPr>
            <w:tcW w:w="540" w:type="dxa"/>
            <w:vAlign w:val="bottom"/>
          </w:tcPr>
          <w:p>
            <w:pPr>
              <w:spacing w:after="0" w:line="143" w:lineRule="exact"/>
              <w:rPr>
                <w:sz w:val="20"/>
                <w:szCs w:val="20"/>
                <w:color w:val="auto"/>
              </w:rPr>
            </w:pPr>
            <w:r>
              <w:rPr>
                <w:rFonts w:ascii="Arial" w:cs="Arial" w:eastAsia="Arial" w:hAnsi="Arial"/>
                <w:sz w:val="14"/>
                <w:szCs w:val="14"/>
                <w:b w:val="1"/>
                <w:bCs w:val="1"/>
                <w:color w:val="auto"/>
              </w:rPr>
              <w:t>Name:</w:t>
            </w:r>
          </w:p>
        </w:tc>
        <w:tc>
          <w:tcPr>
            <w:tcW w:w="40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3"/>
              </w:rPr>
              <w:t>Matt Maddox</w:t>
            </w:r>
          </w:p>
        </w:tc>
      </w:tr>
      <w:tr>
        <w:trPr>
          <w:trHeight w:val="149"/>
        </w:trPr>
        <w:tc>
          <w:tcPr>
            <w:tcW w:w="540" w:type="dxa"/>
            <w:vAlign w:val="bottom"/>
          </w:tcPr>
          <w:p>
            <w:pPr>
              <w:spacing w:after="0" w:line="149" w:lineRule="exact"/>
              <w:rPr>
                <w:sz w:val="20"/>
                <w:szCs w:val="20"/>
                <w:color w:val="auto"/>
              </w:rPr>
            </w:pPr>
            <w:r>
              <w:rPr>
                <w:rFonts w:ascii="Arial" w:cs="Arial" w:eastAsia="Arial" w:hAnsi="Arial"/>
                <w:sz w:val="14"/>
                <w:szCs w:val="14"/>
                <w:b w:val="1"/>
                <w:bCs w:val="1"/>
                <w:color w:val="auto"/>
              </w:rPr>
              <w:t>Title:</w:t>
            </w:r>
          </w:p>
        </w:tc>
        <w:tc>
          <w:tcPr>
            <w:tcW w:w="4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Executive Vice President,</w:t>
            </w:r>
          </w:p>
        </w:tc>
      </w:tr>
      <w:tr>
        <w:trPr>
          <w:trHeight w:val="174"/>
        </w:trPr>
        <w:tc>
          <w:tcPr>
            <w:tcW w:w="540" w:type="dxa"/>
            <w:vAlign w:val="bottom"/>
          </w:tcPr>
          <w:p>
            <w:pPr>
              <w:spacing w:after="0"/>
              <w:rPr>
                <w:sz w:val="15"/>
                <w:szCs w:val="15"/>
                <w:color w:val="auto"/>
              </w:rPr>
            </w:pP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8"/>
              </w:rPr>
              <w:t>Chief Financial Officer and Treasurer</w:t>
            </w:r>
          </w:p>
        </w:tc>
      </w:tr>
    </w:tbl>
    <w:p>
      <w:pPr>
        <w:spacing w:after="0" w:line="15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8" w:lineRule="exact"/>
        <w:rPr>
          <w:sz w:val="20"/>
          <w:szCs w:val="20"/>
          <w:color w:val="auto"/>
        </w:rPr>
      </w:pPr>
    </w:p>
    <w:p>
      <w:pPr>
        <w:ind w:left="2240"/>
        <w:spacing w:after="0"/>
        <w:tabs>
          <w:tab w:leader="none" w:pos="7060" w:val="left"/>
          <w:tab w:leader="none" w:pos="102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Chairman of the Board</w:t>
            </w:r>
          </w:p>
        </w:tc>
        <w:tc>
          <w:tcPr>
            <w:tcW w:w="2240" w:type="dxa"/>
            <w:vAlign w:val="bottom"/>
          </w:tcPr>
          <w:p>
            <w:pPr>
              <w:ind w:left="1340"/>
              <w:spacing w:after="0"/>
              <w:rPr>
                <w:sz w:val="20"/>
                <w:szCs w:val="20"/>
                <w:color w:val="auto"/>
              </w:rPr>
            </w:pPr>
            <w:r>
              <w:rPr>
                <w:rFonts w:ascii="Arial" w:cs="Arial" w:eastAsia="Arial" w:hAnsi="Arial"/>
                <w:sz w:val="18"/>
                <w:szCs w:val="18"/>
                <w:color w:val="auto"/>
                <w:w w:val="88"/>
              </w:rPr>
              <w:t>May 5,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6"/>
              </w:rPr>
              <w:t>Stephen A. Wynn</w:t>
            </w:r>
          </w:p>
        </w:tc>
        <w:tc>
          <w:tcPr>
            <w:tcW w:w="356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spacing w:after="0"/>
              <w:rPr>
                <w:sz w:val="24"/>
                <w:szCs w:val="24"/>
                <w:color w:val="auto"/>
              </w:rPr>
            </w:pPr>
          </w:p>
        </w:tc>
        <w:tc>
          <w:tcPr>
            <w:tcW w:w="3560" w:type="dxa"/>
            <w:vAlign w:val="bottom"/>
          </w:tcPr>
          <w:p>
            <w:pPr>
              <w:ind w:left="220"/>
              <w:spacing w:after="0"/>
              <w:rPr>
                <w:sz w:val="20"/>
                <w:szCs w:val="20"/>
                <w:color w:val="auto"/>
              </w:rPr>
            </w:pPr>
            <w:r>
              <w:rPr>
                <w:rFonts w:ascii="Arial" w:cs="Arial" w:eastAsia="Arial" w:hAnsi="Arial"/>
                <w:sz w:val="18"/>
                <w:szCs w:val="18"/>
                <w:color w:val="auto"/>
              </w:rPr>
              <w:t>Vice Chairman of the Board</w:t>
            </w:r>
          </w:p>
        </w:tc>
        <w:tc>
          <w:tcPr>
            <w:tcW w:w="2240" w:type="dxa"/>
            <w:vAlign w:val="bottom"/>
          </w:tcPr>
          <w:p>
            <w:pPr>
              <w:spacing w:after="0"/>
              <w:rPr>
                <w:sz w:val="24"/>
                <w:szCs w:val="24"/>
                <w:color w:val="auto"/>
              </w:rPr>
            </w:pP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Kazuo Okada</w:t>
            </w:r>
          </w:p>
        </w:tc>
        <w:tc>
          <w:tcPr>
            <w:tcW w:w="356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40" w:type="dxa"/>
            <w:vAlign w:val="bottom"/>
          </w:tcPr>
          <w:p>
            <w:pPr>
              <w:ind w:left="1340"/>
              <w:spacing w:after="0"/>
              <w:rPr>
                <w:sz w:val="20"/>
                <w:szCs w:val="20"/>
                <w:color w:val="auto"/>
              </w:rPr>
            </w:pPr>
            <w:r>
              <w:rPr>
                <w:rFonts w:ascii="Arial" w:cs="Arial" w:eastAsia="Arial" w:hAnsi="Arial"/>
                <w:sz w:val="18"/>
                <w:szCs w:val="18"/>
                <w:color w:val="auto"/>
                <w:w w:val="88"/>
              </w:rPr>
              <w:t>May 5,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9"/>
              </w:rPr>
              <w:t>Linda Chen</w:t>
            </w:r>
          </w:p>
        </w:tc>
        <w:tc>
          <w:tcPr>
            <w:tcW w:w="356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40" w:type="dxa"/>
            <w:vAlign w:val="bottom"/>
          </w:tcPr>
          <w:p>
            <w:pPr>
              <w:ind w:left="1340"/>
              <w:spacing w:after="0"/>
              <w:rPr>
                <w:sz w:val="20"/>
                <w:szCs w:val="20"/>
                <w:color w:val="auto"/>
              </w:rPr>
            </w:pPr>
            <w:r>
              <w:rPr>
                <w:rFonts w:ascii="Arial" w:cs="Arial" w:eastAsia="Arial" w:hAnsi="Arial"/>
                <w:sz w:val="18"/>
                <w:szCs w:val="18"/>
                <w:color w:val="auto"/>
                <w:w w:val="88"/>
              </w:rPr>
              <w:t>May 5,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4"/>
              </w:rPr>
              <w:t>Russell Goldsmith</w:t>
            </w:r>
          </w:p>
        </w:tc>
        <w:tc>
          <w:tcPr>
            <w:tcW w:w="356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40" w:type="dxa"/>
            <w:vAlign w:val="bottom"/>
          </w:tcPr>
          <w:p>
            <w:pPr>
              <w:ind w:left="1340"/>
              <w:spacing w:after="0"/>
              <w:rPr>
                <w:sz w:val="20"/>
                <w:szCs w:val="20"/>
                <w:color w:val="auto"/>
              </w:rPr>
            </w:pPr>
            <w:r>
              <w:rPr>
                <w:rFonts w:ascii="Arial" w:cs="Arial" w:eastAsia="Arial" w:hAnsi="Arial"/>
                <w:sz w:val="18"/>
                <w:szCs w:val="18"/>
                <w:color w:val="auto"/>
                <w:w w:val="88"/>
              </w:rPr>
              <w:t>May 5,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1"/>
              </w:rPr>
              <w:t>Dr. Ray R. Irani</w:t>
            </w:r>
          </w:p>
        </w:tc>
        <w:tc>
          <w:tcPr>
            <w:tcW w:w="356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40" w:type="dxa"/>
            <w:vAlign w:val="bottom"/>
          </w:tcPr>
          <w:p>
            <w:pPr>
              <w:ind w:left="1340"/>
              <w:spacing w:after="0"/>
              <w:rPr>
                <w:sz w:val="20"/>
                <w:szCs w:val="20"/>
                <w:color w:val="auto"/>
              </w:rPr>
            </w:pPr>
            <w:r>
              <w:rPr>
                <w:rFonts w:ascii="Arial" w:cs="Arial" w:eastAsia="Arial" w:hAnsi="Arial"/>
                <w:sz w:val="18"/>
                <w:szCs w:val="18"/>
                <w:color w:val="auto"/>
                <w:w w:val="88"/>
              </w:rPr>
              <w:t>May 5,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Robert J. Miller</w:t>
            </w:r>
          </w:p>
        </w:tc>
        <w:tc>
          <w:tcPr>
            <w:tcW w:w="356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40" w:type="dxa"/>
            <w:vAlign w:val="bottom"/>
          </w:tcPr>
          <w:p>
            <w:pPr>
              <w:ind w:left="1340"/>
              <w:spacing w:after="0"/>
              <w:rPr>
                <w:sz w:val="20"/>
                <w:szCs w:val="20"/>
                <w:color w:val="auto"/>
              </w:rPr>
            </w:pPr>
            <w:r>
              <w:rPr>
                <w:rFonts w:ascii="Arial" w:cs="Arial" w:eastAsia="Arial" w:hAnsi="Arial"/>
                <w:sz w:val="18"/>
                <w:szCs w:val="18"/>
                <w:color w:val="auto"/>
                <w:w w:val="88"/>
              </w:rPr>
              <w:t>May 5,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John A. Moran</w:t>
            </w:r>
          </w:p>
        </w:tc>
        <w:tc>
          <w:tcPr>
            <w:tcW w:w="356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40" w:type="dxa"/>
            <w:vAlign w:val="bottom"/>
          </w:tcPr>
          <w:p>
            <w:pPr>
              <w:ind w:left="1340"/>
              <w:spacing w:after="0"/>
              <w:rPr>
                <w:sz w:val="20"/>
                <w:szCs w:val="20"/>
                <w:color w:val="auto"/>
              </w:rPr>
            </w:pPr>
            <w:r>
              <w:rPr>
                <w:rFonts w:ascii="Arial" w:cs="Arial" w:eastAsia="Arial" w:hAnsi="Arial"/>
                <w:sz w:val="18"/>
                <w:szCs w:val="18"/>
                <w:color w:val="auto"/>
                <w:w w:val="88"/>
              </w:rPr>
              <w:t>May 5,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8"/>
              </w:rPr>
              <w:t>Alvin V. Shoemaker</w:t>
            </w:r>
          </w:p>
        </w:tc>
        <w:tc>
          <w:tcPr>
            <w:tcW w:w="356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40" w:type="dxa"/>
            <w:vAlign w:val="bottom"/>
          </w:tcPr>
          <w:p>
            <w:pPr>
              <w:ind w:left="1340"/>
              <w:spacing w:after="0"/>
              <w:rPr>
                <w:sz w:val="20"/>
                <w:szCs w:val="20"/>
                <w:color w:val="auto"/>
              </w:rPr>
            </w:pPr>
            <w:r>
              <w:rPr>
                <w:rFonts w:ascii="Arial" w:cs="Arial" w:eastAsia="Arial" w:hAnsi="Arial"/>
                <w:sz w:val="18"/>
                <w:szCs w:val="18"/>
                <w:color w:val="auto"/>
                <w:w w:val="88"/>
              </w:rPr>
              <w:t>May 5,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3"/>
              </w:rPr>
              <w:t>D. Boone Wayson</w:t>
            </w:r>
          </w:p>
        </w:tc>
        <w:tc>
          <w:tcPr>
            <w:tcW w:w="356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40" w:type="dxa"/>
            <w:vAlign w:val="bottom"/>
          </w:tcPr>
          <w:p>
            <w:pPr>
              <w:ind w:left="1340"/>
              <w:spacing w:after="0"/>
              <w:rPr>
                <w:sz w:val="20"/>
                <w:szCs w:val="20"/>
                <w:color w:val="auto"/>
              </w:rPr>
            </w:pPr>
            <w:r>
              <w:rPr>
                <w:rFonts w:ascii="Arial" w:cs="Arial" w:eastAsia="Arial" w:hAnsi="Arial"/>
                <w:sz w:val="18"/>
                <w:szCs w:val="18"/>
                <w:color w:val="auto"/>
                <w:w w:val="88"/>
              </w:rPr>
              <w:t>May 5,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7"/>
              </w:rPr>
              <w:t>Elaine P. Wynn</w:t>
            </w:r>
          </w:p>
        </w:tc>
        <w:tc>
          <w:tcPr>
            <w:tcW w:w="356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40" w:type="dxa"/>
            <w:vAlign w:val="bottom"/>
          </w:tcPr>
          <w:p>
            <w:pPr>
              <w:ind w:left="1340"/>
              <w:spacing w:after="0"/>
              <w:rPr>
                <w:sz w:val="20"/>
                <w:szCs w:val="20"/>
                <w:color w:val="auto"/>
              </w:rPr>
            </w:pPr>
            <w:r>
              <w:rPr>
                <w:rFonts w:ascii="Arial" w:cs="Arial" w:eastAsia="Arial" w:hAnsi="Arial"/>
                <w:sz w:val="18"/>
                <w:szCs w:val="18"/>
                <w:color w:val="auto"/>
                <w:w w:val="88"/>
              </w:rPr>
              <w:t>May 5,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1"/>
              </w:rPr>
              <w:t>Allan Zeman</w:t>
            </w:r>
          </w:p>
        </w:tc>
        <w:tc>
          <w:tcPr>
            <w:tcW w:w="356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350"/>
        </w:trPr>
        <w:tc>
          <w:tcPr>
            <w:tcW w:w="5040" w:type="dxa"/>
            <w:vAlign w:val="bottom"/>
          </w:tcPr>
          <w:p>
            <w:pPr>
              <w:spacing w:after="0"/>
              <w:rPr>
                <w:sz w:val="24"/>
                <w:szCs w:val="24"/>
                <w:color w:val="auto"/>
              </w:rPr>
            </w:pPr>
          </w:p>
        </w:tc>
        <w:tc>
          <w:tcPr>
            <w:tcW w:w="3560" w:type="dxa"/>
            <w:vAlign w:val="bottom"/>
          </w:tcPr>
          <w:p>
            <w:pPr>
              <w:ind w:left="500"/>
              <w:spacing w:after="0"/>
              <w:rPr>
                <w:sz w:val="20"/>
                <w:szCs w:val="20"/>
                <w:color w:val="auto"/>
              </w:rPr>
            </w:pPr>
            <w:r>
              <w:rPr>
                <w:rFonts w:ascii="Arial" w:cs="Arial" w:eastAsia="Arial" w:hAnsi="Arial"/>
                <w:sz w:val="18"/>
                <w:szCs w:val="18"/>
                <w:color w:val="auto"/>
              </w:rPr>
              <w:t>II-12</w:t>
            </w:r>
          </w:p>
        </w:tc>
        <w:tc>
          <w:tcPr>
            <w:tcW w:w="22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08" w:name="page309"/>
    <w:bookmarkEnd w:id="3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both"/>
        <w:ind w:left="2240"/>
        <w:spacing w:after="0"/>
        <w:tabs>
          <w:tab w:leader="none" w:pos="7060" w:val="left"/>
          <w:tab w:leader="none" w:pos="102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ectPr>
          <w:pgSz w:w="11900" w:h="16838" w:orient="portrait"/>
          <w:cols w:equalWidth="0" w:num="1">
            <w:col w:w="10840"/>
          </w:cols>
          <w:pgMar w:left="240" w:top="459" w:right="819" w:bottom="1440" w:gutter="0" w:footer="0" w:header="0"/>
        </w:sectPr>
      </w:pPr>
    </w:p>
    <w:p>
      <w:pPr>
        <w:spacing w:after="0" w:line="222" w:lineRule="exact"/>
        <w:rPr>
          <w:sz w:val="20"/>
          <w:szCs w:val="20"/>
          <w:color w:val="auto"/>
        </w:rPr>
      </w:pPr>
    </w:p>
    <w:p>
      <w:pPr>
        <w:jc w:val="right"/>
        <w:ind w:right="1340"/>
        <w:spacing w:after="0"/>
        <w:tabs>
          <w:tab w:leader="none" w:pos="262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w:t>
      </w:r>
      <w:r>
        <w:rPr>
          <w:rFonts w:ascii="Arial" w:cs="Arial" w:eastAsia="Arial" w:hAnsi="Arial"/>
          <w:sz w:val="13"/>
          <w:szCs w:val="13"/>
          <w:color w:val="auto"/>
        </w:rPr>
        <w:t>ARC</w:t>
      </w:r>
      <w:r>
        <w:rPr>
          <w:rFonts w:ascii="Arial" w:cs="Arial" w:eastAsia="Arial" w:hAnsi="Arial"/>
          <w:sz w:val="16"/>
          <w:szCs w:val="16"/>
          <w:color w:val="auto"/>
        </w:rPr>
        <w:t xml:space="preserve"> D. S</w:t>
      </w:r>
      <w:r>
        <w:rPr>
          <w:rFonts w:ascii="Arial" w:cs="Arial" w:eastAsia="Arial" w:hAnsi="Arial"/>
          <w:sz w:val="13"/>
          <w:szCs w:val="13"/>
          <w:color w:val="auto"/>
        </w:rPr>
        <w:t>CHORR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ind w:left="2060"/>
        <w:spacing w:after="0"/>
        <w:rPr>
          <w:sz w:val="20"/>
          <w:szCs w:val="20"/>
          <w:color w:val="auto"/>
        </w:rPr>
      </w:pPr>
      <w:r>
        <w:rPr>
          <w:rFonts w:ascii="Arial" w:cs="Arial" w:eastAsia="Arial" w:hAnsi="Arial"/>
          <w:sz w:val="14"/>
          <w:szCs w:val="14"/>
          <w:b w:val="1"/>
          <w:bCs w:val="1"/>
          <w:color w:val="auto"/>
        </w:rPr>
        <w:t>Marc D. Schorr</w:t>
      </w:r>
    </w:p>
    <w:p>
      <w:pPr>
        <w:spacing w:after="0" w:line="222" w:lineRule="exact"/>
        <w:rPr>
          <w:sz w:val="20"/>
          <w:szCs w:val="20"/>
          <w:color w:val="auto"/>
        </w:rPr>
      </w:pPr>
    </w:p>
    <w:p>
      <w:pPr>
        <w:ind w:left="1600"/>
        <w:spacing w:after="0"/>
        <w:tabs>
          <w:tab w:leader="none" w:pos="19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jc w:val="center"/>
        <w:ind w:left="500"/>
        <w:spacing w:after="0"/>
        <w:rPr>
          <w:sz w:val="20"/>
          <w:szCs w:val="20"/>
          <w:color w:val="auto"/>
        </w:rPr>
      </w:pPr>
      <w:r>
        <w:rPr>
          <w:rFonts w:ascii="Arial" w:cs="Arial" w:eastAsia="Arial" w:hAnsi="Arial"/>
          <w:sz w:val="14"/>
          <w:szCs w:val="14"/>
          <w:b w:val="1"/>
          <w:bCs w:val="1"/>
          <w:color w:val="auto"/>
        </w:rPr>
        <w:t>Matt Maddox</w:t>
      </w:r>
    </w:p>
    <w:p>
      <w:pPr>
        <w:spacing w:after="0" w:line="249" w:lineRule="exact"/>
        <w:rPr>
          <w:sz w:val="20"/>
          <w:szCs w:val="20"/>
          <w:color w:val="auto"/>
        </w:rPr>
      </w:pPr>
    </w:p>
    <w:p>
      <w:pPr>
        <w:spacing w:after="0"/>
        <w:tabs>
          <w:tab w:leader="none" w:pos="1740" w:val="left"/>
          <w:tab w:leader="none" w:pos="2100" w:val="left"/>
        </w:tabs>
        <w:rPr>
          <w:sz w:val="20"/>
          <w:szCs w:val="20"/>
          <w:color w:val="auto"/>
        </w:rPr>
      </w:pPr>
      <w:r>
        <w:rPr>
          <w:rFonts w:ascii="Arial" w:cs="Arial" w:eastAsia="Arial" w:hAnsi="Arial"/>
          <w:sz w:val="18"/>
          <w:szCs w:val="18"/>
          <w:color w:val="auto"/>
        </w:rPr>
        <w:t>* 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K</w:t>
      </w:r>
      <w:r>
        <w:rPr>
          <w:rFonts w:ascii="Arial" w:cs="Arial" w:eastAsia="Arial" w:hAnsi="Arial"/>
          <w:sz w:val="14"/>
          <w:szCs w:val="14"/>
          <w:color w:val="auto"/>
        </w:rPr>
        <w:t>IM</w:t>
      </w:r>
      <w:r>
        <w:rPr>
          <w:rFonts w:ascii="Arial" w:cs="Arial" w:eastAsia="Arial" w:hAnsi="Arial"/>
          <w:sz w:val="18"/>
          <w:szCs w:val="18"/>
          <w:color w:val="auto"/>
        </w:rPr>
        <w:t xml:space="preserve"> S</w:t>
      </w:r>
      <w:r>
        <w:rPr>
          <w:rFonts w:ascii="Arial" w:cs="Arial" w:eastAsia="Arial" w:hAnsi="Arial"/>
          <w:sz w:val="14"/>
          <w:szCs w:val="14"/>
          <w:color w:val="auto"/>
        </w:rPr>
        <w:t>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10795</wp:posOffset>
            </wp:positionV>
            <wp:extent cx="257302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jc w:val="center"/>
        <w:ind w:left="580"/>
        <w:spacing w:after="0"/>
        <w:rPr>
          <w:sz w:val="20"/>
          <w:szCs w:val="20"/>
          <w:color w:val="auto"/>
        </w:rPr>
      </w:pPr>
      <w:r>
        <w:rPr>
          <w:rFonts w:ascii="Arial" w:cs="Arial" w:eastAsia="Arial" w:hAnsi="Arial"/>
          <w:sz w:val="14"/>
          <w:szCs w:val="14"/>
          <w:b w:val="1"/>
          <w:bCs w:val="1"/>
          <w:color w:val="auto"/>
        </w:rPr>
        <w:t>Kim Sinatra</w:t>
      </w:r>
    </w:p>
    <w:p>
      <w:pPr>
        <w:spacing w:after="0" w:line="1" w:lineRule="exact"/>
        <w:rPr>
          <w:sz w:val="20"/>
          <w:szCs w:val="20"/>
          <w:color w:val="auto"/>
        </w:rPr>
      </w:pPr>
    </w:p>
    <w:p>
      <w:pPr>
        <w:jc w:val="center"/>
        <w:ind w:left="580"/>
        <w:spacing w:after="0"/>
        <w:rPr>
          <w:sz w:val="20"/>
          <w:szCs w:val="20"/>
          <w:color w:val="auto"/>
        </w:rPr>
      </w:pPr>
      <w:r>
        <w:rPr>
          <w:rFonts w:ascii="Arial" w:cs="Arial" w:eastAsia="Arial" w:hAnsi="Arial"/>
          <w:sz w:val="14"/>
          <w:szCs w:val="14"/>
          <w:b w:val="1"/>
          <w:bCs w:val="1"/>
          <w:color w:val="auto"/>
        </w:rPr>
        <w:t>Attorney-in-fact</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4240" w:type="dxa"/>
            <w:vAlign w:val="bottom"/>
          </w:tcPr>
          <w:p>
            <w:pPr>
              <w:spacing w:after="0"/>
              <w:rPr>
                <w:sz w:val="20"/>
                <w:szCs w:val="20"/>
                <w:color w:val="auto"/>
              </w:rPr>
            </w:pPr>
            <w:r>
              <w:rPr>
                <w:rFonts w:ascii="Arial" w:cs="Arial" w:eastAsia="Arial" w:hAnsi="Arial"/>
                <w:sz w:val="18"/>
                <w:szCs w:val="18"/>
                <w:color w:val="auto"/>
              </w:rPr>
              <w:t>Chief Operating Officer (Principal Executive Officer)</w:t>
            </w:r>
          </w:p>
        </w:tc>
        <w:tc>
          <w:tcPr>
            <w:tcW w:w="1340" w:type="dxa"/>
            <w:vAlign w:val="bottom"/>
          </w:tcPr>
          <w:p>
            <w:pPr>
              <w:ind w:left="440"/>
              <w:spacing w:after="0"/>
              <w:rPr>
                <w:sz w:val="20"/>
                <w:szCs w:val="20"/>
                <w:color w:val="auto"/>
              </w:rPr>
            </w:pPr>
            <w:r>
              <w:rPr>
                <w:rFonts w:ascii="Arial" w:cs="Arial" w:eastAsia="Arial" w:hAnsi="Arial"/>
                <w:sz w:val="18"/>
                <w:szCs w:val="18"/>
                <w:color w:val="auto"/>
                <w:w w:val="88"/>
              </w:rPr>
              <w:t>May 5, 2010</w:t>
            </w:r>
          </w:p>
        </w:tc>
      </w:tr>
      <w:tr>
        <w:trPr>
          <w:trHeight w:val="601"/>
        </w:trPr>
        <w:tc>
          <w:tcPr>
            <w:tcW w:w="4240" w:type="dxa"/>
            <w:vAlign w:val="bottom"/>
          </w:tcPr>
          <w:p>
            <w:pPr>
              <w:spacing w:after="0"/>
              <w:rPr>
                <w:sz w:val="20"/>
                <w:szCs w:val="20"/>
                <w:color w:val="auto"/>
              </w:rPr>
            </w:pPr>
            <w:r>
              <w:rPr>
                <w:rFonts w:ascii="Arial" w:cs="Arial" w:eastAsia="Arial" w:hAnsi="Arial"/>
                <w:sz w:val="18"/>
                <w:szCs w:val="18"/>
                <w:color w:val="auto"/>
              </w:rPr>
              <w:t>Chief Financial Officer and Treasurer (Principal</w:t>
            </w:r>
          </w:p>
        </w:tc>
        <w:tc>
          <w:tcPr>
            <w:tcW w:w="1340" w:type="dxa"/>
            <w:vAlign w:val="bottom"/>
          </w:tcPr>
          <w:p>
            <w:pPr>
              <w:ind w:left="440"/>
              <w:spacing w:after="0"/>
              <w:rPr>
                <w:sz w:val="20"/>
                <w:szCs w:val="20"/>
                <w:color w:val="auto"/>
              </w:rPr>
            </w:pPr>
            <w:r>
              <w:rPr>
                <w:rFonts w:ascii="Arial" w:cs="Arial" w:eastAsia="Arial" w:hAnsi="Arial"/>
                <w:sz w:val="18"/>
                <w:szCs w:val="18"/>
                <w:color w:val="auto"/>
                <w:w w:val="88"/>
              </w:rPr>
              <w:t>May 5, 2010</w:t>
            </w:r>
          </w:p>
        </w:tc>
      </w:tr>
      <w:tr>
        <w:trPr>
          <w:trHeight w:val="222"/>
        </w:trPr>
        <w:tc>
          <w:tcPr>
            <w:tcW w:w="4240" w:type="dxa"/>
            <w:vAlign w:val="bottom"/>
          </w:tcPr>
          <w:p>
            <w:pPr>
              <w:ind w:left="220"/>
              <w:spacing w:after="0"/>
              <w:rPr>
                <w:sz w:val="20"/>
                <w:szCs w:val="20"/>
                <w:color w:val="auto"/>
              </w:rPr>
            </w:pPr>
            <w:r>
              <w:rPr>
                <w:rFonts w:ascii="Arial" w:cs="Arial" w:eastAsia="Arial" w:hAnsi="Arial"/>
                <w:sz w:val="18"/>
                <w:szCs w:val="18"/>
                <w:color w:val="auto"/>
              </w:rPr>
              <w:t>Financial and Accounting Officer)</w:t>
            </w:r>
          </w:p>
        </w:tc>
        <w:tc>
          <w:tcPr>
            <w:tcW w:w="13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II-13</w:t>
      </w:r>
    </w:p>
    <w:p>
      <w:pPr>
        <w:sectPr>
          <w:pgSz w:w="11900" w:h="16838" w:orient="portrait"/>
          <w:cols w:equalWidth="0" w:num="2">
            <w:col w:w="4540" w:space="720"/>
            <w:col w:w="5580"/>
          </w:cols>
          <w:pgMar w:left="240" w:top="459" w:right="819" w:bottom="1440" w:gutter="0" w:footer="0" w:header="0"/>
          <w:type w:val="continuous"/>
        </w:sectPr>
      </w:pPr>
    </w:p>
    <w:bookmarkStart w:id="309" w:name="page310"/>
    <w:bookmarkEnd w:id="3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Las Vegas, State of Nevada, on May 5, 2010.</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LAS VEGAS JET, LLC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LAS VEGAS, LLC,</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RESORTS HOLDINGS, LLC,</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RESORTS, LIMITED,</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48"/>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tc>
      </w:tr>
      <w:tr>
        <w:trPr>
          <w:trHeight w:val="143"/>
        </w:trPr>
        <w:tc>
          <w:tcPr>
            <w:tcW w:w="540" w:type="dxa"/>
            <w:vAlign w:val="bottom"/>
          </w:tcPr>
          <w:p>
            <w:pPr>
              <w:spacing w:after="0" w:line="143" w:lineRule="exact"/>
              <w:rPr>
                <w:sz w:val="20"/>
                <w:szCs w:val="20"/>
                <w:color w:val="auto"/>
              </w:rPr>
            </w:pPr>
            <w:r>
              <w:rPr>
                <w:rFonts w:ascii="Arial" w:cs="Arial" w:eastAsia="Arial" w:hAnsi="Arial"/>
                <w:sz w:val="14"/>
                <w:szCs w:val="14"/>
                <w:b w:val="1"/>
                <w:bCs w:val="1"/>
                <w:color w:val="auto"/>
              </w:rPr>
              <w:t>Name:</w:t>
            </w:r>
          </w:p>
        </w:tc>
        <w:tc>
          <w:tcPr>
            <w:tcW w:w="4020" w:type="dxa"/>
            <w:vAlign w:val="bottom"/>
          </w:tcPr>
          <w:p>
            <w:pPr>
              <w:ind w:left="1620"/>
              <w:spacing w:after="0" w:line="143" w:lineRule="exact"/>
              <w:rPr>
                <w:sz w:val="20"/>
                <w:szCs w:val="20"/>
                <w:color w:val="auto"/>
              </w:rPr>
            </w:pPr>
            <w:r>
              <w:rPr>
                <w:rFonts w:ascii="Arial" w:cs="Arial" w:eastAsia="Arial" w:hAnsi="Arial"/>
                <w:sz w:val="14"/>
                <w:szCs w:val="14"/>
                <w:b w:val="1"/>
                <w:bCs w:val="1"/>
                <w:color w:val="auto"/>
              </w:rPr>
              <w:t>Matt Maddox</w:t>
            </w:r>
          </w:p>
        </w:tc>
      </w:tr>
      <w:tr>
        <w:trPr>
          <w:trHeight w:val="174"/>
        </w:trPr>
        <w:tc>
          <w:tcPr>
            <w:tcW w:w="54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020" w:type="dxa"/>
            <w:vAlign w:val="bottom"/>
          </w:tcPr>
          <w:p>
            <w:pPr>
              <w:ind w:left="920"/>
              <w:spacing w:after="0"/>
              <w:rPr>
                <w:sz w:val="20"/>
                <w:szCs w:val="20"/>
                <w:color w:val="auto"/>
              </w:rPr>
            </w:pPr>
            <w:r>
              <w:rPr>
                <w:rFonts w:ascii="Arial" w:cs="Arial" w:eastAsia="Arial" w:hAnsi="Arial"/>
                <w:sz w:val="14"/>
                <w:szCs w:val="14"/>
                <w:b w:val="1"/>
                <w:bCs w:val="1"/>
                <w:color w:val="auto"/>
              </w:rPr>
              <w:t>Chief Financial Officer and Treasurer</w:t>
            </w:r>
          </w:p>
        </w:tc>
      </w:tr>
    </w:tbl>
    <w:p>
      <w:pPr>
        <w:spacing w:after="0" w:line="14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8" w:lineRule="exact"/>
        <w:rPr>
          <w:sz w:val="20"/>
          <w:szCs w:val="20"/>
          <w:color w:val="auto"/>
        </w:rPr>
      </w:pPr>
    </w:p>
    <w:p>
      <w:pPr>
        <w:ind w:left="2240"/>
        <w:spacing w:after="0"/>
        <w:tabs>
          <w:tab w:leader="none" w:pos="7060" w:val="left"/>
          <w:tab w:leader="none" w:pos="102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Chairman of the Board</w:t>
            </w:r>
          </w:p>
        </w:tc>
        <w:tc>
          <w:tcPr>
            <w:tcW w:w="2240" w:type="dxa"/>
            <w:vAlign w:val="bottom"/>
          </w:tcPr>
          <w:p>
            <w:pPr>
              <w:ind w:left="1340"/>
              <w:spacing w:after="0"/>
              <w:rPr>
                <w:sz w:val="20"/>
                <w:szCs w:val="20"/>
                <w:color w:val="auto"/>
              </w:rPr>
            </w:pPr>
            <w:r>
              <w:rPr>
                <w:rFonts w:ascii="Arial" w:cs="Arial" w:eastAsia="Arial" w:hAnsi="Arial"/>
                <w:sz w:val="18"/>
                <w:szCs w:val="18"/>
                <w:color w:val="auto"/>
                <w:w w:val="88"/>
              </w:rPr>
              <w:t>May 5,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6"/>
              </w:rPr>
              <w:t>Stephen A. Wynn</w:t>
            </w:r>
          </w:p>
        </w:tc>
        <w:tc>
          <w:tcPr>
            <w:tcW w:w="356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spacing w:after="0"/>
              <w:rPr>
                <w:sz w:val="24"/>
                <w:szCs w:val="24"/>
                <w:color w:val="auto"/>
              </w:rPr>
            </w:pPr>
          </w:p>
        </w:tc>
        <w:tc>
          <w:tcPr>
            <w:tcW w:w="3560" w:type="dxa"/>
            <w:vAlign w:val="bottom"/>
          </w:tcPr>
          <w:p>
            <w:pPr>
              <w:ind w:left="220"/>
              <w:spacing w:after="0"/>
              <w:rPr>
                <w:sz w:val="20"/>
                <w:szCs w:val="20"/>
                <w:color w:val="auto"/>
              </w:rPr>
            </w:pPr>
            <w:r>
              <w:rPr>
                <w:rFonts w:ascii="Arial" w:cs="Arial" w:eastAsia="Arial" w:hAnsi="Arial"/>
                <w:sz w:val="18"/>
                <w:szCs w:val="18"/>
                <w:color w:val="auto"/>
              </w:rPr>
              <w:t>Vice Chairman of the Board</w:t>
            </w:r>
          </w:p>
        </w:tc>
        <w:tc>
          <w:tcPr>
            <w:tcW w:w="2240" w:type="dxa"/>
            <w:vAlign w:val="bottom"/>
          </w:tcPr>
          <w:p>
            <w:pPr>
              <w:spacing w:after="0"/>
              <w:rPr>
                <w:sz w:val="24"/>
                <w:szCs w:val="24"/>
                <w:color w:val="auto"/>
              </w:rPr>
            </w:pP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Kazuo Okada</w:t>
            </w:r>
          </w:p>
        </w:tc>
        <w:tc>
          <w:tcPr>
            <w:tcW w:w="356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40" w:type="dxa"/>
            <w:vAlign w:val="bottom"/>
          </w:tcPr>
          <w:p>
            <w:pPr>
              <w:ind w:left="1340"/>
              <w:spacing w:after="0"/>
              <w:rPr>
                <w:sz w:val="20"/>
                <w:szCs w:val="20"/>
                <w:color w:val="auto"/>
              </w:rPr>
            </w:pPr>
            <w:r>
              <w:rPr>
                <w:rFonts w:ascii="Arial" w:cs="Arial" w:eastAsia="Arial" w:hAnsi="Arial"/>
                <w:sz w:val="18"/>
                <w:szCs w:val="18"/>
                <w:color w:val="auto"/>
                <w:w w:val="88"/>
              </w:rPr>
              <w:t>May 5,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9"/>
              </w:rPr>
              <w:t>Linda Chen</w:t>
            </w:r>
          </w:p>
        </w:tc>
        <w:tc>
          <w:tcPr>
            <w:tcW w:w="356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40" w:type="dxa"/>
            <w:vAlign w:val="bottom"/>
          </w:tcPr>
          <w:p>
            <w:pPr>
              <w:ind w:left="1340"/>
              <w:spacing w:after="0"/>
              <w:rPr>
                <w:sz w:val="20"/>
                <w:szCs w:val="20"/>
                <w:color w:val="auto"/>
              </w:rPr>
            </w:pPr>
            <w:r>
              <w:rPr>
                <w:rFonts w:ascii="Arial" w:cs="Arial" w:eastAsia="Arial" w:hAnsi="Arial"/>
                <w:sz w:val="18"/>
                <w:szCs w:val="18"/>
                <w:color w:val="auto"/>
                <w:w w:val="88"/>
              </w:rPr>
              <w:t>May 5,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4"/>
              </w:rPr>
              <w:t>Russell Goldsmith</w:t>
            </w:r>
          </w:p>
        </w:tc>
        <w:tc>
          <w:tcPr>
            <w:tcW w:w="356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40" w:type="dxa"/>
            <w:vAlign w:val="bottom"/>
          </w:tcPr>
          <w:p>
            <w:pPr>
              <w:ind w:left="1340"/>
              <w:spacing w:after="0"/>
              <w:rPr>
                <w:sz w:val="20"/>
                <w:szCs w:val="20"/>
                <w:color w:val="auto"/>
              </w:rPr>
            </w:pPr>
            <w:r>
              <w:rPr>
                <w:rFonts w:ascii="Arial" w:cs="Arial" w:eastAsia="Arial" w:hAnsi="Arial"/>
                <w:sz w:val="18"/>
                <w:szCs w:val="18"/>
                <w:color w:val="auto"/>
                <w:w w:val="88"/>
              </w:rPr>
              <w:t>May 5,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1"/>
              </w:rPr>
              <w:t>Dr. Ray R. Irani</w:t>
            </w:r>
          </w:p>
        </w:tc>
        <w:tc>
          <w:tcPr>
            <w:tcW w:w="356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40" w:type="dxa"/>
            <w:vAlign w:val="bottom"/>
          </w:tcPr>
          <w:p>
            <w:pPr>
              <w:ind w:left="1340"/>
              <w:spacing w:after="0"/>
              <w:rPr>
                <w:sz w:val="20"/>
                <w:szCs w:val="20"/>
                <w:color w:val="auto"/>
              </w:rPr>
            </w:pPr>
            <w:r>
              <w:rPr>
                <w:rFonts w:ascii="Arial" w:cs="Arial" w:eastAsia="Arial" w:hAnsi="Arial"/>
                <w:sz w:val="18"/>
                <w:szCs w:val="18"/>
                <w:color w:val="auto"/>
                <w:w w:val="88"/>
              </w:rPr>
              <w:t>May 5,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Robert J. Miller</w:t>
            </w:r>
          </w:p>
        </w:tc>
        <w:tc>
          <w:tcPr>
            <w:tcW w:w="356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40" w:type="dxa"/>
            <w:vAlign w:val="bottom"/>
          </w:tcPr>
          <w:p>
            <w:pPr>
              <w:ind w:left="1340"/>
              <w:spacing w:after="0"/>
              <w:rPr>
                <w:sz w:val="20"/>
                <w:szCs w:val="20"/>
                <w:color w:val="auto"/>
              </w:rPr>
            </w:pPr>
            <w:r>
              <w:rPr>
                <w:rFonts w:ascii="Arial" w:cs="Arial" w:eastAsia="Arial" w:hAnsi="Arial"/>
                <w:sz w:val="18"/>
                <w:szCs w:val="18"/>
                <w:color w:val="auto"/>
                <w:w w:val="88"/>
              </w:rPr>
              <w:t>May 5,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John A. Moran</w:t>
            </w:r>
          </w:p>
        </w:tc>
        <w:tc>
          <w:tcPr>
            <w:tcW w:w="356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40" w:type="dxa"/>
            <w:vAlign w:val="bottom"/>
          </w:tcPr>
          <w:p>
            <w:pPr>
              <w:ind w:left="1340"/>
              <w:spacing w:after="0"/>
              <w:rPr>
                <w:sz w:val="20"/>
                <w:szCs w:val="20"/>
                <w:color w:val="auto"/>
              </w:rPr>
            </w:pPr>
            <w:r>
              <w:rPr>
                <w:rFonts w:ascii="Arial" w:cs="Arial" w:eastAsia="Arial" w:hAnsi="Arial"/>
                <w:sz w:val="18"/>
                <w:szCs w:val="18"/>
                <w:color w:val="auto"/>
                <w:w w:val="88"/>
              </w:rPr>
              <w:t>May 5,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8"/>
              </w:rPr>
              <w:t>Alvin V. Shoemaker</w:t>
            </w:r>
          </w:p>
        </w:tc>
        <w:tc>
          <w:tcPr>
            <w:tcW w:w="356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40" w:type="dxa"/>
            <w:vAlign w:val="bottom"/>
          </w:tcPr>
          <w:p>
            <w:pPr>
              <w:ind w:left="1340"/>
              <w:spacing w:after="0"/>
              <w:rPr>
                <w:sz w:val="20"/>
                <w:szCs w:val="20"/>
                <w:color w:val="auto"/>
              </w:rPr>
            </w:pPr>
            <w:r>
              <w:rPr>
                <w:rFonts w:ascii="Arial" w:cs="Arial" w:eastAsia="Arial" w:hAnsi="Arial"/>
                <w:sz w:val="18"/>
                <w:szCs w:val="18"/>
                <w:color w:val="auto"/>
                <w:w w:val="88"/>
              </w:rPr>
              <w:t>May 5,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3"/>
              </w:rPr>
              <w:t>D. Boone Wayson</w:t>
            </w:r>
          </w:p>
        </w:tc>
        <w:tc>
          <w:tcPr>
            <w:tcW w:w="356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350"/>
        </w:trPr>
        <w:tc>
          <w:tcPr>
            <w:tcW w:w="5040" w:type="dxa"/>
            <w:vAlign w:val="bottom"/>
          </w:tcPr>
          <w:p>
            <w:pPr>
              <w:spacing w:after="0"/>
              <w:rPr>
                <w:sz w:val="24"/>
                <w:szCs w:val="24"/>
                <w:color w:val="auto"/>
              </w:rPr>
            </w:pPr>
          </w:p>
        </w:tc>
        <w:tc>
          <w:tcPr>
            <w:tcW w:w="3560" w:type="dxa"/>
            <w:vAlign w:val="bottom"/>
          </w:tcPr>
          <w:p>
            <w:pPr>
              <w:ind w:left="500"/>
              <w:spacing w:after="0"/>
              <w:rPr>
                <w:sz w:val="20"/>
                <w:szCs w:val="20"/>
                <w:color w:val="auto"/>
              </w:rPr>
            </w:pPr>
            <w:r>
              <w:rPr>
                <w:rFonts w:ascii="Arial" w:cs="Arial" w:eastAsia="Arial" w:hAnsi="Arial"/>
                <w:sz w:val="18"/>
                <w:szCs w:val="18"/>
                <w:color w:val="auto"/>
              </w:rPr>
              <w:t>II-14</w:t>
            </w:r>
          </w:p>
        </w:tc>
        <w:tc>
          <w:tcPr>
            <w:tcW w:w="22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10" w:name="page311"/>
    <w:bookmarkEnd w:id="3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both"/>
        <w:ind w:left="2240"/>
        <w:spacing w:after="0"/>
        <w:tabs>
          <w:tab w:leader="none" w:pos="7060" w:val="left"/>
          <w:tab w:leader="none" w:pos="102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ectPr>
          <w:pgSz w:w="11900" w:h="16838" w:orient="portrait"/>
          <w:cols w:equalWidth="0" w:num="1">
            <w:col w:w="10840"/>
          </w:cols>
          <w:pgMar w:left="240" w:top="459" w:right="819" w:bottom="1440" w:gutter="0" w:footer="0" w:header="0"/>
        </w:sectPr>
      </w:pPr>
    </w:p>
    <w:p>
      <w:pPr>
        <w:spacing w:after="0" w:line="222"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jc w:val="center"/>
        <w:ind w:left="500"/>
        <w:spacing w:after="0"/>
        <w:rPr>
          <w:sz w:val="20"/>
          <w:szCs w:val="20"/>
          <w:color w:val="auto"/>
        </w:rPr>
      </w:pPr>
      <w:r>
        <w:rPr>
          <w:rFonts w:ascii="Arial" w:cs="Arial" w:eastAsia="Arial" w:hAnsi="Arial"/>
          <w:sz w:val="14"/>
          <w:szCs w:val="14"/>
          <w:b w:val="1"/>
          <w:bCs w:val="1"/>
          <w:color w:val="auto"/>
        </w:rPr>
        <w:t>Elaine P. Wynn</w:t>
      </w:r>
    </w:p>
    <w:p>
      <w:pPr>
        <w:spacing w:after="0" w:line="222"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jc w:val="center"/>
        <w:ind w:left="500"/>
        <w:spacing w:after="0"/>
        <w:rPr>
          <w:sz w:val="20"/>
          <w:szCs w:val="20"/>
          <w:color w:val="auto"/>
        </w:rPr>
      </w:pPr>
      <w:r>
        <w:rPr>
          <w:rFonts w:ascii="Arial" w:cs="Arial" w:eastAsia="Arial" w:hAnsi="Arial"/>
          <w:sz w:val="14"/>
          <w:szCs w:val="14"/>
          <w:b w:val="1"/>
          <w:bCs w:val="1"/>
          <w:color w:val="auto"/>
        </w:rPr>
        <w:t>Allan Zeman</w:t>
      </w:r>
    </w:p>
    <w:p>
      <w:pPr>
        <w:spacing w:after="0" w:line="222" w:lineRule="exact"/>
        <w:rPr>
          <w:sz w:val="20"/>
          <w:szCs w:val="20"/>
          <w:color w:val="auto"/>
        </w:rPr>
      </w:pPr>
    </w:p>
    <w:p>
      <w:pPr>
        <w:jc w:val="right"/>
        <w:ind w:right="1340"/>
        <w:spacing w:after="0"/>
        <w:tabs>
          <w:tab w:leader="none" w:pos="262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A</w:t>
      </w:r>
      <w:r>
        <w:rPr>
          <w:rFonts w:ascii="Arial" w:cs="Arial" w:eastAsia="Arial" w:hAnsi="Arial"/>
          <w:sz w:val="14"/>
          <w:szCs w:val="14"/>
          <w:color w:val="auto"/>
        </w:rPr>
        <w:t>NDREW</w:t>
      </w:r>
      <w:r>
        <w:rPr>
          <w:rFonts w:ascii="Arial" w:cs="Arial" w:eastAsia="Arial" w:hAnsi="Arial"/>
          <w:sz w:val="18"/>
          <w:szCs w:val="18"/>
          <w:color w:val="auto"/>
        </w:rPr>
        <w:t xml:space="preserve"> P</w:t>
      </w:r>
      <w:r>
        <w:rPr>
          <w:rFonts w:ascii="Arial" w:cs="Arial" w:eastAsia="Arial" w:hAnsi="Arial"/>
          <w:sz w:val="14"/>
          <w:szCs w:val="14"/>
          <w:color w:val="auto"/>
        </w:rPr>
        <w:t>ASCAL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jc w:val="center"/>
        <w:ind w:left="500"/>
        <w:spacing w:after="0"/>
        <w:rPr>
          <w:sz w:val="20"/>
          <w:szCs w:val="20"/>
          <w:color w:val="auto"/>
        </w:rPr>
      </w:pPr>
      <w:r>
        <w:rPr>
          <w:rFonts w:ascii="Arial" w:cs="Arial" w:eastAsia="Arial" w:hAnsi="Arial"/>
          <w:sz w:val="14"/>
          <w:szCs w:val="14"/>
          <w:b w:val="1"/>
          <w:bCs w:val="1"/>
          <w:color w:val="auto"/>
        </w:rPr>
        <w:t>Andrew Pascal</w:t>
      </w:r>
    </w:p>
    <w:p>
      <w:pPr>
        <w:spacing w:after="0" w:line="262" w:lineRule="exact"/>
        <w:rPr>
          <w:sz w:val="20"/>
          <w:szCs w:val="20"/>
          <w:color w:val="auto"/>
        </w:rPr>
      </w:pPr>
    </w:p>
    <w:p>
      <w:pPr>
        <w:ind w:left="1560"/>
        <w:spacing w:after="0"/>
        <w:tabs>
          <w:tab w:leader="none" w:pos="19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COTT</w:t>
      </w:r>
      <w:r>
        <w:rPr>
          <w:rFonts w:ascii="Arial" w:cs="Arial" w:eastAsia="Arial" w:hAnsi="Arial"/>
          <w:sz w:val="16"/>
          <w:szCs w:val="16"/>
          <w:color w:val="auto"/>
        </w:rPr>
        <w:t xml:space="preserve"> P</w:t>
      </w:r>
      <w:r>
        <w:rPr>
          <w:rFonts w:ascii="Arial" w:cs="Arial" w:eastAsia="Arial" w:hAnsi="Arial"/>
          <w:sz w:val="13"/>
          <w:szCs w:val="13"/>
          <w:color w:val="auto"/>
        </w:rPr>
        <w:t>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jc w:val="center"/>
        <w:ind w:left="500"/>
        <w:spacing w:after="0"/>
        <w:rPr>
          <w:sz w:val="20"/>
          <w:szCs w:val="20"/>
          <w:color w:val="auto"/>
        </w:rPr>
      </w:pPr>
      <w:r>
        <w:rPr>
          <w:rFonts w:ascii="Arial" w:cs="Arial" w:eastAsia="Arial" w:hAnsi="Arial"/>
          <w:sz w:val="14"/>
          <w:szCs w:val="14"/>
          <w:b w:val="1"/>
          <w:bCs w:val="1"/>
          <w:color w:val="auto"/>
        </w:rPr>
        <w:t>Scott Peterson</w:t>
      </w:r>
    </w:p>
    <w:p>
      <w:pPr>
        <w:spacing w:after="0" w:line="249" w:lineRule="exact"/>
        <w:rPr>
          <w:sz w:val="20"/>
          <w:szCs w:val="20"/>
          <w:color w:val="auto"/>
        </w:rPr>
      </w:pPr>
    </w:p>
    <w:p>
      <w:pPr>
        <w:spacing w:after="0"/>
        <w:tabs>
          <w:tab w:leader="none" w:pos="1760" w:val="left"/>
          <w:tab w:leader="none" w:pos="2120" w:val="left"/>
        </w:tabs>
        <w:rPr>
          <w:sz w:val="20"/>
          <w:szCs w:val="20"/>
          <w:color w:val="auto"/>
        </w:rPr>
      </w:pPr>
      <w:r>
        <w:rPr>
          <w:rFonts w:ascii="Arial" w:cs="Arial" w:eastAsia="Arial" w:hAnsi="Arial"/>
          <w:sz w:val="18"/>
          <w:szCs w:val="18"/>
          <w:color w:val="auto"/>
        </w:rPr>
        <w:t>* 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K</w:t>
      </w:r>
      <w:r>
        <w:rPr>
          <w:rFonts w:ascii="Arial" w:cs="Arial" w:eastAsia="Arial" w:hAnsi="Arial"/>
          <w:sz w:val="14"/>
          <w:szCs w:val="14"/>
          <w:color w:val="auto"/>
        </w:rPr>
        <w:t>IM</w:t>
      </w:r>
      <w:r>
        <w:rPr>
          <w:rFonts w:ascii="Arial" w:cs="Arial" w:eastAsia="Arial" w:hAnsi="Arial"/>
          <w:sz w:val="18"/>
          <w:szCs w:val="18"/>
          <w:color w:val="auto"/>
        </w:rPr>
        <w:t xml:space="preserve"> S</w:t>
      </w:r>
      <w:r>
        <w:rPr>
          <w:rFonts w:ascii="Arial" w:cs="Arial" w:eastAsia="Arial" w:hAnsi="Arial"/>
          <w:sz w:val="14"/>
          <w:szCs w:val="14"/>
          <w:color w:val="auto"/>
        </w:rPr>
        <w:t>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10795</wp:posOffset>
            </wp:positionV>
            <wp:extent cx="2546985"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jc w:val="center"/>
        <w:ind w:left="640"/>
        <w:spacing w:after="0"/>
        <w:rPr>
          <w:sz w:val="20"/>
          <w:szCs w:val="20"/>
          <w:color w:val="auto"/>
        </w:rPr>
      </w:pPr>
      <w:r>
        <w:rPr>
          <w:rFonts w:ascii="Arial" w:cs="Arial" w:eastAsia="Arial" w:hAnsi="Arial"/>
          <w:sz w:val="14"/>
          <w:szCs w:val="14"/>
          <w:b w:val="1"/>
          <w:bCs w:val="1"/>
          <w:color w:val="auto"/>
        </w:rPr>
        <w:t>Kim Sinatra</w:t>
      </w:r>
    </w:p>
    <w:p>
      <w:pPr>
        <w:spacing w:after="0" w:line="1" w:lineRule="exact"/>
        <w:rPr>
          <w:sz w:val="20"/>
          <w:szCs w:val="20"/>
          <w:color w:val="auto"/>
        </w:rPr>
      </w:pPr>
    </w:p>
    <w:p>
      <w:pPr>
        <w:jc w:val="center"/>
        <w:ind w:left="640"/>
        <w:spacing w:after="0"/>
        <w:rPr>
          <w:sz w:val="20"/>
          <w:szCs w:val="20"/>
          <w:color w:val="auto"/>
        </w:rPr>
      </w:pPr>
      <w:r>
        <w:rPr>
          <w:rFonts w:ascii="Arial" w:cs="Arial" w:eastAsia="Arial" w:hAnsi="Arial"/>
          <w:sz w:val="14"/>
          <w:szCs w:val="14"/>
          <w:b w:val="1"/>
          <w:bCs w:val="1"/>
          <w:color w:val="auto"/>
        </w:rPr>
        <w:t>Attorney-in-fact</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4100" w:type="dxa"/>
            <w:vAlign w:val="bottom"/>
          </w:tcPr>
          <w:p>
            <w:pPr>
              <w:spacing w:after="0"/>
              <w:rPr>
                <w:sz w:val="20"/>
                <w:szCs w:val="20"/>
                <w:color w:val="auto"/>
              </w:rPr>
            </w:pPr>
            <w:r>
              <w:rPr>
                <w:rFonts w:ascii="Arial" w:cs="Arial" w:eastAsia="Arial" w:hAnsi="Arial"/>
                <w:sz w:val="18"/>
                <w:szCs w:val="18"/>
                <w:color w:val="auto"/>
              </w:rPr>
              <w:t>Director</w:t>
            </w:r>
          </w:p>
        </w:tc>
        <w:tc>
          <w:tcPr>
            <w:tcW w:w="1480" w:type="dxa"/>
            <w:vAlign w:val="bottom"/>
          </w:tcPr>
          <w:p>
            <w:pPr>
              <w:ind w:left="580"/>
              <w:spacing w:after="0"/>
              <w:rPr>
                <w:sz w:val="20"/>
                <w:szCs w:val="20"/>
                <w:color w:val="auto"/>
              </w:rPr>
            </w:pPr>
            <w:r>
              <w:rPr>
                <w:rFonts w:ascii="Arial" w:cs="Arial" w:eastAsia="Arial" w:hAnsi="Arial"/>
                <w:sz w:val="18"/>
                <w:szCs w:val="18"/>
                <w:color w:val="auto"/>
                <w:w w:val="88"/>
              </w:rPr>
              <w:t>May 5, 2010</w:t>
            </w:r>
          </w:p>
        </w:tc>
      </w:tr>
      <w:tr>
        <w:trPr>
          <w:trHeight w:val="608"/>
        </w:trPr>
        <w:tc>
          <w:tcPr>
            <w:tcW w:w="4100" w:type="dxa"/>
            <w:vAlign w:val="bottom"/>
          </w:tcPr>
          <w:p>
            <w:pPr>
              <w:spacing w:after="0"/>
              <w:rPr>
                <w:sz w:val="20"/>
                <w:szCs w:val="20"/>
                <w:color w:val="auto"/>
              </w:rPr>
            </w:pPr>
            <w:r>
              <w:rPr>
                <w:rFonts w:ascii="Arial" w:cs="Arial" w:eastAsia="Arial" w:hAnsi="Arial"/>
                <w:sz w:val="18"/>
                <w:szCs w:val="18"/>
                <w:color w:val="auto"/>
              </w:rPr>
              <w:t>Director</w:t>
            </w:r>
          </w:p>
        </w:tc>
        <w:tc>
          <w:tcPr>
            <w:tcW w:w="1480" w:type="dxa"/>
            <w:vAlign w:val="bottom"/>
          </w:tcPr>
          <w:p>
            <w:pPr>
              <w:ind w:left="580"/>
              <w:spacing w:after="0"/>
              <w:rPr>
                <w:sz w:val="20"/>
                <w:szCs w:val="20"/>
                <w:color w:val="auto"/>
              </w:rPr>
            </w:pPr>
            <w:r>
              <w:rPr>
                <w:rFonts w:ascii="Arial" w:cs="Arial" w:eastAsia="Arial" w:hAnsi="Arial"/>
                <w:sz w:val="18"/>
                <w:szCs w:val="18"/>
                <w:color w:val="auto"/>
                <w:w w:val="88"/>
              </w:rPr>
              <w:t>May 5, 2010</w:t>
            </w:r>
          </w:p>
        </w:tc>
      </w:tr>
      <w:tr>
        <w:trPr>
          <w:trHeight w:val="601"/>
        </w:trPr>
        <w:tc>
          <w:tcPr>
            <w:tcW w:w="4100" w:type="dxa"/>
            <w:vAlign w:val="bottom"/>
          </w:tcPr>
          <w:p>
            <w:pPr>
              <w:spacing w:after="0"/>
              <w:rPr>
                <w:sz w:val="20"/>
                <w:szCs w:val="20"/>
                <w:color w:val="auto"/>
              </w:rPr>
            </w:pPr>
            <w:r>
              <w:rPr>
                <w:rFonts w:ascii="Arial" w:cs="Arial" w:eastAsia="Arial" w:hAnsi="Arial"/>
                <w:sz w:val="18"/>
                <w:szCs w:val="18"/>
                <w:color w:val="auto"/>
              </w:rPr>
              <w:t>Chief Operating Officer and President (Principal</w:t>
            </w:r>
          </w:p>
        </w:tc>
        <w:tc>
          <w:tcPr>
            <w:tcW w:w="1480" w:type="dxa"/>
            <w:vAlign w:val="bottom"/>
          </w:tcPr>
          <w:p>
            <w:pPr>
              <w:ind w:left="580"/>
              <w:spacing w:after="0"/>
              <w:rPr>
                <w:sz w:val="20"/>
                <w:szCs w:val="20"/>
                <w:color w:val="auto"/>
              </w:rPr>
            </w:pPr>
            <w:r>
              <w:rPr>
                <w:rFonts w:ascii="Arial" w:cs="Arial" w:eastAsia="Arial" w:hAnsi="Arial"/>
                <w:sz w:val="18"/>
                <w:szCs w:val="18"/>
                <w:color w:val="auto"/>
                <w:w w:val="88"/>
              </w:rPr>
              <w:t>May 5, 2010</w:t>
            </w:r>
          </w:p>
        </w:tc>
      </w:tr>
      <w:tr>
        <w:trPr>
          <w:trHeight w:val="222"/>
        </w:trPr>
        <w:tc>
          <w:tcPr>
            <w:tcW w:w="4100" w:type="dxa"/>
            <w:vAlign w:val="bottom"/>
          </w:tcPr>
          <w:p>
            <w:pPr>
              <w:ind w:left="220"/>
              <w:spacing w:after="0"/>
              <w:rPr>
                <w:sz w:val="20"/>
                <w:szCs w:val="20"/>
                <w:color w:val="auto"/>
              </w:rPr>
            </w:pPr>
            <w:r>
              <w:rPr>
                <w:rFonts w:ascii="Arial" w:cs="Arial" w:eastAsia="Arial" w:hAnsi="Arial"/>
                <w:sz w:val="18"/>
                <w:szCs w:val="18"/>
                <w:color w:val="auto"/>
              </w:rPr>
              <w:t>Executive Officer)</w:t>
            </w:r>
          </w:p>
        </w:tc>
        <w:tc>
          <w:tcPr>
            <w:tcW w:w="1480" w:type="dxa"/>
            <w:vAlign w:val="bottom"/>
          </w:tcPr>
          <w:p>
            <w:pPr>
              <w:spacing w:after="0"/>
              <w:rPr>
                <w:sz w:val="19"/>
                <w:szCs w:val="19"/>
                <w:color w:val="auto"/>
              </w:rPr>
            </w:pPr>
          </w:p>
        </w:tc>
      </w:tr>
      <w:tr>
        <w:trPr>
          <w:trHeight w:val="426"/>
        </w:trPr>
        <w:tc>
          <w:tcPr>
            <w:tcW w:w="410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c>
          <w:tcPr>
            <w:tcW w:w="1480" w:type="dxa"/>
            <w:vAlign w:val="bottom"/>
          </w:tcPr>
          <w:p>
            <w:pPr>
              <w:ind w:left="580"/>
              <w:spacing w:after="0"/>
              <w:rPr>
                <w:sz w:val="20"/>
                <w:szCs w:val="20"/>
                <w:color w:val="auto"/>
              </w:rPr>
            </w:pPr>
            <w:r>
              <w:rPr>
                <w:rFonts w:ascii="Arial" w:cs="Arial" w:eastAsia="Arial" w:hAnsi="Arial"/>
                <w:sz w:val="18"/>
                <w:szCs w:val="18"/>
                <w:color w:val="auto"/>
                <w:w w:val="88"/>
              </w:rPr>
              <w:t>May 5, 2010</w:t>
            </w:r>
          </w:p>
        </w:tc>
      </w:tr>
      <w:tr>
        <w:trPr>
          <w:trHeight w:val="222"/>
        </w:trPr>
        <w:tc>
          <w:tcPr>
            <w:tcW w:w="4100" w:type="dxa"/>
            <w:vAlign w:val="bottom"/>
          </w:tcPr>
          <w:p>
            <w:pPr>
              <w:ind w:left="220"/>
              <w:spacing w:after="0"/>
              <w:rPr>
                <w:sz w:val="20"/>
                <w:szCs w:val="20"/>
                <w:color w:val="auto"/>
              </w:rPr>
            </w:pPr>
            <w:r>
              <w:rPr>
                <w:rFonts w:ascii="Arial" w:cs="Arial" w:eastAsia="Arial" w:hAnsi="Arial"/>
                <w:sz w:val="18"/>
                <w:szCs w:val="18"/>
                <w:color w:val="auto"/>
              </w:rPr>
              <w:t>(Principal Financial and Accounting Officer)</w:t>
            </w:r>
          </w:p>
        </w:tc>
        <w:tc>
          <w:tcPr>
            <w:tcW w:w="14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II-15</w:t>
      </w:r>
    </w:p>
    <w:p>
      <w:pPr>
        <w:sectPr>
          <w:pgSz w:w="11900" w:h="16838" w:orient="portrait"/>
          <w:cols w:equalWidth="0" w:num="2">
            <w:col w:w="4540" w:space="720"/>
            <w:col w:w="5580"/>
          </w:cols>
          <w:pgMar w:left="240" w:top="459" w:right="819" w:bottom="1440" w:gutter="0" w:footer="0" w:header="0"/>
          <w:type w:val="continuous"/>
        </w:sectPr>
      </w:pPr>
    </w:p>
    <w:bookmarkStart w:id="311" w:name="page312"/>
    <w:bookmarkEnd w:id="3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Las Vegas, State of Nevada, on May 5, 2010.</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KEVYN, LLC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LAS VEGAS, LLC,</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RESORTS HOLDINGS, LLC,</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RESORTS, LIMITED,</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48"/>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tc>
      </w:tr>
      <w:tr>
        <w:trPr>
          <w:trHeight w:val="143"/>
        </w:trPr>
        <w:tc>
          <w:tcPr>
            <w:tcW w:w="540" w:type="dxa"/>
            <w:vAlign w:val="bottom"/>
          </w:tcPr>
          <w:p>
            <w:pPr>
              <w:spacing w:after="0" w:line="143" w:lineRule="exact"/>
              <w:rPr>
                <w:sz w:val="20"/>
                <w:szCs w:val="20"/>
                <w:color w:val="auto"/>
              </w:rPr>
            </w:pPr>
            <w:r>
              <w:rPr>
                <w:rFonts w:ascii="Arial" w:cs="Arial" w:eastAsia="Arial" w:hAnsi="Arial"/>
                <w:sz w:val="14"/>
                <w:szCs w:val="14"/>
                <w:b w:val="1"/>
                <w:bCs w:val="1"/>
                <w:color w:val="auto"/>
              </w:rPr>
              <w:t>Name:</w:t>
            </w:r>
          </w:p>
        </w:tc>
        <w:tc>
          <w:tcPr>
            <w:tcW w:w="4020" w:type="dxa"/>
            <w:vAlign w:val="bottom"/>
          </w:tcPr>
          <w:p>
            <w:pPr>
              <w:ind w:left="1620"/>
              <w:spacing w:after="0" w:line="143" w:lineRule="exact"/>
              <w:rPr>
                <w:sz w:val="20"/>
                <w:szCs w:val="20"/>
                <w:color w:val="auto"/>
              </w:rPr>
            </w:pPr>
            <w:r>
              <w:rPr>
                <w:rFonts w:ascii="Arial" w:cs="Arial" w:eastAsia="Arial" w:hAnsi="Arial"/>
                <w:sz w:val="14"/>
                <w:szCs w:val="14"/>
                <w:b w:val="1"/>
                <w:bCs w:val="1"/>
                <w:color w:val="auto"/>
              </w:rPr>
              <w:t>Matt Maddox</w:t>
            </w:r>
          </w:p>
        </w:tc>
      </w:tr>
      <w:tr>
        <w:trPr>
          <w:trHeight w:val="174"/>
        </w:trPr>
        <w:tc>
          <w:tcPr>
            <w:tcW w:w="54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020" w:type="dxa"/>
            <w:vAlign w:val="bottom"/>
          </w:tcPr>
          <w:p>
            <w:pPr>
              <w:ind w:left="920"/>
              <w:spacing w:after="0"/>
              <w:rPr>
                <w:sz w:val="20"/>
                <w:szCs w:val="20"/>
                <w:color w:val="auto"/>
              </w:rPr>
            </w:pPr>
            <w:r>
              <w:rPr>
                <w:rFonts w:ascii="Arial" w:cs="Arial" w:eastAsia="Arial" w:hAnsi="Arial"/>
                <w:sz w:val="14"/>
                <w:szCs w:val="14"/>
                <w:b w:val="1"/>
                <w:bCs w:val="1"/>
                <w:color w:val="auto"/>
              </w:rPr>
              <w:t>Chief Financial Officer and Treasurer</w:t>
            </w:r>
          </w:p>
        </w:tc>
      </w:tr>
    </w:tbl>
    <w:p>
      <w:pPr>
        <w:spacing w:after="0" w:line="14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8" w:lineRule="exact"/>
        <w:rPr>
          <w:sz w:val="20"/>
          <w:szCs w:val="20"/>
          <w:color w:val="auto"/>
        </w:rPr>
      </w:pPr>
    </w:p>
    <w:p>
      <w:pPr>
        <w:ind w:left="2240"/>
        <w:spacing w:after="0"/>
        <w:tabs>
          <w:tab w:leader="none" w:pos="7060" w:val="left"/>
          <w:tab w:leader="none" w:pos="102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Chairman of the Board</w:t>
            </w:r>
          </w:p>
        </w:tc>
        <w:tc>
          <w:tcPr>
            <w:tcW w:w="2240" w:type="dxa"/>
            <w:vAlign w:val="bottom"/>
          </w:tcPr>
          <w:p>
            <w:pPr>
              <w:ind w:left="1340"/>
              <w:spacing w:after="0"/>
              <w:rPr>
                <w:sz w:val="20"/>
                <w:szCs w:val="20"/>
                <w:color w:val="auto"/>
              </w:rPr>
            </w:pPr>
            <w:r>
              <w:rPr>
                <w:rFonts w:ascii="Arial" w:cs="Arial" w:eastAsia="Arial" w:hAnsi="Arial"/>
                <w:sz w:val="18"/>
                <w:szCs w:val="18"/>
                <w:color w:val="auto"/>
                <w:w w:val="88"/>
              </w:rPr>
              <w:t>May 5,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6"/>
              </w:rPr>
              <w:t>Stephen A. Wynn</w:t>
            </w:r>
          </w:p>
        </w:tc>
        <w:tc>
          <w:tcPr>
            <w:tcW w:w="356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spacing w:after="0"/>
              <w:rPr>
                <w:sz w:val="24"/>
                <w:szCs w:val="24"/>
                <w:color w:val="auto"/>
              </w:rPr>
            </w:pPr>
          </w:p>
        </w:tc>
        <w:tc>
          <w:tcPr>
            <w:tcW w:w="3560" w:type="dxa"/>
            <w:vAlign w:val="bottom"/>
          </w:tcPr>
          <w:p>
            <w:pPr>
              <w:ind w:left="220"/>
              <w:spacing w:after="0"/>
              <w:rPr>
                <w:sz w:val="20"/>
                <w:szCs w:val="20"/>
                <w:color w:val="auto"/>
              </w:rPr>
            </w:pPr>
            <w:r>
              <w:rPr>
                <w:rFonts w:ascii="Arial" w:cs="Arial" w:eastAsia="Arial" w:hAnsi="Arial"/>
                <w:sz w:val="18"/>
                <w:szCs w:val="18"/>
                <w:color w:val="auto"/>
              </w:rPr>
              <w:t>Vice Chairman of the Board</w:t>
            </w:r>
          </w:p>
        </w:tc>
        <w:tc>
          <w:tcPr>
            <w:tcW w:w="2240" w:type="dxa"/>
            <w:vAlign w:val="bottom"/>
          </w:tcPr>
          <w:p>
            <w:pPr>
              <w:spacing w:after="0"/>
              <w:rPr>
                <w:sz w:val="24"/>
                <w:szCs w:val="24"/>
                <w:color w:val="auto"/>
              </w:rPr>
            </w:pP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Kazuo Okada</w:t>
            </w:r>
          </w:p>
        </w:tc>
        <w:tc>
          <w:tcPr>
            <w:tcW w:w="356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40" w:type="dxa"/>
            <w:vAlign w:val="bottom"/>
          </w:tcPr>
          <w:p>
            <w:pPr>
              <w:ind w:left="1340"/>
              <w:spacing w:after="0"/>
              <w:rPr>
                <w:sz w:val="20"/>
                <w:szCs w:val="20"/>
                <w:color w:val="auto"/>
              </w:rPr>
            </w:pPr>
            <w:r>
              <w:rPr>
                <w:rFonts w:ascii="Arial" w:cs="Arial" w:eastAsia="Arial" w:hAnsi="Arial"/>
                <w:sz w:val="18"/>
                <w:szCs w:val="18"/>
                <w:color w:val="auto"/>
                <w:w w:val="88"/>
              </w:rPr>
              <w:t>May 5,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9"/>
              </w:rPr>
              <w:t>Linda Chen</w:t>
            </w:r>
          </w:p>
        </w:tc>
        <w:tc>
          <w:tcPr>
            <w:tcW w:w="356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40" w:type="dxa"/>
            <w:vAlign w:val="bottom"/>
          </w:tcPr>
          <w:p>
            <w:pPr>
              <w:ind w:left="1340"/>
              <w:spacing w:after="0"/>
              <w:rPr>
                <w:sz w:val="20"/>
                <w:szCs w:val="20"/>
                <w:color w:val="auto"/>
              </w:rPr>
            </w:pPr>
            <w:r>
              <w:rPr>
                <w:rFonts w:ascii="Arial" w:cs="Arial" w:eastAsia="Arial" w:hAnsi="Arial"/>
                <w:sz w:val="18"/>
                <w:szCs w:val="18"/>
                <w:color w:val="auto"/>
                <w:w w:val="88"/>
              </w:rPr>
              <w:t>May 5,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4"/>
              </w:rPr>
              <w:t>Russell Goldsmith</w:t>
            </w:r>
          </w:p>
        </w:tc>
        <w:tc>
          <w:tcPr>
            <w:tcW w:w="356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40" w:type="dxa"/>
            <w:vAlign w:val="bottom"/>
          </w:tcPr>
          <w:p>
            <w:pPr>
              <w:ind w:left="1340"/>
              <w:spacing w:after="0"/>
              <w:rPr>
                <w:sz w:val="20"/>
                <w:szCs w:val="20"/>
                <w:color w:val="auto"/>
              </w:rPr>
            </w:pPr>
            <w:r>
              <w:rPr>
                <w:rFonts w:ascii="Arial" w:cs="Arial" w:eastAsia="Arial" w:hAnsi="Arial"/>
                <w:sz w:val="18"/>
                <w:szCs w:val="18"/>
                <w:color w:val="auto"/>
                <w:w w:val="88"/>
              </w:rPr>
              <w:t>May 5,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1"/>
              </w:rPr>
              <w:t>Dr. Ray R. Irani</w:t>
            </w:r>
          </w:p>
        </w:tc>
        <w:tc>
          <w:tcPr>
            <w:tcW w:w="356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40" w:type="dxa"/>
            <w:vAlign w:val="bottom"/>
          </w:tcPr>
          <w:p>
            <w:pPr>
              <w:ind w:left="1340"/>
              <w:spacing w:after="0"/>
              <w:rPr>
                <w:sz w:val="20"/>
                <w:szCs w:val="20"/>
                <w:color w:val="auto"/>
              </w:rPr>
            </w:pPr>
            <w:r>
              <w:rPr>
                <w:rFonts w:ascii="Arial" w:cs="Arial" w:eastAsia="Arial" w:hAnsi="Arial"/>
                <w:sz w:val="18"/>
                <w:szCs w:val="18"/>
                <w:color w:val="auto"/>
                <w:w w:val="88"/>
              </w:rPr>
              <w:t>May 5,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Robert J. Miller</w:t>
            </w:r>
          </w:p>
        </w:tc>
        <w:tc>
          <w:tcPr>
            <w:tcW w:w="356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40" w:type="dxa"/>
            <w:vAlign w:val="bottom"/>
          </w:tcPr>
          <w:p>
            <w:pPr>
              <w:ind w:left="1340"/>
              <w:spacing w:after="0"/>
              <w:rPr>
                <w:sz w:val="20"/>
                <w:szCs w:val="20"/>
                <w:color w:val="auto"/>
              </w:rPr>
            </w:pPr>
            <w:r>
              <w:rPr>
                <w:rFonts w:ascii="Arial" w:cs="Arial" w:eastAsia="Arial" w:hAnsi="Arial"/>
                <w:sz w:val="18"/>
                <w:szCs w:val="18"/>
                <w:color w:val="auto"/>
                <w:w w:val="88"/>
              </w:rPr>
              <w:t>May 5,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John A. Moran</w:t>
            </w:r>
          </w:p>
        </w:tc>
        <w:tc>
          <w:tcPr>
            <w:tcW w:w="356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40" w:type="dxa"/>
            <w:vAlign w:val="bottom"/>
          </w:tcPr>
          <w:p>
            <w:pPr>
              <w:ind w:left="1340"/>
              <w:spacing w:after="0"/>
              <w:rPr>
                <w:sz w:val="20"/>
                <w:szCs w:val="20"/>
                <w:color w:val="auto"/>
              </w:rPr>
            </w:pPr>
            <w:r>
              <w:rPr>
                <w:rFonts w:ascii="Arial" w:cs="Arial" w:eastAsia="Arial" w:hAnsi="Arial"/>
                <w:sz w:val="18"/>
                <w:szCs w:val="18"/>
                <w:color w:val="auto"/>
                <w:w w:val="88"/>
              </w:rPr>
              <w:t>May 5,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8"/>
              </w:rPr>
              <w:t>Alvin V. Shoemaker</w:t>
            </w:r>
          </w:p>
        </w:tc>
        <w:tc>
          <w:tcPr>
            <w:tcW w:w="356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40" w:type="dxa"/>
            <w:vAlign w:val="bottom"/>
          </w:tcPr>
          <w:p>
            <w:pPr>
              <w:ind w:left="1340"/>
              <w:spacing w:after="0"/>
              <w:rPr>
                <w:sz w:val="20"/>
                <w:szCs w:val="20"/>
                <w:color w:val="auto"/>
              </w:rPr>
            </w:pPr>
            <w:r>
              <w:rPr>
                <w:rFonts w:ascii="Arial" w:cs="Arial" w:eastAsia="Arial" w:hAnsi="Arial"/>
                <w:sz w:val="18"/>
                <w:szCs w:val="18"/>
                <w:color w:val="auto"/>
                <w:w w:val="88"/>
              </w:rPr>
              <w:t>May 5,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3"/>
              </w:rPr>
              <w:t>D. Boone Wayson</w:t>
            </w:r>
          </w:p>
        </w:tc>
        <w:tc>
          <w:tcPr>
            <w:tcW w:w="356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350"/>
        </w:trPr>
        <w:tc>
          <w:tcPr>
            <w:tcW w:w="5040" w:type="dxa"/>
            <w:vAlign w:val="bottom"/>
          </w:tcPr>
          <w:p>
            <w:pPr>
              <w:spacing w:after="0"/>
              <w:rPr>
                <w:sz w:val="24"/>
                <w:szCs w:val="24"/>
                <w:color w:val="auto"/>
              </w:rPr>
            </w:pPr>
          </w:p>
        </w:tc>
        <w:tc>
          <w:tcPr>
            <w:tcW w:w="3560" w:type="dxa"/>
            <w:vAlign w:val="bottom"/>
          </w:tcPr>
          <w:p>
            <w:pPr>
              <w:ind w:left="500"/>
              <w:spacing w:after="0"/>
              <w:rPr>
                <w:sz w:val="20"/>
                <w:szCs w:val="20"/>
                <w:color w:val="auto"/>
              </w:rPr>
            </w:pPr>
            <w:r>
              <w:rPr>
                <w:rFonts w:ascii="Arial" w:cs="Arial" w:eastAsia="Arial" w:hAnsi="Arial"/>
                <w:sz w:val="18"/>
                <w:szCs w:val="18"/>
                <w:color w:val="auto"/>
              </w:rPr>
              <w:t>II-16</w:t>
            </w:r>
          </w:p>
        </w:tc>
        <w:tc>
          <w:tcPr>
            <w:tcW w:w="224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312" w:name="page313"/>
    <w:bookmarkEnd w:id="3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both"/>
        <w:ind w:left="2240"/>
        <w:spacing w:after="0"/>
        <w:tabs>
          <w:tab w:leader="none" w:pos="7060" w:val="left"/>
          <w:tab w:leader="none" w:pos="102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ectPr>
          <w:pgSz w:w="11900" w:h="16838" w:orient="portrait"/>
          <w:cols w:equalWidth="0" w:num="1">
            <w:col w:w="10840"/>
          </w:cols>
          <w:pgMar w:left="240" w:top="459" w:right="819" w:bottom="1440" w:gutter="0" w:footer="0" w:header="0"/>
        </w:sectPr>
      </w:pPr>
    </w:p>
    <w:p>
      <w:pPr>
        <w:spacing w:after="0" w:line="222"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jc w:val="center"/>
        <w:ind w:left="500"/>
        <w:spacing w:after="0"/>
        <w:rPr>
          <w:sz w:val="20"/>
          <w:szCs w:val="20"/>
          <w:color w:val="auto"/>
        </w:rPr>
      </w:pPr>
      <w:r>
        <w:rPr>
          <w:rFonts w:ascii="Arial" w:cs="Arial" w:eastAsia="Arial" w:hAnsi="Arial"/>
          <w:sz w:val="14"/>
          <w:szCs w:val="14"/>
          <w:b w:val="1"/>
          <w:bCs w:val="1"/>
          <w:color w:val="auto"/>
        </w:rPr>
        <w:t>Elaine P. Wynn</w:t>
      </w:r>
    </w:p>
    <w:p>
      <w:pPr>
        <w:spacing w:after="0" w:line="222"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jc w:val="center"/>
        <w:ind w:left="500"/>
        <w:spacing w:after="0"/>
        <w:rPr>
          <w:sz w:val="20"/>
          <w:szCs w:val="20"/>
          <w:color w:val="auto"/>
        </w:rPr>
      </w:pPr>
      <w:r>
        <w:rPr>
          <w:rFonts w:ascii="Arial" w:cs="Arial" w:eastAsia="Arial" w:hAnsi="Arial"/>
          <w:sz w:val="14"/>
          <w:szCs w:val="14"/>
          <w:b w:val="1"/>
          <w:bCs w:val="1"/>
          <w:color w:val="auto"/>
        </w:rPr>
        <w:t>Allan Zeman</w:t>
      </w:r>
    </w:p>
    <w:p>
      <w:pPr>
        <w:spacing w:after="0" w:line="222" w:lineRule="exact"/>
        <w:rPr>
          <w:sz w:val="20"/>
          <w:szCs w:val="20"/>
          <w:color w:val="auto"/>
        </w:rPr>
      </w:pPr>
    </w:p>
    <w:p>
      <w:pPr>
        <w:ind w:left="1560"/>
        <w:spacing w:after="0"/>
        <w:tabs>
          <w:tab w:leader="none" w:pos="18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A</w:t>
      </w:r>
      <w:r>
        <w:rPr>
          <w:rFonts w:ascii="Arial" w:cs="Arial" w:eastAsia="Arial" w:hAnsi="Arial"/>
          <w:sz w:val="14"/>
          <w:szCs w:val="14"/>
          <w:color w:val="auto"/>
        </w:rPr>
        <w:t>NDREW</w:t>
      </w:r>
      <w:r>
        <w:rPr>
          <w:rFonts w:ascii="Arial" w:cs="Arial" w:eastAsia="Arial" w:hAnsi="Arial"/>
          <w:sz w:val="18"/>
          <w:szCs w:val="18"/>
          <w:color w:val="auto"/>
        </w:rPr>
        <w:t xml:space="preserve"> P</w:t>
      </w:r>
      <w:r>
        <w:rPr>
          <w:rFonts w:ascii="Arial" w:cs="Arial" w:eastAsia="Arial" w:hAnsi="Arial"/>
          <w:sz w:val="14"/>
          <w:szCs w:val="14"/>
          <w:color w:val="auto"/>
        </w:rPr>
        <w:t>ASCAL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jc w:val="center"/>
        <w:ind w:left="500"/>
        <w:spacing w:after="0"/>
        <w:rPr>
          <w:sz w:val="20"/>
          <w:szCs w:val="20"/>
          <w:color w:val="auto"/>
        </w:rPr>
      </w:pPr>
      <w:r>
        <w:rPr>
          <w:rFonts w:ascii="Arial" w:cs="Arial" w:eastAsia="Arial" w:hAnsi="Arial"/>
          <w:sz w:val="14"/>
          <w:szCs w:val="14"/>
          <w:b w:val="1"/>
          <w:bCs w:val="1"/>
          <w:color w:val="auto"/>
        </w:rPr>
        <w:t>Andrew Pascal</w:t>
      </w:r>
    </w:p>
    <w:p>
      <w:pPr>
        <w:spacing w:after="0" w:line="262" w:lineRule="exact"/>
        <w:rPr>
          <w:sz w:val="20"/>
          <w:szCs w:val="20"/>
          <w:color w:val="auto"/>
        </w:rPr>
      </w:pPr>
    </w:p>
    <w:p>
      <w:pPr>
        <w:ind w:left="1560"/>
        <w:spacing w:after="0"/>
        <w:tabs>
          <w:tab w:leader="none" w:pos="19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COTT</w:t>
      </w:r>
      <w:r>
        <w:rPr>
          <w:rFonts w:ascii="Arial" w:cs="Arial" w:eastAsia="Arial" w:hAnsi="Arial"/>
          <w:sz w:val="16"/>
          <w:szCs w:val="16"/>
          <w:color w:val="auto"/>
        </w:rPr>
        <w:t xml:space="preserve"> P</w:t>
      </w:r>
      <w:r>
        <w:rPr>
          <w:rFonts w:ascii="Arial" w:cs="Arial" w:eastAsia="Arial" w:hAnsi="Arial"/>
          <w:sz w:val="13"/>
          <w:szCs w:val="13"/>
          <w:color w:val="auto"/>
        </w:rPr>
        <w:t>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jc w:val="center"/>
        <w:ind w:left="500"/>
        <w:spacing w:after="0"/>
        <w:rPr>
          <w:sz w:val="20"/>
          <w:szCs w:val="20"/>
          <w:color w:val="auto"/>
        </w:rPr>
      </w:pPr>
      <w:r>
        <w:rPr>
          <w:rFonts w:ascii="Arial" w:cs="Arial" w:eastAsia="Arial" w:hAnsi="Arial"/>
          <w:sz w:val="14"/>
          <w:szCs w:val="14"/>
          <w:b w:val="1"/>
          <w:bCs w:val="1"/>
          <w:color w:val="auto"/>
        </w:rPr>
        <w:t>Scott Peterson</w:t>
      </w:r>
    </w:p>
    <w:p>
      <w:pPr>
        <w:spacing w:after="0" w:line="249" w:lineRule="exact"/>
        <w:rPr>
          <w:sz w:val="20"/>
          <w:szCs w:val="20"/>
          <w:color w:val="auto"/>
        </w:rPr>
      </w:pPr>
    </w:p>
    <w:p>
      <w:pPr>
        <w:spacing w:after="0"/>
        <w:tabs>
          <w:tab w:leader="none" w:pos="1920" w:val="left"/>
          <w:tab w:leader="none" w:pos="2280" w:val="left"/>
        </w:tabs>
        <w:rPr>
          <w:sz w:val="20"/>
          <w:szCs w:val="20"/>
          <w:color w:val="auto"/>
        </w:rPr>
      </w:pPr>
      <w:r>
        <w:rPr>
          <w:rFonts w:ascii="Arial" w:cs="Arial" w:eastAsia="Arial" w:hAnsi="Arial"/>
          <w:sz w:val="18"/>
          <w:szCs w:val="18"/>
          <w:color w:val="auto"/>
        </w:rPr>
        <w:t>* 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K</w:t>
      </w:r>
      <w:r>
        <w:rPr>
          <w:rFonts w:ascii="Arial" w:cs="Arial" w:eastAsia="Arial" w:hAnsi="Arial"/>
          <w:sz w:val="14"/>
          <w:szCs w:val="14"/>
          <w:color w:val="auto"/>
        </w:rPr>
        <w:t>IM</w:t>
      </w:r>
      <w:r>
        <w:rPr>
          <w:rFonts w:ascii="Arial" w:cs="Arial" w:eastAsia="Arial" w:hAnsi="Arial"/>
          <w:sz w:val="18"/>
          <w:szCs w:val="18"/>
          <w:color w:val="auto"/>
        </w:rPr>
        <w:t xml:space="preserve"> S</w:t>
      </w:r>
      <w:r>
        <w:rPr>
          <w:rFonts w:ascii="Arial" w:cs="Arial" w:eastAsia="Arial" w:hAnsi="Arial"/>
          <w:sz w:val="14"/>
          <w:szCs w:val="14"/>
          <w:color w:val="auto"/>
        </w:rPr>
        <w:t>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10795</wp:posOffset>
            </wp:positionV>
            <wp:extent cx="2487295"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2" w:lineRule="exact"/>
        <w:rPr>
          <w:sz w:val="20"/>
          <w:szCs w:val="20"/>
          <w:color w:val="auto"/>
        </w:rPr>
      </w:pPr>
    </w:p>
    <w:p>
      <w:pPr>
        <w:jc w:val="center"/>
        <w:ind w:left="680"/>
        <w:spacing w:after="0"/>
        <w:rPr>
          <w:sz w:val="20"/>
          <w:szCs w:val="20"/>
          <w:color w:val="auto"/>
        </w:rPr>
      </w:pPr>
      <w:r>
        <w:rPr>
          <w:rFonts w:ascii="Arial" w:cs="Arial" w:eastAsia="Arial" w:hAnsi="Arial"/>
          <w:sz w:val="14"/>
          <w:szCs w:val="14"/>
          <w:b w:val="1"/>
          <w:bCs w:val="1"/>
          <w:color w:val="auto"/>
        </w:rPr>
        <w:t>Kim Sinatra</w:t>
      </w:r>
    </w:p>
    <w:p>
      <w:pPr>
        <w:spacing w:after="0" w:line="1" w:lineRule="exact"/>
        <w:rPr>
          <w:sz w:val="20"/>
          <w:szCs w:val="20"/>
          <w:color w:val="auto"/>
        </w:rPr>
      </w:pPr>
    </w:p>
    <w:p>
      <w:pPr>
        <w:jc w:val="center"/>
        <w:ind w:left="680"/>
        <w:spacing w:after="0"/>
        <w:rPr>
          <w:sz w:val="20"/>
          <w:szCs w:val="20"/>
          <w:color w:val="auto"/>
        </w:rPr>
      </w:pPr>
      <w:r>
        <w:rPr>
          <w:rFonts w:ascii="Arial" w:cs="Arial" w:eastAsia="Arial" w:hAnsi="Arial"/>
          <w:sz w:val="14"/>
          <w:szCs w:val="14"/>
          <w:b w:val="1"/>
          <w:bCs w:val="1"/>
          <w:color w:val="auto"/>
        </w:rPr>
        <w:t>Attorney-in-fact</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4100" w:type="dxa"/>
            <w:vAlign w:val="bottom"/>
          </w:tcPr>
          <w:p>
            <w:pPr>
              <w:spacing w:after="0"/>
              <w:rPr>
                <w:sz w:val="20"/>
                <w:szCs w:val="20"/>
                <w:color w:val="auto"/>
              </w:rPr>
            </w:pPr>
            <w:r>
              <w:rPr>
                <w:rFonts w:ascii="Arial" w:cs="Arial" w:eastAsia="Arial" w:hAnsi="Arial"/>
                <w:sz w:val="18"/>
                <w:szCs w:val="18"/>
                <w:color w:val="auto"/>
              </w:rPr>
              <w:t>Director</w:t>
            </w:r>
          </w:p>
        </w:tc>
        <w:tc>
          <w:tcPr>
            <w:tcW w:w="1480" w:type="dxa"/>
            <w:vAlign w:val="bottom"/>
          </w:tcPr>
          <w:p>
            <w:pPr>
              <w:ind w:left="580"/>
              <w:spacing w:after="0"/>
              <w:rPr>
                <w:sz w:val="20"/>
                <w:szCs w:val="20"/>
                <w:color w:val="auto"/>
              </w:rPr>
            </w:pPr>
            <w:r>
              <w:rPr>
                <w:rFonts w:ascii="Arial" w:cs="Arial" w:eastAsia="Arial" w:hAnsi="Arial"/>
                <w:sz w:val="18"/>
                <w:szCs w:val="18"/>
                <w:color w:val="auto"/>
                <w:w w:val="88"/>
              </w:rPr>
              <w:t>May 5, 2010</w:t>
            </w:r>
          </w:p>
        </w:tc>
      </w:tr>
      <w:tr>
        <w:trPr>
          <w:trHeight w:val="608"/>
        </w:trPr>
        <w:tc>
          <w:tcPr>
            <w:tcW w:w="4100" w:type="dxa"/>
            <w:vAlign w:val="bottom"/>
          </w:tcPr>
          <w:p>
            <w:pPr>
              <w:spacing w:after="0"/>
              <w:rPr>
                <w:sz w:val="20"/>
                <w:szCs w:val="20"/>
                <w:color w:val="auto"/>
              </w:rPr>
            </w:pPr>
            <w:r>
              <w:rPr>
                <w:rFonts w:ascii="Arial" w:cs="Arial" w:eastAsia="Arial" w:hAnsi="Arial"/>
                <w:sz w:val="18"/>
                <w:szCs w:val="18"/>
                <w:color w:val="auto"/>
              </w:rPr>
              <w:t>Director</w:t>
            </w:r>
          </w:p>
        </w:tc>
        <w:tc>
          <w:tcPr>
            <w:tcW w:w="1480" w:type="dxa"/>
            <w:vAlign w:val="bottom"/>
          </w:tcPr>
          <w:p>
            <w:pPr>
              <w:ind w:left="580"/>
              <w:spacing w:after="0"/>
              <w:rPr>
                <w:sz w:val="20"/>
                <w:szCs w:val="20"/>
                <w:color w:val="auto"/>
              </w:rPr>
            </w:pPr>
            <w:r>
              <w:rPr>
                <w:rFonts w:ascii="Arial" w:cs="Arial" w:eastAsia="Arial" w:hAnsi="Arial"/>
                <w:sz w:val="18"/>
                <w:szCs w:val="18"/>
                <w:color w:val="auto"/>
                <w:w w:val="88"/>
              </w:rPr>
              <w:t>May 5, 2010</w:t>
            </w:r>
          </w:p>
        </w:tc>
      </w:tr>
      <w:tr>
        <w:trPr>
          <w:trHeight w:val="601"/>
        </w:trPr>
        <w:tc>
          <w:tcPr>
            <w:tcW w:w="4100" w:type="dxa"/>
            <w:vAlign w:val="bottom"/>
          </w:tcPr>
          <w:p>
            <w:pPr>
              <w:spacing w:after="0"/>
              <w:rPr>
                <w:sz w:val="20"/>
                <w:szCs w:val="20"/>
                <w:color w:val="auto"/>
              </w:rPr>
            </w:pPr>
            <w:r>
              <w:rPr>
                <w:rFonts w:ascii="Arial" w:cs="Arial" w:eastAsia="Arial" w:hAnsi="Arial"/>
                <w:sz w:val="18"/>
                <w:szCs w:val="18"/>
                <w:color w:val="auto"/>
              </w:rPr>
              <w:t>Chief Operating Officer and President (Principal</w:t>
            </w:r>
          </w:p>
        </w:tc>
        <w:tc>
          <w:tcPr>
            <w:tcW w:w="1480" w:type="dxa"/>
            <w:vAlign w:val="bottom"/>
          </w:tcPr>
          <w:p>
            <w:pPr>
              <w:ind w:left="580"/>
              <w:spacing w:after="0"/>
              <w:rPr>
                <w:sz w:val="20"/>
                <w:szCs w:val="20"/>
                <w:color w:val="auto"/>
              </w:rPr>
            </w:pPr>
            <w:r>
              <w:rPr>
                <w:rFonts w:ascii="Arial" w:cs="Arial" w:eastAsia="Arial" w:hAnsi="Arial"/>
                <w:sz w:val="18"/>
                <w:szCs w:val="18"/>
                <w:color w:val="auto"/>
                <w:w w:val="88"/>
              </w:rPr>
              <w:t>May 5, 2010</w:t>
            </w:r>
          </w:p>
        </w:tc>
      </w:tr>
      <w:tr>
        <w:trPr>
          <w:trHeight w:val="222"/>
        </w:trPr>
        <w:tc>
          <w:tcPr>
            <w:tcW w:w="4100" w:type="dxa"/>
            <w:vAlign w:val="bottom"/>
          </w:tcPr>
          <w:p>
            <w:pPr>
              <w:ind w:left="220"/>
              <w:spacing w:after="0"/>
              <w:rPr>
                <w:sz w:val="20"/>
                <w:szCs w:val="20"/>
                <w:color w:val="auto"/>
              </w:rPr>
            </w:pPr>
            <w:r>
              <w:rPr>
                <w:rFonts w:ascii="Arial" w:cs="Arial" w:eastAsia="Arial" w:hAnsi="Arial"/>
                <w:sz w:val="18"/>
                <w:szCs w:val="18"/>
                <w:color w:val="auto"/>
              </w:rPr>
              <w:t>Executive Officer)</w:t>
            </w:r>
          </w:p>
        </w:tc>
        <w:tc>
          <w:tcPr>
            <w:tcW w:w="1480" w:type="dxa"/>
            <w:vAlign w:val="bottom"/>
          </w:tcPr>
          <w:p>
            <w:pPr>
              <w:spacing w:after="0"/>
              <w:rPr>
                <w:sz w:val="19"/>
                <w:szCs w:val="19"/>
                <w:color w:val="auto"/>
              </w:rPr>
            </w:pPr>
          </w:p>
        </w:tc>
      </w:tr>
      <w:tr>
        <w:trPr>
          <w:trHeight w:val="426"/>
        </w:trPr>
        <w:tc>
          <w:tcPr>
            <w:tcW w:w="410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c>
          <w:tcPr>
            <w:tcW w:w="1480" w:type="dxa"/>
            <w:vAlign w:val="bottom"/>
          </w:tcPr>
          <w:p>
            <w:pPr>
              <w:ind w:left="580"/>
              <w:spacing w:after="0"/>
              <w:rPr>
                <w:sz w:val="20"/>
                <w:szCs w:val="20"/>
                <w:color w:val="auto"/>
              </w:rPr>
            </w:pPr>
            <w:r>
              <w:rPr>
                <w:rFonts w:ascii="Arial" w:cs="Arial" w:eastAsia="Arial" w:hAnsi="Arial"/>
                <w:sz w:val="18"/>
                <w:szCs w:val="18"/>
                <w:color w:val="auto"/>
                <w:w w:val="88"/>
              </w:rPr>
              <w:t>May 5, 2010</w:t>
            </w:r>
          </w:p>
        </w:tc>
      </w:tr>
      <w:tr>
        <w:trPr>
          <w:trHeight w:val="222"/>
        </w:trPr>
        <w:tc>
          <w:tcPr>
            <w:tcW w:w="4100" w:type="dxa"/>
            <w:vAlign w:val="bottom"/>
          </w:tcPr>
          <w:p>
            <w:pPr>
              <w:ind w:left="220"/>
              <w:spacing w:after="0"/>
              <w:rPr>
                <w:sz w:val="20"/>
                <w:szCs w:val="20"/>
                <w:color w:val="auto"/>
              </w:rPr>
            </w:pPr>
            <w:r>
              <w:rPr>
                <w:rFonts w:ascii="Arial" w:cs="Arial" w:eastAsia="Arial" w:hAnsi="Arial"/>
                <w:sz w:val="18"/>
                <w:szCs w:val="18"/>
                <w:color w:val="auto"/>
              </w:rPr>
              <w:t>(Principal Financial and Accounting Officer)</w:t>
            </w:r>
          </w:p>
        </w:tc>
        <w:tc>
          <w:tcPr>
            <w:tcW w:w="14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II-17</w:t>
      </w:r>
    </w:p>
    <w:p>
      <w:pPr>
        <w:sectPr>
          <w:pgSz w:w="11900" w:h="16838" w:orient="portrait"/>
          <w:cols w:equalWidth="0" w:num="2">
            <w:col w:w="4540" w:space="720"/>
            <w:col w:w="5580"/>
          </w:cols>
          <w:pgMar w:left="240" w:top="459" w:right="819" w:bottom="1440" w:gutter="0" w:footer="0" w:header="0"/>
          <w:type w:val="continuous"/>
        </w:sectPr>
      </w:pPr>
    </w:p>
    <w:bookmarkStart w:id="313" w:name="page314"/>
    <w:bookmarkEnd w:id="3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Las Vegas, State of Nevada, on May 5, 2010.</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WORLD TRAVEL, LLC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LAS VEGAS, LLC,</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RESORTS HOLDINGS, LLC,</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RESORTS, LIMITED,</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48"/>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tc>
      </w:tr>
      <w:tr>
        <w:trPr>
          <w:trHeight w:val="143"/>
        </w:trPr>
        <w:tc>
          <w:tcPr>
            <w:tcW w:w="540" w:type="dxa"/>
            <w:vAlign w:val="bottom"/>
          </w:tcPr>
          <w:p>
            <w:pPr>
              <w:spacing w:after="0" w:line="143" w:lineRule="exact"/>
              <w:rPr>
                <w:sz w:val="20"/>
                <w:szCs w:val="20"/>
                <w:color w:val="auto"/>
              </w:rPr>
            </w:pPr>
            <w:r>
              <w:rPr>
                <w:rFonts w:ascii="Arial" w:cs="Arial" w:eastAsia="Arial" w:hAnsi="Arial"/>
                <w:sz w:val="14"/>
                <w:szCs w:val="14"/>
                <w:b w:val="1"/>
                <w:bCs w:val="1"/>
                <w:color w:val="auto"/>
              </w:rPr>
              <w:t>Name:</w:t>
            </w:r>
          </w:p>
        </w:tc>
        <w:tc>
          <w:tcPr>
            <w:tcW w:w="40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3"/>
              </w:rPr>
              <w:t>Matt Maddox</w:t>
            </w:r>
          </w:p>
        </w:tc>
      </w:tr>
      <w:tr>
        <w:trPr>
          <w:trHeight w:val="174"/>
        </w:trPr>
        <w:tc>
          <w:tcPr>
            <w:tcW w:w="54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8"/>
              </w:rPr>
              <w:t>Chief Financial Officer and Treasurer</w:t>
            </w:r>
          </w:p>
        </w:tc>
      </w:tr>
    </w:tbl>
    <w:p>
      <w:pPr>
        <w:spacing w:after="0" w:line="14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8" w:lineRule="exact"/>
        <w:rPr>
          <w:sz w:val="20"/>
          <w:szCs w:val="20"/>
          <w:color w:val="auto"/>
        </w:rPr>
      </w:pPr>
    </w:p>
    <w:p>
      <w:pPr>
        <w:ind w:left="2240"/>
        <w:spacing w:after="0"/>
        <w:tabs>
          <w:tab w:leader="none" w:pos="7060" w:val="left"/>
          <w:tab w:leader="none" w:pos="102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Chairman of the Board</w:t>
            </w:r>
          </w:p>
        </w:tc>
        <w:tc>
          <w:tcPr>
            <w:tcW w:w="2240" w:type="dxa"/>
            <w:vAlign w:val="bottom"/>
          </w:tcPr>
          <w:p>
            <w:pPr>
              <w:ind w:left="1340"/>
              <w:spacing w:after="0"/>
              <w:rPr>
                <w:sz w:val="20"/>
                <w:szCs w:val="20"/>
                <w:color w:val="auto"/>
              </w:rPr>
            </w:pPr>
            <w:r>
              <w:rPr>
                <w:rFonts w:ascii="Arial" w:cs="Arial" w:eastAsia="Arial" w:hAnsi="Arial"/>
                <w:sz w:val="18"/>
                <w:szCs w:val="18"/>
                <w:color w:val="auto"/>
                <w:w w:val="88"/>
              </w:rPr>
              <w:t>May 5,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6"/>
              </w:rPr>
              <w:t>Stephen A. Wynn</w:t>
            </w:r>
          </w:p>
        </w:tc>
        <w:tc>
          <w:tcPr>
            <w:tcW w:w="356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spacing w:after="0"/>
              <w:rPr>
                <w:sz w:val="24"/>
                <w:szCs w:val="24"/>
                <w:color w:val="auto"/>
              </w:rPr>
            </w:pPr>
          </w:p>
        </w:tc>
        <w:tc>
          <w:tcPr>
            <w:tcW w:w="3560" w:type="dxa"/>
            <w:vAlign w:val="bottom"/>
          </w:tcPr>
          <w:p>
            <w:pPr>
              <w:ind w:left="220"/>
              <w:spacing w:after="0"/>
              <w:rPr>
                <w:sz w:val="20"/>
                <w:szCs w:val="20"/>
                <w:color w:val="auto"/>
              </w:rPr>
            </w:pPr>
            <w:r>
              <w:rPr>
                <w:rFonts w:ascii="Arial" w:cs="Arial" w:eastAsia="Arial" w:hAnsi="Arial"/>
                <w:sz w:val="18"/>
                <w:szCs w:val="18"/>
                <w:color w:val="auto"/>
              </w:rPr>
              <w:t>Vice Chairman of the Board</w:t>
            </w:r>
          </w:p>
        </w:tc>
        <w:tc>
          <w:tcPr>
            <w:tcW w:w="2240" w:type="dxa"/>
            <w:vAlign w:val="bottom"/>
          </w:tcPr>
          <w:p>
            <w:pPr>
              <w:spacing w:after="0"/>
              <w:rPr>
                <w:sz w:val="24"/>
                <w:szCs w:val="24"/>
                <w:color w:val="auto"/>
              </w:rPr>
            </w:pP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Kazuo Okada</w:t>
            </w:r>
          </w:p>
        </w:tc>
        <w:tc>
          <w:tcPr>
            <w:tcW w:w="356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40" w:type="dxa"/>
            <w:vAlign w:val="bottom"/>
          </w:tcPr>
          <w:p>
            <w:pPr>
              <w:ind w:left="1340"/>
              <w:spacing w:after="0"/>
              <w:rPr>
                <w:sz w:val="20"/>
                <w:szCs w:val="20"/>
                <w:color w:val="auto"/>
              </w:rPr>
            </w:pPr>
            <w:r>
              <w:rPr>
                <w:rFonts w:ascii="Arial" w:cs="Arial" w:eastAsia="Arial" w:hAnsi="Arial"/>
                <w:sz w:val="18"/>
                <w:szCs w:val="18"/>
                <w:color w:val="auto"/>
                <w:w w:val="88"/>
              </w:rPr>
              <w:t>May 5,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9"/>
              </w:rPr>
              <w:t>Linda Chen</w:t>
            </w:r>
          </w:p>
        </w:tc>
        <w:tc>
          <w:tcPr>
            <w:tcW w:w="356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40" w:type="dxa"/>
            <w:vAlign w:val="bottom"/>
          </w:tcPr>
          <w:p>
            <w:pPr>
              <w:ind w:left="1340"/>
              <w:spacing w:after="0"/>
              <w:rPr>
                <w:sz w:val="20"/>
                <w:szCs w:val="20"/>
                <w:color w:val="auto"/>
              </w:rPr>
            </w:pPr>
            <w:r>
              <w:rPr>
                <w:rFonts w:ascii="Arial" w:cs="Arial" w:eastAsia="Arial" w:hAnsi="Arial"/>
                <w:sz w:val="18"/>
                <w:szCs w:val="18"/>
                <w:color w:val="auto"/>
                <w:w w:val="88"/>
              </w:rPr>
              <w:t>May 5,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4"/>
              </w:rPr>
              <w:t>Russell Goldsmith</w:t>
            </w:r>
          </w:p>
        </w:tc>
        <w:tc>
          <w:tcPr>
            <w:tcW w:w="356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40" w:type="dxa"/>
            <w:vAlign w:val="bottom"/>
          </w:tcPr>
          <w:p>
            <w:pPr>
              <w:ind w:left="1340"/>
              <w:spacing w:after="0"/>
              <w:rPr>
                <w:sz w:val="20"/>
                <w:szCs w:val="20"/>
                <w:color w:val="auto"/>
              </w:rPr>
            </w:pPr>
            <w:r>
              <w:rPr>
                <w:rFonts w:ascii="Arial" w:cs="Arial" w:eastAsia="Arial" w:hAnsi="Arial"/>
                <w:sz w:val="18"/>
                <w:szCs w:val="18"/>
                <w:color w:val="auto"/>
                <w:w w:val="88"/>
              </w:rPr>
              <w:t>May 5,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1"/>
              </w:rPr>
              <w:t>Dr. Ray R. Irani</w:t>
            </w:r>
          </w:p>
        </w:tc>
        <w:tc>
          <w:tcPr>
            <w:tcW w:w="356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40" w:type="dxa"/>
            <w:vAlign w:val="bottom"/>
          </w:tcPr>
          <w:p>
            <w:pPr>
              <w:ind w:left="1340"/>
              <w:spacing w:after="0"/>
              <w:rPr>
                <w:sz w:val="20"/>
                <w:szCs w:val="20"/>
                <w:color w:val="auto"/>
              </w:rPr>
            </w:pPr>
            <w:r>
              <w:rPr>
                <w:rFonts w:ascii="Arial" w:cs="Arial" w:eastAsia="Arial" w:hAnsi="Arial"/>
                <w:sz w:val="18"/>
                <w:szCs w:val="18"/>
                <w:color w:val="auto"/>
                <w:w w:val="88"/>
              </w:rPr>
              <w:t>May 5,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Robert J. Miller</w:t>
            </w:r>
          </w:p>
        </w:tc>
        <w:tc>
          <w:tcPr>
            <w:tcW w:w="356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40" w:type="dxa"/>
            <w:vAlign w:val="bottom"/>
          </w:tcPr>
          <w:p>
            <w:pPr>
              <w:ind w:left="1340"/>
              <w:spacing w:after="0"/>
              <w:rPr>
                <w:sz w:val="20"/>
                <w:szCs w:val="20"/>
                <w:color w:val="auto"/>
              </w:rPr>
            </w:pPr>
            <w:r>
              <w:rPr>
                <w:rFonts w:ascii="Arial" w:cs="Arial" w:eastAsia="Arial" w:hAnsi="Arial"/>
                <w:sz w:val="18"/>
                <w:szCs w:val="18"/>
                <w:color w:val="auto"/>
                <w:w w:val="88"/>
              </w:rPr>
              <w:t>May 5,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John A. Moran</w:t>
            </w:r>
          </w:p>
        </w:tc>
        <w:tc>
          <w:tcPr>
            <w:tcW w:w="356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40" w:type="dxa"/>
            <w:vAlign w:val="bottom"/>
          </w:tcPr>
          <w:p>
            <w:pPr>
              <w:ind w:left="1340"/>
              <w:spacing w:after="0"/>
              <w:rPr>
                <w:sz w:val="20"/>
                <w:szCs w:val="20"/>
                <w:color w:val="auto"/>
              </w:rPr>
            </w:pPr>
            <w:r>
              <w:rPr>
                <w:rFonts w:ascii="Arial" w:cs="Arial" w:eastAsia="Arial" w:hAnsi="Arial"/>
                <w:sz w:val="18"/>
                <w:szCs w:val="18"/>
                <w:color w:val="auto"/>
                <w:w w:val="88"/>
              </w:rPr>
              <w:t>May 5,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8"/>
              </w:rPr>
              <w:t>Alvin V. Shoemaker</w:t>
            </w:r>
          </w:p>
        </w:tc>
        <w:tc>
          <w:tcPr>
            <w:tcW w:w="356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40" w:type="dxa"/>
            <w:vAlign w:val="bottom"/>
          </w:tcPr>
          <w:p>
            <w:pPr>
              <w:ind w:left="1340"/>
              <w:spacing w:after="0"/>
              <w:rPr>
                <w:sz w:val="20"/>
                <w:szCs w:val="20"/>
                <w:color w:val="auto"/>
              </w:rPr>
            </w:pPr>
            <w:r>
              <w:rPr>
                <w:rFonts w:ascii="Arial" w:cs="Arial" w:eastAsia="Arial" w:hAnsi="Arial"/>
                <w:sz w:val="18"/>
                <w:szCs w:val="18"/>
                <w:color w:val="auto"/>
                <w:w w:val="88"/>
              </w:rPr>
              <w:t>May 5,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3"/>
              </w:rPr>
              <w:t>D. Boone Wayson</w:t>
            </w:r>
          </w:p>
        </w:tc>
        <w:tc>
          <w:tcPr>
            <w:tcW w:w="356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350"/>
        </w:trPr>
        <w:tc>
          <w:tcPr>
            <w:tcW w:w="5040" w:type="dxa"/>
            <w:vAlign w:val="bottom"/>
          </w:tcPr>
          <w:p>
            <w:pPr>
              <w:spacing w:after="0"/>
              <w:rPr>
                <w:sz w:val="24"/>
                <w:szCs w:val="24"/>
                <w:color w:val="auto"/>
              </w:rPr>
            </w:pPr>
          </w:p>
        </w:tc>
        <w:tc>
          <w:tcPr>
            <w:tcW w:w="3560" w:type="dxa"/>
            <w:vAlign w:val="bottom"/>
          </w:tcPr>
          <w:p>
            <w:pPr>
              <w:ind w:left="500"/>
              <w:spacing w:after="0"/>
              <w:rPr>
                <w:sz w:val="20"/>
                <w:szCs w:val="20"/>
                <w:color w:val="auto"/>
              </w:rPr>
            </w:pPr>
            <w:r>
              <w:rPr>
                <w:rFonts w:ascii="Arial" w:cs="Arial" w:eastAsia="Arial" w:hAnsi="Arial"/>
                <w:sz w:val="18"/>
                <w:szCs w:val="18"/>
                <w:color w:val="auto"/>
              </w:rPr>
              <w:t>II-18</w:t>
            </w:r>
          </w:p>
        </w:tc>
        <w:tc>
          <w:tcPr>
            <w:tcW w:w="22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14" w:name="page315"/>
    <w:bookmarkEnd w:id="3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both"/>
        <w:ind w:left="2240"/>
        <w:spacing w:after="0"/>
        <w:tabs>
          <w:tab w:leader="none" w:pos="7060" w:val="left"/>
          <w:tab w:leader="none" w:pos="102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ectPr>
          <w:pgSz w:w="11900" w:h="16838" w:orient="portrait"/>
          <w:cols w:equalWidth="0" w:num="1">
            <w:col w:w="10840"/>
          </w:cols>
          <w:pgMar w:left="240" w:top="459" w:right="819" w:bottom="1440" w:gutter="0" w:footer="0" w:header="0"/>
        </w:sectPr>
      </w:pPr>
    </w:p>
    <w:p>
      <w:pPr>
        <w:spacing w:after="0" w:line="222"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jc w:val="center"/>
        <w:ind w:left="500"/>
        <w:spacing w:after="0"/>
        <w:rPr>
          <w:sz w:val="20"/>
          <w:szCs w:val="20"/>
          <w:color w:val="auto"/>
        </w:rPr>
      </w:pPr>
      <w:r>
        <w:rPr>
          <w:rFonts w:ascii="Arial" w:cs="Arial" w:eastAsia="Arial" w:hAnsi="Arial"/>
          <w:sz w:val="14"/>
          <w:szCs w:val="14"/>
          <w:b w:val="1"/>
          <w:bCs w:val="1"/>
          <w:color w:val="auto"/>
        </w:rPr>
        <w:t>Elaine P. Wynn</w:t>
      </w:r>
    </w:p>
    <w:p>
      <w:pPr>
        <w:spacing w:after="0" w:line="222"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jc w:val="center"/>
        <w:ind w:left="500"/>
        <w:spacing w:after="0"/>
        <w:rPr>
          <w:sz w:val="20"/>
          <w:szCs w:val="20"/>
          <w:color w:val="auto"/>
        </w:rPr>
      </w:pPr>
      <w:r>
        <w:rPr>
          <w:rFonts w:ascii="Arial" w:cs="Arial" w:eastAsia="Arial" w:hAnsi="Arial"/>
          <w:sz w:val="14"/>
          <w:szCs w:val="14"/>
          <w:b w:val="1"/>
          <w:bCs w:val="1"/>
          <w:color w:val="auto"/>
        </w:rPr>
        <w:t>Allan Zeman</w:t>
      </w:r>
    </w:p>
    <w:p>
      <w:pPr>
        <w:spacing w:after="0" w:line="222" w:lineRule="exact"/>
        <w:rPr>
          <w:sz w:val="20"/>
          <w:szCs w:val="20"/>
          <w:color w:val="auto"/>
        </w:rPr>
      </w:pPr>
    </w:p>
    <w:p>
      <w:pPr>
        <w:jc w:val="right"/>
        <w:ind w:right="1340"/>
        <w:spacing w:after="0"/>
        <w:tabs>
          <w:tab w:leader="none" w:pos="262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A</w:t>
      </w:r>
      <w:r>
        <w:rPr>
          <w:rFonts w:ascii="Arial" w:cs="Arial" w:eastAsia="Arial" w:hAnsi="Arial"/>
          <w:sz w:val="14"/>
          <w:szCs w:val="14"/>
          <w:color w:val="auto"/>
        </w:rPr>
        <w:t>NDREW</w:t>
      </w:r>
      <w:r>
        <w:rPr>
          <w:rFonts w:ascii="Arial" w:cs="Arial" w:eastAsia="Arial" w:hAnsi="Arial"/>
          <w:sz w:val="18"/>
          <w:szCs w:val="18"/>
          <w:color w:val="auto"/>
        </w:rPr>
        <w:t xml:space="preserve"> P</w:t>
      </w:r>
      <w:r>
        <w:rPr>
          <w:rFonts w:ascii="Arial" w:cs="Arial" w:eastAsia="Arial" w:hAnsi="Arial"/>
          <w:sz w:val="14"/>
          <w:szCs w:val="14"/>
          <w:color w:val="auto"/>
        </w:rPr>
        <w:t>ASCAL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jc w:val="center"/>
        <w:ind w:left="500"/>
        <w:spacing w:after="0"/>
        <w:rPr>
          <w:sz w:val="20"/>
          <w:szCs w:val="20"/>
          <w:color w:val="auto"/>
        </w:rPr>
      </w:pPr>
      <w:r>
        <w:rPr>
          <w:rFonts w:ascii="Arial" w:cs="Arial" w:eastAsia="Arial" w:hAnsi="Arial"/>
          <w:sz w:val="14"/>
          <w:szCs w:val="14"/>
          <w:b w:val="1"/>
          <w:bCs w:val="1"/>
          <w:color w:val="auto"/>
        </w:rPr>
        <w:t>Andrew Pascal</w:t>
      </w:r>
    </w:p>
    <w:p>
      <w:pPr>
        <w:spacing w:after="0" w:line="262" w:lineRule="exact"/>
        <w:rPr>
          <w:sz w:val="20"/>
          <w:szCs w:val="20"/>
          <w:color w:val="auto"/>
        </w:rPr>
      </w:pPr>
    </w:p>
    <w:p>
      <w:pPr>
        <w:ind w:left="1560"/>
        <w:spacing w:after="0"/>
        <w:tabs>
          <w:tab w:leader="none" w:pos="19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COTT</w:t>
      </w:r>
      <w:r>
        <w:rPr>
          <w:rFonts w:ascii="Arial" w:cs="Arial" w:eastAsia="Arial" w:hAnsi="Arial"/>
          <w:sz w:val="16"/>
          <w:szCs w:val="16"/>
          <w:color w:val="auto"/>
        </w:rPr>
        <w:t xml:space="preserve"> P</w:t>
      </w:r>
      <w:r>
        <w:rPr>
          <w:rFonts w:ascii="Arial" w:cs="Arial" w:eastAsia="Arial" w:hAnsi="Arial"/>
          <w:sz w:val="13"/>
          <w:szCs w:val="13"/>
          <w:color w:val="auto"/>
        </w:rPr>
        <w:t>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jc w:val="center"/>
        <w:ind w:left="500"/>
        <w:spacing w:after="0"/>
        <w:rPr>
          <w:sz w:val="20"/>
          <w:szCs w:val="20"/>
          <w:color w:val="auto"/>
        </w:rPr>
      </w:pPr>
      <w:r>
        <w:rPr>
          <w:rFonts w:ascii="Arial" w:cs="Arial" w:eastAsia="Arial" w:hAnsi="Arial"/>
          <w:sz w:val="14"/>
          <w:szCs w:val="14"/>
          <w:b w:val="1"/>
          <w:bCs w:val="1"/>
          <w:color w:val="auto"/>
        </w:rPr>
        <w:t>Scott Peterson</w:t>
      </w:r>
    </w:p>
    <w:p>
      <w:pPr>
        <w:spacing w:after="0" w:line="249" w:lineRule="exact"/>
        <w:rPr>
          <w:sz w:val="20"/>
          <w:szCs w:val="20"/>
          <w:color w:val="auto"/>
        </w:rPr>
      </w:pPr>
    </w:p>
    <w:p>
      <w:pPr>
        <w:spacing w:after="0"/>
        <w:tabs>
          <w:tab w:leader="none" w:pos="1780" w:val="left"/>
          <w:tab w:leader="none" w:pos="2140" w:val="left"/>
        </w:tabs>
        <w:rPr>
          <w:sz w:val="20"/>
          <w:szCs w:val="20"/>
          <w:color w:val="auto"/>
        </w:rPr>
      </w:pPr>
      <w:r>
        <w:rPr>
          <w:rFonts w:ascii="Arial" w:cs="Arial" w:eastAsia="Arial" w:hAnsi="Arial"/>
          <w:sz w:val="18"/>
          <w:szCs w:val="18"/>
          <w:color w:val="auto"/>
        </w:rPr>
        <w:t>* 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K</w:t>
      </w:r>
      <w:r>
        <w:rPr>
          <w:rFonts w:ascii="Arial" w:cs="Arial" w:eastAsia="Arial" w:hAnsi="Arial"/>
          <w:sz w:val="14"/>
          <w:szCs w:val="14"/>
          <w:color w:val="auto"/>
        </w:rPr>
        <w:t>IM</w:t>
      </w:r>
      <w:r>
        <w:rPr>
          <w:rFonts w:ascii="Arial" w:cs="Arial" w:eastAsia="Arial" w:hAnsi="Arial"/>
          <w:sz w:val="18"/>
          <w:szCs w:val="18"/>
          <w:color w:val="auto"/>
        </w:rPr>
        <w:t xml:space="preserve"> S</w:t>
      </w:r>
      <w:r>
        <w:rPr>
          <w:rFonts w:ascii="Arial" w:cs="Arial" w:eastAsia="Arial" w:hAnsi="Arial"/>
          <w:sz w:val="14"/>
          <w:szCs w:val="14"/>
          <w:color w:val="auto"/>
        </w:rPr>
        <w:t>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10795</wp:posOffset>
            </wp:positionV>
            <wp:extent cx="2487295"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2" w:lineRule="exact"/>
        <w:rPr>
          <w:sz w:val="20"/>
          <w:szCs w:val="20"/>
          <w:color w:val="auto"/>
        </w:rPr>
      </w:pPr>
    </w:p>
    <w:p>
      <w:pPr>
        <w:jc w:val="center"/>
        <w:ind w:left="700"/>
        <w:spacing w:after="0"/>
        <w:rPr>
          <w:sz w:val="20"/>
          <w:szCs w:val="20"/>
          <w:color w:val="auto"/>
        </w:rPr>
      </w:pPr>
      <w:r>
        <w:rPr>
          <w:rFonts w:ascii="Arial" w:cs="Arial" w:eastAsia="Arial" w:hAnsi="Arial"/>
          <w:sz w:val="14"/>
          <w:szCs w:val="14"/>
          <w:b w:val="1"/>
          <w:bCs w:val="1"/>
          <w:color w:val="auto"/>
        </w:rPr>
        <w:t>Kim Sinatra</w:t>
      </w:r>
    </w:p>
    <w:p>
      <w:pPr>
        <w:spacing w:after="0" w:line="1" w:lineRule="exact"/>
        <w:rPr>
          <w:sz w:val="20"/>
          <w:szCs w:val="20"/>
          <w:color w:val="auto"/>
        </w:rPr>
      </w:pPr>
    </w:p>
    <w:p>
      <w:pPr>
        <w:jc w:val="center"/>
        <w:ind w:left="700"/>
        <w:spacing w:after="0"/>
        <w:rPr>
          <w:sz w:val="20"/>
          <w:szCs w:val="20"/>
          <w:color w:val="auto"/>
        </w:rPr>
      </w:pPr>
      <w:r>
        <w:rPr>
          <w:rFonts w:ascii="Arial" w:cs="Arial" w:eastAsia="Arial" w:hAnsi="Arial"/>
          <w:sz w:val="14"/>
          <w:szCs w:val="14"/>
          <w:b w:val="1"/>
          <w:bCs w:val="1"/>
          <w:color w:val="auto"/>
        </w:rPr>
        <w:t>Attroney-in-fact</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4100" w:type="dxa"/>
            <w:vAlign w:val="bottom"/>
          </w:tcPr>
          <w:p>
            <w:pPr>
              <w:spacing w:after="0"/>
              <w:rPr>
                <w:sz w:val="20"/>
                <w:szCs w:val="20"/>
                <w:color w:val="auto"/>
              </w:rPr>
            </w:pPr>
            <w:r>
              <w:rPr>
                <w:rFonts w:ascii="Arial" w:cs="Arial" w:eastAsia="Arial" w:hAnsi="Arial"/>
                <w:sz w:val="18"/>
                <w:szCs w:val="18"/>
                <w:color w:val="auto"/>
              </w:rPr>
              <w:t>Director</w:t>
            </w:r>
          </w:p>
        </w:tc>
        <w:tc>
          <w:tcPr>
            <w:tcW w:w="1480" w:type="dxa"/>
            <w:vAlign w:val="bottom"/>
          </w:tcPr>
          <w:p>
            <w:pPr>
              <w:ind w:left="580"/>
              <w:spacing w:after="0"/>
              <w:rPr>
                <w:sz w:val="20"/>
                <w:szCs w:val="20"/>
                <w:color w:val="auto"/>
              </w:rPr>
            </w:pPr>
            <w:r>
              <w:rPr>
                <w:rFonts w:ascii="Arial" w:cs="Arial" w:eastAsia="Arial" w:hAnsi="Arial"/>
                <w:sz w:val="18"/>
                <w:szCs w:val="18"/>
                <w:color w:val="auto"/>
                <w:w w:val="88"/>
              </w:rPr>
              <w:t>May 5, 2010</w:t>
            </w:r>
          </w:p>
        </w:tc>
      </w:tr>
      <w:tr>
        <w:trPr>
          <w:trHeight w:val="608"/>
        </w:trPr>
        <w:tc>
          <w:tcPr>
            <w:tcW w:w="4100" w:type="dxa"/>
            <w:vAlign w:val="bottom"/>
          </w:tcPr>
          <w:p>
            <w:pPr>
              <w:spacing w:after="0"/>
              <w:rPr>
                <w:sz w:val="20"/>
                <w:szCs w:val="20"/>
                <w:color w:val="auto"/>
              </w:rPr>
            </w:pPr>
            <w:r>
              <w:rPr>
                <w:rFonts w:ascii="Arial" w:cs="Arial" w:eastAsia="Arial" w:hAnsi="Arial"/>
                <w:sz w:val="18"/>
                <w:szCs w:val="18"/>
                <w:color w:val="auto"/>
              </w:rPr>
              <w:t>Director</w:t>
            </w:r>
          </w:p>
        </w:tc>
        <w:tc>
          <w:tcPr>
            <w:tcW w:w="1480" w:type="dxa"/>
            <w:vAlign w:val="bottom"/>
          </w:tcPr>
          <w:p>
            <w:pPr>
              <w:ind w:left="580"/>
              <w:spacing w:after="0"/>
              <w:rPr>
                <w:sz w:val="20"/>
                <w:szCs w:val="20"/>
                <w:color w:val="auto"/>
              </w:rPr>
            </w:pPr>
            <w:r>
              <w:rPr>
                <w:rFonts w:ascii="Arial" w:cs="Arial" w:eastAsia="Arial" w:hAnsi="Arial"/>
                <w:sz w:val="18"/>
                <w:szCs w:val="18"/>
                <w:color w:val="auto"/>
                <w:w w:val="88"/>
              </w:rPr>
              <w:t>May 5, 2010</w:t>
            </w:r>
          </w:p>
        </w:tc>
      </w:tr>
      <w:tr>
        <w:trPr>
          <w:trHeight w:val="601"/>
        </w:trPr>
        <w:tc>
          <w:tcPr>
            <w:tcW w:w="4100" w:type="dxa"/>
            <w:vAlign w:val="bottom"/>
          </w:tcPr>
          <w:p>
            <w:pPr>
              <w:spacing w:after="0"/>
              <w:rPr>
                <w:sz w:val="20"/>
                <w:szCs w:val="20"/>
                <w:color w:val="auto"/>
              </w:rPr>
            </w:pPr>
            <w:r>
              <w:rPr>
                <w:rFonts w:ascii="Arial" w:cs="Arial" w:eastAsia="Arial" w:hAnsi="Arial"/>
                <w:sz w:val="18"/>
                <w:szCs w:val="18"/>
                <w:color w:val="auto"/>
              </w:rPr>
              <w:t>Chief Operating Officer and President (Principal</w:t>
            </w:r>
          </w:p>
        </w:tc>
        <w:tc>
          <w:tcPr>
            <w:tcW w:w="1480" w:type="dxa"/>
            <w:vAlign w:val="bottom"/>
          </w:tcPr>
          <w:p>
            <w:pPr>
              <w:ind w:left="580"/>
              <w:spacing w:after="0"/>
              <w:rPr>
                <w:sz w:val="20"/>
                <w:szCs w:val="20"/>
                <w:color w:val="auto"/>
              </w:rPr>
            </w:pPr>
            <w:r>
              <w:rPr>
                <w:rFonts w:ascii="Arial" w:cs="Arial" w:eastAsia="Arial" w:hAnsi="Arial"/>
                <w:sz w:val="18"/>
                <w:szCs w:val="18"/>
                <w:color w:val="auto"/>
                <w:w w:val="88"/>
              </w:rPr>
              <w:t>May 5, 2010</w:t>
            </w:r>
          </w:p>
        </w:tc>
      </w:tr>
      <w:tr>
        <w:trPr>
          <w:trHeight w:val="222"/>
        </w:trPr>
        <w:tc>
          <w:tcPr>
            <w:tcW w:w="4100" w:type="dxa"/>
            <w:vAlign w:val="bottom"/>
          </w:tcPr>
          <w:p>
            <w:pPr>
              <w:ind w:left="220"/>
              <w:spacing w:after="0"/>
              <w:rPr>
                <w:sz w:val="20"/>
                <w:szCs w:val="20"/>
                <w:color w:val="auto"/>
              </w:rPr>
            </w:pPr>
            <w:r>
              <w:rPr>
                <w:rFonts w:ascii="Arial" w:cs="Arial" w:eastAsia="Arial" w:hAnsi="Arial"/>
                <w:sz w:val="18"/>
                <w:szCs w:val="18"/>
                <w:color w:val="auto"/>
              </w:rPr>
              <w:t>Executive Officer)</w:t>
            </w:r>
          </w:p>
        </w:tc>
        <w:tc>
          <w:tcPr>
            <w:tcW w:w="1480" w:type="dxa"/>
            <w:vAlign w:val="bottom"/>
          </w:tcPr>
          <w:p>
            <w:pPr>
              <w:spacing w:after="0"/>
              <w:rPr>
                <w:sz w:val="19"/>
                <w:szCs w:val="19"/>
                <w:color w:val="auto"/>
              </w:rPr>
            </w:pPr>
          </w:p>
        </w:tc>
      </w:tr>
      <w:tr>
        <w:trPr>
          <w:trHeight w:val="426"/>
        </w:trPr>
        <w:tc>
          <w:tcPr>
            <w:tcW w:w="410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c>
          <w:tcPr>
            <w:tcW w:w="1480" w:type="dxa"/>
            <w:vAlign w:val="bottom"/>
          </w:tcPr>
          <w:p>
            <w:pPr>
              <w:ind w:left="580"/>
              <w:spacing w:after="0"/>
              <w:rPr>
                <w:sz w:val="20"/>
                <w:szCs w:val="20"/>
                <w:color w:val="auto"/>
              </w:rPr>
            </w:pPr>
            <w:r>
              <w:rPr>
                <w:rFonts w:ascii="Arial" w:cs="Arial" w:eastAsia="Arial" w:hAnsi="Arial"/>
                <w:sz w:val="18"/>
                <w:szCs w:val="18"/>
                <w:color w:val="auto"/>
                <w:w w:val="88"/>
              </w:rPr>
              <w:t>May 5, 2010</w:t>
            </w:r>
          </w:p>
        </w:tc>
      </w:tr>
      <w:tr>
        <w:trPr>
          <w:trHeight w:val="222"/>
        </w:trPr>
        <w:tc>
          <w:tcPr>
            <w:tcW w:w="4100" w:type="dxa"/>
            <w:vAlign w:val="bottom"/>
          </w:tcPr>
          <w:p>
            <w:pPr>
              <w:ind w:left="220"/>
              <w:spacing w:after="0"/>
              <w:rPr>
                <w:sz w:val="20"/>
                <w:szCs w:val="20"/>
                <w:color w:val="auto"/>
              </w:rPr>
            </w:pPr>
            <w:r>
              <w:rPr>
                <w:rFonts w:ascii="Arial" w:cs="Arial" w:eastAsia="Arial" w:hAnsi="Arial"/>
                <w:sz w:val="18"/>
                <w:szCs w:val="18"/>
                <w:color w:val="auto"/>
              </w:rPr>
              <w:t>(Principal Financial and Accounting Officer)</w:t>
            </w:r>
          </w:p>
        </w:tc>
        <w:tc>
          <w:tcPr>
            <w:tcW w:w="14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II-19</w:t>
      </w:r>
    </w:p>
    <w:p>
      <w:pPr>
        <w:sectPr>
          <w:pgSz w:w="11900" w:h="16838" w:orient="portrait"/>
          <w:cols w:equalWidth="0" w:num="2">
            <w:col w:w="4540" w:space="720"/>
            <w:col w:w="5580"/>
          </w:cols>
          <w:pgMar w:left="240" w:top="459" w:right="819" w:bottom="1440" w:gutter="0" w:footer="0" w:header="0"/>
          <w:type w:val="continuous"/>
        </w:sectPr>
      </w:pPr>
    </w:p>
    <w:bookmarkStart w:id="315" w:name="page316"/>
    <w:bookmarkEnd w:id="3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Las Vegas, State of Nevada, on May 5, 2010.</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SUNRISE, LLC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LAS VEGAS, LLC,</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RESORTS HOLDINGS, LLC,</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RESORTS, LIMITED,</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48"/>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tc>
      </w:tr>
      <w:tr>
        <w:trPr>
          <w:trHeight w:val="143"/>
        </w:trPr>
        <w:tc>
          <w:tcPr>
            <w:tcW w:w="540" w:type="dxa"/>
            <w:vAlign w:val="bottom"/>
          </w:tcPr>
          <w:p>
            <w:pPr>
              <w:spacing w:after="0" w:line="143" w:lineRule="exact"/>
              <w:rPr>
                <w:sz w:val="20"/>
                <w:szCs w:val="20"/>
                <w:color w:val="auto"/>
              </w:rPr>
            </w:pPr>
            <w:r>
              <w:rPr>
                <w:rFonts w:ascii="Arial" w:cs="Arial" w:eastAsia="Arial" w:hAnsi="Arial"/>
                <w:sz w:val="14"/>
                <w:szCs w:val="14"/>
                <w:b w:val="1"/>
                <w:bCs w:val="1"/>
                <w:color w:val="auto"/>
              </w:rPr>
              <w:t>Name:</w:t>
            </w:r>
          </w:p>
        </w:tc>
        <w:tc>
          <w:tcPr>
            <w:tcW w:w="4020" w:type="dxa"/>
            <w:vAlign w:val="bottom"/>
          </w:tcPr>
          <w:p>
            <w:pPr>
              <w:ind w:left="1620"/>
              <w:spacing w:after="0" w:line="143" w:lineRule="exact"/>
              <w:rPr>
                <w:sz w:val="20"/>
                <w:szCs w:val="20"/>
                <w:color w:val="auto"/>
              </w:rPr>
            </w:pPr>
            <w:r>
              <w:rPr>
                <w:rFonts w:ascii="Arial" w:cs="Arial" w:eastAsia="Arial" w:hAnsi="Arial"/>
                <w:sz w:val="14"/>
                <w:szCs w:val="14"/>
                <w:b w:val="1"/>
                <w:bCs w:val="1"/>
                <w:color w:val="auto"/>
              </w:rPr>
              <w:t>Matt Maddox</w:t>
            </w:r>
          </w:p>
        </w:tc>
      </w:tr>
      <w:tr>
        <w:trPr>
          <w:trHeight w:val="174"/>
        </w:trPr>
        <w:tc>
          <w:tcPr>
            <w:tcW w:w="54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020" w:type="dxa"/>
            <w:vAlign w:val="bottom"/>
          </w:tcPr>
          <w:p>
            <w:pPr>
              <w:ind w:left="920"/>
              <w:spacing w:after="0"/>
              <w:rPr>
                <w:sz w:val="20"/>
                <w:szCs w:val="20"/>
                <w:color w:val="auto"/>
              </w:rPr>
            </w:pPr>
            <w:r>
              <w:rPr>
                <w:rFonts w:ascii="Arial" w:cs="Arial" w:eastAsia="Arial" w:hAnsi="Arial"/>
                <w:sz w:val="14"/>
                <w:szCs w:val="14"/>
                <w:b w:val="1"/>
                <w:bCs w:val="1"/>
                <w:color w:val="auto"/>
              </w:rPr>
              <w:t>Chief Financial Officer and Treasurer</w:t>
            </w:r>
          </w:p>
        </w:tc>
      </w:tr>
    </w:tbl>
    <w:p>
      <w:pPr>
        <w:spacing w:after="0" w:line="14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8" w:lineRule="exact"/>
        <w:rPr>
          <w:sz w:val="20"/>
          <w:szCs w:val="20"/>
          <w:color w:val="auto"/>
        </w:rPr>
      </w:pPr>
    </w:p>
    <w:p>
      <w:pPr>
        <w:ind w:left="2240"/>
        <w:spacing w:after="0"/>
        <w:tabs>
          <w:tab w:leader="none" w:pos="7060" w:val="left"/>
          <w:tab w:leader="none" w:pos="102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Chairman of the Board</w:t>
            </w:r>
          </w:p>
        </w:tc>
        <w:tc>
          <w:tcPr>
            <w:tcW w:w="2240" w:type="dxa"/>
            <w:vAlign w:val="bottom"/>
          </w:tcPr>
          <w:p>
            <w:pPr>
              <w:ind w:left="1340"/>
              <w:spacing w:after="0"/>
              <w:rPr>
                <w:sz w:val="20"/>
                <w:szCs w:val="20"/>
                <w:color w:val="auto"/>
              </w:rPr>
            </w:pPr>
            <w:r>
              <w:rPr>
                <w:rFonts w:ascii="Arial" w:cs="Arial" w:eastAsia="Arial" w:hAnsi="Arial"/>
                <w:sz w:val="18"/>
                <w:szCs w:val="18"/>
                <w:color w:val="auto"/>
                <w:w w:val="88"/>
              </w:rPr>
              <w:t>May 5,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6"/>
              </w:rPr>
              <w:t>Stephen A. Wynn</w:t>
            </w:r>
          </w:p>
        </w:tc>
        <w:tc>
          <w:tcPr>
            <w:tcW w:w="356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spacing w:after="0"/>
              <w:rPr>
                <w:sz w:val="24"/>
                <w:szCs w:val="24"/>
                <w:color w:val="auto"/>
              </w:rPr>
            </w:pPr>
          </w:p>
        </w:tc>
        <w:tc>
          <w:tcPr>
            <w:tcW w:w="3560" w:type="dxa"/>
            <w:vAlign w:val="bottom"/>
          </w:tcPr>
          <w:p>
            <w:pPr>
              <w:ind w:left="220"/>
              <w:spacing w:after="0"/>
              <w:rPr>
                <w:sz w:val="20"/>
                <w:szCs w:val="20"/>
                <w:color w:val="auto"/>
              </w:rPr>
            </w:pPr>
            <w:r>
              <w:rPr>
                <w:rFonts w:ascii="Arial" w:cs="Arial" w:eastAsia="Arial" w:hAnsi="Arial"/>
                <w:sz w:val="18"/>
                <w:szCs w:val="18"/>
                <w:color w:val="auto"/>
              </w:rPr>
              <w:t>Vice Chairman of the Board</w:t>
            </w:r>
          </w:p>
        </w:tc>
        <w:tc>
          <w:tcPr>
            <w:tcW w:w="2240" w:type="dxa"/>
            <w:vAlign w:val="bottom"/>
          </w:tcPr>
          <w:p>
            <w:pPr>
              <w:spacing w:after="0"/>
              <w:rPr>
                <w:sz w:val="24"/>
                <w:szCs w:val="24"/>
                <w:color w:val="auto"/>
              </w:rPr>
            </w:pP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Kazuo Okada</w:t>
            </w:r>
          </w:p>
        </w:tc>
        <w:tc>
          <w:tcPr>
            <w:tcW w:w="356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40" w:type="dxa"/>
            <w:vAlign w:val="bottom"/>
          </w:tcPr>
          <w:p>
            <w:pPr>
              <w:ind w:left="1340"/>
              <w:spacing w:after="0"/>
              <w:rPr>
                <w:sz w:val="20"/>
                <w:szCs w:val="20"/>
                <w:color w:val="auto"/>
              </w:rPr>
            </w:pPr>
            <w:r>
              <w:rPr>
                <w:rFonts w:ascii="Arial" w:cs="Arial" w:eastAsia="Arial" w:hAnsi="Arial"/>
                <w:sz w:val="18"/>
                <w:szCs w:val="18"/>
                <w:color w:val="auto"/>
                <w:w w:val="88"/>
              </w:rPr>
              <w:t>May 5,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9"/>
              </w:rPr>
              <w:t>Linda Chen</w:t>
            </w:r>
          </w:p>
        </w:tc>
        <w:tc>
          <w:tcPr>
            <w:tcW w:w="356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40" w:type="dxa"/>
            <w:vAlign w:val="bottom"/>
          </w:tcPr>
          <w:p>
            <w:pPr>
              <w:ind w:left="1340"/>
              <w:spacing w:after="0"/>
              <w:rPr>
                <w:sz w:val="20"/>
                <w:szCs w:val="20"/>
                <w:color w:val="auto"/>
              </w:rPr>
            </w:pPr>
            <w:r>
              <w:rPr>
                <w:rFonts w:ascii="Arial" w:cs="Arial" w:eastAsia="Arial" w:hAnsi="Arial"/>
                <w:sz w:val="18"/>
                <w:szCs w:val="18"/>
                <w:color w:val="auto"/>
                <w:w w:val="88"/>
              </w:rPr>
              <w:t>May 5,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4"/>
              </w:rPr>
              <w:t>Russell Goldsmith</w:t>
            </w:r>
          </w:p>
        </w:tc>
        <w:tc>
          <w:tcPr>
            <w:tcW w:w="356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40" w:type="dxa"/>
            <w:vAlign w:val="bottom"/>
          </w:tcPr>
          <w:p>
            <w:pPr>
              <w:ind w:left="1340"/>
              <w:spacing w:after="0"/>
              <w:rPr>
                <w:sz w:val="20"/>
                <w:szCs w:val="20"/>
                <w:color w:val="auto"/>
              </w:rPr>
            </w:pPr>
            <w:r>
              <w:rPr>
                <w:rFonts w:ascii="Arial" w:cs="Arial" w:eastAsia="Arial" w:hAnsi="Arial"/>
                <w:sz w:val="18"/>
                <w:szCs w:val="18"/>
                <w:color w:val="auto"/>
                <w:w w:val="88"/>
              </w:rPr>
              <w:t>May 5,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1"/>
              </w:rPr>
              <w:t>Dr. Ray R. Irani</w:t>
            </w:r>
          </w:p>
        </w:tc>
        <w:tc>
          <w:tcPr>
            <w:tcW w:w="356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40" w:type="dxa"/>
            <w:vAlign w:val="bottom"/>
          </w:tcPr>
          <w:p>
            <w:pPr>
              <w:ind w:left="1340"/>
              <w:spacing w:after="0"/>
              <w:rPr>
                <w:sz w:val="20"/>
                <w:szCs w:val="20"/>
                <w:color w:val="auto"/>
              </w:rPr>
            </w:pPr>
            <w:r>
              <w:rPr>
                <w:rFonts w:ascii="Arial" w:cs="Arial" w:eastAsia="Arial" w:hAnsi="Arial"/>
                <w:sz w:val="18"/>
                <w:szCs w:val="18"/>
                <w:color w:val="auto"/>
                <w:w w:val="88"/>
              </w:rPr>
              <w:t>May 5,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Robert J. Miller</w:t>
            </w:r>
          </w:p>
        </w:tc>
        <w:tc>
          <w:tcPr>
            <w:tcW w:w="356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40" w:type="dxa"/>
            <w:vAlign w:val="bottom"/>
          </w:tcPr>
          <w:p>
            <w:pPr>
              <w:ind w:left="1340"/>
              <w:spacing w:after="0"/>
              <w:rPr>
                <w:sz w:val="20"/>
                <w:szCs w:val="20"/>
                <w:color w:val="auto"/>
              </w:rPr>
            </w:pPr>
            <w:r>
              <w:rPr>
                <w:rFonts w:ascii="Arial" w:cs="Arial" w:eastAsia="Arial" w:hAnsi="Arial"/>
                <w:sz w:val="18"/>
                <w:szCs w:val="18"/>
                <w:color w:val="auto"/>
                <w:w w:val="88"/>
              </w:rPr>
              <w:t>May 5,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John A. Moran</w:t>
            </w:r>
          </w:p>
        </w:tc>
        <w:tc>
          <w:tcPr>
            <w:tcW w:w="356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40" w:type="dxa"/>
            <w:vAlign w:val="bottom"/>
          </w:tcPr>
          <w:p>
            <w:pPr>
              <w:ind w:left="1340"/>
              <w:spacing w:after="0"/>
              <w:rPr>
                <w:sz w:val="20"/>
                <w:szCs w:val="20"/>
                <w:color w:val="auto"/>
              </w:rPr>
            </w:pPr>
            <w:r>
              <w:rPr>
                <w:rFonts w:ascii="Arial" w:cs="Arial" w:eastAsia="Arial" w:hAnsi="Arial"/>
                <w:sz w:val="18"/>
                <w:szCs w:val="18"/>
                <w:color w:val="auto"/>
                <w:w w:val="88"/>
              </w:rPr>
              <w:t>May 5,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8"/>
              </w:rPr>
              <w:t>Alvin V. Shoemaker</w:t>
            </w:r>
          </w:p>
        </w:tc>
        <w:tc>
          <w:tcPr>
            <w:tcW w:w="356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40" w:type="dxa"/>
            <w:vAlign w:val="bottom"/>
          </w:tcPr>
          <w:p>
            <w:pPr>
              <w:ind w:left="1340"/>
              <w:spacing w:after="0"/>
              <w:rPr>
                <w:sz w:val="20"/>
                <w:szCs w:val="20"/>
                <w:color w:val="auto"/>
              </w:rPr>
            </w:pPr>
            <w:r>
              <w:rPr>
                <w:rFonts w:ascii="Arial" w:cs="Arial" w:eastAsia="Arial" w:hAnsi="Arial"/>
                <w:sz w:val="18"/>
                <w:szCs w:val="18"/>
                <w:color w:val="auto"/>
                <w:w w:val="88"/>
              </w:rPr>
              <w:t>May 5,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3"/>
              </w:rPr>
              <w:t>D. Boone Wayson</w:t>
            </w:r>
          </w:p>
        </w:tc>
        <w:tc>
          <w:tcPr>
            <w:tcW w:w="356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350"/>
        </w:trPr>
        <w:tc>
          <w:tcPr>
            <w:tcW w:w="5040" w:type="dxa"/>
            <w:vAlign w:val="bottom"/>
          </w:tcPr>
          <w:p>
            <w:pPr>
              <w:spacing w:after="0"/>
              <w:rPr>
                <w:sz w:val="24"/>
                <w:szCs w:val="24"/>
                <w:color w:val="auto"/>
              </w:rPr>
            </w:pPr>
          </w:p>
        </w:tc>
        <w:tc>
          <w:tcPr>
            <w:tcW w:w="3560" w:type="dxa"/>
            <w:vAlign w:val="bottom"/>
          </w:tcPr>
          <w:p>
            <w:pPr>
              <w:ind w:left="500"/>
              <w:spacing w:after="0"/>
              <w:rPr>
                <w:sz w:val="20"/>
                <w:szCs w:val="20"/>
                <w:color w:val="auto"/>
              </w:rPr>
            </w:pPr>
            <w:r>
              <w:rPr>
                <w:rFonts w:ascii="Arial" w:cs="Arial" w:eastAsia="Arial" w:hAnsi="Arial"/>
                <w:sz w:val="18"/>
                <w:szCs w:val="18"/>
                <w:color w:val="auto"/>
              </w:rPr>
              <w:t>II-20</w:t>
            </w:r>
          </w:p>
        </w:tc>
        <w:tc>
          <w:tcPr>
            <w:tcW w:w="22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16" w:name="page317"/>
    <w:bookmarkEnd w:id="3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both"/>
        <w:ind w:left="2240"/>
        <w:spacing w:after="0"/>
        <w:tabs>
          <w:tab w:leader="none" w:pos="7060" w:val="left"/>
          <w:tab w:leader="none" w:pos="102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ectPr>
          <w:pgSz w:w="11900" w:h="16838" w:orient="portrait"/>
          <w:cols w:equalWidth="0" w:num="1">
            <w:col w:w="10840"/>
          </w:cols>
          <w:pgMar w:left="240" w:top="460" w:right="819" w:bottom="1440" w:gutter="0" w:footer="0" w:header="0"/>
        </w:sectPr>
      </w:pPr>
    </w:p>
    <w:p>
      <w:pPr>
        <w:spacing w:after="0" w:line="222"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jc w:val="center"/>
        <w:ind w:left="500"/>
        <w:spacing w:after="0"/>
        <w:rPr>
          <w:sz w:val="20"/>
          <w:szCs w:val="20"/>
          <w:color w:val="auto"/>
        </w:rPr>
      </w:pPr>
      <w:r>
        <w:rPr>
          <w:rFonts w:ascii="Arial" w:cs="Arial" w:eastAsia="Arial" w:hAnsi="Arial"/>
          <w:sz w:val="14"/>
          <w:szCs w:val="14"/>
          <w:b w:val="1"/>
          <w:bCs w:val="1"/>
          <w:color w:val="auto"/>
        </w:rPr>
        <w:t>Elaine P. Wynn</w:t>
      </w:r>
    </w:p>
    <w:p>
      <w:pPr>
        <w:spacing w:after="0" w:line="222"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jc w:val="center"/>
        <w:ind w:left="500"/>
        <w:spacing w:after="0"/>
        <w:rPr>
          <w:sz w:val="20"/>
          <w:szCs w:val="20"/>
          <w:color w:val="auto"/>
        </w:rPr>
      </w:pPr>
      <w:r>
        <w:rPr>
          <w:rFonts w:ascii="Arial" w:cs="Arial" w:eastAsia="Arial" w:hAnsi="Arial"/>
          <w:sz w:val="14"/>
          <w:szCs w:val="14"/>
          <w:b w:val="1"/>
          <w:bCs w:val="1"/>
          <w:color w:val="auto"/>
        </w:rPr>
        <w:t>Allan Zeman</w:t>
      </w:r>
    </w:p>
    <w:p>
      <w:pPr>
        <w:spacing w:after="0" w:line="222" w:lineRule="exact"/>
        <w:rPr>
          <w:sz w:val="20"/>
          <w:szCs w:val="20"/>
          <w:color w:val="auto"/>
        </w:rPr>
      </w:pPr>
    </w:p>
    <w:p>
      <w:pPr>
        <w:jc w:val="right"/>
        <w:ind w:right="1340"/>
        <w:spacing w:after="0"/>
        <w:tabs>
          <w:tab w:leader="none" w:pos="262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A</w:t>
      </w:r>
      <w:r>
        <w:rPr>
          <w:rFonts w:ascii="Arial" w:cs="Arial" w:eastAsia="Arial" w:hAnsi="Arial"/>
          <w:sz w:val="14"/>
          <w:szCs w:val="14"/>
          <w:color w:val="auto"/>
        </w:rPr>
        <w:t>NDREW</w:t>
      </w:r>
      <w:r>
        <w:rPr>
          <w:rFonts w:ascii="Arial" w:cs="Arial" w:eastAsia="Arial" w:hAnsi="Arial"/>
          <w:sz w:val="18"/>
          <w:szCs w:val="18"/>
          <w:color w:val="auto"/>
        </w:rPr>
        <w:t xml:space="preserve"> P</w:t>
      </w:r>
      <w:r>
        <w:rPr>
          <w:rFonts w:ascii="Arial" w:cs="Arial" w:eastAsia="Arial" w:hAnsi="Arial"/>
          <w:sz w:val="14"/>
          <w:szCs w:val="14"/>
          <w:color w:val="auto"/>
        </w:rPr>
        <w:t>ASCAL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jc w:val="center"/>
        <w:ind w:left="500"/>
        <w:spacing w:after="0"/>
        <w:rPr>
          <w:sz w:val="20"/>
          <w:szCs w:val="20"/>
          <w:color w:val="auto"/>
        </w:rPr>
      </w:pPr>
      <w:r>
        <w:rPr>
          <w:rFonts w:ascii="Arial" w:cs="Arial" w:eastAsia="Arial" w:hAnsi="Arial"/>
          <w:sz w:val="14"/>
          <w:szCs w:val="14"/>
          <w:b w:val="1"/>
          <w:bCs w:val="1"/>
          <w:color w:val="auto"/>
        </w:rPr>
        <w:t>Andrew Pascal</w:t>
      </w:r>
    </w:p>
    <w:p>
      <w:pPr>
        <w:spacing w:after="0" w:line="262" w:lineRule="exact"/>
        <w:rPr>
          <w:sz w:val="20"/>
          <w:szCs w:val="20"/>
          <w:color w:val="auto"/>
        </w:rPr>
      </w:pPr>
    </w:p>
    <w:p>
      <w:pPr>
        <w:ind w:left="1560"/>
        <w:spacing w:after="0"/>
        <w:tabs>
          <w:tab w:leader="none" w:pos="19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COTT</w:t>
      </w:r>
      <w:r>
        <w:rPr>
          <w:rFonts w:ascii="Arial" w:cs="Arial" w:eastAsia="Arial" w:hAnsi="Arial"/>
          <w:sz w:val="16"/>
          <w:szCs w:val="16"/>
          <w:color w:val="auto"/>
        </w:rPr>
        <w:t xml:space="preserve"> P</w:t>
      </w:r>
      <w:r>
        <w:rPr>
          <w:rFonts w:ascii="Arial" w:cs="Arial" w:eastAsia="Arial" w:hAnsi="Arial"/>
          <w:sz w:val="13"/>
          <w:szCs w:val="13"/>
          <w:color w:val="auto"/>
        </w:rPr>
        <w:t>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jc w:val="center"/>
        <w:ind w:left="500"/>
        <w:spacing w:after="0"/>
        <w:rPr>
          <w:sz w:val="20"/>
          <w:szCs w:val="20"/>
          <w:color w:val="auto"/>
        </w:rPr>
      </w:pPr>
      <w:r>
        <w:rPr>
          <w:rFonts w:ascii="Arial" w:cs="Arial" w:eastAsia="Arial" w:hAnsi="Arial"/>
          <w:sz w:val="14"/>
          <w:szCs w:val="14"/>
          <w:b w:val="1"/>
          <w:bCs w:val="1"/>
          <w:color w:val="auto"/>
        </w:rPr>
        <w:t>Scott Peterson</w:t>
      </w:r>
    </w:p>
    <w:p>
      <w:pPr>
        <w:spacing w:after="0" w:line="249" w:lineRule="exact"/>
        <w:rPr>
          <w:sz w:val="20"/>
          <w:szCs w:val="20"/>
          <w:color w:val="auto"/>
        </w:rPr>
      </w:pPr>
    </w:p>
    <w:p>
      <w:pPr>
        <w:spacing w:after="0"/>
        <w:tabs>
          <w:tab w:leader="none" w:pos="1760" w:val="left"/>
          <w:tab w:leader="none" w:pos="2120" w:val="left"/>
        </w:tabs>
        <w:rPr>
          <w:sz w:val="20"/>
          <w:szCs w:val="20"/>
          <w:color w:val="auto"/>
        </w:rPr>
      </w:pPr>
      <w:r>
        <w:rPr>
          <w:rFonts w:ascii="Arial" w:cs="Arial" w:eastAsia="Arial" w:hAnsi="Arial"/>
          <w:sz w:val="18"/>
          <w:szCs w:val="18"/>
          <w:color w:val="auto"/>
        </w:rPr>
        <w:t>* 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K</w:t>
      </w:r>
      <w:r>
        <w:rPr>
          <w:rFonts w:ascii="Arial" w:cs="Arial" w:eastAsia="Arial" w:hAnsi="Arial"/>
          <w:sz w:val="14"/>
          <w:szCs w:val="14"/>
          <w:color w:val="auto"/>
        </w:rPr>
        <w:t>IM</w:t>
      </w:r>
      <w:r>
        <w:rPr>
          <w:rFonts w:ascii="Arial" w:cs="Arial" w:eastAsia="Arial" w:hAnsi="Arial"/>
          <w:sz w:val="18"/>
          <w:szCs w:val="18"/>
          <w:color w:val="auto"/>
        </w:rPr>
        <w:t xml:space="preserve"> S</w:t>
      </w:r>
      <w:r>
        <w:rPr>
          <w:rFonts w:ascii="Arial" w:cs="Arial" w:eastAsia="Arial" w:hAnsi="Arial"/>
          <w:sz w:val="14"/>
          <w:szCs w:val="14"/>
          <w:color w:val="auto"/>
        </w:rPr>
        <w:t>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10795</wp:posOffset>
            </wp:positionV>
            <wp:extent cx="2521585"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2" w:lineRule="exact"/>
        <w:rPr>
          <w:sz w:val="20"/>
          <w:szCs w:val="20"/>
          <w:color w:val="auto"/>
        </w:rPr>
      </w:pPr>
    </w:p>
    <w:p>
      <w:pPr>
        <w:jc w:val="center"/>
        <w:ind w:left="640"/>
        <w:spacing w:after="0"/>
        <w:rPr>
          <w:sz w:val="20"/>
          <w:szCs w:val="20"/>
          <w:color w:val="auto"/>
        </w:rPr>
      </w:pPr>
      <w:r>
        <w:rPr>
          <w:rFonts w:ascii="Arial" w:cs="Arial" w:eastAsia="Arial" w:hAnsi="Arial"/>
          <w:sz w:val="14"/>
          <w:szCs w:val="14"/>
          <w:b w:val="1"/>
          <w:bCs w:val="1"/>
          <w:color w:val="auto"/>
        </w:rPr>
        <w:t>Kim Sinatra</w:t>
      </w:r>
    </w:p>
    <w:p>
      <w:pPr>
        <w:spacing w:after="0" w:line="1" w:lineRule="exact"/>
        <w:rPr>
          <w:sz w:val="20"/>
          <w:szCs w:val="20"/>
          <w:color w:val="auto"/>
        </w:rPr>
      </w:pPr>
    </w:p>
    <w:p>
      <w:pPr>
        <w:jc w:val="center"/>
        <w:ind w:left="640"/>
        <w:spacing w:after="0"/>
        <w:rPr>
          <w:sz w:val="20"/>
          <w:szCs w:val="20"/>
          <w:color w:val="auto"/>
        </w:rPr>
      </w:pPr>
      <w:r>
        <w:rPr>
          <w:rFonts w:ascii="Arial" w:cs="Arial" w:eastAsia="Arial" w:hAnsi="Arial"/>
          <w:sz w:val="14"/>
          <w:szCs w:val="14"/>
          <w:b w:val="1"/>
          <w:bCs w:val="1"/>
          <w:color w:val="auto"/>
        </w:rPr>
        <w:t>Attorney-in-fact</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4100" w:type="dxa"/>
            <w:vAlign w:val="bottom"/>
          </w:tcPr>
          <w:p>
            <w:pPr>
              <w:spacing w:after="0"/>
              <w:rPr>
                <w:sz w:val="20"/>
                <w:szCs w:val="20"/>
                <w:color w:val="auto"/>
              </w:rPr>
            </w:pPr>
            <w:r>
              <w:rPr>
                <w:rFonts w:ascii="Arial" w:cs="Arial" w:eastAsia="Arial" w:hAnsi="Arial"/>
                <w:sz w:val="18"/>
                <w:szCs w:val="18"/>
                <w:color w:val="auto"/>
              </w:rPr>
              <w:t>Director</w:t>
            </w:r>
          </w:p>
        </w:tc>
        <w:tc>
          <w:tcPr>
            <w:tcW w:w="1480" w:type="dxa"/>
            <w:vAlign w:val="bottom"/>
          </w:tcPr>
          <w:p>
            <w:pPr>
              <w:ind w:left="580"/>
              <w:spacing w:after="0"/>
              <w:rPr>
                <w:sz w:val="20"/>
                <w:szCs w:val="20"/>
                <w:color w:val="auto"/>
              </w:rPr>
            </w:pPr>
            <w:r>
              <w:rPr>
                <w:rFonts w:ascii="Arial" w:cs="Arial" w:eastAsia="Arial" w:hAnsi="Arial"/>
                <w:sz w:val="18"/>
                <w:szCs w:val="18"/>
                <w:color w:val="auto"/>
                <w:w w:val="88"/>
              </w:rPr>
              <w:t>May 5, 2010</w:t>
            </w:r>
          </w:p>
        </w:tc>
      </w:tr>
      <w:tr>
        <w:trPr>
          <w:trHeight w:val="608"/>
        </w:trPr>
        <w:tc>
          <w:tcPr>
            <w:tcW w:w="4100" w:type="dxa"/>
            <w:vAlign w:val="bottom"/>
          </w:tcPr>
          <w:p>
            <w:pPr>
              <w:spacing w:after="0"/>
              <w:rPr>
                <w:sz w:val="20"/>
                <w:szCs w:val="20"/>
                <w:color w:val="auto"/>
              </w:rPr>
            </w:pPr>
            <w:r>
              <w:rPr>
                <w:rFonts w:ascii="Arial" w:cs="Arial" w:eastAsia="Arial" w:hAnsi="Arial"/>
                <w:sz w:val="18"/>
                <w:szCs w:val="18"/>
                <w:color w:val="auto"/>
              </w:rPr>
              <w:t>Director</w:t>
            </w:r>
          </w:p>
        </w:tc>
        <w:tc>
          <w:tcPr>
            <w:tcW w:w="1480" w:type="dxa"/>
            <w:vAlign w:val="bottom"/>
          </w:tcPr>
          <w:p>
            <w:pPr>
              <w:ind w:left="580"/>
              <w:spacing w:after="0"/>
              <w:rPr>
                <w:sz w:val="20"/>
                <w:szCs w:val="20"/>
                <w:color w:val="auto"/>
              </w:rPr>
            </w:pPr>
            <w:r>
              <w:rPr>
                <w:rFonts w:ascii="Arial" w:cs="Arial" w:eastAsia="Arial" w:hAnsi="Arial"/>
                <w:sz w:val="18"/>
                <w:szCs w:val="18"/>
                <w:color w:val="auto"/>
                <w:w w:val="88"/>
              </w:rPr>
              <w:t>May 5, 2010</w:t>
            </w:r>
          </w:p>
        </w:tc>
      </w:tr>
      <w:tr>
        <w:trPr>
          <w:trHeight w:val="601"/>
        </w:trPr>
        <w:tc>
          <w:tcPr>
            <w:tcW w:w="4100" w:type="dxa"/>
            <w:vAlign w:val="bottom"/>
          </w:tcPr>
          <w:p>
            <w:pPr>
              <w:spacing w:after="0"/>
              <w:rPr>
                <w:sz w:val="20"/>
                <w:szCs w:val="20"/>
                <w:color w:val="auto"/>
              </w:rPr>
            </w:pPr>
            <w:r>
              <w:rPr>
                <w:rFonts w:ascii="Arial" w:cs="Arial" w:eastAsia="Arial" w:hAnsi="Arial"/>
                <w:sz w:val="18"/>
                <w:szCs w:val="18"/>
                <w:color w:val="auto"/>
              </w:rPr>
              <w:t>Chief Operating Officer and President (Principal</w:t>
            </w:r>
          </w:p>
        </w:tc>
        <w:tc>
          <w:tcPr>
            <w:tcW w:w="1480" w:type="dxa"/>
            <w:vAlign w:val="bottom"/>
          </w:tcPr>
          <w:p>
            <w:pPr>
              <w:ind w:left="580"/>
              <w:spacing w:after="0"/>
              <w:rPr>
                <w:sz w:val="20"/>
                <w:szCs w:val="20"/>
                <w:color w:val="auto"/>
              </w:rPr>
            </w:pPr>
            <w:r>
              <w:rPr>
                <w:rFonts w:ascii="Arial" w:cs="Arial" w:eastAsia="Arial" w:hAnsi="Arial"/>
                <w:sz w:val="18"/>
                <w:szCs w:val="18"/>
                <w:color w:val="auto"/>
                <w:w w:val="88"/>
              </w:rPr>
              <w:t>May 5, 2010</w:t>
            </w:r>
          </w:p>
        </w:tc>
      </w:tr>
      <w:tr>
        <w:trPr>
          <w:trHeight w:val="222"/>
        </w:trPr>
        <w:tc>
          <w:tcPr>
            <w:tcW w:w="4100" w:type="dxa"/>
            <w:vAlign w:val="bottom"/>
          </w:tcPr>
          <w:p>
            <w:pPr>
              <w:ind w:left="220"/>
              <w:spacing w:after="0"/>
              <w:rPr>
                <w:sz w:val="20"/>
                <w:szCs w:val="20"/>
                <w:color w:val="auto"/>
              </w:rPr>
            </w:pPr>
            <w:r>
              <w:rPr>
                <w:rFonts w:ascii="Arial" w:cs="Arial" w:eastAsia="Arial" w:hAnsi="Arial"/>
                <w:sz w:val="18"/>
                <w:szCs w:val="18"/>
                <w:color w:val="auto"/>
              </w:rPr>
              <w:t>Executive Officer)</w:t>
            </w:r>
          </w:p>
        </w:tc>
        <w:tc>
          <w:tcPr>
            <w:tcW w:w="1480" w:type="dxa"/>
            <w:vAlign w:val="bottom"/>
          </w:tcPr>
          <w:p>
            <w:pPr>
              <w:spacing w:after="0"/>
              <w:rPr>
                <w:sz w:val="19"/>
                <w:szCs w:val="19"/>
                <w:color w:val="auto"/>
              </w:rPr>
            </w:pPr>
          </w:p>
        </w:tc>
      </w:tr>
      <w:tr>
        <w:trPr>
          <w:trHeight w:val="426"/>
        </w:trPr>
        <w:tc>
          <w:tcPr>
            <w:tcW w:w="410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c>
          <w:tcPr>
            <w:tcW w:w="1480" w:type="dxa"/>
            <w:vAlign w:val="bottom"/>
          </w:tcPr>
          <w:p>
            <w:pPr>
              <w:ind w:left="580"/>
              <w:spacing w:after="0"/>
              <w:rPr>
                <w:sz w:val="20"/>
                <w:szCs w:val="20"/>
                <w:color w:val="auto"/>
              </w:rPr>
            </w:pPr>
            <w:r>
              <w:rPr>
                <w:rFonts w:ascii="Arial" w:cs="Arial" w:eastAsia="Arial" w:hAnsi="Arial"/>
                <w:sz w:val="18"/>
                <w:szCs w:val="18"/>
                <w:color w:val="auto"/>
                <w:w w:val="88"/>
              </w:rPr>
              <w:t>May 5, 2010</w:t>
            </w:r>
          </w:p>
        </w:tc>
      </w:tr>
      <w:tr>
        <w:trPr>
          <w:trHeight w:val="222"/>
        </w:trPr>
        <w:tc>
          <w:tcPr>
            <w:tcW w:w="4100" w:type="dxa"/>
            <w:vAlign w:val="bottom"/>
          </w:tcPr>
          <w:p>
            <w:pPr>
              <w:ind w:left="220"/>
              <w:spacing w:after="0"/>
              <w:rPr>
                <w:sz w:val="20"/>
                <w:szCs w:val="20"/>
                <w:color w:val="auto"/>
              </w:rPr>
            </w:pPr>
            <w:r>
              <w:rPr>
                <w:rFonts w:ascii="Arial" w:cs="Arial" w:eastAsia="Arial" w:hAnsi="Arial"/>
                <w:sz w:val="18"/>
                <w:szCs w:val="18"/>
                <w:color w:val="auto"/>
              </w:rPr>
              <w:t>(Principal Financial and Accounting Officer)</w:t>
            </w:r>
          </w:p>
        </w:tc>
        <w:tc>
          <w:tcPr>
            <w:tcW w:w="14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II-21</w:t>
      </w:r>
    </w:p>
    <w:p>
      <w:pPr>
        <w:sectPr>
          <w:pgSz w:w="11900" w:h="16838" w:orient="portrait"/>
          <w:cols w:equalWidth="0" w:num="2">
            <w:col w:w="4540" w:space="720"/>
            <w:col w:w="5580"/>
          </w:cols>
          <w:pgMar w:left="240" w:top="460" w:right="819" w:bottom="1440" w:gutter="0" w:footer="0" w:header="0"/>
          <w:type w:val="continuous"/>
        </w:sectPr>
      </w:pPr>
    </w:p>
    <w:bookmarkStart w:id="317" w:name="page318"/>
    <w:bookmarkEnd w:id="3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Las Vegas, State of Nevada, on May 5, 2010.</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SHOW PERFORMERS, LLC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LAS VEGAS, LLC,</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RESORTS HOLDINGS, LLC,</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RESORTS, LIMITED,</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48"/>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tc>
      </w:tr>
      <w:tr>
        <w:trPr>
          <w:trHeight w:val="143"/>
        </w:trPr>
        <w:tc>
          <w:tcPr>
            <w:tcW w:w="540" w:type="dxa"/>
            <w:vAlign w:val="bottom"/>
          </w:tcPr>
          <w:p>
            <w:pPr>
              <w:spacing w:after="0" w:line="143" w:lineRule="exact"/>
              <w:rPr>
                <w:sz w:val="20"/>
                <w:szCs w:val="20"/>
                <w:color w:val="auto"/>
              </w:rPr>
            </w:pPr>
            <w:r>
              <w:rPr>
                <w:rFonts w:ascii="Arial" w:cs="Arial" w:eastAsia="Arial" w:hAnsi="Arial"/>
                <w:sz w:val="14"/>
                <w:szCs w:val="14"/>
                <w:b w:val="1"/>
                <w:bCs w:val="1"/>
                <w:color w:val="auto"/>
              </w:rPr>
              <w:t>Name:</w:t>
            </w:r>
          </w:p>
        </w:tc>
        <w:tc>
          <w:tcPr>
            <w:tcW w:w="4020" w:type="dxa"/>
            <w:vAlign w:val="bottom"/>
          </w:tcPr>
          <w:p>
            <w:pPr>
              <w:ind w:left="1620"/>
              <w:spacing w:after="0" w:line="143" w:lineRule="exact"/>
              <w:rPr>
                <w:sz w:val="20"/>
                <w:szCs w:val="20"/>
                <w:color w:val="auto"/>
              </w:rPr>
            </w:pPr>
            <w:r>
              <w:rPr>
                <w:rFonts w:ascii="Arial" w:cs="Arial" w:eastAsia="Arial" w:hAnsi="Arial"/>
                <w:sz w:val="14"/>
                <w:szCs w:val="14"/>
                <w:b w:val="1"/>
                <w:bCs w:val="1"/>
                <w:color w:val="auto"/>
              </w:rPr>
              <w:t>Matt Maddox</w:t>
            </w:r>
          </w:p>
        </w:tc>
      </w:tr>
      <w:tr>
        <w:trPr>
          <w:trHeight w:val="174"/>
        </w:trPr>
        <w:tc>
          <w:tcPr>
            <w:tcW w:w="54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020" w:type="dxa"/>
            <w:vAlign w:val="bottom"/>
          </w:tcPr>
          <w:p>
            <w:pPr>
              <w:ind w:left="920"/>
              <w:spacing w:after="0"/>
              <w:rPr>
                <w:sz w:val="20"/>
                <w:szCs w:val="20"/>
                <w:color w:val="auto"/>
              </w:rPr>
            </w:pPr>
            <w:r>
              <w:rPr>
                <w:rFonts w:ascii="Arial" w:cs="Arial" w:eastAsia="Arial" w:hAnsi="Arial"/>
                <w:sz w:val="14"/>
                <w:szCs w:val="14"/>
                <w:b w:val="1"/>
                <w:bCs w:val="1"/>
                <w:color w:val="auto"/>
              </w:rPr>
              <w:t>Chief Financial Officer and Treasurer</w:t>
            </w:r>
          </w:p>
        </w:tc>
      </w:tr>
    </w:tbl>
    <w:p>
      <w:pPr>
        <w:spacing w:after="0" w:line="14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8" w:lineRule="exact"/>
        <w:rPr>
          <w:sz w:val="20"/>
          <w:szCs w:val="20"/>
          <w:color w:val="auto"/>
        </w:rPr>
      </w:pPr>
    </w:p>
    <w:p>
      <w:pPr>
        <w:ind w:left="2240"/>
        <w:spacing w:after="0"/>
        <w:tabs>
          <w:tab w:leader="none" w:pos="7060" w:val="left"/>
          <w:tab w:leader="none" w:pos="102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Chairman of the Board</w:t>
            </w:r>
          </w:p>
        </w:tc>
        <w:tc>
          <w:tcPr>
            <w:tcW w:w="2240" w:type="dxa"/>
            <w:vAlign w:val="bottom"/>
          </w:tcPr>
          <w:p>
            <w:pPr>
              <w:ind w:left="1340"/>
              <w:spacing w:after="0"/>
              <w:rPr>
                <w:sz w:val="20"/>
                <w:szCs w:val="20"/>
                <w:color w:val="auto"/>
              </w:rPr>
            </w:pPr>
            <w:r>
              <w:rPr>
                <w:rFonts w:ascii="Arial" w:cs="Arial" w:eastAsia="Arial" w:hAnsi="Arial"/>
                <w:sz w:val="18"/>
                <w:szCs w:val="18"/>
                <w:color w:val="auto"/>
                <w:w w:val="88"/>
              </w:rPr>
              <w:t>May 5,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6"/>
              </w:rPr>
              <w:t>Stephen A. Wynn</w:t>
            </w:r>
          </w:p>
        </w:tc>
        <w:tc>
          <w:tcPr>
            <w:tcW w:w="356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spacing w:after="0"/>
              <w:rPr>
                <w:sz w:val="24"/>
                <w:szCs w:val="24"/>
                <w:color w:val="auto"/>
              </w:rPr>
            </w:pPr>
          </w:p>
        </w:tc>
        <w:tc>
          <w:tcPr>
            <w:tcW w:w="3560" w:type="dxa"/>
            <w:vAlign w:val="bottom"/>
          </w:tcPr>
          <w:p>
            <w:pPr>
              <w:ind w:left="220"/>
              <w:spacing w:after="0"/>
              <w:rPr>
                <w:sz w:val="20"/>
                <w:szCs w:val="20"/>
                <w:color w:val="auto"/>
              </w:rPr>
            </w:pPr>
            <w:r>
              <w:rPr>
                <w:rFonts w:ascii="Arial" w:cs="Arial" w:eastAsia="Arial" w:hAnsi="Arial"/>
                <w:sz w:val="18"/>
                <w:szCs w:val="18"/>
                <w:color w:val="auto"/>
              </w:rPr>
              <w:t>Vice Chairman of the Board</w:t>
            </w:r>
          </w:p>
        </w:tc>
        <w:tc>
          <w:tcPr>
            <w:tcW w:w="2240" w:type="dxa"/>
            <w:vAlign w:val="bottom"/>
          </w:tcPr>
          <w:p>
            <w:pPr>
              <w:spacing w:after="0"/>
              <w:rPr>
                <w:sz w:val="24"/>
                <w:szCs w:val="24"/>
                <w:color w:val="auto"/>
              </w:rPr>
            </w:pP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Kazuo Okada</w:t>
            </w:r>
          </w:p>
        </w:tc>
        <w:tc>
          <w:tcPr>
            <w:tcW w:w="356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40" w:type="dxa"/>
            <w:vAlign w:val="bottom"/>
          </w:tcPr>
          <w:p>
            <w:pPr>
              <w:ind w:left="1340"/>
              <w:spacing w:after="0"/>
              <w:rPr>
                <w:sz w:val="20"/>
                <w:szCs w:val="20"/>
                <w:color w:val="auto"/>
              </w:rPr>
            </w:pPr>
            <w:r>
              <w:rPr>
                <w:rFonts w:ascii="Arial" w:cs="Arial" w:eastAsia="Arial" w:hAnsi="Arial"/>
                <w:sz w:val="18"/>
                <w:szCs w:val="18"/>
                <w:color w:val="auto"/>
                <w:w w:val="88"/>
              </w:rPr>
              <w:t>May 5,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9"/>
              </w:rPr>
              <w:t>Linda Chen</w:t>
            </w:r>
          </w:p>
        </w:tc>
        <w:tc>
          <w:tcPr>
            <w:tcW w:w="356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40" w:type="dxa"/>
            <w:vAlign w:val="bottom"/>
          </w:tcPr>
          <w:p>
            <w:pPr>
              <w:ind w:left="1340"/>
              <w:spacing w:after="0"/>
              <w:rPr>
                <w:sz w:val="20"/>
                <w:szCs w:val="20"/>
                <w:color w:val="auto"/>
              </w:rPr>
            </w:pPr>
            <w:r>
              <w:rPr>
                <w:rFonts w:ascii="Arial" w:cs="Arial" w:eastAsia="Arial" w:hAnsi="Arial"/>
                <w:sz w:val="18"/>
                <w:szCs w:val="18"/>
                <w:color w:val="auto"/>
                <w:w w:val="88"/>
              </w:rPr>
              <w:t>May 5,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4"/>
              </w:rPr>
              <w:t>Russell Goldsmith</w:t>
            </w:r>
          </w:p>
        </w:tc>
        <w:tc>
          <w:tcPr>
            <w:tcW w:w="356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40" w:type="dxa"/>
            <w:vAlign w:val="bottom"/>
          </w:tcPr>
          <w:p>
            <w:pPr>
              <w:ind w:left="1340"/>
              <w:spacing w:after="0"/>
              <w:rPr>
                <w:sz w:val="20"/>
                <w:szCs w:val="20"/>
                <w:color w:val="auto"/>
              </w:rPr>
            </w:pPr>
            <w:r>
              <w:rPr>
                <w:rFonts w:ascii="Arial" w:cs="Arial" w:eastAsia="Arial" w:hAnsi="Arial"/>
                <w:sz w:val="18"/>
                <w:szCs w:val="18"/>
                <w:color w:val="auto"/>
                <w:w w:val="88"/>
              </w:rPr>
              <w:t>May 5,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1"/>
              </w:rPr>
              <w:t>Dr. Ray R. Irani</w:t>
            </w:r>
          </w:p>
        </w:tc>
        <w:tc>
          <w:tcPr>
            <w:tcW w:w="356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40" w:type="dxa"/>
            <w:vAlign w:val="bottom"/>
          </w:tcPr>
          <w:p>
            <w:pPr>
              <w:ind w:left="1340"/>
              <w:spacing w:after="0"/>
              <w:rPr>
                <w:sz w:val="20"/>
                <w:szCs w:val="20"/>
                <w:color w:val="auto"/>
              </w:rPr>
            </w:pPr>
            <w:r>
              <w:rPr>
                <w:rFonts w:ascii="Arial" w:cs="Arial" w:eastAsia="Arial" w:hAnsi="Arial"/>
                <w:sz w:val="18"/>
                <w:szCs w:val="18"/>
                <w:color w:val="auto"/>
                <w:w w:val="88"/>
              </w:rPr>
              <w:t>May 5,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Robert J. Miller</w:t>
            </w:r>
          </w:p>
        </w:tc>
        <w:tc>
          <w:tcPr>
            <w:tcW w:w="356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40" w:type="dxa"/>
            <w:vAlign w:val="bottom"/>
          </w:tcPr>
          <w:p>
            <w:pPr>
              <w:ind w:left="1340"/>
              <w:spacing w:after="0"/>
              <w:rPr>
                <w:sz w:val="20"/>
                <w:szCs w:val="20"/>
                <w:color w:val="auto"/>
              </w:rPr>
            </w:pPr>
            <w:r>
              <w:rPr>
                <w:rFonts w:ascii="Arial" w:cs="Arial" w:eastAsia="Arial" w:hAnsi="Arial"/>
                <w:sz w:val="18"/>
                <w:szCs w:val="18"/>
                <w:color w:val="auto"/>
                <w:w w:val="88"/>
              </w:rPr>
              <w:t>May 5,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John A. Moran</w:t>
            </w:r>
          </w:p>
        </w:tc>
        <w:tc>
          <w:tcPr>
            <w:tcW w:w="356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40" w:type="dxa"/>
            <w:vAlign w:val="bottom"/>
          </w:tcPr>
          <w:p>
            <w:pPr>
              <w:ind w:left="1340"/>
              <w:spacing w:after="0"/>
              <w:rPr>
                <w:sz w:val="20"/>
                <w:szCs w:val="20"/>
                <w:color w:val="auto"/>
              </w:rPr>
            </w:pPr>
            <w:r>
              <w:rPr>
                <w:rFonts w:ascii="Arial" w:cs="Arial" w:eastAsia="Arial" w:hAnsi="Arial"/>
                <w:sz w:val="18"/>
                <w:szCs w:val="18"/>
                <w:color w:val="auto"/>
                <w:w w:val="88"/>
              </w:rPr>
              <w:t>May 5,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8"/>
              </w:rPr>
              <w:t>Alvin V. Shoemaker</w:t>
            </w:r>
          </w:p>
        </w:tc>
        <w:tc>
          <w:tcPr>
            <w:tcW w:w="356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40" w:type="dxa"/>
            <w:vAlign w:val="bottom"/>
          </w:tcPr>
          <w:p>
            <w:pPr>
              <w:ind w:left="1340"/>
              <w:spacing w:after="0"/>
              <w:rPr>
                <w:sz w:val="20"/>
                <w:szCs w:val="20"/>
                <w:color w:val="auto"/>
              </w:rPr>
            </w:pPr>
            <w:r>
              <w:rPr>
                <w:rFonts w:ascii="Arial" w:cs="Arial" w:eastAsia="Arial" w:hAnsi="Arial"/>
                <w:sz w:val="18"/>
                <w:szCs w:val="18"/>
                <w:color w:val="auto"/>
                <w:w w:val="88"/>
              </w:rPr>
              <w:t>May 5,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3"/>
              </w:rPr>
              <w:t>D. Boone Wayson</w:t>
            </w:r>
          </w:p>
        </w:tc>
        <w:tc>
          <w:tcPr>
            <w:tcW w:w="356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350"/>
        </w:trPr>
        <w:tc>
          <w:tcPr>
            <w:tcW w:w="5040" w:type="dxa"/>
            <w:vAlign w:val="bottom"/>
          </w:tcPr>
          <w:p>
            <w:pPr>
              <w:spacing w:after="0"/>
              <w:rPr>
                <w:sz w:val="24"/>
                <w:szCs w:val="24"/>
                <w:color w:val="auto"/>
              </w:rPr>
            </w:pPr>
          </w:p>
        </w:tc>
        <w:tc>
          <w:tcPr>
            <w:tcW w:w="3560" w:type="dxa"/>
            <w:vAlign w:val="bottom"/>
          </w:tcPr>
          <w:p>
            <w:pPr>
              <w:ind w:left="500"/>
              <w:spacing w:after="0"/>
              <w:rPr>
                <w:sz w:val="20"/>
                <w:szCs w:val="20"/>
                <w:color w:val="auto"/>
              </w:rPr>
            </w:pPr>
            <w:r>
              <w:rPr>
                <w:rFonts w:ascii="Arial" w:cs="Arial" w:eastAsia="Arial" w:hAnsi="Arial"/>
                <w:sz w:val="18"/>
                <w:szCs w:val="18"/>
                <w:color w:val="auto"/>
              </w:rPr>
              <w:t>II-22</w:t>
            </w:r>
          </w:p>
        </w:tc>
        <w:tc>
          <w:tcPr>
            <w:tcW w:w="22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18" w:name="page319"/>
    <w:bookmarkEnd w:id="3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both"/>
        <w:ind w:left="2240"/>
        <w:spacing w:after="0"/>
        <w:tabs>
          <w:tab w:leader="none" w:pos="7060" w:val="left"/>
          <w:tab w:leader="none" w:pos="102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ectPr>
          <w:pgSz w:w="11900" w:h="16838" w:orient="portrait"/>
          <w:cols w:equalWidth="0" w:num="1">
            <w:col w:w="10840"/>
          </w:cols>
          <w:pgMar w:left="240" w:top="459" w:right="819" w:bottom="1440" w:gutter="0" w:footer="0" w:header="0"/>
        </w:sectPr>
      </w:pPr>
    </w:p>
    <w:p>
      <w:pPr>
        <w:spacing w:after="0" w:line="222"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jc w:val="center"/>
        <w:ind w:left="500"/>
        <w:spacing w:after="0"/>
        <w:rPr>
          <w:sz w:val="20"/>
          <w:szCs w:val="20"/>
          <w:color w:val="auto"/>
        </w:rPr>
      </w:pPr>
      <w:r>
        <w:rPr>
          <w:rFonts w:ascii="Arial" w:cs="Arial" w:eastAsia="Arial" w:hAnsi="Arial"/>
          <w:sz w:val="14"/>
          <w:szCs w:val="14"/>
          <w:b w:val="1"/>
          <w:bCs w:val="1"/>
          <w:color w:val="auto"/>
        </w:rPr>
        <w:t>Elaine P. Wynn</w:t>
      </w:r>
    </w:p>
    <w:p>
      <w:pPr>
        <w:spacing w:after="0" w:line="222"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jc w:val="center"/>
        <w:ind w:left="500"/>
        <w:spacing w:after="0"/>
        <w:rPr>
          <w:sz w:val="20"/>
          <w:szCs w:val="20"/>
          <w:color w:val="auto"/>
        </w:rPr>
      </w:pPr>
      <w:r>
        <w:rPr>
          <w:rFonts w:ascii="Arial" w:cs="Arial" w:eastAsia="Arial" w:hAnsi="Arial"/>
          <w:sz w:val="14"/>
          <w:szCs w:val="14"/>
          <w:b w:val="1"/>
          <w:bCs w:val="1"/>
          <w:color w:val="auto"/>
        </w:rPr>
        <w:t>Allan Zeman</w:t>
      </w:r>
    </w:p>
    <w:p>
      <w:pPr>
        <w:spacing w:after="0" w:line="222" w:lineRule="exact"/>
        <w:rPr>
          <w:sz w:val="20"/>
          <w:szCs w:val="20"/>
          <w:color w:val="auto"/>
        </w:rPr>
      </w:pPr>
    </w:p>
    <w:p>
      <w:pPr>
        <w:ind w:left="1560"/>
        <w:spacing w:after="0"/>
        <w:tabs>
          <w:tab w:leader="none" w:pos="18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A</w:t>
      </w:r>
      <w:r>
        <w:rPr>
          <w:rFonts w:ascii="Arial" w:cs="Arial" w:eastAsia="Arial" w:hAnsi="Arial"/>
          <w:sz w:val="14"/>
          <w:szCs w:val="14"/>
          <w:color w:val="auto"/>
        </w:rPr>
        <w:t>NDREW</w:t>
      </w:r>
      <w:r>
        <w:rPr>
          <w:rFonts w:ascii="Arial" w:cs="Arial" w:eastAsia="Arial" w:hAnsi="Arial"/>
          <w:sz w:val="18"/>
          <w:szCs w:val="18"/>
          <w:color w:val="auto"/>
        </w:rPr>
        <w:t xml:space="preserve"> P</w:t>
      </w:r>
      <w:r>
        <w:rPr>
          <w:rFonts w:ascii="Arial" w:cs="Arial" w:eastAsia="Arial" w:hAnsi="Arial"/>
          <w:sz w:val="14"/>
          <w:szCs w:val="14"/>
          <w:color w:val="auto"/>
        </w:rPr>
        <w:t>ASCAL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jc w:val="center"/>
        <w:ind w:left="500"/>
        <w:spacing w:after="0"/>
        <w:rPr>
          <w:sz w:val="20"/>
          <w:szCs w:val="20"/>
          <w:color w:val="auto"/>
        </w:rPr>
      </w:pPr>
      <w:r>
        <w:rPr>
          <w:rFonts w:ascii="Arial" w:cs="Arial" w:eastAsia="Arial" w:hAnsi="Arial"/>
          <w:sz w:val="14"/>
          <w:szCs w:val="14"/>
          <w:b w:val="1"/>
          <w:bCs w:val="1"/>
          <w:color w:val="auto"/>
        </w:rPr>
        <w:t>Andrew Pascal</w:t>
      </w:r>
    </w:p>
    <w:p>
      <w:pPr>
        <w:spacing w:after="0" w:line="262" w:lineRule="exact"/>
        <w:rPr>
          <w:sz w:val="20"/>
          <w:szCs w:val="20"/>
          <w:color w:val="auto"/>
        </w:rPr>
      </w:pPr>
    </w:p>
    <w:p>
      <w:pPr>
        <w:ind w:left="1560"/>
        <w:spacing w:after="0"/>
        <w:tabs>
          <w:tab w:leader="none" w:pos="19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COTT</w:t>
      </w:r>
      <w:r>
        <w:rPr>
          <w:rFonts w:ascii="Arial" w:cs="Arial" w:eastAsia="Arial" w:hAnsi="Arial"/>
          <w:sz w:val="16"/>
          <w:szCs w:val="16"/>
          <w:color w:val="auto"/>
        </w:rPr>
        <w:t xml:space="preserve"> P</w:t>
      </w:r>
      <w:r>
        <w:rPr>
          <w:rFonts w:ascii="Arial" w:cs="Arial" w:eastAsia="Arial" w:hAnsi="Arial"/>
          <w:sz w:val="13"/>
          <w:szCs w:val="13"/>
          <w:color w:val="auto"/>
        </w:rPr>
        <w:t>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jc w:val="center"/>
        <w:ind w:left="500"/>
        <w:spacing w:after="0"/>
        <w:rPr>
          <w:sz w:val="20"/>
          <w:szCs w:val="20"/>
          <w:color w:val="auto"/>
        </w:rPr>
      </w:pPr>
      <w:r>
        <w:rPr>
          <w:rFonts w:ascii="Arial" w:cs="Arial" w:eastAsia="Arial" w:hAnsi="Arial"/>
          <w:sz w:val="14"/>
          <w:szCs w:val="14"/>
          <w:b w:val="1"/>
          <w:bCs w:val="1"/>
          <w:color w:val="auto"/>
        </w:rPr>
        <w:t>Scott Peterson</w:t>
      </w:r>
    </w:p>
    <w:p>
      <w:pPr>
        <w:spacing w:after="0" w:line="249" w:lineRule="exact"/>
        <w:rPr>
          <w:sz w:val="20"/>
          <w:szCs w:val="20"/>
          <w:color w:val="auto"/>
        </w:rPr>
      </w:pPr>
    </w:p>
    <w:p>
      <w:pPr>
        <w:spacing w:after="0"/>
        <w:tabs>
          <w:tab w:leader="none" w:pos="1900" w:val="left"/>
          <w:tab w:leader="none" w:pos="2260" w:val="left"/>
        </w:tabs>
        <w:rPr>
          <w:sz w:val="20"/>
          <w:szCs w:val="20"/>
          <w:color w:val="auto"/>
        </w:rPr>
      </w:pPr>
      <w:r>
        <w:rPr>
          <w:rFonts w:ascii="Arial" w:cs="Arial" w:eastAsia="Arial" w:hAnsi="Arial"/>
          <w:sz w:val="18"/>
          <w:szCs w:val="18"/>
          <w:color w:val="auto"/>
        </w:rPr>
        <w:t>* 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K</w:t>
      </w:r>
      <w:r>
        <w:rPr>
          <w:rFonts w:ascii="Arial" w:cs="Arial" w:eastAsia="Arial" w:hAnsi="Arial"/>
          <w:sz w:val="14"/>
          <w:szCs w:val="14"/>
          <w:color w:val="auto"/>
        </w:rPr>
        <w:t>IM</w:t>
      </w:r>
      <w:r>
        <w:rPr>
          <w:rFonts w:ascii="Arial" w:cs="Arial" w:eastAsia="Arial" w:hAnsi="Arial"/>
          <w:sz w:val="18"/>
          <w:szCs w:val="18"/>
          <w:color w:val="auto"/>
        </w:rPr>
        <w:t xml:space="preserve"> S</w:t>
      </w:r>
      <w:r>
        <w:rPr>
          <w:rFonts w:ascii="Arial" w:cs="Arial" w:eastAsia="Arial" w:hAnsi="Arial"/>
          <w:sz w:val="14"/>
          <w:szCs w:val="14"/>
          <w:color w:val="auto"/>
        </w:rPr>
        <w:t>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10795</wp:posOffset>
            </wp:positionV>
            <wp:extent cx="2521585"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2" w:lineRule="exact"/>
        <w:rPr>
          <w:sz w:val="20"/>
          <w:szCs w:val="20"/>
          <w:color w:val="auto"/>
        </w:rPr>
      </w:pPr>
    </w:p>
    <w:p>
      <w:pPr>
        <w:jc w:val="center"/>
        <w:ind w:left="640"/>
        <w:spacing w:after="0"/>
        <w:rPr>
          <w:sz w:val="20"/>
          <w:szCs w:val="20"/>
          <w:color w:val="auto"/>
        </w:rPr>
      </w:pPr>
      <w:r>
        <w:rPr>
          <w:rFonts w:ascii="Arial" w:cs="Arial" w:eastAsia="Arial" w:hAnsi="Arial"/>
          <w:sz w:val="14"/>
          <w:szCs w:val="14"/>
          <w:b w:val="1"/>
          <w:bCs w:val="1"/>
          <w:color w:val="auto"/>
        </w:rPr>
        <w:t>Kim Sinatra</w:t>
      </w:r>
    </w:p>
    <w:p>
      <w:pPr>
        <w:spacing w:after="0" w:line="1" w:lineRule="exact"/>
        <w:rPr>
          <w:sz w:val="20"/>
          <w:szCs w:val="20"/>
          <w:color w:val="auto"/>
        </w:rPr>
      </w:pPr>
    </w:p>
    <w:p>
      <w:pPr>
        <w:jc w:val="center"/>
        <w:ind w:left="640"/>
        <w:spacing w:after="0"/>
        <w:rPr>
          <w:sz w:val="20"/>
          <w:szCs w:val="20"/>
          <w:color w:val="auto"/>
        </w:rPr>
      </w:pPr>
      <w:r>
        <w:rPr>
          <w:rFonts w:ascii="Arial" w:cs="Arial" w:eastAsia="Arial" w:hAnsi="Arial"/>
          <w:sz w:val="14"/>
          <w:szCs w:val="14"/>
          <w:b w:val="1"/>
          <w:bCs w:val="1"/>
          <w:color w:val="auto"/>
        </w:rPr>
        <w:t>Attorney-in-fact</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4100" w:type="dxa"/>
            <w:vAlign w:val="bottom"/>
          </w:tcPr>
          <w:p>
            <w:pPr>
              <w:spacing w:after="0"/>
              <w:rPr>
                <w:sz w:val="20"/>
                <w:szCs w:val="20"/>
                <w:color w:val="auto"/>
              </w:rPr>
            </w:pPr>
            <w:r>
              <w:rPr>
                <w:rFonts w:ascii="Arial" w:cs="Arial" w:eastAsia="Arial" w:hAnsi="Arial"/>
                <w:sz w:val="18"/>
                <w:szCs w:val="18"/>
                <w:color w:val="auto"/>
              </w:rPr>
              <w:t>Director</w:t>
            </w:r>
          </w:p>
        </w:tc>
        <w:tc>
          <w:tcPr>
            <w:tcW w:w="1480" w:type="dxa"/>
            <w:vAlign w:val="bottom"/>
          </w:tcPr>
          <w:p>
            <w:pPr>
              <w:ind w:left="580"/>
              <w:spacing w:after="0"/>
              <w:rPr>
                <w:sz w:val="20"/>
                <w:szCs w:val="20"/>
                <w:color w:val="auto"/>
              </w:rPr>
            </w:pPr>
            <w:r>
              <w:rPr>
                <w:rFonts w:ascii="Arial" w:cs="Arial" w:eastAsia="Arial" w:hAnsi="Arial"/>
                <w:sz w:val="18"/>
                <w:szCs w:val="18"/>
                <w:color w:val="auto"/>
                <w:w w:val="88"/>
              </w:rPr>
              <w:t>May 5, 2010</w:t>
            </w:r>
          </w:p>
        </w:tc>
      </w:tr>
      <w:tr>
        <w:trPr>
          <w:trHeight w:val="608"/>
        </w:trPr>
        <w:tc>
          <w:tcPr>
            <w:tcW w:w="4100" w:type="dxa"/>
            <w:vAlign w:val="bottom"/>
          </w:tcPr>
          <w:p>
            <w:pPr>
              <w:spacing w:after="0"/>
              <w:rPr>
                <w:sz w:val="20"/>
                <w:szCs w:val="20"/>
                <w:color w:val="auto"/>
              </w:rPr>
            </w:pPr>
            <w:r>
              <w:rPr>
                <w:rFonts w:ascii="Arial" w:cs="Arial" w:eastAsia="Arial" w:hAnsi="Arial"/>
                <w:sz w:val="18"/>
                <w:szCs w:val="18"/>
                <w:color w:val="auto"/>
              </w:rPr>
              <w:t>Director</w:t>
            </w:r>
          </w:p>
        </w:tc>
        <w:tc>
          <w:tcPr>
            <w:tcW w:w="1480" w:type="dxa"/>
            <w:vAlign w:val="bottom"/>
          </w:tcPr>
          <w:p>
            <w:pPr>
              <w:ind w:left="580"/>
              <w:spacing w:after="0"/>
              <w:rPr>
                <w:sz w:val="20"/>
                <w:szCs w:val="20"/>
                <w:color w:val="auto"/>
              </w:rPr>
            </w:pPr>
            <w:r>
              <w:rPr>
                <w:rFonts w:ascii="Arial" w:cs="Arial" w:eastAsia="Arial" w:hAnsi="Arial"/>
                <w:sz w:val="18"/>
                <w:szCs w:val="18"/>
                <w:color w:val="auto"/>
                <w:w w:val="88"/>
              </w:rPr>
              <w:t>May 5, 2010</w:t>
            </w:r>
          </w:p>
        </w:tc>
      </w:tr>
      <w:tr>
        <w:trPr>
          <w:trHeight w:val="601"/>
        </w:trPr>
        <w:tc>
          <w:tcPr>
            <w:tcW w:w="4100" w:type="dxa"/>
            <w:vAlign w:val="bottom"/>
          </w:tcPr>
          <w:p>
            <w:pPr>
              <w:spacing w:after="0"/>
              <w:rPr>
                <w:sz w:val="20"/>
                <w:szCs w:val="20"/>
                <w:color w:val="auto"/>
              </w:rPr>
            </w:pPr>
            <w:r>
              <w:rPr>
                <w:rFonts w:ascii="Arial" w:cs="Arial" w:eastAsia="Arial" w:hAnsi="Arial"/>
                <w:sz w:val="18"/>
                <w:szCs w:val="18"/>
                <w:color w:val="auto"/>
              </w:rPr>
              <w:t>Chief Operating Officer and President (Principal</w:t>
            </w:r>
          </w:p>
        </w:tc>
        <w:tc>
          <w:tcPr>
            <w:tcW w:w="1480" w:type="dxa"/>
            <w:vAlign w:val="bottom"/>
          </w:tcPr>
          <w:p>
            <w:pPr>
              <w:ind w:left="580"/>
              <w:spacing w:after="0"/>
              <w:rPr>
                <w:sz w:val="20"/>
                <w:szCs w:val="20"/>
                <w:color w:val="auto"/>
              </w:rPr>
            </w:pPr>
            <w:r>
              <w:rPr>
                <w:rFonts w:ascii="Arial" w:cs="Arial" w:eastAsia="Arial" w:hAnsi="Arial"/>
                <w:sz w:val="18"/>
                <w:szCs w:val="18"/>
                <w:color w:val="auto"/>
                <w:w w:val="88"/>
              </w:rPr>
              <w:t>May 5, 2010</w:t>
            </w:r>
          </w:p>
        </w:tc>
      </w:tr>
      <w:tr>
        <w:trPr>
          <w:trHeight w:val="222"/>
        </w:trPr>
        <w:tc>
          <w:tcPr>
            <w:tcW w:w="4100" w:type="dxa"/>
            <w:vAlign w:val="bottom"/>
          </w:tcPr>
          <w:p>
            <w:pPr>
              <w:ind w:left="220"/>
              <w:spacing w:after="0"/>
              <w:rPr>
                <w:sz w:val="20"/>
                <w:szCs w:val="20"/>
                <w:color w:val="auto"/>
              </w:rPr>
            </w:pPr>
            <w:r>
              <w:rPr>
                <w:rFonts w:ascii="Arial" w:cs="Arial" w:eastAsia="Arial" w:hAnsi="Arial"/>
                <w:sz w:val="18"/>
                <w:szCs w:val="18"/>
                <w:color w:val="auto"/>
              </w:rPr>
              <w:t>Executive Officer)</w:t>
            </w:r>
          </w:p>
        </w:tc>
        <w:tc>
          <w:tcPr>
            <w:tcW w:w="1480" w:type="dxa"/>
            <w:vAlign w:val="bottom"/>
          </w:tcPr>
          <w:p>
            <w:pPr>
              <w:spacing w:after="0"/>
              <w:rPr>
                <w:sz w:val="19"/>
                <w:szCs w:val="19"/>
                <w:color w:val="auto"/>
              </w:rPr>
            </w:pPr>
          </w:p>
        </w:tc>
      </w:tr>
      <w:tr>
        <w:trPr>
          <w:trHeight w:val="426"/>
        </w:trPr>
        <w:tc>
          <w:tcPr>
            <w:tcW w:w="410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c>
          <w:tcPr>
            <w:tcW w:w="1480" w:type="dxa"/>
            <w:vAlign w:val="bottom"/>
          </w:tcPr>
          <w:p>
            <w:pPr>
              <w:ind w:left="580"/>
              <w:spacing w:after="0"/>
              <w:rPr>
                <w:sz w:val="20"/>
                <w:szCs w:val="20"/>
                <w:color w:val="auto"/>
              </w:rPr>
            </w:pPr>
            <w:r>
              <w:rPr>
                <w:rFonts w:ascii="Arial" w:cs="Arial" w:eastAsia="Arial" w:hAnsi="Arial"/>
                <w:sz w:val="18"/>
                <w:szCs w:val="18"/>
                <w:color w:val="auto"/>
                <w:w w:val="88"/>
              </w:rPr>
              <w:t>May 5, 2010</w:t>
            </w:r>
          </w:p>
        </w:tc>
      </w:tr>
      <w:tr>
        <w:trPr>
          <w:trHeight w:val="222"/>
        </w:trPr>
        <w:tc>
          <w:tcPr>
            <w:tcW w:w="4100" w:type="dxa"/>
            <w:vAlign w:val="bottom"/>
          </w:tcPr>
          <w:p>
            <w:pPr>
              <w:ind w:left="220"/>
              <w:spacing w:after="0"/>
              <w:rPr>
                <w:sz w:val="20"/>
                <w:szCs w:val="20"/>
                <w:color w:val="auto"/>
              </w:rPr>
            </w:pPr>
            <w:r>
              <w:rPr>
                <w:rFonts w:ascii="Arial" w:cs="Arial" w:eastAsia="Arial" w:hAnsi="Arial"/>
                <w:sz w:val="18"/>
                <w:szCs w:val="18"/>
                <w:color w:val="auto"/>
              </w:rPr>
              <w:t>(Principal Financial and Accounting Officer)</w:t>
            </w:r>
          </w:p>
        </w:tc>
        <w:tc>
          <w:tcPr>
            <w:tcW w:w="14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II-23</w:t>
      </w:r>
    </w:p>
    <w:p>
      <w:pPr>
        <w:sectPr>
          <w:pgSz w:w="11900" w:h="16838" w:orient="portrait"/>
          <w:cols w:equalWidth="0" w:num="2">
            <w:col w:w="4540" w:space="720"/>
            <w:col w:w="5580"/>
          </w:cols>
          <w:pgMar w:left="240" w:top="459" w:right="819" w:bottom="1440" w:gutter="0" w:footer="0" w:header="0"/>
          <w:type w:val="continuous"/>
        </w:sectPr>
      </w:pPr>
    </w:p>
    <w:bookmarkStart w:id="319" w:name="page320"/>
    <w:bookmarkEnd w:id="3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Las Vegas, State of Nevada, on May 5, 2010.</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GOLF, LLC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LAS VEGAS, LLC,</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RESORTS HOLDINGS, LLC,</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WYNN RESORTS, LIMITED,</w:t>
            </w:r>
          </w:p>
        </w:tc>
      </w:tr>
      <w:tr>
        <w:trPr>
          <w:trHeight w:val="222"/>
        </w:trPr>
        <w:tc>
          <w:tcPr>
            <w:tcW w:w="5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4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tc>
      </w:tr>
      <w:tr>
        <w:trPr>
          <w:trHeight w:val="145"/>
        </w:trPr>
        <w:tc>
          <w:tcPr>
            <w:tcW w:w="540" w:type="dxa"/>
            <w:vAlign w:val="bottom"/>
          </w:tcPr>
          <w:p>
            <w:pPr>
              <w:spacing w:after="0" w:line="145" w:lineRule="exact"/>
              <w:rPr>
                <w:sz w:val="20"/>
                <w:szCs w:val="20"/>
                <w:color w:val="auto"/>
              </w:rPr>
            </w:pPr>
            <w:r>
              <w:rPr>
                <w:rFonts w:ascii="Arial" w:cs="Arial" w:eastAsia="Arial" w:hAnsi="Arial"/>
                <w:sz w:val="14"/>
                <w:szCs w:val="14"/>
                <w:b w:val="1"/>
                <w:bCs w:val="1"/>
                <w:color w:val="auto"/>
              </w:rPr>
              <w:t>Name:</w:t>
            </w:r>
          </w:p>
        </w:tc>
        <w:tc>
          <w:tcPr>
            <w:tcW w:w="4020" w:type="dxa"/>
            <w:vAlign w:val="bottom"/>
          </w:tcPr>
          <w:p>
            <w:pPr>
              <w:ind w:left="1620"/>
              <w:spacing w:after="0" w:line="145" w:lineRule="exact"/>
              <w:rPr>
                <w:sz w:val="20"/>
                <w:szCs w:val="20"/>
                <w:color w:val="auto"/>
              </w:rPr>
            </w:pPr>
            <w:r>
              <w:rPr>
                <w:rFonts w:ascii="Arial" w:cs="Arial" w:eastAsia="Arial" w:hAnsi="Arial"/>
                <w:sz w:val="14"/>
                <w:szCs w:val="14"/>
                <w:b w:val="1"/>
                <w:bCs w:val="1"/>
                <w:color w:val="auto"/>
              </w:rPr>
              <w:t>Matt Maddox</w:t>
            </w:r>
          </w:p>
        </w:tc>
      </w:tr>
      <w:tr>
        <w:trPr>
          <w:trHeight w:val="174"/>
        </w:trPr>
        <w:tc>
          <w:tcPr>
            <w:tcW w:w="54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020" w:type="dxa"/>
            <w:vAlign w:val="bottom"/>
          </w:tcPr>
          <w:p>
            <w:pPr>
              <w:ind w:left="920"/>
              <w:spacing w:after="0"/>
              <w:rPr>
                <w:sz w:val="20"/>
                <w:szCs w:val="20"/>
                <w:color w:val="auto"/>
              </w:rPr>
            </w:pPr>
            <w:r>
              <w:rPr>
                <w:rFonts w:ascii="Arial" w:cs="Arial" w:eastAsia="Arial" w:hAnsi="Arial"/>
                <w:sz w:val="14"/>
                <w:szCs w:val="14"/>
                <w:b w:val="1"/>
                <w:bCs w:val="1"/>
                <w:color w:val="auto"/>
              </w:rPr>
              <w:t>Chief Financial Officer and Treasurer</w:t>
            </w:r>
          </w:p>
        </w:tc>
      </w:tr>
    </w:tbl>
    <w:p>
      <w:pPr>
        <w:spacing w:after="0" w:line="14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8" w:lineRule="exact"/>
        <w:rPr>
          <w:sz w:val="20"/>
          <w:szCs w:val="20"/>
          <w:color w:val="auto"/>
        </w:rPr>
      </w:pPr>
    </w:p>
    <w:p>
      <w:pPr>
        <w:ind w:left="2240"/>
        <w:spacing w:after="0"/>
        <w:tabs>
          <w:tab w:leader="none" w:pos="7060" w:val="left"/>
          <w:tab w:leader="none" w:pos="102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Chairman of the Board</w:t>
            </w:r>
          </w:p>
        </w:tc>
        <w:tc>
          <w:tcPr>
            <w:tcW w:w="2240" w:type="dxa"/>
            <w:vAlign w:val="bottom"/>
          </w:tcPr>
          <w:p>
            <w:pPr>
              <w:ind w:left="1340"/>
              <w:spacing w:after="0"/>
              <w:rPr>
                <w:sz w:val="20"/>
                <w:szCs w:val="20"/>
                <w:color w:val="auto"/>
              </w:rPr>
            </w:pPr>
            <w:r>
              <w:rPr>
                <w:rFonts w:ascii="Arial" w:cs="Arial" w:eastAsia="Arial" w:hAnsi="Arial"/>
                <w:sz w:val="18"/>
                <w:szCs w:val="18"/>
                <w:color w:val="auto"/>
                <w:w w:val="88"/>
              </w:rPr>
              <w:t>May 5,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6"/>
              </w:rPr>
              <w:t>Stephen A. Wynn</w:t>
            </w:r>
          </w:p>
        </w:tc>
        <w:tc>
          <w:tcPr>
            <w:tcW w:w="356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spacing w:after="0"/>
              <w:rPr>
                <w:sz w:val="24"/>
                <w:szCs w:val="24"/>
                <w:color w:val="auto"/>
              </w:rPr>
            </w:pPr>
          </w:p>
        </w:tc>
        <w:tc>
          <w:tcPr>
            <w:tcW w:w="3560" w:type="dxa"/>
            <w:vAlign w:val="bottom"/>
          </w:tcPr>
          <w:p>
            <w:pPr>
              <w:ind w:left="220"/>
              <w:spacing w:after="0"/>
              <w:rPr>
                <w:sz w:val="20"/>
                <w:szCs w:val="20"/>
                <w:color w:val="auto"/>
              </w:rPr>
            </w:pPr>
            <w:r>
              <w:rPr>
                <w:rFonts w:ascii="Arial" w:cs="Arial" w:eastAsia="Arial" w:hAnsi="Arial"/>
                <w:sz w:val="18"/>
                <w:szCs w:val="18"/>
                <w:color w:val="auto"/>
              </w:rPr>
              <w:t>Vice Chairman of the Board</w:t>
            </w:r>
          </w:p>
        </w:tc>
        <w:tc>
          <w:tcPr>
            <w:tcW w:w="2240" w:type="dxa"/>
            <w:vAlign w:val="bottom"/>
          </w:tcPr>
          <w:p>
            <w:pPr>
              <w:spacing w:after="0"/>
              <w:rPr>
                <w:sz w:val="24"/>
                <w:szCs w:val="24"/>
                <w:color w:val="auto"/>
              </w:rPr>
            </w:pP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Kazuo Okada</w:t>
            </w:r>
          </w:p>
        </w:tc>
        <w:tc>
          <w:tcPr>
            <w:tcW w:w="356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40" w:type="dxa"/>
            <w:vAlign w:val="bottom"/>
          </w:tcPr>
          <w:p>
            <w:pPr>
              <w:ind w:left="1340"/>
              <w:spacing w:after="0"/>
              <w:rPr>
                <w:sz w:val="20"/>
                <w:szCs w:val="20"/>
                <w:color w:val="auto"/>
              </w:rPr>
            </w:pPr>
            <w:r>
              <w:rPr>
                <w:rFonts w:ascii="Arial" w:cs="Arial" w:eastAsia="Arial" w:hAnsi="Arial"/>
                <w:sz w:val="18"/>
                <w:szCs w:val="18"/>
                <w:color w:val="auto"/>
                <w:w w:val="88"/>
              </w:rPr>
              <w:t>May 5,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9"/>
              </w:rPr>
              <w:t>Linda Chen</w:t>
            </w:r>
          </w:p>
        </w:tc>
        <w:tc>
          <w:tcPr>
            <w:tcW w:w="356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40" w:type="dxa"/>
            <w:vAlign w:val="bottom"/>
          </w:tcPr>
          <w:p>
            <w:pPr>
              <w:ind w:left="1340"/>
              <w:spacing w:after="0"/>
              <w:rPr>
                <w:sz w:val="20"/>
                <w:szCs w:val="20"/>
                <w:color w:val="auto"/>
              </w:rPr>
            </w:pPr>
            <w:r>
              <w:rPr>
                <w:rFonts w:ascii="Arial" w:cs="Arial" w:eastAsia="Arial" w:hAnsi="Arial"/>
                <w:sz w:val="18"/>
                <w:szCs w:val="18"/>
                <w:color w:val="auto"/>
                <w:w w:val="88"/>
              </w:rPr>
              <w:t>May 5,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4"/>
              </w:rPr>
              <w:t>Russell Goldsmith</w:t>
            </w:r>
          </w:p>
        </w:tc>
        <w:tc>
          <w:tcPr>
            <w:tcW w:w="356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40" w:type="dxa"/>
            <w:vAlign w:val="bottom"/>
          </w:tcPr>
          <w:p>
            <w:pPr>
              <w:ind w:left="1340"/>
              <w:spacing w:after="0"/>
              <w:rPr>
                <w:sz w:val="20"/>
                <w:szCs w:val="20"/>
                <w:color w:val="auto"/>
              </w:rPr>
            </w:pPr>
            <w:r>
              <w:rPr>
                <w:rFonts w:ascii="Arial" w:cs="Arial" w:eastAsia="Arial" w:hAnsi="Arial"/>
                <w:sz w:val="18"/>
                <w:szCs w:val="18"/>
                <w:color w:val="auto"/>
                <w:w w:val="88"/>
              </w:rPr>
              <w:t>May 5,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1"/>
              </w:rPr>
              <w:t>Dr. Ray R. Irani</w:t>
            </w:r>
          </w:p>
        </w:tc>
        <w:tc>
          <w:tcPr>
            <w:tcW w:w="356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40" w:type="dxa"/>
            <w:vAlign w:val="bottom"/>
          </w:tcPr>
          <w:p>
            <w:pPr>
              <w:ind w:left="1340"/>
              <w:spacing w:after="0"/>
              <w:rPr>
                <w:sz w:val="20"/>
                <w:szCs w:val="20"/>
                <w:color w:val="auto"/>
              </w:rPr>
            </w:pPr>
            <w:r>
              <w:rPr>
                <w:rFonts w:ascii="Arial" w:cs="Arial" w:eastAsia="Arial" w:hAnsi="Arial"/>
                <w:sz w:val="18"/>
                <w:szCs w:val="18"/>
                <w:color w:val="auto"/>
                <w:w w:val="88"/>
              </w:rPr>
              <w:t>May 5,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Robert J. Miller</w:t>
            </w:r>
          </w:p>
        </w:tc>
        <w:tc>
          <w:tcPr>
            <w:tcW w:w="356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40" w:type="dxa"/>
            <w:vAlign w:val="bottom"/>
          </w:tcPr>
          <w:p>
            <w:pPr>
              <w:ind w:left="1340"/>
              <w:spacing w:after="0"/>
              <w:rPr>
                <w:sz w:val="20"/>
                <w:szCs w:val="20"/>
                <w:color w:val="auto"/>
              </w:rPr>
            </w:pPr>
            <w:r>
              <w:rPr>
                <w:rFonts w:ascii="Arial" w:cs="Arial" w:eastAsia="Arial" w:hAnsi="Arial"/>
                <w:sz w:val="18"/>
                <w:szCs w:val="18"/>
                <w:color w:val="auto"/>
                <w:w w:val="88"/>
              </w:rPr>
              <w:t>May 5,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John A. Moran</w:t>
            </w:r>
          </w:p>
        </w:tc>
        <w:tc>
          <w:tcPr>
            <w:tcW w:w="356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40" w:type="dxa"/>
            <w:vAlign w:val="bottom"/>
          </w:tcPr>
          <w:p>
            <w:pPr>
              <w:ind w:left="1340"/>
              <w:spacing w:after="0"/>
              <w:rPr>
                <w:sz w:val="20"/>
                <w:szCs w:val="20"/>
                <w:color w:val="auto"/>
              </w:rPr>
            </w:pPr>
            <w:r>
              <w:rPr>
                <w:rFonts w:ascii="Arial" w:cs="Arial" w:eastAsia="Arial" w:hAnsi="Arial"/>
                <w:sz w:val="18"/>
                <w:szCs w:val="18"/>
                <w:color w:val="auto"/>
                <w:w w:val="88"/>
              </w:rPr>
              <w:t>May 5,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8"/>
              </w:rPr>
              <w:t>Alvin V. Shoemaker</w:t>
            </w:r>
          </w:p>
        </w:tc>
        <w:tc>
          <w:tcPr>
            <w:tcW w:w="356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419"/>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40" w:type="dxa"/>
            <w:vAlign w:val="bottom"/>
          </w:tcPr>
          <w:p>
            <w:pPr>
              <w:ind w:left="1340"/>
              <w:spacing w:after="0"/>
              <w:rPr>
                <w:sz w:val="20"/>
                <w:szCs w:val="20"/>
                <w:color w:val="auto"/>
              </w:rPr>
            </w:pPr>
            <w:r>
              <w:rPr>
                <w:rFonts w:ascii="Arial" w:cs="Arial" w:eastAsia="Arial" w:hAnsi="Arial"/>
                <w:sz w:val="18"/>
                <w:szCs w:val="18"/>
                <w:color w:val="auto"/>
                <w:w w:val="88"/>
              </w:rPr>
              <w:t>May 5, 2010</w:t>
            </w:r>
          </w:p>
        </w:tc>
      </w:tr>
      <w:tr>
        <w:trPr>
          <w:trHeight w:val="169"/>
        </w:trPr>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83"/>
              </w:rPr>
              <w:t>D. Boone Wayson</w:t>
            </w:r>
          </w:p>
        </w:tc>
        <w:tc>
          <w:tcPr>
            <w:tcW w:w="356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350"/>
        </w:trPr>
        <w:tc>
          <w:tcPr>
            <w:tcW w:w="5040" w:type="dxa"/>
            <w:vAlign w:val="bottom"/>
          </w:tcPr>
          <w:p>
            <w:pPr>
              <w:spacing w:after="0"/>
              <w:rPr>
                <w:sz w:val="24"/>
                <w:szCs w:val="24"/>
                <w:color w:val="auto"/>
              </w:rPr>
            </w:pPr>
          </w:p>
        </w:tc>
        <w:tc>
          <w:tcPr>
            <w:tcW w:w="3560" w:type="dxa"/>
            <w:vAlign w:val="bottom"/>
          </w:tcPr>
          <w:p>
            <w:pPr>
              <w:ind w:left="500"/>
              <w:spacing w:after="0"/>
              <w:rPr>
                <w:sz w:val="20"/>
                <w:szCs w:val="20"/>
                <w:color w:val="auto"/>
              </w:rPr>
            </w:pPr>
            <w:r>
              <w:rPr>
                <w:rFonts w:ascii="Arial" w:cs="Arial" w:eastAsia="Arial" w:hAnsi="Arial"/>
                <w:sz w:val="18"/>
                <w:szCs w:val="18"/>
                <w:color w:val="auto"/>
              </w:rPr>
              <w:t>II-24</w:t>
            </w:r>
          </w:p>
        </w:tc>
        <w:tc>
          <w:tcPr>
            <w:tcW w:w="22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20" w:name="page321"/>
    <w:bookmarkEnd w:id="3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both"/>
        <w:ind w:left="2240"/>
        <w:spacing w:after="0"/>
        <w:tabs>
          <w:tab w:leader="none" w:pos="7060" w:val="left"/>
          <w:tab w:leader="none" w:pos="102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ectPr>
          <w:pgSz w:w="11900" w:h="16838" w:orient="portrait"/>
          <w:cols w:equalWidth="0" w:num="1">
            <w:col w:w="10840"/>
          </w:cols>
          <w:pgMar w:left="240" w:top="459" w:right="819" w:bottom="1440" w:gutter="0" w:footer="0" w:header="0"/>
        </w:sectPr>
      </w:pPr>
    </w:p>
    <w:p>
      <w:pPr>
        <w:spacing w:after="0" w:line="222"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jc w:val="center"/>
        <w:ind w:left="500"/>
        <w:spacing w:after="0"/>
        <w:rPr>
          <w:sz w:val="20"/>
          <w:szCs w:val="20"/>
          <w:color w:val="auto"/>
        </w:rPr>
      </w:pPr>
      <w:r>
        <w:rPr>
          <w:rFonts w:ascii="Arial" w:cs="Arial" w:eastAsia="Arial" w:hAnsi="Arial"/>
          <w:sz w:val="14"/>
          <w:szCs w:val="14"/>
          <w:b w:val="1"/>
          <w:bCs w:val="1"/>
          <w:color w:val="auto"/>
        </w:rPr>
        <w:t>Elaine P. Wynn</w:t>
      </w:r>
    </w:p>
    <w:p>
      <w:pPr>
        <w:spacing w:after="0" w:line="222"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jc w:val="center"/>
        <w:ind w:left="500"/>
        <w:spacing w:after="0"/>
        <w:rPr>
          <w:sz w:val="20"/>
          <w:szCs w:val="20"/>
          <w:color w:val="auto"/>
        </w:rPr>
      </w:pPr>
      <w:r>
        <w:rPr>
          <w:rFonts w:ascii="Arial" w:cs="Arial" w:eastAsia="Arial" w:hAnsi="Arial"/>
          <w:sz w:val="14"/>
          <w:szCs w:val="14"/>
          <w:b w:val="1"/>
          <w:bCs w:val="1"/>
          <w:color w:val="auto"/>
        </w:rPr>
        <w:t>Allan Zeman</w:t>
      </w:r>
    </w:p>
    <w:p>
      <w:pPr>
        <w:spacing w:after="0" w:line="222" w:lineRule="exact"/>
        <w:rPr>
          <w:sz w:val="20"/>
          <w:szCs w:val="20"/>
          <w:color w:val="auto"/>
        </w:rPr>
      </w:pPr>
    </w:p>
    <w:p>
      <w:pPr>
        <w:jc w:val="right"/>
        <w:ind w:right="1340"/>
        <w:spacing w:after="0"/>
        <w:tabs>
          <w:tab w:leader="none" w:pos="262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A</w:t>
      </w:r>
      <w:r>
        <w:rPr>
          <w:rFonts w:ascii="Arial" w:cs="Arial" w:eastAsia="Arial" w:hAnsi="Arial"/>
          <w:sz w:val="14"/>
          <w:szCs w:val="14"/>
          <w:color w:val="auto"/>
        </w:rPr>
        <w:t>NDREW</w:t>
      </w:r>
      <w:r>
        <w:rPr>
          <w:rFonts w:ascii="Arial" w:cs="Arial" w:eastAsia="Arial" w:hAnsi="Arial"/>
          <w:sz w:val="18"/>
          <w:szCs w:val="18"/>
          <w:color w:val="auto"/>
        </w:rPr>
        <w:t xml:space="preserve"> P</w:t>
      </w:r>
      <w:r>
        <w:rPr>
          <w:rFonts w:ascii="Arial" w:cs="Arial" w:eastAsia="Arial" w:hAnsi="Arial"/>
          <w:sz w:val="14"/>
          <w:szCs w:val="14"/>
          <w:color w:val="auto"/>
        </w:rPr>
        <w:t>ASCAL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jc w:val="center"/>
        <w:ind w:left="500"/>
        <w:spacing w:after="0"/>
        <w:rPr>
          <w:sz w:val="20"/>
          <w:szCs w:val="20"/>
          <w:color w:val="auto"/>
        </w:rPr>
      </w:pPr>
      <w:r>
        <w:rPr>
          <w:rFonts w:ascii="Arial" w:cs="Arial" w:eastAsia="Arial" w:hAnsi="Arial"/>
          <w:sz w:val="14"/>
          <w:szCs w:val="14"/>
          <w:b w:val="1"/>
          <w:bCs w:val="1"/>
          <w:color w:val="auto"/>
        </w:rPr>
        <w:t>Andrew Pascal</w:t>
      </w:r>
    </w:p>
    <w:p>
      <w:pPr>
        <w:spacing w:after="0" w:line="262" w:lineRule="exact"/>
        <w:rPr>
          <w:sz w:val="20"/>
          <w:szCs w:val="20"/>
          <w:color w:val="auto"/>
        </w:rPr>
      </w:pPr>
    </w:p>
    <w:p>
      <w:pPr>
        <w:ind w:left="1560"/>
        <w:spacing w:after="0"/>
        <w:tabs>
          <w:tab w:leader="none" w:pos="19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COTT</w:t>
      </w:r>
      <w:r>
        <w:rPr>
          <w:rFonts w:ascii="Arial" w:cs="Arial" w:eastAsia="Arial" w:hAnsi="Arial"/>
          <w:sz w:val="16"/>
          <w:szCs w:val="16"/>
          <w:color w:val="auto"/>
        </w:rPr>
        <w:t xml:space="preserve"> P</w:t>
      </w:r>
      <w:r>
        <w:rPr>
          <w:rFonts w:ascii="Arial" w:cs="Arial" w:eastAsia="Arial" w:hAnsi="Arial"/>
          <w:sz w:val="13"/>
          <w:szCs w:val="13"/>
          <w:color w:val="auto"/>
        </w:rPr>
        <w:t>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jc w:val="center"/>
        <w:ind w:left="500"/>
        <w:spacing w:after="0"/>
        <w:rPr>
          <w:sz w:val="20"/>
          <w:szCs w:val="20"/>
          <w:color w:val="auto"/>
        </w:rPr>
      </w:pPr>
      <w:r>
        <w:rPr>
          <w:rFonts w:ascii="Arial" w:cs="Arial" w:eastAsia="Arial" w:hAnsi="Arial"/>
          <w:sz w:val="14"/>
          <w:szCs w:val="14"/>
          <w:b w:val="1"/>
          <w:bCs w:val="1"/>
          <w:color w:val="auto"/>
        </w:rPr>
        <w:t>Scott Peterson</w:t>
      </w:r>
    </w:p>
    <w:p>
      <w:pPr>
        <w:spacing w:after="0" w:line="249" w:lineRule="exact"/>
        <w:rPr>
          <w:sz w:val="20"/>
          <w:szCs w:val="20"/>
          <w:color w:val="auto"/>
        </w:rPr>
      </w:pPr>
    </w:p>
    <w:p>
      <w:pPr>
        <w:spacing w:after="0"/>
        <w:tabs>
          <w:tab w:leader="none" w:pos="1760" w:val="left"/>
          <w:tab w:leader="none" w:pos="2120" w:val="left"/>
        </w:tabs>
        <w:rPr>
          <w:sz w:val="20"/>
          <w:szCs w:val="20"/>
          <w:color w:val="auto"/>
        </w:rPr>
      </w:pPr>
      <w:r>
        <w:rPr>
          <w:rFonts w:ascii="Arial" w:cs="Arial" w:eastAsia="Arial" w:hAnsi="Arial"/>
          <w:sz w:val="18"/>
          <w:szCs w:val="18"/>
          <w:color w:val="auto"/>
        </w:rPr>
        <w:t>* 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K</w:t>
      </w:r>
      <w:r>
        <w:rPr>
          <w:rFonts w:ascii="Arial" w:cs="Arial" w:eastAsia="Arial" w:hAnsi="Arial"/>
          <w:sz w:val="14"/>
          <w:szCs w:val="14"/>
          <w:color w:val="auto"/>
        </w:rPr>
        <w:t>IM</w:t>
      </w:r>
      <w:r>
        <w:rPr>
          <w:rFonts w:ascii="Arial" w:cs="Arial" w:eastAsia="Arial" w:hAnsi="Arial"/>
          <w:sz w:val="18"/>
          <w:szCs w:val="18"/>
          <w:color w:val="auto"/>
        </w:rPr>
        <w:t xml:space="preserve"> S</w:t>
      </w:r>
      <w:r>
        <w:rPr>
          <w:rFonts w:ascii="Arial" w:cs="Arial" w:eastAsia="Arial" w:hAnsi="Arial"/>
          <w:sz w:val="14"/>
          <w:szCs w:val="14"/>
          <w:color w:val="auto"/>
        </w:rPr>
        <w:t>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10795</wp:posOffset>
            </wp:positionV>
            <wp:extent cx="2521585"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2" w:lineRule="exact"/>
        <w:rPr>
          <w:sz w:val="20"/>
          <w:szCs w:val="20"/>
          <w:color w:val="auto"/>
        </w:rPr>
      </w:pPr>
    </w:p>
    <w:p>
      <w:pPr>
        <w:jc w:val="center"/>
        <w:ind w:left="640"/>
        <w:spacing w:after="0"/>
        <w:rPr>
          <w:sz w:val="20"/>
          <w:szCs w:val="20"/>
          <w:color w:val="auto"/>
        </w:rPr>
      </w:pPr>
      <w:r>
        <w:rPr>
          <w:rFonts w:ascii="Arial" w:cs="Arial" w:eastAsia="Arial" w:hAnsi="Arial"/>
          <w:sz w:val="14"/>
          <w:szCs w:val="14"/>
          <w:b w:val="1"/>
          <w:bCs w:val="1"/>
          <w:color w:val="auto"/>
        </w:rPr>
        <w:t>Kim Sinatra</w:t>
      </w:r>
    </w:p>
    <w:p>
      <w:pPr>
        <w:spacing w:after="0" w:line="1" w:lineRule="exact"/>
        <w:rPr>
          <w:sz w:val="20"/>
          <w:szCs w:val="20"/>
          <w:color w:val="auto"/>
        </w:rPr>
      </w:pPr>
    </w:p>
    <w:p>
      <w:pPr>
        <w:jc w:val="center"/>
        <w:ind w:left="640"/>
        <w:spacing w:after="0"/>
        <w:rPr>
          <w:sz w:val="20"/>
          <w:szCs w:val="20"/>
          <w:color w:val="auto"/>
        </w:rPr>
      </w:pPr>
      <w:r>
        <w:rPr>
          <w:rFonts w:ascii="Arial" w:cs="Arial" w:eastAsia="Arial" w:hAnsi="Arial"/>
          <w:sz w:val="14"/>
          <w:szCs w:val="14"/>
          <w:b w:val="1"/>
          <w:bCs w:val="1"/>
          <w:color w:val="auto"/>
        </w:rPr>
        <w:t>Attorney-in-fact</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4100" w:type="dxa"/>
            <w:vAlign w:val="bottom"/>
          </w:tcPr>
          <w:p>
            <w:pPr>
              <w:spacing w:after="0"/>
              <w:rPr>
                <w:sz w:val="20"/>
                <w:szCs w:val="20"/>
                <w:color w:val="auto"/>
              </w:rPr>
            </w:pPr>
            <w:r>
              <w:rPr>
                <w:rFonts w:ascii="Arial" w:cs="Arial" w:eastAsia="Arial" w:hAnsi="Arial"/>
                <w:sz w:val="18"/>
                <w:szCs w:val="18"/>
                <w:color w:val="auto"/>
              </w:rPr>
              <w:t>Director</w:t>
            </w:r>
          </w:p>
        </w:tc>
        <w:tc>
          <w:tcPr>
            <w:tcW w:w="1480" w:type="dxa"/>
            <w:vAlign w:val="bottom"/>
          </w:tcPr>
          <w:p>
            <w:pPr>
              <w:ind w:left="580"/>
              <w:spacing w:after="0"/>
              <w:rPr>
                <w:sz w:val="20"/>
                <w:szCs w:val="20"/>
                <w:color w:val="auto"/>
              </w:rPr>
            </w:pPr>
            <w:r>
              <w:rPr>
                <w:rFonts w:ascii="Arial" w:cs="Arial" w:eastAsia="Arial" w:hAnsi="Arial"/>
                <w:sz w:val="18"/>
                <w:szCs w:val="18"/>
                <w:color w:val="auto"/>
                <w:w w:val="88"/>
              </w:rPr>
              <w:t>May 5, 2010</w:t>
            </w:r>
          </w:p>
        </w:tc>
      </w:tr>
      <w:tr>
        <w:trPr>
          <w:trHeight w:val="608"/>
        </w:trPr>
        <w:tc>
          <w:tcPr>
            <w:tcW w:w="4100" w:type="dxa"/>
            <w:vAlign w:val="bottom"/>
          </w:tcPr>
          <w:p>
            <w:pPr>
              <w:spacing w:after="0"/>
              <w:rPr>
                <w:sz w:val="20"/>
                <w:szCs w:val="20"/>
                <w:color w:val="auto"/>
              </w:rPr>
            </w:pPr>
            <w:r>
              <w:rPr>
                <w:rFonts w:ascii="Arial" w:cs="Arial" w:eastAsia="Arial" w:hAnsi="Arial"/>
                <w:sz w:val="18"/>
                <w:szCs w:val="18"/>
                <w:color w:val="auto"/>
              </w:rPr>
              <w:t>Director</w:t>
            </w:r>
          </w:p>
        </w:tc>
        <w:tc>
          <w:tcPr>
            <w:tcW w:w="1480" w:type="dxa"/>
            <w:vAlign w:val="bottom"/>
          </w:tcPr>
          <w:p>
            <w:pPr>
              <w:ind w:left="580"/>
              <w:spacing w:after="0"/>
              <w:rPr>
                <w:sz w:val="20"/>
                <w:szCs w:val="20"/>
                <w:color w:val="auto"/>
              </w:rPr>
            </w:pPr>
            <w:r>
              <w:rPr>
                <w:rFonts w:ascii="Arial" w:cs="Arial" w:eastAsia="Arial" w:hAnsi="Arial"/>
                <w:sz w:val="18"/>
                <w:szCs w:val="18"/>
                <w:color w:val="auto"/>
                <w:w w:val="88"/>
              </w:rPr>
              <w:t>May 5, 2010</w:t>
            </w:r>
          </w:p>
        </w:tc>
      </w:tr>
      <w:tr>
        <w:trPr>
          <w:trHeight w:val="601"/>
        </w:trPr>
        <w:tc>
          <w:tcPr>
            <w:tcW w:w="4100" w:type="dxa"/>
            <w:vAlign w:val="bottom"/>
          </w:tcPr>
          <w:p>
            <w:pPr>
              <w:spacing w:after="0"/>
              <w:rPr>
                <w:sz w:val="20"/>
                <w:szCs w:val="20"/>
                <w:color w:val="auto"/>
              </w:rPr>
            </w:pPr>
            <w:r>
              <w:rPr>
                <w:rFonts w:ascii="Arial" w:cs="Arial" w:eastAsia="Arial" w:hAnsi="Arial"/>
                <w:sz w:val="18"/>
                <w:szCs w:val="18"/>
                <w:color w:val="auto"/>
              </w:rPr>
              <w:t>Chief Operating Officer and President (Principal</w:t>
            </w:r>
          </w:p>
        </w:tc>
        <w:tc>
          <w:tcPr>
            <w:tcW w:w="1480" w:type="dxa"/>
            <w:vAlign w:val="bottom"/>
          </w:tcPr>
          <w:p>
            <w:pPr>
              <w:ind w:left="580"/>
              <w:spacing w:after="0"/>
              <w:rPr>
                <w:sz w:val="20"/>
                <w:szCs w:val="20"/>
                <w:color w:val="auto"/>
              </w:rPr>
            </w:pPr>
            <w:r>
              <w:rPr>
                <w:rFonts w:ascii="Arial" w:cs="Arial" w:eastAsia="Arial" w:hAnsi="Arial"/>
                <w:sz w:val="18"/>
                <w:szCs w:val="18"/>
                <w:color w:val="auto"/>
                <w:w w:val="88"/>
              </w:rPr>
              <w:t>May 5, 2010</w:t>
            </w:r>
          </w:p>
        </w:tc>
      </w:tr>
      <w:tr>
        <w:trPr>
          <w:trHeight w:val="222"/>
        </w:trPr>
        <w:tc>
          <w:tcPr>
            <w:tcW w:w="4100" w:type="dxa"/>
            <w:vAlign w:val="bottom"/>
          </w:tcPr>
          <w:p>
            <w:pPr>
              <w:ind w:left="220"/>
              <w:spacing w:after="0"/>
              <w:rPr>
                <w:sz w:val="20"/>
                <w:szCs w:val="20"/>
                <w:color w:val="auto"/>
              </w:rPr>
            </w:pPr>
            <w:r>
              <w:rPr>
                <w:rFonts w:ascii="Arial" w:cs="Arial" w:eastAsia="Arial" w:hAnsi="Arial"/>
                <w:sz w:val="18"/>
                <w:szCs w:val="18"/>
                <w:color w:val="auto"/>
              </w:rPr>
              <w:t>Executive Officer)</w:t>
            </w:r>
          </w:p>
        </w:tc>
        <w:tc>
          <w:tcPr>
            <w:tcW w:w="1480" w:type="dxa"/>
            <w:vAlign w:val="bottom"/>
          </w:tcPr>
          <w:p>
            <w:pPr>
              <w:spacing w:after="0"/>
              <w:rPr>
                <w:sz w:val="19"/>
                <w:szCs w:val="19"/>
                <w:color w:val="auto"/>
              </w:rPr>
            </w:pPr>
          </w:p>
        </w:tc>
      </w:tr>
      <w:tr>
        <w:trPr>
          <w:trHeight w:val="426"/>
        </w:trPr>
        <w:tc>
          <w:tcPr>
            <w:tcW w:w="410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c>
          <w:tcPr>
            <w:tcW w:w="1480" w:type="dxa"/>
            <w:vAlign w:val="bottom"/>
          </w:tcPr>
          <w:p>
            <w:pPr>
              <w:ind w:left="580"/>
              <w:spacing w:after="0"/>
              <w:rPr>
                <w:sz w:val="20"/>
                <w:szCs w:val="20"/>
                <w:color w:val="auto"/>
              </w:rPr>
            </w:pPr>
            <w:r>
              <w:rPr>
                <w:rFonts w:ascii="Arial" w:cs="Arial" w:eastAsia="Arial" w:hAnsi="Arial"/>
                <w:sz w:val="18"/>
                <w:szCs w:val="18"/>
                <w:color w:val="auto"/>
                <w:w w:val="88"/>
              </w:rPr>
              <w:t>May 5, 2010</w:t>
            </w:r>
          </w:p>
        </w:tc>
      </w:tr>
      <w:tr>
        <w:trPr>
          <w:trHeight w:val="222"/>
        </w:trPr>
        <w:tc>
          <w:tcPr>
            <w:tcW w:w="4100" w:type="dxa"/>
            <w:vAlign w:val="bottom"/>
          </w:tcPr>
          <w:p>
            <w:pPr>
              <w:ind w:left="220"/>
              <w:spacing w:after="0"/>
              <w:rPr>
                <w:sz w:val="20"/>
                <w:szCs w:val="20"/>
                <w:color w:val="auto"/>
              </w:rPr>
            </w:pPr>
            <w:r>
              <w:rPr>
                <w:rFonts w:ascii="Arial" w:cs="Arial" w:eastAsia="Arial" w:hAnsi="Arial"/>
                <w:sz w:val="18"/>
                <w:szCs w:val="18"/>
                <w:color w:val="auto"/>
              </w:rPr>
              <w:t>(Principal Financial and Accounting Officer)</w:t>
            </w:r>
          </w:p>
        </w:tc>
        <w:tc>
          <w:tcPr>
            <w:tcW w:w="14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II-25</w:t>
      </w:r>
    </w:p>
    <w:p>
      <w:pPr>
        <w:sectPr>
          <w:pgSz w:w="11900" w:h="16838" w:orient="portrait"/>
          <w:cols w:equalWidth="0" w:num="2">
            <w:col w:w="4540" w:space="720"/>
            <w:col w:w="5580"/>
          </w:cols>
          <w:pgMar w:left="240" w:top="459" w:right="819" w:bottom="1440" w:gutter="0" w:footer="0" w:header="0"/>
          <w:type w:val="continuous"/>
        </w:sectPr>
      </w:pPr>
    </w:p>
    <w:bookmarkStart w:id="321" w:name="page322"/>
    <w:bookmarkEnd w:id="3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Each person whose signature to this registration statement appears below is a member of the Board of Directors of Wynn Resorts, Limited and the Board of Directors of Wynn Las Vegas Capital Corp. and hereby severally constitutes and appoints Stephen A. Wynn, Matt Maddox, John Strzemp and Kim Sinatra, and each of them singly, as his true and lawful attorney-in-fact and agent with full power of substitution and resubstitution for him and in his name, place and stead, and in any and all capacities to sign any and all amendments (including pre-effective and post-effective amendments) to this registration statement, and to file the same with all exhibits thereto, and other documents in connection therewith, with the Securities and Exchange Commission, and hereby grants to each such attorney-in-fact and agent full power and authority to do and perform each and every act and thing requisite and necessary to be done, as fully to all intents and purposes as he might or could do in person, hereby ratifying and confirming all that said attorney-in-fact and agent, or his substitute or substitutes may lawfully do or cause to be done by virtue hereof. Pursuant to the requirements of the Securities Act of 1933, this registration statement has been signed by the following persons in the capacities and on the dates indicated.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20" w:type="dxa"/>
            <w:vAlign w:val="bottom"/>
          </w:tcPr>
          <w:p>
            <w:pPr>
              <w:spacing w:after="0"/>
              <w:rPr>
                <w:sz w:val="14"/>
                <w:szCs w:val="14"/>
                <w:color w:val="auto"/>
              </w:rPr>
            </w:pPr>
          </w:p>
        </w:tc>
        <w:tc>
          <w:tcPr>
            <w:tcW w:w="3600" w:type="dxa"/>
            <w:vAlign w:val="bottom"/>
          </w:tcPr>
          <w:p>
            <w:pPr>
              <w:ind w:left="2040"/>
              <w:spacing w:after="0"/>
              <w:rPr>
                <w:sz w:val="20"/>
                <w:szCs w:val="20"/>
                <w:color w:val="auto"/>
              </w:rPr>
            </w:pPr>
            <w:r>
              <w:rPr>
                <w:rFonts w:ascii="Arial" w:cs="Arial" w:eastAsia="Arial" w:hAnsi="Arial"/>
                <w:sz w:val="14"/>
                <w:szCs w:val="14"/>
                <w:b w:val="1"/>
                <w:bCs w:val="1"/>
                <w:color w:val="auto"/>
              </w:rPr>
              <w:t>Title</w:t>
            </w:r>
          </w:p>
        </w:tc>
        <w:tc>
          <w:tcPr>
            <w:tcW w:w="2200" w:type="dxa"/>
            <w:vAlign w:val="bottom"/>
          </w:tcPr>
          <w:p>
            <w:pPr>
              <w:jc w:val="center"/>
              <w:ind w:left="1214"/>
              <w:spacing w:after="0"/>
              <w:rPr>
                <w:sz w:val="20"/>
                <w:szCs w:val="20"/>
                <w:color w:val="auto"/>
              </w:rPr>
            </w:pPr>
            <w:r>
              <w:rPr>
                <w:rFonts w:ascii="Arial" w:cs="Arial" w:eastAsia="Arial" w:hAnsi="Arial"/>
                <w:sz w:val="14"/>
                <w:szCs w:val="14"/>
                <w:b w:val="1"/>
                <w:bCs w:val="1"/>
                <w:color w:val="auto"/>
                <w:w w:val="85"/>
              </w:rPr>
              <w:t>Date</w:t>
            </w:r>
          </w:p>
        </w:tc>
      </w:tr>
      <w:tr>
        <w:trPr>
          <w:trHeight w:val="425"/>
        </w:trPr>
        <w:tc>
          <w:tcPr>
            <w:tcW w:w="1840" w:type="dxa"/>
            <w:vAlign w:val="bottom"/>
            <w:tcBorders>
              <w:bottom w:val="single" w:sz="8" w:color="auto"/>
            </w:tcBorders>
            <w:gridSpan w:val="2"/>
          </w:tcPr>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200" w:type="dxa"/>
            <w:vAlign w:val="bottom"/>
            <w:tcBorders>
              <w:bottom w:val="single" w:sz="8" w:color="auto"/>
            </w:tcBorders>
            <w:gridSpan w:val="3"/>
          </w:tcPr>
          <w:p>
            <w:pPr>
              <w:jc w:val="center"/>
              <w:ind w:right="1780"/>
              <w:spacing w:after="0"/>
              <w:rPr>
                <w:sz w:val="20"/>
                <w:szCs w:val="20"/>
                <w:color w:val="auto"/>
              </w:rPr>
            </w:pPr>
            <w:r>
              <w:rPr>
                <w:rFonts w:ascii="Arial" w:cs="Arial" w:eastAsia="Arial" w:hAnsi="Arial"/>
                <w:sz w:val="18"/>
                <w:szCs w:val="18"/>
                <w:color w:val="auto"/>
                <w:w w:val="96"/>
              </w:rPr>
              <w:t>S</w:t>
            </w:r>
            <w:r>
              <w:rPr>
                <w:rFonts w:ascii="Arial" w:cs="Arial" w:eastAsia="Arial" w:hAnsi="Arial"/>
                <w:sz w:val="14"/>
                <w:szCs w:val="14"/>
                <w:color w:val="auto"/>
                <w:w w:val="96"/>
              </w:rPr>
              <w:t>TEPHEN</w:t>
            </w:r>
            <w:r>
              <w:rPr>
                <w:rFonts w:ascii="Arial" w:cs="Arial" w:eastAsia="Arial" w:hAnsi="Arial"/>
                <w:sz w:val="18"/>
                <w:szCs w:val="18"/>
                <w:color w:val="auto"/>
                <w:w w:val="96"/>
              </w:rPr>
              <w:t xml:space="preserve"> A. W</w:t>
            </w:r>
            <w:r>
              <w:rPr>
                <w:rFonts w:ascii="Arial" w:cs="Arial" w:eastAsia="Arial" w:hAnsi="Arial"/>
                <w:sz w:val="14"/>
                <w:szCs w:val="14"/>
                <w:color w:val="auto"/>
                <w:w w:val="96"/>
              </w:rPr>
              <w:t>YNN</w:t>
            </w:r>
          </w:p>
        </w:tc>
        <w:tc>
          <w:tcPr>
            <w:tcW w:w="3600" w:type="dxa"/>
            <w:vAlign w:val="bottom"/>
          </w:tcPr>
          <w:p>
            <w:pPr>
              <w:ind w:left="220"/>
              <w:spacing w:after="0"/>
              <w:rPr>
                <w:sz w:val="20"/>
                <w:szCs w:val="20"/>
                <w:color w:val="auto"/>
              </w:rPr>
            </w:pPr>
            <w:r>
              <w:rPr>
                <w:rFonts w:ascii="Arial" w:cs="Arial" w:eastAsia="Arial" w:hAnsi="Arial"/>
                <w:sz w:val="18"/>
                <w:szCs w:val="18"/>
                <w:color w:val="auto"/>
              </w:rPr>
              <w:t>Chairman of the Board</w:t>
            </w:r>
          </w:p>
        </w:tc>
        <w:tc>
          <w:tcPr>
            <w:tcW w:w="2200" w:type="dxa"/>
            <w:vAlign w:val="bottom"/>
          </w:tcPr>
          <w:p>
            <w:pPr>
              <w:jc w:val="center"/>
              <w:ind w:left="1214"/>
              <w:spacing w:after="0"/>
              <w:rPr>
                <w:sz w:val="20"/>
                <w:szCs w:val="20"/>
                <w:color w:val="auto"/>
              </w:rPr>
            </w:pPr>
            <w:r>
              <w:rPr>
                <w:rFonts w:ascii="Arial" w:cs="Arial" w:eastAsia="Arial" w:hAnsi="Arial"/>
                <w:sz w:val="18"/>
                <w:szCs w:val="18"/>
                <w:color w:val="auto"/>
                <w:w w:val="90"/>
              </w:rPr>
              <w:t>May 5, 2010</w:t>
            </w:r>
          </w:p>
        </w:tc>
      </w:tr>
      <w:tr>
        <w:trPr>
          <w:trHeight w:val="169"/>
        </w:trPr>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0" w:type="dxa"/>
            <w:vAlign w:val="bottom"/>
            <w:gridSpan w:val="3"/>
          </w:tcPr>
          <w:p>
            <w:pPr>
              <w:jc w:val="center"/>
              <w:ind w:right="1840"/>
              <w:spacing w:after="0"/>
              <w:rPr>
                <w:sz w:val="20"/>
                <w:szCs w:val="20"/>
                <w:color w:val="auto"/>
              </w:rPr>
            </w:pPr>
            <w:r>
              <w:rPr>
                <w:rFonts w:ascii="Arial" w:cs="Arial" w:eastAsia="Arial" w:hAnsi="Arial"/>
                <w:sz w:val="14"/>
                <w:szCs w:val="14"/>
                <w:b w:val="1"/>
                <w:bCs w:val="1"/>
                <w:color w:val="auto"/>
                <w:w w:val="86"/>
              </w:rPr>
              <w:t>Stephen A. Wynn</w:t>
            </w:r>
          </w:p>
        </w:tc>
        <w:tc>
          <w:tcPr>
            <w:tcW w:w="360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419"/>
        </w:trPr>
        <w:tc>
          <w:tcPr>
            <w:tcW w:w="15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3600" w:type="dxa"/>
            <w:vAlign w:val="bottom"/>
          </w:tcPr>
          <w:p>
            <w:pPr>
              <w:ind w:left="220"/>
              <w:spacing w:after="0"/>
              <w:rPr>
                <w:sz w:val="20"/>
                <w:szCs w:val="20"/>
                <w:color w:val="auto"/>
              </w:rPr>
            </w:pPr>
            <w:r>
              <w:rPr>
                <w:rFonts w:ascii="Arial" w:cs="Arial" w:eastAsia="Arial" w:hAnsi="Arial"/>
                <w:sz w:val="18"/>
                <w:szCs w:val="18"/>
                <w:color w:val="auto"/>
              </w:rPr>
              <w:t>Vice Chairman of the Board</w:t>
            </w:r>
          </w:p>
        </w:tc>
        <w:tc>
          <w:tcPr>
            <w:tcW w:w="2200" w:type="dxa"/>
            <w:vAlign w:val="bottom"/>
          </w:tcPr>
          <w:p>
            <w:pPr>
              <w:spacing w:after="0"/>
              <w:rPr>
                <w:sz w:val="24"/>
                <w:szCs w:val="24"/>
                <w:color w:val="auto"/>
              </w:rPr>
            </w:pPr>
          </w:p>
        </w:tc>
      </w:tr>
      <w:tr>
        <w:trPr>
          <w:trHeight w:val="169"/>
        </w:trPr>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0" w:type="dxa"/>
            <w:vAlign w:val="bottom"/>
            <w:gridSpan w:val="3"/>
          </w:tcPr>
          <w:p>
            <w:pPr>
              <w:jc w:val="center"/>
              <w:ind w:right="1840"/>
              <w:spacing w:after="0"/>
              <w:rPr>
                <w:sz w:val="20"/>
                <w:szCs w:val="20"/>
                <w:color w:val="auto"/>
              </w:rPr>
            </w:pPr>
            <w:r>
              <w:rPr>
                <w:rFonts w:ascii="Arial" w:cs="Arial" w:eastAsia="Arial" w:hAnsi="Arial"/>
                <w:sz w:val="14"/>
                <w:szCs w:val="14"/>
                <w:b w:val="1"/>
                <w:bCs w:val="1"/>
                <w:color w:val="auto"/>
                <w:w w:val="90"/>
              </w:rPr>
              <w:t>Kazuo Okada</w:t>
            </w:r>
          </w:p>
        </w:tc>
        <w:tc>
          <w:tcPr>
            <w:tcW w:w="360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419"/>
        </w:trPr>
        <w:tc>
          <w:tcPr>
            <w:tcW w:w="158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4"/>
          </w:tcPr>
          <w:p>
            <w:pPr>
              <w:ind w:left="1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L</w:t>
            </w:r>
            <w:r>
              <w:rPr>
                <w:rFonts w:ascii="Arial" w:cs="Arial" w:eastAsia="Arial" w:hAnsi="Arial"/>
                <w:sz w:val="14"/>
                <w:szCs w:val="14"/>
                <w:color w:val="auto"/>
              </w:rPr>
              <w:t>INDA</w:t>
            </w:r>
            <w:r>
              <w:rPr>
                <w:rFonts w:ascii="Arial" w:cs="Arial" w:eastAsia="Arial" w:hAnsi="Arial"/>
                <w:sz w:val="18"/>
                <w:szCs w:val="18"/>
                <w:color w:val="auto"/>
              </w:rPr>
              <w:t xml:space="preserve"> C</w:t>
            </w:r>
            <w:r>
              <w:rPr>
                <w:rFonts w:ascii="Arial" w:cs="Arial" w:eastAsia="Arial" w:hAnsi="Arial"/>
                <w:sz w:val="14"/>
                <w:szCs w:val="14"/>
                <w:color w:val="auto"/>
              </w:rPr>
              <w:t>HEN</w:t>
            </w:r>
          </w:p>
        </w:tc>
        <w:tc>
          <w:tcPr>
            <w:tcW w:w="36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00" w:type="dxa"/>
            <w:vAlign w:val="bottom"/>
          </w:tcPr>
          <w:p>
            <w:pPr>
              <w:jc w:val="center"/>
              <w:ind w:left="1214"/>
              <w:spacing w:after="0"/>
              <w:rPr>
                <w:sz w:val="20"/>
                <w:szCs w:val="20"/>
                <w:color w:val="auto"/>
              </w:rPr>
            </w:pPr>
            <w:r>
              <w:rPr>
                <w:rFonts w:ascii="Arial" w:cs="Arial" w:eastAsia="Arial" w:hAnsi="Arial"/>
                <w:sz w:val="18"/>
                <w:szCs w:val="18"/>
                <w:color w:val="auto"/>
                <w:w w:val="90"/>
              </w:rPr>
              <w:t>May 5, 2010</w:t>
            </w:r>
          </w:p>
        </w:tc>
      </w:tr>
      <w:tr>
        <w:trPr>
          <w:trHeight w:val="169"/>
        </w:trPr>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0" w:type="dxa"/>
            <w:vAlign w:val="bottom"/>
            <w:gridSpan w:val="3"/>
          </w:tcPr>
          <w:p>
            <w:pPr>
              <w:jc w:val="center"/>
              <w:ind w:right="1840"/>
              <w:spacing w:after="0"/>
              <w:rPr>
                <w:sz w:val="20"/>
                <w:szCs w:val="20"/>
                <w:color w:val="auto"/>
              </w:rPr>
            </w:pPr>
            <w:r>
              <w:rPr>
                <w:rFonts w:ascii="Arial" w:cs="Arial" w:eastAsia="Arial" w:hAnsi="Arial"/>
                <w:sz w:val="14"/>
                <w:szCs w:val="14"/>
                <w:b w:val="1"/>
                <w:bCs w:val="1"/>
                <w:color w:val="auto"/>
                <w:w w:val="89"/>
              </w:rPr>
              <w:t>Linda Chen</w:t>
            </w:r>
          </w:p>
        </w:tc>
        <w:tc>
          <w:tcPr>
            <w:tcW w:w="360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419"/>
        </w:trPr>
        <w:tc>
          <w:tcPr>
            <w:tcW w:w="158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346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USSELL</w:t>
            </w:r>
            <w:r>
              <w:rPr>
                <w:rFonts w:ascii="Arial" w:cs="Arial" w:eastAsia="Arial" w:hAnsi="Arial"/>
                <w:sz w:val="18"/>
                <w:szCs w:val="18"/>
                <w:color w:val="auto"/>
              </w:rPr>
              <w:t xml:space="preserve"> G</w:t>
            </w:r>
            <w:r>
              <w:rPr>
                <w:rFonts w:ascii="Arial" w:cs="Arial" w:eastAsia="Arial" w:hAnsi="Arial"/>
                <w:sz w:val="14"/>
                <w:szCs w:val="14"/>
                <w:color w:val="auto"/>
              </w:rPr>
              <w:t>OLDSMITH</w:t>
            </w:r>
          </w:p>
        </w:tc>
        <w:tc>
          <w:tcPr>
            <w:tcW w:w="36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00" w:type="dxa"/>
            <w:vAlign w:val="bottom"/>
          </w:tcPr>
          <w:p>
            <w:pPr>
              <w:jc w:val="center"/>
              <w:ind w:left="1214"/>
              <w:spacing w:after="0"/>
              <w:rPr>
                <w:sz w:val="20"/>
                <w:szCs w:val="20"/>
                <w:color w:val="auto"/>
              </w:rPr>
            </w:pPr>
            <w:r>
              <w:rPr>
                <w:rFonts w:ascii="Arial" w:cs="Arial" w:eastAsia="Arial" w:hAnsi="Arial"/>
                <w:sz w:val="18"/>
                <w:szCs w:val="18"/>
                <w:color w:val="auto"/>
                <w:w w:val="90"/>
              </w:rPr>
              <w:t>May 5, 2010</w:t>
            </w:r>
          </w:p>
        </w:tc>
      </w:tr>
      <w:tr>
        <w:trPr>
          <w:trHeight w:val="169"/>
        </w:trPr>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0" w:type="dxa"/>
            <w:vAlign w:val="bottom"/>
            <w:gridSpan w:val="3"/>
          </w:tcPr>
          <w:p>
            <w:pPr>
              <w:jc w:val="center"/>
              <w:ind w:right="1840"/>
              <w:spacing w:after="0"/>
              <w:rPr>
                <w:sz w:val="20"/>
                <w:szCs w:val="20"/>
                <w:color w:val="auto"/>
              </w:rPr>
            </w:pPr>
            <w:r>
              <w:rPr>
                <w:rFonts w:ascii="Arial" w:cs="Arial" w:eastAsia="Arial" w:hAnsi="Arial"/>
                <w:sz w:val="14"/>
                <w:szCs w:val="14"/>
                <w:b w:val="1"/>
                <w:bCs w:val="1"/>
                <w:color w:val="auto"/>
                <w:w w:val="84"/>
              </w:rPr>
              <w:t>Russell Goldsmith</w:t>
            </w:r>
          </w:p>
        </w:tc>
        <w:tc>
          <w:tcPr>
            <w:tcW w:w="360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419"/>
        </w:trPr>
        <w:tc>
          <w:tcPr>
            <w:tcW w:w="15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3200" w:type="dxa"/>
            <w:vAlign w:val="bottom"/>
            <w:tcBorders>
              <w:bottom w:val="single" w:sz="8" w:color="auto"/>
            </w:tcBorders>
            <w:gridSpan w:val="3"/>
          </w:tcPr>
          <w:p>
            <w:pPr>
              <w:jc w:val="center"/>
              <w:ind w:right="178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R</w:t>
            </w:r>
            <w:r>
              <w:rPr>
                <w:rFonts w:ascii="Arial" w:cs="Arial" w:eastAsia="Arial" w:hAnsi="Arial"/>
                <w:sz w:val="18"/>
                <w:szCs w:val="18"/>
                <w:color w:val="auto"/>
              </w:rPr>
              <w:t>. R</w:t>
            </w:r>
            <w:r>
              <w:rPr>
                <w:rFonts w:ascii="Arial" w:cs="Arial" w:eastAsia="Arial" w:hAnsi="Arial"/>
                <w:sz w:val="14"/>
                <w:szCs w:val="14"/>
                <w:color w:val="auto"/>
              </w:rPr>
              <w:t>AY</w:t>
            </w:r>
            <w:r>
              <w:rPr>
                <w:rFonts w:ascii="Arial" w:cs="Arial" w:eastAsia="Arial" w:hAnsi="Arial"/>
                <w:sz w:val="18"/>
                <w:szCs w:val="18"/>
                <w:color w:val="auto"/>
              </w:rPr>
              <w:t xml:space="preserve"> I</w:t>
            </w:r>
            <w:r>
              <w:rPr>
                <w:rFonts w:ascii="Arial" w:cs="Arial" w:eastAsia="Arial" w:hAnsi="Arial"/>
                <w:sz w:val="14"/>
                <w:szCs w:val="14"/>
                <w:color w:val="auto"/>
              </w:rPr>
              <w:t>RANI</w:t>
            </w:r>
          </w:p>
        </w:tc>
        <w:tc>
          <w:tcPr>
            <w:tcW w:w="36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00" w:type="dxa"/>
            <w:vAlign w:val="bottom"/>
          </w:tcPr>
          <w:p>
            <w:pPr>
              <w:jc w:val="center"/>
              <w:ind w:left="1214"/>
              <w:spacing w:after="0"/>
              <w:rPr>
                <w:sz w:val="20"/>
                <w:szCs w:val="20"/>
                <w:color w:val="auto"/>
              </w:rPr>
            </w:pPr>
            <w:r>
              <w:rPr>
                <w:rFonts w:ascii="Arial" w:cs="Arial" w:eastAsia="Arial" w:hAnsi="Arial"/>
                <w:sz w:val="18"/>
                <w:szCs w:val="18"/>
                <w:color w:val="auto"/>
                <w:w w:val="90"/>
              </w:rPr>
              <w:t>May 5, 2010</w:t>
            </w:r>
          </w:p>
        </w:tc>
      </w:tr>
      <w:tr>
        <w:trPr>
          <w:trHeight w:val="169"/>
        </w:trPr>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0" w:type="dxa"/>
            <w:vAlign w:val="bottom"/>
            <w:gridSpan w:val="3"/>
          </w:tcPr>
          <w:p>
            <w:pPr>
              <w:jc w:val="center"/>
              <w:ind w:right="1840"/>
              <w:spacing w:after="0"/>
              <w:rPr>
                <w:sz w:val="20"/>
                <w:szCs w:val="20"/>
                <w:color w:val="auto"/>
              </w:rPr>
            </w:pPr>
            <w:r>
              <w:rPr>
                <w:rFonts w:ascii="Arial" w:cs="Arial" w:eastAsia="Arial" w:hAnsi="Arial"/>
                <w:sz w:val="14"/>
                <w:szCs w:val="14"/>
                <w:b w:val="1"/>
                <w:bCs w:val="1"/>
                <w:color w:val="auto"/>
                <w:w w:val="91"/>
              </w:rPr>
              <w:t>Dr. Ray R. Irani</w:t>
            </w:r>
          </w:p>
        </w:tc>
        <w:tc>
          <w:tcPr>
            <w:tcW w:w="360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419"/>
        </w:trPr>
        <w:tc>
          <w:tcPr>
            <w:tcW w:w="1840" w:type="dxa"/>
            <w:vAlign w:val="bottom"/>
            <w:tcBorders>
              <w:bottom w:val="single" w:sz="8" w:color="auto"/>
            </w:tcBorders>
            <w:gridSpan w:val="2"/>
          </w:tcPr>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200" w:type="dxa"/>
            <w:vAlign w:val="bottom"/>
            <w:tcBorders>
              <w:bottom w:val="single" w:sz="8" w:color="auto"/>
            </w:tcBorders>
            <w:gridSpan w:val="3"/>
          </w:tcPr>
          <w:p>
            <w:pPr>
              <w:jc w:val="center"/>
              <w:ind w:right="1780"/>
              <w:spacing w:after="0"/>
              <w:rPr>
                <w:sz w:val="20"/>
                <w:szCs w:val="20"/>
                <w:color w:val="auto"/>
              </w:rPr>
            </w:pPr>
            <w:r>
              <w:rPr>
                <w:rFonts w:ascii="Arial" w:cs="Arial" w:eastAsia="Arial" w:hAnsi="Arial"/>
                <w:sz w:val="18"/>
                <w:szCs w:val="18"/>
                <w:color w:val="auto"/>
                <w:w w:val="96"/>
              </w:rPr>
              <w:t>R</w:t>
            </w:r>
            <w:r>
              <w:rPr>
                <w:rFonts w:ascii="Arial" w:cs="Arial" w:eastAsia="Arial" w:hAnsi="Arial"/>
                <w:sz w:val="14"/>
                <w:szCs w:val="14"/>
                <w:color w:val="auto"/>
                <w:w w:val="96"/>
              </w:rPr>
              <w:t>OBERT</w:t>
            </w:r>
            <w:r>
              <w:rPr>
                <w:rFonts w:ascii="Arial" w:cs="Arial" w:eastAsia="Arial" w:hAnsi="Arial"/>
                <w:sz w:val="18"/>
                <w:szCs w:val="18"/>
                <w:color w:val="auto"/>
                <w:w w:val="96"/>
              </w:rPr>
              <w:t xml:space="preserve"> J. M</w:t>
            </w:r>
            <w:r>
              <w:rPr>
                <w:rFonts w:ascii="Arial" w:cs="Arial" w:eastAsia="Arial" w:hAnsi="Arial"/>
                <w:sz w:val="14"/>
                <w:szCs w:val="14"/>
                <w:color w:val="auto"/>
                <w:w w:val="96"/>
              </w:rPr>
              <w:t>ILLER</w:t>
            </w:r>
          </w:p>
        </w:tc>
        <w:tc>
          <w:tcPr>
            <w:tcW w:w="36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00" w:type="dxa"/>
            <w:vAlign w:val="bottom"/>
          </w:tcPr>
          <w:p>
            <w:pPr>
              <w:jc w:val="center"/>
              <w:ind w:left="1214"/>
              <w:spacing w:after="0"/>
              <w:rPr>
                <w:sz w:val="20"/>
                <w:szCs w:val="20"/>
                <w:color w:val="auto"/>
              </w:rPr>
            </w:pPr>
            <w:r>
              <w:rPr>
                <w:rFonts w:ascii="Arial" w:cs="Arial" w:eastAsia="Arial" w:hAnsi="Arial"/>
                <w:sz w:val="18"/>
                <w:szCs w:val="18"/>
                <w:color w:val="auto"/>
                <w:w w:val="90"/>
              </w:rPr>
              <w:t>May 5, 2010</w:t>
            </w:r>
          </w:p>
        </w:tc>
      </w:tr>
      <w:tr>
        <w:trPr>
          <w:trHeight w:val="169"/>
        </w:trPr>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0" w:type="dxa"/>
            <w:vAlign w:val="bottom"/>
            <w:gridSpan w:val="3"/>
          </w:tcPr>
          <w:p>
            <w:pPr>
              <w:jc w:val="center"/>
              <w:ind w:right="1840"/>
              <w:spacing w:after="0"/>
              <w:rPr>
                <w:sz w:val="20"/>
                <w:szCs w:val="20"/>
                <w:color w:val="auto"/>
              </w:rPr>
            </w:pPr>
            <w:r>
              <w:rPr>
                <w:rFonts w:ascii="Arial" w:cs="Arial" w:eastAsia="Arial" w:hAnsi="Arial"/>
                <w:sz w:val="14"/>
                <w:szCs w:val="14"/>
                <w:b w:val="1"/>
                <w:bCs w:val="1"/>
                <w:color w:val="auto"/>
                <w:w w:val="90"/>
              </w:rPr>
              <w:t>Robert J. Miller</w:t>
            </w:r>
          </w:p>
        </w:tc>
        <w:tc>
          <w:tcPr>
            <w:tcW w:w="360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419"/>
        </w:trPr>
        <w:tc>
          <w:tcPr>
            <w:tcW w:w="15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200" w:type="dxa"/>
            <w:vAlign w:val="bottom"/>
            <w:tcBorders>
              <w:bottom w:val="single" w:sz="8" w:color="auto"/>
            </w:tcBorders>
            <w:gridSpan w:val="3"/>
          </w:tcPr>
          <w:p>
            <w:pPr>
              <w:jc w:val="center"/>
              <w:ind w:right="1780"/>
              <w:spacing w:after="0"/>
              <w:rPr>
                <w:sz w:val="20"/>
                <w:szCs w:val="20"/>
                <w:color w:val="auto"/>
              </w:rPr>
            </w:pPr>
            <w:r>
              <w:rPr>
                <w:rFonts w:ascii="Arial" w:cs="Arial" w:eastAsia="Arial" w:hAnsi="Arial"/>
                <w:sz w:val="18"/>
                <w:szCs w:val="18"/>
                <w:color w:val="auto"/>
                <w:w w:val="99"/>
              </w:rPr>
              <w:t>J</w:t>
            </w:r>
            <w:r>
              <w:rPr>
                <w:rFonts w:ascii="Arial" w:cs="Arial" w:eastAsia="Arial" w:hAnsi="Arial"/>
                <w:sz w:val="14"/>
                <w:szCs w:val="14"/>
                <w:color w:val="auto"/>
                <w:w w:val="99"/>
              </w:rPr>
              <w:t>OHN</w:t>
            </w:r>
            <w:r>
              <w:rPr>
                <w:rFonts w:ascii="Arial" w:cs="Arial" w:eastAsia="Arial" w:hAnsi="Arial"/>
                <w:sz w:val="18"/>
                <w:szCs w:val="18"/>
                <w:color w:val="auto"/>
                <w:w w:val="99"/>
              </w:rPr>
              <w:t xml:space="preserve"> A. M</w:t>
            </w:r>
            <w:r>
              <w:rPr>
                <w:rFonts w:ascii="Arial" w:cs="Arial" w:eastAsia="Arial" w:hAnsi="Arial"/>
                <w:sz w:val="14"/>
                <w:szCs w:val="14"/>
                <w:color w:val="auto"/>
                <w:w w:val="99"/>
              </w:rPr>
              <w:t>ORAN</w:t>
            </w:r>
          </w:p>
        </w:tc>
        <w:tc>
          <w:tcPr>
            <w:tcW w:w="36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00" w:type="dxa"/>
            <w:vAlign w:val="bottom"/>
          </w:tcPr>
          <w:p>
            <w:pPr>
              <w:jc w:val="center"/>
              <w:ind w:left="1214"/>
              <w:spacing w:after="0"/>
              <w:rPr>
                <w:sz w:val="20"/>
                <w:szCs w:val="20"/>
                <w:color w:val="auto"/>
              </w:rPr>
            </w:pPr>
            <w:r>
              <w:rPr>
                <w:rFonts w:ascii="Arial" w:cs="Arial" w:eastAsia="Arial" w:hAnsi="Arial"/>
                <w:sz w:val="18"/>
                <w:szCs w:val="18"/>
                <w:color w:val="auto"/>
                <w:w w:val="90"/>
              </w:rPr>
              <w:t>May 5, 2010</w:t>
            </w:r>
          </w:p>
        </w:tc>
      </w:tr>
      <w:tr>
        <w:trPr>
          <w:trHeight w:val="169"/>
        </w:trPr>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0" w:type="dxa"/>
            <w:vAlign w:val="bottom"/>
            <w:gridSpan w:val="3"/>
          </w:tcPr>
          <w:p>
            <w:pPr>
              <w:jc w:val="center"/>
              <w:ind w:right="1840"/>
              <w:spacing w:after="0"/>
              <w:rPr>
                <w:sz w:val="20"/>
                <w:szCs w:val="20"/>
                <w:color w:val="auto"/>
              </w:rPr>
            </w:pPr>
            <w:r>
              <w:rPr>
                <w:rFonts w:ascii="Arial" w:cs="Arial" w:eastAsia="Arial" w:hAnsi="Arial"/>
                <w:sz w:val="14"/>
                <w:szCs w:val="14"/>
                <w:b w:val="1"/>
                <w:bCs w:val="1"/>
                <w:color w:val="auto"/>
                <w:w w:val="90"/>
              </w:rPr>
              <w:t>John A. Moran</w:t>
            </w:r>
          </w:p>
        </w:tc>
        <w:tc>
          <w:tcPr>
            <w:tcW w:w="360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419"/>
        </w:trPr>
        <w:tc>
          <w:tcPr>
            <w:tcW w:w="1580" w:type="dxa"/>
            <w:vAlign w:val="bottom"/>
            <w:tcBorders>
              <w:bottom w:val="single" w:sz="8" w:color="auto"/>
            </w:tcBorders>
          </w:tcPr>
          <w:p>
            <w:pPr>
              <w:ind w:left="138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3460" w:type="dxa"/>
            <w:vAlign w:val="bottom"/>
            <w:tcBorders>
              <w:bottom w:val="single" w:sz="8" w:color="auto"/>
            </w:tcBorders>
            <w:gridSpan w:val="4"/>
          </w:tcPr>
          <w:p>
            <w:pPr>
              <w:jc w:val="center"/>
              <w:ind w:right="1520"/>
              <w:spacing w:after="0"/>
              <w:rPr>
                <w:sz w:val="20"/>
                <w:szCs w:val="20"/>
                <w:color w:val="auto"/>
              </w:rPr>
            </w:pPr>
            <w:r>
              <w:rPr>
                <w:rFonts w:ascii="Arial" w:cs="Arial" w:eastAsia="Arial" w:hAnsi="Arial"/>
                <w:sz w:val="18"/>
                <w:szCs w:val="18"/>
                <w:color w:val="auto"/>
                <w:w w:val="99"/>
              </w:rPr>
              <w:t>A</w:t>
            </w:r>
            <w:r>
              <w:rPr>
                <w:rFonts w:ascii="Arial" w:cs="Arial" w:eastAsia="Arial" w:hAnsi="Arial"/>
                <w:sz w:val="14"/>
                <w:szCs w:val="14"/>
                <w:color w:val="auto"/>
                <w:w w:val="99"/>
              </w:rPr>
              <w:t>LVIN</w:t>
            </w:r>
            <w:r>
              <w:rPr>
                <w:rFonts w:ascii="Arial" w:cs="Arial" w:eastAsia="Arial" w:hAnsi="Arial"/>
                <w:sz w:val="18"/>
                <w:szCs w:val="18"/>
                <w:color w:val="auto"/>
                <w:w w:val="99"/>
              </w:rPr>
              <w:t xml:space="preserve"> V. S</w:t>
            </w:r>
            <w:r>
              <w:rPr>
                <w:rFonts w:ascii="Arial" w:cs="Arial" w:eastAsia="Arial" w:hAnsi="Arial"/>
                <w:sz w:val="14"/>
                <w:szCs w:val="14"/>
                <w:color w:val="auto"/>
                <w:w w:val="99"/>
              </w:rPr>
              <w:t>HOEMAKER</w:t>
            </w:r>
          </w:p>
        </w:tc>
        <w:tc>
          <w:tcPr>
            <w:tcW w:w="36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00" w:type="dxa"/>
            <w:vAlign w:val="bottom"/>
          </w:tcPr>
          <w:p>
            <w:pPr>
              <w:jc w:val="center"/>
              <w:ind w:left="1214"/>
              <w:spacing w:after="0"/>
              <w:rPr>
                <w:sz w:val="20"/>
                <w:szCs w:val="20"/>
                <w:color w:val="auto"/>
              </w:rPr>
            </w:pPr>
            <w:r>
              <w:rPr>
                <w:rFonts w:ascii="Arial" w:cs="Arial" w:eastAsia="Arial" w:hAnsi="Arial"/>
                <w:sz w:val="18"/>
                <w:szCs w:val="18"/>
                <w:color w:val="auto"/>
                <w:w w:val="90"/>
              </w:rPr>
              <w:t>May 5, 2010</w:t>
            </w:r>
          </w:p>
        </w:tc>
      </w:tr>
      <w:tr>
        <w:trPr>
          <w:trHeight w:val="169"/>
        </w:trPr>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0" w:type="dxa"/>
            <w:vAlign w:val="bottom"/>
            <w:gridSpan w:val="3"/>
          </w:tcPr>
          <w:p>
            <w:pPr>
              <w:jc w:val="center"/>
              <w:ind w:right="1840"/>
              <w:spacing w:after="0"/>
              <w:rPr>
                <w:sz w:val="20"/>
                <w:szCs w:val="20"/>
                <w:color w:val="auto"/>
              </w:rPr>
            </w:pPr>
            <w:r>
              <w:rPr>
                <w:rFonts w:ascii="Arial" w:cs="Arial" w:eastAsia="Arial" w:hAnsi="Arial"/>
                <w:sz w:val="14"/>
                <w:szCs w:val="14"/>
                <w:b w:val="1"/>
                <w:bCs w:val="1"/>
                <w:color w:val="auto"/>
                <w:w w:val="88"/>
              </w:rPr>
              <w:t>Alvin V. Shoemaker</w:t>
            </w:r>
          </w:p>
        </w:tc>
        <w:tc>
          <w:tcPr>
            <w:tcW w:w="360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419"/>
        </w:trPr>
        <w:tc>
          <w:tcPr>
            <w:tcW w:w="15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20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color w:val="auto"/>
              </w:rPr>
              <w:t>D. B</w:t>
            </w:r>
            <w:r>
              <w:rPr>
                <w:rFonts w:ascii="Arial" w:cs="Arial" w:eastAsia="Arial" w:hAnsi="Arial"/>
                <w:sz w:val="14"/>
                <w:szCs w:val="14"/>
                <w:color w:val="auto"/>
              </w:rPr>
              <w:t>OONE</w:t>
            </w:r>
            <w:r>
              <w:rPr>
                <w:rFonts w:ascii="Arial" w:cs="Arial" w:eastAsia="Arial" w:hAnsi="Arial"/>
                <w:sz w:val="18"/>
                <w:szCs w:val="18"/>
                <w:color w:val="auto"/>
              </w:rPr>
              <w:t xml:space="preserve"> W</w:t>
            </w:r>
            <w:r>
              <w:rPr>
                <w:rFonts w:ascii="Arial" w:cs="Arial" w:eastAsia="Arial" w:hAnsi="Arial"/>
                <w:sz w:val="14"/>
                <w:szCs w:val="14"/>
                <w:color w:val="auto"/>
              </w:rPr>
              <w:t>AYSON</w:t>
            </w:r>
          </w:p>
        </w:tc>
        <w:tc>
          <w:tcPr>
            <w:tcW w:w="36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00" w:type="dxa"/>
            <w:vAlign w:val="bottom"/>
          </w:tcPr>
          <w:p>
            <w:pPr>
              <w:jc w:val="center"/>
              <w:ind w:left="1214"/>
              <w:spacing w:after="0"/>
              <w:rPr>
                <w:sz w:val="20"/>
                <w:szCs w:val="20"/>
                <w:color w:val="auto"/>
              </w:rPr>
            </w:pPr>
            <w:r>
              <w:rPr>
                <w:rFonts w:ascii="Arial" w:cs="Arial" w:eastAsia="Arial" w:hAnsi="Arial"/>
                <w:sz w:val="18"/>
                <w:szCs w:val="18"/>
                <w:color w:val="auto"/>
                <w:w w:val="90"/>
              </w:rPr>
              <w:t>May 5, 2010</w:t>
            </w:r>
          </w:p>
        </w:tc>
      </w:tr>
      <w:tr>
        <w:trPr>
          <w:trHeight w:val="169"/>
        </w:trPr>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0" w:type="dxa"/>
            <w:vAlign w:val="bottom"/>
            <w:gridSpan w:val="3"/>
          </w:tcPr>
          <w:p>
            <w:pPr>
              <w:jc w:val="center"/>
              <w:ind w:right="1840"/>
              <w:spacing w:after="0"/>
              <w:rPr>
                <w:sz w:val="20"/>
                <w:szCs w:val="20"/>
                <w:color w:val="auto"/>
              </w:rPr>
            </w:pPr>
            <w:r>
              <w:rPr>
                <w:rFonts w:ascii="Arial" w:cs="Arial" w:eastAsia="Arial" w:hAnsi="Arial"/>
                <w:sz w:val="14"/>
                <w:szCs w:val="14"/>
                <w:b w:val="1"/>
                <w:bCs w:val="1"/>
                <w:color w:val="auto"/>
                <w:w w:val="83"/>
              </w:rPr>
              <w:t>D. Boone Wayson</w:t>
            </w:r>
          </w:p>
        </w:tc>
        <w:tc>
          <w:tcPr>
            <w:tcW w:w="360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419"/>
        </w:trPr>
        <w:tc>
          <w:tcPr>
            <w:tcW w:w="1840" w:type="dxa"/>
            <w:vAlign w:val="bottom"/>
            <w:tcBorders>
              <w:bottom w:val="single" w:sz="8" w:color="auto"/>
            </w:tcBorders>
            <w:gridSpan w:val="2"/>
          </w:tcPr>
          <w:p>
            <w:pPr>
              <w:ind w:left="15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200" w:type="dxa"/>
            <w:vAlign w:val="bottom"/>
            <w:tcBorders>
              <w:bottom w:val="single" w:sz="8" w:color="auto"/>
            </w:tcBorders>
            <w:gridSpan w:val="3"/>
          </w:tcPr>
          <w:p>
            <w:pPr>
              <w:jc w:val="center"/>
              <w:ind w:right="1780"/>
              <w:spacing w:after="0"/>
              <w:rPr>
                <w:sz w:val="20"/>
                <w:szCs w:val="20"/>
                <w:color w:val="auto"/>
              </w:rPr>
            </w:pPr>
            <w:r>
              <w:rPr>
                <w:rFonts w:ascii="Arial" w:cs="Arial" w:eastAsia="Arial" w:hAnsi="Arial"/>
                <w:sz w:val="18"/>
                <w:szCs w:val="18"/>
                <w:color w:val="auto"/>
                <w:w w:val="96"/>
              </w:rPr>
              <w:t>E</w:t>
            </w:r>
            <w:r>
              <w:rPr>
                <w:rFonts w:ascii="Arial" w:cs="Arial" w:eastAsia="Arial" w:hAnsi="Arial"/>
                <w:sz w:val="14"/>
                <w:szCs w:val="14"/>
                <w:color w:val="auto"/>
                <w:w w:val="96"/>
              </w:rPr>
              <w:t>LAINE</w:t>
            </w:r>
            <w:r>
              <w:rPr>
                <w:rFonts w:ascii="Arial" w:cs="Arial" w:eastAsia="Arial" w:hAnsi="Arial"/>
                <w:sz w:val="18"/>
                <w:szCs w:val="18"/>
                <w:color w:val="auto"/>
                <w:w w:val="96"/>
              </w:rPr>
              <w:t xml:space="preserve"> P. W</w:t>
            </w:r>
            <w:r>
              <w:rPr>
                <w:rFonts w:ascii="Arial" w:cs="Arial" w:eastAsia="Arial" w:hAnsi="Arial"/>
                <w:sz w:val="14"/>
                <w:szCs w:val="14"/>
                <w:color w:val="auto"/>
                <w:w w:val="96"/>
              </w:rPr>
              <w:t>YNN</w:t>
            </w:r>
          </w:p>
        </w:tc>
        <w:tc>
          <w:tcPr>
            <w:tcW w:w="36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00" w:type="dxa"/>
            <w:vAlign w:val="bottom"/>
          </w:tcPr>
          <w:p>
            <w:pPr>
              <w:jc w:val="center"/>
              <w:ind w:left="1214"/>
              <w:spacing w:after="0"/>
              <w:rPr>
                <w:sz w:val="20"/>
                <w:szCs w:val="20"/>
                <w:color w:val="auto"/>
              </w:rPr>
            </w:pPr>
            <w:r>
              <w:rPr>
                <w:rFonts w:ascii="Arial" w:cs="Arial" w:eastAsia="Arial" w:hAnsi="Arial"/>
                <w:sz w:val="18"/>
                <w:szCs w:val="18"/>
                <w:color w:val="auto"/>
                <w:w w:val="90"/>
              </w:rPr>
              <w:t>May 5, 2010</w:t>
            </w:r>
          </w:p>
        </w:tc>
      </w:tr>
      <w:tr>
        <w:trPr>
          <w:trHeight w:val="169"/>
        </w:trPr>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0" w:type="dxa"/>
            <w:vAlign w:val="bottom"/>
            <w:gridSpan w:val="3"/>
          </w:tcPr>
          <w:p>
            <w:pPr>
              <w:jc w:val="center"/>
              <w:ind w:right="1840"/>
              <w:spacing w:after="0"/>
              <w:rPr>
                <w:sz w:val="20"/>
                <w:szCs w:val="20"/>
                <w:color w:val="auto"/>
              </w:rPr>
            </w:pPr>
            <w:r>
              <w:rPr>
                <w:rFonts w:ascii="Arial" w:cs="Arial" w:eastAsia="Arial" w:hAnsi="Arial"/>
                <w:sz w:val="14"/>
                <w:szCs w:val="14"/>
                <w:b w:val="1"/>
                <w:bCs w:val="1"/>
                <w:color w:val="auto"/>
                <w:w w:val="87"/>
              </w:rPr>
              <w:t>Elaine P. Wynn</w:t>
            </w:r>
          </w:p>
        </w:tc>
        <w:tc>
          <w:tcPr>
            <w:tcW w:w="360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419"/>
        </w:trPr>
        <w:tc>
          <w:tcPr>
            <w:tcW w:w="15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3200" w:type="dxa"/>
            <w:vAlign w:val="bottom"/>
            <w:tcBorders>
              <w:bottom w:val="single" w:sz="8" w:color="auto"/>
            </w:tcBorders>
            <w:gridSpan w:val="3"/>
          </w:tcPr>
          <w:p>
            <w:pPr>
              <w:jc w:val="center"/>
              <w:ind w:right="178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LLAN</w:t>
            </w:r>
            <w:r>
              <w:rPr>
                <w:rFonts w:ascii="Arial" w:cs="Arial" w:eastAsia="Arial" w:hAnsi="Arial"/>
                <w:sz w:val="18"/>
                <w:szCs w:val="18"/>
                <w:color w:val="auto"/>
              </w:rPr>
              <w:t xml:space="preserve"> Z</w:t>
            </w:r>
            <w:r>
              <w:rPr>
                <w:rFonts w:ascii="Arial" w:cs="Arial" w:eastAsia="Arial" w:hAnsi="Arial"/>
                <w:sz w:val="14"/>
                <w:szCs w:val="14"/>
                <w:color w:val="auto"/>
              </w:rPr>
              <w:t>EMAN</w:t>
            </w:r>
          </w:p>
        </w:tc>
        <w:tc>
          <w:tcPr>
            <w:tcW w:w="36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200" w:type="dxa"/>
            <w:vAlign w:val="bottom"/>
          </w:tcPr>
          <w:p>
            <w:pPr>
              <w:jc w:val="center"/>
              <w:ind w:left="1214"/>
              <w:spacing w:after="0"/>
              <w:rPr>
                <w:sz w:val="20"/>
                <w:szCs w:val="20"/>
                <w:color w:val="auto"/>
              </w:rPr>
            </w:pPr>
            <w:r>
              <w:rPr>
                <w:rFonts w:ascii="Arial" w:cs="Arial" w:eastAsia="Arial" w:hAnsi="Arial"/>
                <w:sz w:val="18"/>
                <w:szCs w:val="18"/>
                <w:color w:val="auto"/>
                <w:w w:val="90"/>
              </w:rPr>
              <w:t>May 5, 2010</w:t>
            </w:r>
          </w:p>
        </w:tc>
      </w:tr>
      <w:tr>
        <w:trPr>
          <w:trHeight w:val="169"/>
        </w:trPr>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0" w:type="dxa"/>
            <w:vAlign w:val="bottom"/>
            <w:gridSpan w:val="3"/>
          </w:tcPr>
          <w:p>
            <w:pPr>
              <w:jc w:val="center"/>
              <w:ind w:right="1840"/>
              <w:spacing w:after="0"/>
              <w:rPr>
                <w:sz w:val="20"/>
                <w:szCs w:val="20"/>
                <w:color w:val="auto"/>
              </w:rPr>
            </w:pPr>
            <w:r>
              <w:rPr>
                <w:rFonts w:ascii="Arial" w:cs="Arial" w:eastAsia="Arial" w:hAnsi="Arial"/>
                <w:sz w:val="14"/>
                <w:szCs w:val="14"/>
                <w:b w:val="1"/>
                <w:bCs w:val="1"/>
                <w:color w:val="auto"/>
                <w:w w:val="91"/>
              </w:rPr>
              <w:t>Allan Zeman</w:t>
            </w:r>
          </w:p>
        </w:tc>
        <w:tc>
          <w:tcPr>
            <w:tcW w:w="360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350"/>
        </w:trPr>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600" w:type="dxa"/>
            <w:vAlign w:val="bottom"/>
          </w:tcPr>
          <w:p>
            <w:pPr>
              <w:ind w:left="500"/>
              <w:spacing w:after="0"/>
              <w:rPr>
                <w:sz w:val="20"/>
                <w:szCs w:val="20"/>
                <w:color w:val="auto"/>
              </w:rPr>
            </w:pPr>
            <w:r>
              <w:rPr>
                <w:rFonts w:ascii="Arial" w:cs="Arial" w:eastAsia="Arial" w:hAnsi="Arial"/>
                <w:sz w:val="18"/>
                <w:szCs w:val="18"/>
                <w:color w:val="auto"/>
              </w:rPr>
              <w:t>II-26</w:t>
            </w:r>
          </w:p>
        </w:tc>
        <w:tc>
          <w:tcPr>
            <w:tcW w:w="2200" w:type="dxa"/>
            <w:vAlign w:val="bottom"/>
          </w:tcPr>
          <w:p>
            <w:pPr>
              <w:spacing w:after="0"/>
              <w:rPr>
                <w:sz w:val="24"/>
                <w:szCs w:val="24"/>
                <w:color w:val="auto"/>
              </w:rPr>
            </w:pPr>
          </w:p>
        </w:tc>
      </w:tr>
    </w:tbl>
    <w:p>
      <w:pPr>
        <w:sectPr>
          <w:pgSz w:w="11900" w:h="16838" w:orient="portrait"/>
          <w:cols w:equalWidth="0" w:num="1">
            <w:col w:w="11400"/>
          </w:cols>
          <w:pgMar w:left="240" w:top="460" w:right="259" w:bottom="1440" w:gutter="0" w:footer="0" w:header="0"/>
        </w:sectPr>
      </w:pPr>
    </w:p>
    <w:bookmarkStart w:id="322" w:name="page323"/>
    <w:bookmarkEnd w:id="3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10860" w:type="dxa"/>
            <w:vAlign w:val="bottom"/>
            <w:gridSpan w:val="3"/>
          </w:tcPr>
          <w:p>
            <w:pPr>
              <w:ind w:left="4380"/>
              <w:spacing w:after="0"/>
              <w:rPr>
                <w:sz w:val="20"/>
                <w:szCs w:val="20"/>
                <w:color w:val="auto"/>
              </w:rPr>
            </w:pPr>
            <w:r>
              <w:rPr>
                <w:rFonts w:ascii="Arial" w:cs="Arial" w:eastAsia="Arial" w:hAnsi="Arial"/>
                <w:sz w:val="18"/>
                <w:szCs w:val="18"/>
                <w:b w:val="1"/>
                <w:bCs w:val="1"/>
                <w:color w:val="auto"/>
              </w:rPr>
              <w:t>INDEX TO EXHIBITS</w:t>
            </w:r>
          </w:p>
        </w:tc>
      </w:tr>
      <w:tr>
        <w:trPr>
          <w:trHeight w:val="353"/>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Exhibit</w:t>
            </w:r>
          </w:p>
        </w:tc>
        <w:tc>
          <w:tcPr>
            <w:tcW w:w="5460" w:type="dxa"/>
            <w:vAlign w:val="bottom"/>
          </w:tcPr>
          <w:p>
            <w:pPr>
              <w:spacing w:after="0"/>
              <w:rPr>
                <w:sz w:val="24"/>
                <w:szCs w:val="2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700" w:type="dxa"/>
            <w:vAlign w:val="bottom"/>
          </w:tcPr>
          <w:p>
            <w:pPr>
              <w:spacing w:after="0"/>
              <w:rPr>
                <w:sz w:val="24"/>
                <w:szCs w:val="24"/>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3.1</w:t>
            </w:r>
          </w:p>
        </w:tc>
        <w:tc>
          <w:tcPr>
            <w:tcW w:w="6160" w:type="dxa"/>
            <w:vAlign w:val="bottom"/>
            <w:gridSpan w:val="2"/>
          </w:tcPr>
          <w:p>
            <w:pPr>
              <w:ind w:left="660"/>
              <w:spacing w:after="0"/>
              <w:rPr>
                <w:sz w:val="20"/>
                <w:szCs w:val="20"/>
                <w:color w:val="auto"/>
              </w:rPr>
            </w:pPr>
            <w:r>
              <w:rPr>
                <w:rFonts w:ascii="Arial" w:cs="Arial" w:eastAsia="Arial" w:hAnsi="Arial"/>
                <w:sz w:val="18"/>
                <w:szCs w:val="18"/>
                <w:color w:val="auto"/>
                <w:w w:val="89"/>
              </w:rPr>
              <w:t>Second Amended and Restated Articles of Organization of Wynn Las Vegas,</w:t>
            </w:r>
          </w:p>
        </w:tc>
        <w:tc>
          <w:tcPr>
            <w:tcW w:w="4700" w:type="dxa"/>
            <w:vAlign w:val="bottom"/>
          </w:tcPr>
          <w:p>
            <w:pPr>
              <w:spacing w:after="0"/>
              <w:rPr>
                <w:sz w:val="20"/>
                <w:szCs w:val="20"/>
                <w:color w:val="auto"/>
              </w:rPr>
            </w:pPr>
            <w:r>
              <w:rPr>
                <w:rFonts w:ascii="Arial" w:cs="Arial" w:eastAsia="Arial" w:hAnsi="Arial"/>
                <w:sz w:val="18"/>
                <w:szCs w:val="18"/>
                <w:color w:val="auto"/>
              </w:rPr>
              <w:t>LLC. (1)</w:t>
            </w:r>
          </w:p>
        </w:tc>
      </w:tr>
      <w:tr>
        <w:trPr>
          <w:trHeight w:val="316"/>
        </w:trPr>
        <w:tc>
          <w:tcPr>
            <w:tcW w:w="460" w:type="dxa"/>
            <w:vAlign w:val="bottom"/>
          </w:tcPr>
          <w:p>
            <w:pPr>
              <w:spacing w:after="0"/>
              <w:rPr>
                <w:sz w:val="20"/>
                <w:szCs w:val="20"/>
                <w:color w:val="auto"/>
              </w:rPr>
            </w:pPr>
            <w:r>
              <w:rPr>
                <w:rFonts w:ascii="Arial" w:cs="Arial" w:eastAsia="Arial" w:hAnsi="Arial"/>
                <w:sz w:val="18"/>
                <w:szCs w:val="18"/>
                <w:color w:val="auto"/>
              </w:rPr>
              <w:t>3.2</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Second Amended and Restated Operating Agreement of Wynn Las Vegas, LLC. (1)</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3.3</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First Amended and Restated Articles of Incorporation of Wynn Las Vegas Capital Corp. (1)</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3.4</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Certificate of Amendment of the Articles of Incorporation of Wynn Las Vegas Capital Corp. (1)</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3.5</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First Amended and Restated Bylaws of Wynn Las Vegas Capital Corp. (1)</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3.6</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First Amendment to the First Amended and Restated Bylaws of Wynn Las Vegas Capital Corp. (1)</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3.7</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Second Amendment to the First Amended and Restated Bylaws of Wynn Las Vegas Capital Corp. (1)</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3.8</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Articles of Organization of Kevyn, LLC (19)</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3.9</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Operating Agreement of Kevyn, LLC (19)</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3.10</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Amended and Restated Articles of Organization of Wynn Golf, LLC. (1)</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3.11</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First Amended and Restated Operating Agreement of Wynn Golf, LLC. (1)</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3.12</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Second Amended and Restated Articles of Organization of Las Vegas Jet, LLC. (1)</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3.13</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Second Amended and Restated Operating Agreement of Las Vegas Jet, LLC. (1)</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3.14</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Articles of Organization of Wynn Sunrise, LLC. (1)</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3.15</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First Amended and Restated Operating Agreement of Wynn Sunrise, LLC. (1)</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3.16</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Second Amended and Restated Articles of Organization of World Travel, LLC. (1)</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3.17</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Second Amended and Restated Operating Agreement of World Travel, LLC. (1)</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3.18</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First Amended and Restated Articles of Organization of Wynn Show Performers, LLC. (1)</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3.19</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First Amended and Restated Operating Agreement of Wynn Show Performers, LLC. (1)</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4.1</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w w:val="89"/>
              </w:rPr>
              <w:t>Indenture, dated as of December 14, 2004, among Wynn Las Vegas, LLC, Wynn Las Vegas Capital Corp., the Guarantors set forth therein and</w:t>
            </w:r>
          </w:p>
        </w:tc>
      </w:tr>
      <w:tr>
        <w:trPr>
          <w:trHeight w:val="222"/>
        </w:trPr>
        <w:tc>
          <w:tcPr>
            <w:tcW w:w="460" w:type="dxa"/>
            <w:vAlign w:val="bottom"/>
          </w:tcPr>
          <w:p>
            <w:pPr>
              <w:spacing w:after="0"/>
              <w:rPr>
                <w:sz w:val="19"/>
                <w:szCs w:val="19"/>
                <w:color w:val="auto"/>
              </w:rPr>
            </w:pP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U.S. Bank National Association, as trustee. (3)</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4.2</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w w:val="87"/>
              </w:rPr>
              <w:t>Supplemental Indenture, dated as of December 14, 2004, among Wynn Las Vegas, LLC, Wynn Las Vegas Capital Corp., the Guarantors set forth</w:t>
            </w:r>
          </w:p>
        </w:tc>
      </w:tr>
      <w:tr>
        <w:trPr>
          <w:trHeight w:val="222"/>
        </w:trPr>
        <w:tc>
          <w:tcPr>
            <w:tcW w:w="460" w:type="dxa"/>
            <w:vAlign w:val="bottom"/>
          </w:tcPr>
          <w:p>
            <w:pPr>
              <w:spacing w:after="0"/>
              <w:rPr>
                <w:sz w:val="19"/>
                <w:szCs w:val="19"/>
                <w:color w:val="auto"/>
              </w:rPr>
            </w:pP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therein and Wells Fargo Bank, National Association, as trustee. (3)</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4.3</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w w:val="88"/>
              </w:rPr>
              <w:t>First Supplemental Indenture, dated as of June 29, 2005, among Wynn Las Vegas, LLC, Wynn Las Vegas Capital Corp., the Guarantors set forth</w:t>
            </w:r>
          </w:p>
        </w:tc>
      </w:tr>
      <w:tr>
        <w:trPr>
          <w:trHeight w:val="222"/>
        </w:trPr>
        <w:tc>
          <w:tcPr>
            <w:tcW w:w="460" w:type="dxa"/>
            <w:vAlign w:val="bottom"/>
          </w:tcPr>
          <w:p>
            <w:pPr>
              <w:spacing w:after="0"/>
              <w:rPr>
                <w:sz w:val="19"/>
                <w:szCs w:val="19"/>
                <w:color w:val="auto"/>
              </w:rPr>
            </w:pP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therein and U.S. Bank National Association, as trustee. (8)</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4.4</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w w:val="89"/>
              </w:rPr>
              <w:t>Second Supplemental Indenture, dated as of July 29, 2005, among Wynn Las Vegas, LLC, Wynn Las Vegas Capital Corp., the Guarantors set</w:t>
            </w:r>
          </w:p>
        </w:tc>
      </w:tr>
      <w:tr>
        <w:trPr>
          <w:trHeight w:val="222"/>
        </w:trPr>
        <w:tc>
          <w:tcPr>
            <w:tcW w:w="460" w:type="dxa"/>
            <w:vAlign w:val="bottom"/>
          </w:tcPr>
          <w:p>
            <w:pPr>
              <w:spacing w:after="0"/>
              <w:rPr>
                <w:sz w:val="19"/>
                <w:szCs w:val="19"/>
                <w:color w:val="auto"/>
              </w:rPr>
            </w:pP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forth therein and U.S. Bank National Association, as trustee. (19)</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4.5</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w w:val="87"/>
              </w:rPr>
              <w:t>Indenture, dated as of October 19, 2009, among Wynn Las Vegas, LLC, Wynn Las Vegas Capital Corp., the Guarantors set forth therein and U.S.</w:t>
            </w:r>
          </w:p>
        </w:tc>
      </w:tr>
      <w:tr>
        <w:trPr>
          <w:trHeight w:val="222"/>
        </w:trPr>
        <w:tc>
          <w:tcPr>
            <w:tcW w:w="460" w:type="dxa"/>
            <w:vAlign w:val="bottom"/>
          </w:tcPr>
          <w:p>
            <w:pPr>
              <w:spacing w:after="0"/>
              <w:rPr>
                <w:sz w:val="19"/>
                <w:szCs w:val="19"/>
                <w:color w:val="auto"/>
              </w:rPr>
            </w:pP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Bank National Association, as trustee. (22)</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4.6</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w w:val="91"/>
              </w:rPr>
              <w:t>Registration Rights Agreement, dated as of December 14, 2004, by and among Wynn Las Vegas, LLC, Wynn Las Vegas Capital Corp., the</w:t>
            </w:r>
          </w:p>
        </w:tc>
      </w:tr>
      <w:tr>
        <w:trPr>
          <w:trHeight w:val="216"/>
        </w:trPr>
        <w:tc>
          <w:tcPr>
            <w:tcW w:w="460" w:type="dxa"/>
            <w:vAlign w:val="bottom"/>
          </w:tcPr>
          <w:p>
            <w:pPr>
              <w:spacing w:after="0"/>
              <w:rPr>
                <w:sz w:val="18"/>
                <w:szCs w:val="18"/>
                <w:color w:val="auto"/>
              </w:rPr>
            </w:pP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w w:val="93"/>
              </w:rPr>
              <w:t>Guarantor signatories thereto and Deutsche Bank Securities Inc., Banc of America Securities LLC, Bear, Stearns &amp; Co. Inc., J.P. Morgan</w:t>
            </w:r>
          </w:p>
        </w:tc>
      </w:tr>
      <w:tr>
        <w:trPr>
          <w:trHeight w:val="222"/>
        </w:trPr>
        <w:tc>
          <w:tcPr>
            <w:tcW w:w="460" w:type="dxa"/>
            <w:vAlign w:val="bottom"/>
          </w:tcPr>
          <w:p>
            <w:pPr>
              <w:spacing w:after="0"/>
              <w:rPr>
                <w:sz w:val="19"/>
                <w:szCs w:val="19"/>
                <w:color w:val="auto"/>
              </w:rPr>
            </w:pP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Securities Inc. and SG Americas Securities, LLC. (4)</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4.7</w:t>
            </w: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w w:val="92"/>
              </w:rPr>
              <w:t>Registration Rights Agreement, dated as of November 6, 2007, by and among Wynn Las Vegas, LLC, Wynn Las Vegas Capital Corp., the</w:t>
            </w:r>
          </w:p>
        </w:tc>
      </w:tr>
      <w:tr>
        <w:trPr>
          <w:trHeight w:val="222"/>
        </w:trPr>
        <w:tc>
          <w:tcPr>
            <w:tcW w:w="460" w:type="dxa"/>
            <w:vAlign w:val="bottom"/>
          </w:tcPr>
          <w:p>
            <w:pPr>
              <w:spacing w:after="0"/>
              <w:rPr>
                <w:sz w:val="19"/>
                <w:szCs w:val="19"/>
                <w:color w:val="auto"/>
              </w:rPr>
            </w:pPr>
          </w:p>
        </w:tc>
        <w:tc>
          <w:tcPr>
            <w:tcW w:w="10860" w:type="dxa"/>
            <w:vAlign w:val="bottom"/>
            <w:gridSpan w:val="3"/>
          </w:tcPr>
          <w:p>
            <w:pPr>
              <w:ind w:left="660"/>
              <w:spacing w:after="0"/>
              <w:rPr>
                <w:sz w:val="20"/>
                <w:szCs w:val="20"/>
                <w:color w:val="auto"/>
              </w:rPr>
            </w:pPr>
            <w:r>
              <w:rPr>
                <w:rFonts w:ascii="Arial" w:cs="Arial" w:eastAsia="Arial" w:hAnsi="Arial"/>
                <w:sz w:val="18"/>
                <w:szCs w:val="18"/>
                <w:color w:val="auto"/>
              </w:rPr>
              <w:t>Guarantor signatories thereto and Deutsche Bank Securities Inc., Banc of America Securities LLC. (16)</w:t>
            </w:r>
          </w:p>
        </w:tc>
      </w:tr>
    </w:tbl>
    <w:p>
      <w:pPr>
        <w:sectPr>
          <w:pgSz w:w="11900" w:h="16838" w:orient="portrait"/>
          <w:cols w:equalWidth="0" w:num="1">
            <w:col w:w="11320"/>
          </w:cols>
          <w:pgMar w:left="240" w:top="459" w:right="339" w:bottom="1440" w:gutter="0" w:footer="0" w:header="0"/>
        </w:sectPr>
      </w:pPr>
    </w:p>
    <w:bookmarkStart w:id="323" w:name="page324"/>
    <w:bookmarkEnd w:id="3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Exhibit</w:t>
            </w:r>
          </w:p>
        </w:tc>
        <w:tc>
          <w:tcPr>
            <w:tcW w:w="5420" w:type="dxa"/>
            <w:vAlign w:val="bottom"/>
            <w:vMerge w:val="restart"/>
          </w:tcPr>
          <w:p>
            <w:pPr>
              <w:ind w:left="580"/>
              <w:spacing w:after="0"/>
              <w:rPr>
                <w:sz w:val="20"/>
                <w:szCs w:val="20"/>
                <w:color w:val="auto"/>
              </w:rPr>
            </w:pPr>
            <w:r>
              <w:rPr>
                <w:rFonts w:ascii="Arial" w:cs="Arial" w:eastAsia="Arial" w:hAnsi="Arial"/>
                <w:sz w:val="18"/>
                <w:szCs w:val="18"/>
                <w:color w:val="auto"/>
                <w:w w:val="87"/>
              </w:rPr>
              <w:t>Registration Rights Agreement, dated as of October 19, 2009, by and</w:t>
            </w: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460" w:type="dxa"/>
            <w:vAlign w:val="bottom"/>
          </w:tcPr>
          <w:p>
            <w:pPr>
              <w:spacing w:after="0" w:line="201" w:lineRule="exact"/>
              <w:rPr>
                <w:sz w:val="20"/>
                <w:szCs w:val="20"/>
                <w:color w:val="auto"/>
              </w:rPr>
            </w:pPr>
            <w:r>
              <w:rPr>
                <w:rFonts w:ascii="Arial" w:cs="Arial" w:eastAsia="Arial" w:hAnsi="Arial"/>
                <w:sz w:val="18"/>
                <w:szCs w:val="18"/>
                <w:color w:val="auto"/>
              </w:rPr>
              <w:t>4.8</w:t>
            </w:r>
          </w:p>
        </w:tc>
        <w:tc>
          <w:tcPr>
            <w:tcW w:w="5420" w:type="dxa"/>
            <w:vAlign w:val="bottom"/>
            <w:vMerge w:val="continue"/>
          </w:tcPr>
          <w:p>
            <w:pPr>
              <w:spacing w:after="0"/>
              <w:rPr>
                <w:sz w:val="17"/>
                <w:szCs w:val="17"/>
                <w:color w:val="auto"/>
              </w:rPr>
            </w:pPr>
          </w:p>
        </w:tc>
        <w:tc>
          <w:tcPr>
            <w:tcW w:w="552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among Wynn Las Vegas, LLC, Wynn Las Vegas Capital Corp., the</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Guarantors set forth therein, Deutsche Bank Securities Inc. and Banc of America Securities LLC. (22)</w:t>
            </w:r>
          </w:p>
        </w:tc>
        <w:tc>
          <w:tcPr>
            <w:tcW w:w="0" w:type="dxa"/>
            <w:vAlign w:val="bottom"/>
          </w:tcPr>
          <w:p>
            <w:pPr>
              <w:spacing w:after="0"/>
              <w:rPr>
                <w:sz w:val="1"/>
                <w:szCs w:val="1"/>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4.9</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9"/>
              </w:rPr>
              <w:t>Indenture, dated as of April 28, 2010, by and among Wynn Las Vegas, LLC, Wynn Las Vegas Capital Corp., the Guarantors set forth therein and</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U.S. Bank National Association, as trustee. (24)</w:t>
            </w:r>
          </w:p>
        </w:tc>
        <w:tc>
          <w:tcPr>
            <w:tcW w:w="0" w:type="dxa"/>
            <w:vAlign w:val="bottom"/>
          </w:tcPr>
          <w:p>
            <w:pPr>
              <w:spacing w:after="0"/>
              <w:rPr>
                <w:sz w:val="1"/>
                <w:szCs w:val="1"/>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4.10</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9"/>
              </w:rPr>
              <w:t>Registration Rights Agreement, dated as of April 28, 2010, by and among Wynn Las Vegas, LLC, Wynn Las Vegas Capital Corp., the Guarantors</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set forth therein, Deutsche Bank Securities Inc., Banc of America Securities LLC and J.P. Morgan Securities Inc. (24)</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5.1</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Opinion of Skadden, Arps, Slate, Meagher &amp; Flom LLP (25)</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5.2</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Opinion of Brownstein Hyatt Farber Schreck, LLP (25)</w:t>
            </w:r>
          </w:p>
        </w:tc>
        <w:tc>
          <w:tcPr>
            <w:tcW w:w="0" w:type="dxa"/>
            <w:vAlign w:val="bottom"/>
          </w:tcPr>
          <w:p>
            <w:pPr>
              <w:spacing w:after="0"/>
              <w:rPr>
                <w:sz w:val="1"/>
                <w:szCs w:val="1"/>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0"/>
              </w:rPr>
              <w:t>Amended and Restated Master Disbursement Agreement, dated as of October 25, 2007, by and among Wynn Las Vegas, LLC, Deutsche Bank</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5"/>
              </w:rPr>
              <w:t>Trust Company Americas, as the initial Bank Agent, and Deutsche Bank Trust Company America, as the initial Disbursement Agent. (17)</w:t>
            </w:r>
          </w:p>
        </w:tc>
        <w:tc>
          <w:tcPr>
            <w:tcW w:w="0" w:type="dxa"/>
            <w:vAlign w:val="bottom"/>
          </w:tcPr>
          <w:p>
            <w:pPr>
              <w:spacing w:after="0"/>
              <w:rPr>
                <w:sz w:val="1"/>
                <w:szCs w:val="1"/>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10.2</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7"/>
              </w:rPr>
              <w:t>First Amendment to Amended and Restated Master Disbursement Agreement, dated as of October 31, 2007, by and among Wynn Las Vegas, LLC,</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2"/>
              </w:rPr>
              <w:t>Deutsche Bank Trust Company Americas, as the initial Bank Agent, and Deutsche Bank Trust Company America, as the initial Disbursement</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Agent. (15)</w:t>
            </w:r>
          </w:p>
        </w:tc>
        <w:tc>
          <w:tcPr>
            <w:tcW w:w="0" w:type="dxa"/>
            <w:vAlign w:val="bottom"/>
          </w:tcPr>
          <w:p>
            <w:pPr>
              <w:spacing w:after="0"/>
              <w:rPr>
                <w:sz w:val="1"/>
                <w:szCs w:val="1"/>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10.3</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8"/>
              </w:rPr>
              <w:t>Second Amendment to Amended and Restated Master Disbursement Agreement, dated as of November 6, 2007, by and among Wynn Las Vegas,</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0"/>
              </w:rPr>
              <w:t>LLC, Deutsche Bank Trust Company Americas, as the Bank Agent, and Deutsche Bank Trust Company Americas, as the Disbursement Agent.</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5420" w:type="dxa"/>
            <w:vAlign w:val="bottom"/>
          </w:tcPr>
          <w:p>
            <w:pPr>
              <w:ind w:left="580"/>
              <w:spacing w:after="0"/>
              <w:rPr>
                <w:sz w:val="20"/>
                <w:szCs w:val="20"/>
                <w:color w:val="auto"/>
              </w:rPr>
            </w:pPr>
            <w:r>
              <w:rPr>
                <w:rFonts w:ascii="Arial" w:cs="Arial" w:eastAsia="Arial" w:hAnsi="Arial"/>
                <w:sz w:val="18"/>
                <w:szCs w:val="18"/>
                <w:color w:val="auto"/>
              </w:rPr>
              <w:t>(16)</w:t>
            </w:r>
          </w:p>
        </w:tc>
        <w:tc>
          <w:tcPr>
            <w:tcW w:w="70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10.4</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0"/>
              </w:rPr>
              <w:t>Third Amendment to Amended and Restated Master Disbursement Agreement, dated October 19, 2009, by and among Wynn Las Vegas, LLC,</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1"/>
              </w:rPr>
              <w:t>Deutsche Bank Trust Company Americas, as the Bank Agent, and Deutsche Bank Trust Company Americas, as the Disbursement Agent. (22)</w:t>
            </w:r>
          </w:p>
        </w:tc>
        <w:tc>
          <w:tcPr>
            <w:tcW w:w="0" w:type="dxa"/>
            <w:vAlign w:val="bottom"/>
          </w:tcPr>
          <w:p>
            <w:pPr>
              <w:spacing w:after="0"/>
              <w:rPr>
                <w:sz w:val="1"/>
                <w:szCs w:val="1"/>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10.5</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9"/>
              </w:rPr>
              <w:t>Promissory Note and Agreement, dated May 24, 2005, by Wells Fargo Northwest, National Association, not in its individual capacity but solely as</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5"/>
              </w:rPr>
              <w:t>owner trustee, and World Travel, LLC; and accepted and agreed to by Bank of America, N.A., as lender and Wells Fargo Bank, National</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Association, not in its individual capacity but solely as collateral agent. (9)</w:t>
            </w:r>
          </w:p>
        </w:tc>
        <w:tc>
          <w:tcPr>
            <w:tcW w:w="0" w:type="dxa"/>
            <w:vAlign w:val="bottom"/>
          </w:tcPr>
          <w:p>
            <w:pPr>
              <w:spacing w:after="0"/>
              <w:rPr>
                <w:sz w:val="1"/>
                <w:szCs w:val="1"/>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10.6</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9"/>
              </w:rPr>
              <w:t>Promissory Note and Agreement, dated May 24, 2005, by Wells Fargo Northwest, National Association, not in its individual capacity but solely as</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1"/>
              </w:rPr>
              <w:t>owner trustee, and World Travel, LLC; and accepted and agreed to by The CIT Group / Equipment Financing, Inc., as lender and Wells Fargo</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Bank, National Association, not in its individual capacity but solely as collateral agent. (9)</w:t>
            </w:r>
          </w:p>
        </w:tc>
        <w:tc>
          <w:tcPr>
            <w:tcW w:w="0" w:type="dxa"/>
            <w:vAlign w:val="bottom"/>
          </w:tcPr>
          <w:p>
            <w:pPr>
              <w:spacing w:after="0"/>
              <w:rPr>
                <w:sz w:val="1"/>
                <w:szCs w:val="1"/>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10.7</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0"/>
              </w:rPr>
              <w:t>Aircraft Security Agreement, dated May 24, 2005, between Wells Fargo Northwest, National Association, not in its individual capacity but solely</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1"/>
              </w:rPr>
              <w:t>as owner trustee, World Travel, LLC and Wells Fargo Bank, National Association, not in its individual capacity but solely as collateral agent. (9)</w:t>
            </w:r>
          </w:p>
        </w:tc>
        <w:tc>
          <w:tcPr>
            <w:tcW w:w="0" w:type="dxa"/>
            <w:vAlign w:val="bottom"/>
          </w:tcPr>
          <w:p>
            <w:pPr>
              <w:spacing w:after="0"/>
              <w:rPr>
                <w:sz w:val="1"/>
                <w:szCs w:val="1"/>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10.8</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3"/>
              </w:rPr>
              <w:t>Guaranty, dated May 24, 2005, by Wynn Las Vegas, LLC in favor of The CIT Group / Equipment Financing, Inc., Bank of America, N.A. and</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Wells Fargo Bank, National Association, not in its individual capacity but solely as collateral agent. (9)</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10.9</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Agreement of Termination, dated June 30, 2005, by and between Stephen A. Wynn and Wynn Las Vegas, LLC. (10)</w:t>
            </w:r>
          </w:p>
        </w:tc>
        <w:tc>
          <w:tcPr>
            <w:tcW w:w="0" w:type="dxa"/>
            <w:vAlign w:val="bottom"/>
          </w:tcPr>
          <w:p>
            <w:pPr>
              <w:spacing w:after="0"/>
              <w:rPr>
                <w:sz w:val="1"/>
                <w:szCs w:val="1"/>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10.10</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2"/>
              </w:rPr>
              <w:t>Fourth Amended and Restated Art Rental and Licensing Agreement, dated as of June 30, 2005, between Stephen A. Wynn, as lessor, Wynn</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Gallery, LLC, as lessee. (10)</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w w:val="97"/>
              </w:rPr>
              <w:t>10.11</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8"/>
              </w:rPr>
              <w:t>Lump Sum Agreement, by and between Wynn Las Vegas, LLC and Wadsworth Golf Construction Company, effective as of February 18, 2003. (6)</w:t>
            </w:r>
          </w:p>
        </w:tc>
        <w:tc>
          <w:tcPr>
            <w:tcW w:w="0" w:type="dxa"/>
            <w:vAlign w:val="bottom"/>
          </w:tcPr>
          <w:p>
            <w:pPr>
              <w:spacing w:after="0"/>
              <w:rPr>
                <w:sz w:val="1"/>
                <w:szCs w:val="1"/>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10.12</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0"/>
              </w:rPr>
              <w:t>Completion Guaranty, dated December 14, 2004, by Wynn Completion Guarantor, LLC in favor of Deutsche Bank Trust Company Americas, as</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the Bank Agent, and U.S. Bank National Association, as Indenture Trustee. (4)</w:t>
            </w: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324" w:name="page325"/>
    <w:bookmarkEnd w:id="3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5420" w:type="dxa"/>
            <w:vAlign w:val="bottom"/>
          </w:tcPr>
          <w:p>
            <w:pPr>
              <w:spacing w:after="0"/>
              <w:rPr>
                <w:sz w:val="14"/>
                <w:szCs w:val="14"/>
                <w:color w:val="auto"/>
              </w:rPr>
            </w:pPr>
          </w:p>
        </w:tc>
        <w:tc>
          <w:tcPr>
            <w:tcW w:w="5500" w:type="dxa"/>
            <w:vAlign w:val="bottom"/>
            <w:gridSpan w:val="4"/>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4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7"/>
              </w:rPr>
              <w:t>10.13</w:t>
            </w:r>
          </w:p>
        </w:tc>
        <w:tc>
          <w:tcPr>
            <w:tcW w:w="5420" w:type="dxa"/>
            <w:vAlign w:val="bottom"/>
          </w:tcPr>
          <w:p>
            <w:pPr>
              <w:ind w:left="580"/>
              <w:spacing w:after="0"/>
              <w:rPr>
                <w:sz w:val="20"/>
                <w:szCs w:val="20"/>
                <w:color w:val="auto"/>
              </w:rPr>
            </w:pPr>
            <w:r>
              <w:rPr>
                <w:rFonts w:ascii="Arial" w:cs="Arial" w:eastAsia="Arial" w:hAnsi="Arial"/>
                <w:sz w:val="18"/>
                <w:szCs w:val="18"/>
                <w:color w:val="auto"/>
                <w:w w:val="88"/>
              </w:rPr>
              <w:t>Purchase Agreement, dated October 25, 2002, by and among Wynn</w:t>
            </w:r>
          </w:p>
        </w:tc>
        <w:tc>
          <w:tcPr>
            <w:tcW w:w="7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75"/>
              </w:rPr>
              <w:t>Las Vegas,</w:t>
            </w:r>
          </w:p>
        </w:tc>
        <w:tc>
          <w:tcPr>
            <w:tcW w:w="4800" w:type="dxa"/>
            <w:vAlign w:val="bottom"/>
            <w:gridSpan w:val="2"/>
          </w:tcPr>
          <w:p>
            <w:pPr>
              <w:ind w:left="60"/>
              <w:spacing w:after="0"/>
              <w:rPr>
                <w:sz w:val="20"/>
                <w:szCs w:val="20"/>
                <w:color w:val="auto"/>
              </w:rPr>
            </w:pPr>
            <w:r>
              <w:rPr>
                <w:rFonts w:ascii="Arial" w:cs="Arial" w:eastAsia="Arial" w:hAnsi="Arial"/>
                <w:sz w:val="18"/>
                <w:szCs w:val="18"/>
                <w:color w:val="auto"/>
                <w:w w:val="94"/>
              </w:rPr>
              <w:t>LLC, Wynn Las Vegas Capital Corp. and Stephen A. Wynn. (2)</w:t>
            </w:r>
          </w:p>
        </w:tc>
      </w:tr>
      <w:tr>
        <w:trPr>
          <w:trHeight w:val="316"/>
        </w:trPr>
        <w:tc>
          <w:tcPr>
            <w:tcW w:w="460" w:type="dxa"/>
            <w:vAlign w:val="bottom"/>
          </w:tcPr>
          <w:p>
            <w:pPr>
              <w:spacing w:after="0"/>
              <w:rPr>
                <w:sz w:val="20"/>
                <w:szCs w:val="20"/>
                <w:color w:val="auto"/>
              </w:rPr>
            </w:pPr>
            <w:r>
              <w:rPr>
                <w:rFonts w:ascii="Arial" w:cs="Arial" w:eastAsia="Arial" w:hAnsi="Arial"/>
                <w:sz w:val="18"/>
                <w:szCs w:val="18"/>
                <w:color w:val="auto"/>
                <w:w w:val="97"/>
              </w:rPr>
              <w:t>10.14</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91"/>
              </w:rPr>
              <w:t>Purchase Agreement, dated October 25, 2002, by and among Wynn Las Vegas, LLC, Wynn Las Vegas Capital Corp. and Aruze USA, Inc. (2)</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10.15</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88"/>
              </w:rPr>
              <w:t>Acknowledgement and Agreement, dated as of September 1, 2004, among Wynn Las Vegas, LLC, Wells Fargo Bank, National Association and the</w:t>
            </w:r>
          </w:p>
        </w:tc>
      </w:tr>
      <w:tr>
        <w:trPr>
          <w:trHeight w:val="222"/>
        </w:trPr>
        <w:tc>
          <w:tcPr>
            <w:tcW w:w="460" w:type="dxa"/>
            <w:vAlign w:val="bottom"/>
          </w:tcPr>
          <w:p>
            <w:pPr>
              <w:spacing w:after="0"/>
              <w:rPr>
                <w:sz w:val="19"/>
                <w:szCs w:val="19"/>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rPr>
              <w:t>lenders named therein. (7)</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10.16</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89"/>
              </w:rPr>
              <w:t>Third Amended and Restated Art Rental and Licensing Agreement, dated as of August 6, 2004, by and between Stephen A. Wynn and Wynn Las</w:t>
            </w:r>
          </w:p>
        </w:tc>
      </w:tr>
      <w:tr>
        <w:trPr>
          <w:trHeight w:val="222"/>
        </w:trPr>
        <w:tc>
          <w:tcPr>
            <w:tcW w:w="460" w:type="dxa"/>
            <w:vAlign w:val="bottom"/>
          </w:tcPr>
          <w:p>
            <w:pPr>
              <w:spacing w:after="0"/>
              <w:rPr>
                <w:sz w:val="19"/>
                <w:szCs w:val="19"/>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rPr>
              <w:t>Vegas, LLC. (5)</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10.17</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92"/>
              </w:rPr>
              <w:t>Deed of Trust, Assignment of Rents and Leases, Security Agreement and Fixture Filing, dated as of December 14, 2004, made by Wynn Las</w:t>
            </w:r>
          </w:p>
        </w:tc>
      </w:tr>
      <w:tr>
        <w:trPr>
          <w:trHeight w:val="222"/>
        </w:trPr>
        <w:tc>
          <w:tcPr>
            <w:tcW w:w="460" w:type="dxa"/>
            <w:vAlign w:val="bottom"/>
          </w:tcPr>
          <w:p>
            <w:pPr>
              <w:spacing w:after="0"/>
              <w:rPr>
                <w:sz w:val="19"/>
                <w:szCs w:val="19"/>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90"/>
              </w:rPr>
              <w:t>Vegas, LLC, as trustor, to Nevada Title Company, as trustee, for the benefit of Deutsche Bank Trust Company Americas, as collateral agent. (4)</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10.18</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89"/>
              </w:rPr>
              <w:t>Deed of Trust, Assignment of Rents and Leases, Security Agreement and Fixture Filing, dated as of December 14, 2004, made by Wynn Sunrise,</w:t>
            </w:r>
          </w:p>
        </w:tc>
      </w:tr>
      <w:tr>
        <w:trPr>
          <w:trHeight w:val="222"/>
        </w:trPr>
        <w:tc>
          <w:tcPr>
            <w:tcW w:w="460" w:type="dxa"/>
            <w:vAlign w:val="bottom"/>
          </w:tcPr>
          <w:p>
            <w:pPr>
              <w:spacing w:after="0"/>
              <w:rPr>
                <w:sz w:val="19"/>
                <w:szCs w:val="19"/>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95"/>
              </w:rPr>
              <w:t>LLC, as trustor, to Nevada Title Company, as trustee, for the benefit of Deutsche Bank Trust Company Americas, as collateral agent. (4)</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10.19</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91"/>
              </w:rPr>
              <w:t>Deed of Trust, Assignment of Rents and Leases, Security Agreement and Fixture Filing, dated as of December 14, 2004, made by Wynn Golf,</w:t>
            </w:r>
          </w:p>
        </w:tc>
      </w:tr>
      <w:tr>
        <w:trPr>
          <w:trHeight w:val="222"/>
        </w:trPr>
        <w:tc>
          <w:tcPr>
            <w:tcW w:w="460" w:type="dxa"/>
            <w:vAlign w:val="bottom"/>
          </w:tcPr>
          <w:p>
            <w:pPr>
              <w:spacing w:after="0"/>
              <w:rPr>
                <w:sz w:val="19"/>
                <w:szCs w:val="19"/>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95"/>
              </w:rPr>
              <w:t>LLC, as trustor, to Nevada Title Company, as trustee, for the benefit of Deutsche Bank Trust Company Americas, as collateral agent. (4)</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10.20</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88"/>
              </w:rPr>
              <w:t>Guarantee and Collateral Agreement, dated as of December 14, 2004, made by Wynn Resorts Holdings, LLC, Wynn Las Vegas, LLC, Wynn Show</w:t>
            </w:r>
          </w:p>
        </w:tc>
      </w:tr>
      <w:tr>
        <w:trPr>
          <w:trHeight w:val="216"/>
        </w:trPr>
        <w:tc>
          <w:tcPr>
            <w:tcW w:w="460" w:type="dxa"/>
            <w:vAlign w:val="bottom"/>
          </w:tcPr>
          <w:p>
            <w:pPr>
              <w:spacing w:after="0"/>
              <w:rPr>
                <w:sz w:val="18"/>
                <w:szCs w:val="18"/>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91"/>
              </w:rPr>
              <w:t>Performers, LLC, Wynn Las Vegas Capital Corp., Wynn Golf, LLC, World Travel, LLC, Las Vegas Jet, LLC, Wynn Sunrise, LLC and the other</w:t>
            </w:r>
          </w:p>
        </w:tc>
      </w:tr>
      <w:tr>
        <w:trPr>
          <w:trHeight w:val="222"/>
        </w:trPr>
        <w:tc>
          <w:tcPr>
            <w:tcW w:w="460" w:type="dxa"/>
            <w:vAlign w:val="bottom"/>
          </w:tcPr>
          <w:p>
            <w:pPr>
              <w:spacing w:after="0"/>
              <w:rPr>
                <w:sz w:val="19"/>
                <w:szCs w:val="19"/>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rPr>
              <w:t>Grantors from time to time party thereto in favor of Deutsche Bank Trust Company Americas, as administrative agent. (4)</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10.21</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89"/>
              </w:rPr>
              <w:t>Intercreditor Agreement, dated as of December 14, 2004, among Deutsche Bank Trust Company Americas, as bank agent, Deutsche Bank Trust</w:t>
            </w:r>
          </w:p>
        </w:tc>
      </w:tr>
      <w:tr>
        <w:trPr>
          <w:trHeight w:val="222"/>
        </w:trPr>
        <w:tc>
          <w:tcPr>
            <w:tcW w:w="460" w:type="dxa"/>
            <w:vAlign w:val="bottom"/>
          </w:tcPr>
          <w:p>
            <w:pPr>
              <w:spacing w:after="0"/>
              <w:rPr>
                <w:sz w:val="19"/>
                <w:szCs w:val="19"/>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rPr>
              <w:t>Company Americas, as collateral agent, and U.S. Bank National Association, as trustee. (3)</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10.22</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91"/>
              </w:rPr>
              <w:t>Pledge and Security Agreement, dated as of December 14, 2004, made by Wynn Resorts Holdings, LLC, Wynn Las Vegas, LLC, Wynn Show</w:t>
            </w:r>
          </w:p>
        </w:tc>
      </w:tr>
      <w:tr>
        <w:trPr>
          <w:trHeight w:val="216"/>
        </w:trPr>
        <w:tc>
          <w:tcPr>
            <w:tcW w:w="460" w:type="dxa"/>
            <w:vAlign w:val="bottom"/>
          </w:tcPr>
          <w:p>
            <w:pPr>
              <w:spacing w:after="0"/>
              <w:rPr>
                <w:sz w:val="18"/>
                <w:szCs w:val="18"/>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91"/>
              </w:rPr>
              <w:t>Performers, LLC, Wynn Las Vegas Capital Corp., Wynn Golf, LLC, World Travel, LLC, Las Vegas Jet, LLC, Wynn Sunrise, LLC and the other</w:t>
            </w:r>
          </w:p>
        </w:tc>
      </w:tr>
      <w:tr>
        <w:trPr>
          <w:trHeight w:val="222"/>
        </w:trPr>
        <w:tc>
          <w:tcPr>
            <w:tcW w:w="460" w:type="dxa"/>
            <w:vAlign w:val="bottom"/>
          </w:tcPr>
          <w:p>
            <w:pPr>
              <w:spacing w:after="0"/>
              <w:rPr>
                <w:sz w:val="19"/>
                <w:szCs w:val="19"/>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rPr>
              <w:t>Grantors from time to time party thereto in favor of Deutsche Bank Trust Company Americas, as administrative agent. (4)</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10.23</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88"/>
              </w:rPr>
              <w:t>Management Fees Subordination Agreement, dated as of December 14, 2004, by Wynn Resorts, Limited, Wynn Las Vegas, LLC, Wynn Las Vegas</w:t>
            </w:r>
          </w:p>
        </w:tc>
      </w:tr>
      <w:tr>
        <w:trPr>
          <w:trHeight w:val="184"/>
        </w:trPr>
        <w:tc>
          <w:tcPr>
            <w:tcW w:w="460" w:type="dxa"/>
            <w:vAlign w:val="bottom"/>
          </w:tcPr>
          <w:p>
            <w:pPr>
              <w:spacing w:after="0"/>
              <w:rPr>
                <w:sz w:val="15"/>
                <w:szCs w:val="15"/>
                <w:color w:val="auto"/>
              </w:rPr>
            </w:pPr>
          </w:p>
        </w:tc>
        <w:tc>
          <w:tcPr>
            <w:tcW w:w="10920" w:type="dxa"/>
            <w:vAlign w:val="bottom"/>
            <w:gridSpan w:val="5"/>
          </w:tcPr>
          <w:p>
            <w:pPr>
              <w:ind w:left="580"/>
              <w:spacing w:after="0" w:line="184" w:lineRule="exact"/>
              <w:rPr>
                <w:sz w:val="20"/>
                <w:szCs w:val="20"/>
                <w:color w:val="auto"/>
              </w:rPr>
            </w:pPr>
            <w:r>
              <w:rPr>
                <w:rFonts w:ascii="Arial" w:cs="Arial" w:eastAsia="Arial" w:hAnsi="Arial"/>
                <w:sz w:val="18"/>
                <w:szCs w:val="18"/>
                <w:color w:val="auto"/>
                <w:w w:val="89"/>
              </w:rPr>
              <w:t>Capital Corp., and those subsidiaries of Wynn Las Vegas, LLC listed on Exhibit 21.1 hereto in favor of Deutsche Bank Trust Company Americas,</w:t>
            </w:r>
          </w:p>
        </w:tc>
      </w:tr>
      <w:tr>
        <w:trPr>
          <w:trHeight w:val="20"/>
        </w:trPr>
        <w:tc>
          <w:tcPr>
            <w:tcW w:w="460" w:type="dxa"/>
            <w:vAlign w:val="bottom"/>
          </w:tcPr>
          <w:p>
            <w:pPr>
              <w:spacing w:after="0" w:line="20" w:lineRule="exact"/>
              <w:rPr>
                <w:sz w:val="1"/>
                <w:szCs w:val="1"/>
                <w:color w:val="auto"/>
              </w:rPr>
            </w:pPr>
          </w:p>
        </w:tc>
        <w:tc>
          <w:tcPr>
            <w:tcW w:w="5680" w:type="dxa"/>
            <w:vAlign w:val="bottom"/>
            <w:gridSpan w:val="2"/>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r>
      <w:tr>
        <w:trPr>
          <w:trHeight w:val="235"/>
        </w:trPr>
        <w:tc>
          <w:tcPr>
            <w:tcW w:w="460" w:type="dxa"/>
            <w:vAlign w:val="bottom"/>
          </w:tcPr>
          <w:p>
            <w:pPr>
              <w:spacing w:after="0"/>
              <w:rPr>
                <w:sz w:val="20"/>
                <w:szCs w:val="20"/>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rPr>
              <w:t>as administrative agent, and U.S. Bank National Association, as trustee. (4)</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10.24</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89"/>
              </w:rPr>
              <w:t>Management Agreement, made as of December 14, 2004, by and among Wynn Las Vegas, LLC, Wynn Show Performers, LLC, Wynn Las Vegas</w:t>
            </w:r>
          </w:p>
        </w:tc>
      </w:tr>
      <w:tr>
        <w:trPr>
          <w:trHeight w:val="222"/>
        </w:trPr>
        <w:tc>
          <w:tcPr>
            <w:tcW w:w="460" w:type="dxa"/>
            <w:vAlign w:val="bottom"/>
          </w:tcPr>
          <w:p>
            <w:pPr>
              <w:spacing w:after="0"/>
              <w:rPr>
                <w:sz w:val="19"/>
                <w:szCs w:val="19"/>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rPr>
              <w:t>Capital Corp., Wynn Golf, LLC, World Travel, LLC, Las Vegas Jet, LLC, Wynn Sunrise, LLC, and Wynn Resorts, Limited. (4)</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10.25</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90"/>
              </w:rPr>
              <w:t>Irrevocable Trust Agreement, dated as of December 14, 2004, by and among Wynn Las Vegas, LLC, Wynn Las Vegas Capital Corp., and Wells</w:t>
            </w:r>
          </w:p>
        </w:tc>
      </w:tr>
      <w:tr>
        <w:trPr>
          <w:trHeight w:val="222"/>
        </w:trPr>
        <w:tc>
          <w:tcPr>
            <w:tcW w:w="460" w:type="dxa"/>
            <w:vAlign w:val="bottom"/>
          </w:tcPr>
          <w:p>
            <w:pPr>
              <w:spacing w:after="0"/>
              <w:rPr>
                <w:sz w:val="19"/>
                <w:szCs w:val="19"/>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rPr>
              <w:t>Fargo Bank, National Association, as Trustee. (4)</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10.26</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88"/>
              </w:rPr>
              <w:t>Amended and Restated Project Administration Services Agreement, dated December 14, 2004, between Wynn Las Vegas, LLC and Wynn Design</w:t>
            </w:r>
          </w:p>
        </w:tc>
      </w:tr>
      <w:tr>
        <w:trPr>
          <w:trHeight w:val="222"/>
        </w:trPr>
        <w:tc>
          <w:tcPr>
            <w:tcW w:w="460" w:type="dxa"/>
            <w:vAlign w:val="bottom"/>
          </w:tcPr>
          <w:p>
            <w:pPr>
              <w:spacing w:after="0"/>
              <w:rPr>
                <w:sz w:val="19"/>
                <w:szCs w:val="19"/>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rPr>
              <w:t>&amp; Development, LLC. (4)</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10.27</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w w:val="91"/>
              </w:rPr>
              <w:t>Intellectual Property License Agreement, dated as of December 14, 2004, by and among Wynn Resorts Holdings, Wynn Resorts, Limited and</w:t>
            </w:r>
          </w:p>
        </w:tc>
      </w:tr>
      <w:tr>
        <w:trPr>
          <w:trHeight w:val="222"/>
        </w:trPr>
        <w:tc>
          <w:tcPr>
            <w:tcW w:w="460" w:type="dxa"/>
            <w:vAlign w:val="bottom"/>
          </w:tcPr>
          <w:p>
            <w:pPr>
              <w:spacing w:after="0"/>
              <w:rPr>
                <w:sz w:val="19"/>
                <w:szCs w:val="19"/>
                <w:color w:val="auto"/>
              </w:rPr>
            </w:pP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rPr>
              <w:t>Wynn Las Vegas, LLC. (4)</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w w:val="97"/>
              </w:rPr>
              <w:t>10.28</w:t>
            </w:r>
          </w:p>
        </w:tc>
        <w:tc>
          <w:tcPr>
            <w:tcW w:w="10920" w:type="dxa"/>
            <w:vAlign w:val="bottom"/>
            <w:gridSpan w:val="5"/>
          </w:tcPr>
          <w:p>
            <w:pPr>
              <w:ind w:left="580"/>
              <w:spacing w:after="0"/>
              <w:rPr>
                <w:sz w:val="20"/>
                <w:szCs w:val="20"/>
                <w:color w:val="auto"/>
              </w:rPr>
            </w:pPr>
            <w:r>
              <w:rPr>
                <w:rFonts w:ascii="Arial" w:cs="Arial" w:eastAsia="Arial" w:hAnsi="Arial"/>
                <w:sz w:val="18"/>
                <w:szCs w:val="18"/>
                <w:color w:val="auto"/>
              </w:rPr>
              <w:t>Employment Agreement, dated as of August 31, 2005, between Wynn Las Vegas, LLC and Andrew Pascal. (11)</w:t>
            </w:r>
          </w:p>
        </w:tc>
      </w:tr>
    </w:tbl>
    <w:p>
      <w:pPr>
        <w:sectPr>
          <w:pgSz w:w="11900" w:h="16838" w:orient="portrait"/>
          <w:cols w:equalWidth="0" w:num="1">
            <w:col w:w="11380"/>
          </w:cols>
          <w:pgMar w:left="240" w:top="459" w:right="279" w:bottom="1440" w:gutter="0" w:footer="0" w:header="0"/>
        </w:sectPr>
      </w:pPr>
    </w:p>
    <w:bookmarkStart w:id="325" w:name="page326"/>
    <w:bookmarkEnd w:id="3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Exhibit</w:t>
            </w:r>
          </w:p>
        </w:tc>
        <w:tc>
          <w:tcPr>
            <w:tcW w:w="542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840" w:type="dxa"/>
            <w:vAlign w:val="bottom"/>
          </w:tcPr>
          <w:p>
            <w:pPr>
              <w:spacing w:after="0"/>
              <w:rPr>
                <w:sz w:val="14"/>
                <w:szCs w:val="14"/>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w w:val="97"/>
              </w:rPr>
              <w:t>10.29</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4"/>
              </w:rPr>
              <w:t>First Amendment to Employment Agreement, dated December 31, 2008, by and between Wynn Las Vegas, LLC and Andrew Pascal (13)</w:t>
            </w:r>
          </w:p>
        </w:tc>
      </w:tr>
      <w:tr>
        <w:trPr>
          <w:trHeight w:val="316"/>
        </w:trPr>
        <w:tc>
          <w:tcPr>
            <w:tcW w:w="460" w:type="dxa"/>
            <w:vAlign w:val="bottom"/>
          </w:tcPr>
          <w:p>
            <w:pPr>
              <w:spacing w:after="0"/>
              <w:rPr>
                <w:sz w:val="20"/>
                <w:szCs w:val="20"/>
                <w:color w:val="auto"/>
              </w:rPr>
            </w:pPr>
            <w:r>
              <w:rPr>
                <w:rFonts w:ascii="Arial" w:cs="Arial" w:eastAsia="Arial" w:hAnsi="Arial"/>
                <w:sz w:val="18"/>
                <w:szCs w:val="18"/>
                <w:color w:val="auto"/>
                <w:w w:val="97"/>
              </w:rPr>
              <w:t>10.30</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Employment Agreement, dated as of May 5, 2009 by and between Wynn Las Vegas, LLC and Scott Peterson. (23)</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10.31</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87"/>
              </w:rPr>
              <w:t>Amended and Restated Credit Agreement, dated as of August 15, 2006 among Wynn Las Vegas, LLC, as the Borrower, several lenders and agents,</w:t>
            </w:r>
          </w:p>
        </w:tc>
      </w:tr>
      <w:tr>
        <w:trPr>
          <w:trHeight w:val="222"/>
        </w:trPr>
        <w:tc>
          <w:tcPr>
            <w:tcW w:w="460" w:type="dxa"/>
            <w:vAlign w:val="bottom"/>
          </w:tcPr>
          <w:p>
            <w:pPr>
              <w:spacing w:after="0"/>
              <w:rPr>
                <w:sz w:val="19"/>
                <w:szCs w:val="19"/>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and Deutsche Bank Trust Company Americas, as Administrative Agent. (18)</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10.32</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89"/>
              </w:rPr>
              <w:t>First Amendment to Amended and Restated Credit Agreement dated April 9, 2007 among Wynn Las Vegas, LLC, Wynn Las Vegas Capital Corp.,</w:t>
            </w:r>
          </w:p>
        </w:tc>
      </w:tr>
      <w:tr>
        <w:trPr>
          <w:trHeight w:val="216"/>
        </w:trPr>
        <w:tc>
          <w:tcPr>
            <w:tcW w:w="46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Wynn Show Performers, LLC, Wynn Golf, LLC, Wynn Sunrise, LLC, World Travel, LLC, Kevyn, LLC, Las Vegas Jet, LLC, and Deutsche Bank</w:t>
            </w:r>
          </w:p>
        </w:tc>
      </w:tr>
      <w:tr>
        <w:trPr>
          <w:trHeight w:val="216"/>
        </w:trPr>
        <w:tc>
          <w:tcPr>
            <w:tcW w:w="46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89"/>
              </w:rPr>
              <w:t>Trust Company Americas, as Administrative Agent on behalf of the several banks and other financial institutions or entities from time to time party</w:t>
            </w:r>
          </w:p>
        </w:tc>
      </w:tr>
      <w:tr>
        <w:trPr>
          <w:trHeight w:val="222"/>
        </w:trPr>
        <w:tc>
          <w:tcPr>
            <w:tcW w:w="460" w:type="dxa"/>
            <w:vAlign w:val="bottom"/>
          </w:tcPr>
          <w:p>
            <w:pPr>
              <w:spacing w:after="0"/>
              <w:rPr>
                <w:sz w:val="19"/>
                <w:szCs w:val="19"/>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to Wynn Las Vegas LLC’s Amended and Restated Credit Agreement, dated as of August 15, 2006. (14)</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10.33</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88"/>
              </w:rPr>
              <w:t>Second Amendment to Amended and Restated Credit Agreement dated October 31, 2007 among Wynn Las Vegas, LLC, Wynn Las Vegas Capital</w:t>
            </w:r>
          </w:p>
        </w:tc>
      </w:tr>
      <w:tr>
        <w:trPr>
          <w:trHeight w:val="216"/>
        </w:trPr>
        <w:tc>
          <w:tcPr>
            <w:tcW w:w="46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Corp., Wynn Show Performers, LLC, Wynn Golf, LLC, Wynn Sunrise, LLC, World Travel, LLC, Kevyn, LLC, Las Vegas Jet, LLC, Wynn Resorts</w:t>
            </w:r>
          </w:p>
        </w:tc>
      </w:tr>
      <w:tr>
        <w:trPr>
          <w:trHeight w:val="216"/>
        </w:trPr>
        <w:tc>
          <w:tcPr>
            <w:tcW w:w="46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4"/>
              </w:rPr>
              <w:t>Holdings, LLC, Wynn Completion Guarantors, LLC and Deutsche Bank Trust Company Americas, as Administrative Agent on behalf of the</w:t>
            </w:r>
          </w:p>
        </w:tc>
      </w:tr>
      <w:tr>
        <w:trPr>
          <w:trHeight w:val="216"/>
        </w:trPr>
        <w:tc>
          <w:tcPr>
            <w:tcW w:w="46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5"/>
              </w:rPr>
              <w:t>several banks and other financial institutions or entities from time to time party to Wynn Las Vegas LLC’s Amended and Restated Credit</w:t>
            </w:r>
          </w:p>
        </w:tc>
      </w:tr>
      <w:tr>
        <w:trPr>
          <w:trHeight w:val="222"/>
        </w:trPr>
        <w:tc>
          <w:tcPr>
            <w:tcW w:w="460" w:type="dxa"/>
            <w:vAlign w:val="bottom"/>
          </w:tcPr>
          <w:p>
            <w:pPr>
              <w:spacing w:after="0"/>
              <w:rPr>
                <w:sz w:val="19"/>
                <w:szCs w:val="19"/>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Agreement, dated as of August 15, 2006. (15)</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10.34</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89"/>
              </w:rPr>
              <w:t>Third Amendment to Amended and Restated Credit Agreement dated as of September 17, 2008 among Wynn Las Vegas, LLC, Wynn Las Vegas</w:t>
            </w:r>
          </w:p>
        </w:tc>
      </w:tr>
      <w:tr>
        <w:trPr>
          <w:trHeight w:val="216"/>
        </w:trPr>
        <w:tc>
          <w:tcPr>
            <w:tcW w:w="46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Capital Corp., Wynn Show Performers, LLC, Wynn Golf, LLC, Wynn Sunrise, LLC, World Travel, LLC, Kevyn, LLC, Las Vegas Jet, LLC, Wynn</w:t>
            </w:r>
          </w:p>
        </w:tc>
      </w:tr>
      <w:tr>
        <w:trPr>
          <w:trHeight w:val="216"/>
        </w:trPr>
        <w:tc>
          <w:tcPr>
            <w:tcW w:w="46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Resorts Holdings, LLC, Wynn Completion Guarantor, LLC and Deutsche Bank Trust Company Americas, as Administrative Agent on behalf of</w:t>
            </w:r>
          </w:p>
        </w:tc>
      </w:tr>
      <w:tr>
        <w:trPr>
          <w:trHeight w:val="216"/>
        </w:trPr>
        <w:tc>
          <w:tcPr>
            <w:tcW w:w="46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2"/>
              </w:rPr>
              <w:t>the several banks and other financial institutions or entities from time to time party to Wynn Las Vegas, LLC’s Amended and Restated Credit</w:t>
            </w:r>
          </w:p>
        </w:tc>
      </w:tr>
      <w:tr>
        <w:trPr>
          <w:trHeight w:val="222"/>
        </w:trPr>
        <w:tc>
          <w:tcPr>
            <w:tcW w:w="460" w:type="dxa"/>
            <w:vAlign w:val="bottom"/>
          </w:tcPr>
          <w:p>
            <w:pPr>
              <w:spacing w:after="0"/>
              <w:rPr>
                <w:sz w:val="19"/>
                <w:szCs w:val="19"/>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Agreement, dated as of August 15, 2006. (12)</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10.35</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89"/>
              </w:rPr>
              <w:t>Fourth Amendment to Amended and Restated Credit Agreement, dated as of April 17, 2009, among Wynn Las Vegas, LLC and Wynn Las Vegas</w:t>
            </w:r>
          </w:p>
        </w:tc>
      </w:tr>
      <w:tr>
        <w:trPr>
          <w:trHeight w:val="216"/>
        </w:trPr>
        <w:tc>
          <w:tcPr>
            <w:tcW w:w="46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Capital Corp., Wynn Show Performers, LLC, Wynn Golf, LLC, Wynn Sunrise, LLC, World Travel, LLC, Kevyn, LLC, Las Vegas Jet, LLC, Wynn</w:t>
            </w:r>
          </w:p>
        </w:tc>
      </w:tr>
      <w:tr>
        <w:trPr>
          <w:trHeight w:val="216"/>
        </w:trPr>
        <w:tc>
          <w:tcPr>
            <w:tcW w:w="46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0"/>
              </w:rPr>
              <w:t>Resorts Holdings, LLC, Wynn Completion Guarantors, LLC and Deutsche Bank Trust Company Americas, as Administrative Agent on behalf of</w:t>
            </w:r>
          </w:p>
        </w:tc>
      </w:tr>
      <w:tr>
        <w:trPr>
          <w:trHeight w:val="216"/>
        </w:trPr>
        <w:tc>
          <w:tcPr>
            <w:tcW w:w="46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3"/>
              </w:rPr>
              <w:t>the several banks and other financial institutions or entities from time to time party to Wynn Las Vegas LLC’s Amended and Restated Credit</w:t>
            </w:r>
          </w:p>
        </w:tc>
      </w:tr>
      <w:tr>
        <w:trPr>
          <w:trHeight w:val="222"/>
        </w:trPr>
        <w:tc>
          <w:tcPr>
            <w:tcW w:w="460" w:type="dxa"/>
            <w:vAlign w:val="bottom"/>
          </w:tcPr>
          <w:p>
            <w:pPr>
              <w:spacing w:after="0"/>
              <w:rPr>
                <w:sz w:val="19"/>
                <w:szCs w:val="19"/>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Agreement, dated as of August 15, 2006. (20)</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10.36</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Fifth Amendment to Amended and Restated Credit Agreement, dated as of September 10, 2009, among Wynn Las Vegas, LLC and Wynn Las</w:t>
            </w:r>
          </w:p>
        </w:tc>
      </w:tr>
      <w:tr>
        <w:trPr>
          <w:trHeight w:val="216"/>
        </w:trPr>
        <w:tc>
          <w:tcPr>
            <w:tcW w:w="46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Vegas Capital Corp., Wynn Show Performers, LLC, Wynn Golf, LLC, Wynn Sunrise, LLC, World Travel, LLC, Kevyn, LLC, Las Vegas Jet, LLC,</w:t>
            </w:r>
          </w:p>
        </w:tc>
      </w:tr>
      <w:tr>
        <w:trPr>
          <w:trHeight w:val="216"/>
        </w:trPr>
        <w:tc>
          <w:tcPr>
            <w:tcW w:w="46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2"/>
              </w:rPr>
              <w:t>Wynn Resorts Holdings, LLC, Wynn Completion Guarantors, LLC and Deutsche Bank Trust Company Americas, as Administrative Agent on</w:t>
            </w:r>
          </w:p>
        </w:tc>
      </w:tr>
      <w:tr>
        <w:trPr>
          <w:trHeight w:val="216"/>
        </w:trPr>
        <w:tc>
          <w:tcPr>
            <w:tcW w:w="46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behalf of the several banks and other financial institutions or entities from time to time party to Wynn Las Vegas LLC’s Amended and Restated</w:t>
            </w:r>
          </w:p>
        </w:tc>
      </w:tr>
      <w:tr>
        <w:trPr>
          <w:trHeight w:val="222"/>
        </w:trPr>
        <w:tc>
          <w:tcPr>
            <w:tcW w:w="460" w:type="dxa"/>
            <w:vAlign w:val="bottom"/>
          </w:tcPr>
          <w:p>
            <w:pPr>
              <w:spacing w:after="0"/>
              <w:rPr>
                <w:sz w:val="19"/>
                <w:szCs w:val="19"/>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Credit Agreement, dated as of August 15, 2006. (21)</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10.37</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89"/>
              </w:rPr>
              <w:t>Sixth Amendment to Amended and Restated Credit Agreement dated as of April 28, 2010 among Wynn Las Vegas, LLC, Wynn Las Vegas Capital</w:t>
            </w:r>
          </w:p>
        </w:tc>
      </w:tr>
      <w:tr>
        <w:trPr>
          <w:trHeight w:val="216"/>
        </w:trPr>
        <w:tc>
          <w:tcPr>
            <w:tcW w:w="46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Corp., Wynn Show Performers, LLC, Wynn Golf, LLC, Wynn Sunrise, LLC, World Travel, LLC, Kevyn, LLC, Las Vegas Jet, LLC, Wynn Resorts</w:t>
            </w:r>
          </w:p>
        </w:tc>
      </w:tr>
      <w:tr>
        <w:trPr>
          <w:trHeight w:val="222"/>
        </w:trPr>
        <w:tc>
          <w:tcPr>
            <w:tcW w:w="460" w:type="dxa"/>
            <w:vAlign w:val="bottom"/>
          </w:tcPr>
          <w:p>
            <w:pPr>
              <w:spacing w:after="0"/>
              <w:rPr>
                <w:sz w:val="19"/>
                <w:szCs w:val="19"/>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Holdings, LLC, Wynn Completion Guarantor, LLC and Deutsche Bank Trust Company Americas, as Administrative Agent. (24)</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10.38</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2"/>
              </w:rPr>
              <w:t>Fourth Amendment to Amended and Restated Master Disbursement Agreement, dated April 28,2010, by and among Wynn Las Vegas, LLC,</w:t>
            </w:r>
          </w:p>
        </w:tc>
      </w:tr>
      <w:tr>
        <w:trPr>
          <w:trHeight w:val="222"/>
        </w:trPr>
        <w:tc>
          <w:tcPr>
            <w:tcW w:w="460" w:type="dxa"/>
            <w:vAlign w:val="bottom"/>
          </w:tcPr>
          <w:p>
            <w:pPr>
              <w:spacing w:after="0"/>
              <w:rPr>
                <w:sz w:val="19"/>
                <w:szCs w:val="19"/>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Deutsche Bank Trust Company Americas, as the Bank Agent, and Deutsche Bank Trust Company Americas, as the Disbursement Agent. (24)</w:t>
            </w:r>
          </w:p>
        </w:tc>
      </w:tr>
    </w:tbl>
    <w:p>
      <w:pPr>
        <w:sectPr>
          <w:pgSz w:w="11900" w:h="16838" w:orient="portrait"/>
          <w:cols w:equalWidth="0" w:num="1">
            <w:col w:w="11420"/>
          </w:cols>
          <w:pgMar w:left="240" w:top="459" w:right="239" w:bottom="1440" w:gutter="0" w:footer="0" w:header="0"/>
        </w:sectPr>
      </w:pPr>
    </w:p>
    <w:bookmarkStart w:id="326" w:name="page327"/>
    <w:bookmarkEnd w:id="3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5460" w:type="dxa"/>
            <w:vAlign w:val="bottom"/>
            <w:vMerge w:val="restart"/>
          </w:tcPr>
          <w:p>
            <w:pPr>
              <w:ind w:left="660"/>
              <w:spacing w:after="0"/>
              <w:rPr>
                <w:sz w:val="20"/>
                <w:szCs w:val="20"/>
                <w:color w:val="auto"/>
              </w:rPr>
            </w:pPr>
            <w:r>
              <w:rPr>
                <w:rFonts w:ascii="Arial" w:cs="Arial" w:eastAsia="Arial" w:hAnsi="Arial"/>
                <w:sz w:val="18"/>
                <w:szCs w:val="18"/>
                <w:color w:val="auto"/>
              </w:rPr>
              <w:t>Statements re Computation of Ratios. (25)</w:t>
            </w:r>
          </w:p>
        </w:tc>
        <w:tc>
          <w:tcPr>
            <w:tcW w:w="5220" w:type="dxa"/>
            <w:vAlign w:val="bottom"/>
            <w:gridSpan w:val="2"/>
          </w:tcPr>
          <w:p>
            <w:pPr>
              <w:ind w:left="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16"/>
        </w:trPr>
        <w:tc>
          <w:tcPr>
            <w:tcW w:w="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12.1</w:t>
            </w:r>
          </w:p>
        </w:tc>
        <w:tc>
          <w:tcPr>
            <w:tcW w:w="5460" w:type="dxa"/>
            <w:vAlign w:val="bottom"/>
            <w:vMerge w:val="continue"/>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460" w:type="dxa"/>
            <w:vAlign w:val="bottom"/>
          </w:tcPr>
          <w:p>
            <w:pPr>
              <w:spacing w:after="0"/>
              <w:rPr>
                <w:sz w:val="20"/>
                <w:szCs w:val="20"/>
                <w:color w:val="auto"/>
              </w:rPr>
            </w:pPr>
            <w:r>
              <w:rPr>
                <w:rFonts w:ascii="Arial" w:cs="Arial" w:eastAsia="Arial" w:hAnsi="Arial"/>
                <w:sz w:val="18"/>
                <w:szCs w:val="18"/>
                <w:color w:val="auto"/>
              </w:rPr>
              <w:t>21.1</w:t>
            </w: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rPr>
              <w:t>Subsidiaries of the Registrant. (25)</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23.1</w:t>
            </w: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rPr>
              <w:t>Consent of Ernst &amp; Young LLP. (25)</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23.2</w:t>
            </w: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rPr>
              <w:t>Consent of Skadden, Arps, Slate, Meagher &amp; Flom LLP (included in Exhibit 5.1). (25)</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23.3</w:t>
            </w: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rPr>
              <w:t>Consent of Brownstein Hyatt Farber Schreck, LLP (included in Exhibit 5.2). (25)</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24.1</w:t>
            </w: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rPr>
              <w:t>Powers of Attorney (included in the signature pages to the Registration Statement). (25)</w:t>
            </w:r>
          </w:p>
        </w:tc>
        <w:tc>
          <w:tcPr>
            <w:tcW w:w="0" w:type="dxa"/>
            <w:vAlign w:val="bottom"/>
          </w:tcPr>
          <w:p>
            <w:pPr>
              <w:spacing w:after="0"/>
              <w:rPr>
                <w:sz w:val="1"/>
                <w:szCs w:val="1"/>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25.1</w:t>
            </w: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w w:val="89"/>
              </w:rPr>
              <w:t>Statement of Eligibility and Qualification on Form T-1 of U.S. Bank National Association, as trustee under the Indenture for Wynn Las Vegas,</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rPr>
              <w:t>LLC and Wynn Las Vegas Capital Corp.’s 7.875% First Mortgage Notes due 2017. (25)</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rPr>
              <w:t>Form of Letter of Transmittal. (25)</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99.2</w:t>
            </w: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rPr>
              <w:t>Form of Notice of Guaranteed Delivery. (25)</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99.3</w:t>
            </w: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rPr>
              <w:t>Form of Letter to Clients. (25)</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99.4</w:t>
            </w:r>
          </w:p>
        </w:tc>
        <w:tc>
          <w:tcPr>
            <w:tcW w:w="10680" w:type="dxa"/>
            <w:vAlign w:val="bottom"/>
            <w:gridSpan w:val="3"/>
          </w:tcPr>
          <w:p>
            <w:pPr>
              <w:ind w:left="660"/>
              <w:spacing w:after="0"/>
              <w:rPr>
                <w:sz w:val="20"/>
                <w:szCs w:val="20"/>
                <w:color w:val="auto"/>
              </w:rPr>
            </w:pPr>
            <w:r>
              <w:rPr>
                <w:rFonts w:ascii="Arial" w:cs="Arial" w:eastAsia="Arial" w:hAnsi="Arial"/>
                <w:sz w:val="18"/>
                <w:szCs w:val="18"/>
                <w:color w:val="auto"/>
              </w:rPr>
              <w:t>Form of Letter to Brokers, Dealers, Commercial Banks, Trust Companies and Other Nominees. (25)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580" w:hanging="572"/>
        <w:spacing w:after="0"/>
        <w:tabs>
          <w:tab w:leader="none" w:pos="58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Previously filed with the Registration Statement on Form S-4 (File No. 333-124052) filed by the registrant on April 13, 2005.</w:t>
      </w:r>
    </w:p>
    <w:p>
      <w:pPr>
        <w:spacing w:after="0" w:line="15" w:lineRule="exact"/>
        <w:rPr>
          <w:rFonts w:ascii="Arial" w:cs="Arial" w:eastAsia="Arial" w:hAnsi="Arial"/>
          <w:sz w:val="18"/>
          <w:szCs w:val="18"/>
          <w:color w:val="auto"/>
        </w:rPr>
      </w:pPr>
    </w:p>
    <w:p>
      <w:pPr>
        <w:ind w:left="580" w:hanging="572"/>
        <w:spacing w:after="0"/>
        <w:tabs>
          <w:tab w:leader="none" w:pos="58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November 18, 2002.</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December 17, 2004.</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Wynn Resorts on March 15, 2005.</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Wynn Resorts on November 4, 2004.</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Wynn Resorts on May 15, 2003.</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September 8, 2004.</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June 29, 2005.</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May 25, 2005.</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Incorporated by reference from the Periodic Report on form 10-Q filed by Wynn Resorts, Limited on August 2, 2005.</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September 1, 2005.</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September 19, 2008.</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the Registrant on March 2, 2009.</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August 9, 2007.</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November 1, 2007.</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November 13, 2007.</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October 31, 2007.</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November 9, 2006.</w:t>
      </w:r>
    </w:p>
    <w:p>
      <w:pPr>
        <w:sectPr>
          <w:pgSz w:w="11900" w:h="16838" w:orient="portrait"/>
          <w:cols w:equalWidth="0" w:num="1">
            <w:col w:w="11140"/>
          </w:cols>
          <w:pgMar w:left="240" w:top="459" w:right="519" w:bottom="1440" w:gutter="0" w:footer="0" w:header="0"/>
        </w:sectPr>
      </w:pPr>
    </w:p>
    <w:bookmarkStart w:id="327" w:name="page328"/>
    <w:bookmarkEnd w:id="3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hanging="572"/>
        <w:spacing w:after="0"/>
        <w:tabs>
          <w:tab w:leader="none" w:pos="580" w:val="left"/>
        </w:tabs>
        <w:numPr>
          <w:ilvl w:val="0"/>
          <w:numId w:val="383"/>
        </w:numPr>
        <w:rPr>
          <w:rFonts w:ascii="Arial" w:cs="Arial" w:eastAsia="Arial" w:hAnsi="Arial"/>
          <w:sz w:val="16"/>
          <w:szCs w:val="16"/>
          <w:color w:val="auto"/>
        </w:rPr>
      </w:pPr>
      <w:r>
        <w:rPr>
          <w:rFonts w:ascii="Arial" w:cs="Arial" w:eastAsia="Arial" w:hAnsi="Arial"/>
          <w:sz w:val="16"/>
          <w:szCs w:val="16"/>
          <w:color w:val="auto"/>
        </w:rPr>
        <w:t>Incorporated by reference from the Annual Report on Form 10-K filed by the Registrant on February 22, 2008.</w:t>
      </w:r>
    </w:p>
    <w:p>
      <w:pPr>
        <w:spacing w:after="0" w:line="38" w:lineRule="exact"/>
        <w:rPr>
          <w:rFonts w:ascii="Arial" w:cs="Arial" w:eastAsia="Arial" w:hAnsi="Arial"/>
          <w:sz w:val="16"/>
          <w:szCs w:val="16"/>
          <w:color w:val="auto"/>
        </w:rPr>
      </w:pPr>
    </w:p>
    <w:p>
      <w:pPr>
        <w:ind w:left="580" w:hanging="572"/>
        <w:spacing w:after="0"/>
        <w:tabs>
          <w:tab w:leader="none" w:pos="580" w:val="left"/>
        </w:tabs>
        <w:numPr>
          <w:ilvl w:val="0"/>
          <w:numId w:val="383"/>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April 21, 2009.</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83"/>
        </w:numPr>
        <w:rPr>
          <w:rFonts w:ascii="Arial" w:cs="Arial" w:eastAsia="Arial" w:hAnsi="Arial"/>
          <w:sz w:val="15"/>
          <w:szCs w:val="15"/>
          <w:color w:val="auto"/>
        </w:rPr>
      </w:pPr>
      <w:r>
        <w:rPr>
          <w:rFonts w:ascii="Arial" w:cs="Arial" w:eastAsia="Arial" w:hAnsi="Arial"/>
          <w:sz w:val="15"/>
          <w:szCs w:val="15"/>
          <w:color w:val="auto"/>
        </w:rPr>
        <w:t>Incorporated by reference from the Current Report on Form 8-K filed by the Registrant on September 14, 2009.</w:t>
      </w:r>
    </w:p>
    <w:p>
      <w:pPr>
        <w:spacing w:after="0" w:line="43" w:lineRule="exact"/>
        <w:rPr>
          <w:rFonts w:ascii="Arial" w:cs="Arial" w:eastAsia="Arial" w:hAnsi="Arial"/>
          <w:sz w:val="15"/>
          <w:szCs w:val="15"/>
          <w:color w:val="auto"/>
        </w:rPr>
      </w:pPr>
    </w:p>
    <w:p>
      <w:pPr>
        <w:ind w:left="580" w:hanging="572"/>
        <w:spacing w:after="0"/>
        <w:tabs>
          <w:tab w:leader="none" w:pos="580" w:val="left"/>
        </w:tabs>
        <w:numPr>
          <w:ilvl w:val="0"/>
          <w:numId w:val="383"/>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October 20, 2009.</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83"/>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Wynn Resorts on May 8, 2009.</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83"/>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Wynn Resorts on April 28, 2010.</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Filed herewith.</w:t>
      </w:r>
    </w:p>
    <w:p>
      <w:pPr>
        <w:sectPr>
          <w:pgSz w:w="11900" w:h="16838" w:orient="portrait"/>
          <w:cols w:equalWidth="0" w:num="1">
            <w:col w:w="10219"/>
          </w:cols>
          <w:pgMar w:left="240" w:top="459" w:right="1440" w:bottom="1440" w:gutter="0" w:footer="0" w:header="0"/>
        </w:sectPr>
      </w:pPr>
    </w:p>
    <w:bookmarkStart w:id="328" w:name="page329"/>
    <w:bookmarkEnd w:id="328"/>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4271010" cy="107188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4271010" cy="1071880"/>
                    </a:xfrm>
                    <a:prstGeom prst="rect">
                      <a:avLst/>
                    </a:prstGeom>
                    <a:noFill/>
                  </pic:spPr>
                </pic:pic>
              </a:graphicData>
            </a:graphic>
          </wp:anchor>
        </w:drawing>
        <w:drawing>
          <wp:anchor simplePos="0" relativeHeight="251657728" behindDoc="1" locked="0" layoutInCell="0" allowOverlap="1">
            <wp:simplePos x="0" y="0"/>
            <wp:positionH relativeFrom="column">
              <wp:posOffset>6522720</wp:posOffset>
            </wp:positionH>
            <wp:positionV relativeFrom="paragraph">
              <wp:posOffset>537845</wp:posOffset>
            </wp:positionV>
            <wp:extent cx="728980" cy="223837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28980" cy="223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May 5, 2010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Capital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20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Re:  Wynn Las Vegas, LLC and Wynn Las Vegas Capital</w:t>
      </w:r>
    </w:p>
    <w:p>
      <w:pPr>
        <w:spacing w:after="0" w:line="1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Corp. Registration Statement on Form 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804545</wp:posOffset>
            </wp:positionH>
            <wp:positionV relativeFrom="paragraph">
              <wp:posOffset>-17780</wp:posOffset>
            </wp:positionV>
            <wp:extent cx="244602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2446020" cy="889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100" w:firstLine="456"/>
        <w:spacing w:after="0" w:line="305" w:lineRule="auto"/>
        <w:rPr>
          <w:sz w:val="20"/>
          <w:szCs w:val="20"/>
          <w:color w:val="auto"/>
        </w:rPr>
      </w:pPr>
      <w:r>
        <w:rPr>
          <w:rFonts w:ascii="Arial" w:cs="Arial" w:eastAsia="Arial" w:hAnsi="Arial"/>
          <w:sz w:val="15"/>
          <w:szCs w:val="15"/>
          <w:color w:val="auto"/>
        </w:rPr>
        <w:t>We have acted as special counsel to Wynn Las Vegas, LLC, a Nevada limited liability company, and Wynn Las Vegas Capital Corp., a Nevada corporation (collectively, the “Issuers”), and each of the entities listed on Schedule I hereto (collectively, the “Guarantors”) in connection with the public offering of up to</w:t>
      </w:r>
    </w:p>
    <w:p>
      <w:pPr>
        <w:ind w:right="40" w:firstLine="8"/>
        <w:spacing w:after="0" w:line="284" w:lineRule="auto"/>
        <w:tabs>
          <w:tab w:leader="none" w:pos="210" w:val="left"/>
        </w:tabs>
        <w:numPr>
          <w:ilvl w:val="0"/>
          <w:numId w:val="384"/>
        </w:numPr>
        <w:rPr>
          <w:rFonts w:ascii="Arial" w:cs="Arial" w:eastAsia="Arial" w:hAnsi="Arial"/>
          <w:sz w:val="16"/>
          <w:szCs w:val="16"/>
          <w:color w:val="auto"/>
        </w:rPr>
      </w:pPr>
      <w:r>
        <w:rPr>
          <w:rFonts w:ascii="Arial" w:cs="Arial" w:eastAsia="Arial" w:hAnsi="Arial"/>
          <w:sz w:val="16"/>
          <w:szCs w:val="16"/>
          <w:color w:val="auto"/>
        </w:rPr>
        <w:t xml:space="preserve">$500,000,000 aggregate principal amount of the Issuers’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due 2017 (the “2017 Exchange Notes”) and (ii) $382,010,000 aggregate principal amount of the Issuers’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due 2020 (the “2020 Exchange Notes,” and together with the 2017 Exchange Notes, the “Exchange Notes”). The Indenture, dated as of October 19, 2009, among the Issuers, the Guarantors and U.S. Bank National Association, as trustee (the “Trustee,” and such indenture, the “2017 Notes Indenture”), provides for the guarantee of the 2017 Exchange Notes by the Guarantors (the “2017 Notes Guarantees”) to the extent set forth in the 2017 Notes Indenture. The Indenture, dated as of April 28, 2010, among the Issuers, the Guarantors and the Trustee (the “2020 Notes Indenture,” and together with the 2017 Notes Indenture, the “Indentures”), provides for the guarantee of the 2020 Exchange Notes by the Guarantors (the “2020 Notes Guarantees,” and together with the 2017 Notes Guarantees, the “Guarantees”) to the extent set forth in the 2020 Notes Indenture. The 2017 Exchange Notes and the 2017 Notes Guarantees are to be offered (the “2017 Notes Exchange Offer”) in exchange for a like principal amount of the issued and outstanding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due 2017 of the Issuers issued on October 19, 2009 and the guarantees thereof by the Guarantors (the “Original 2017 Notes”), as contemplated by the Registration Rights Agreement, dated as of October 19, 2009 (the “2017 Notes Registration Rights Agreement”), by and among the Issuers, the Guarantors, Deutsche Bank Securities Inc. and Banc of America Securities LLC. The 2020 Exchange Notes and the 2020 Notes Guarantees are to be offered (the “2020 Notes Exchange Offer,” and together with the 2017 Notes Exchange Offer, the “Exchange Offers”) in exchange for a like principal amount of the issued and outstanding 7 </w:t>
      </w:r>
      <w:r>
        <w:rPr>
          <w:rFonts w:ascii="Arial" w:cs="Arial" w:eastAsia="Arial" w:hAnsi="Arial"/>
          <w:sz w:val="10"/>
          <w:szCs w:val="10"/>
          <w:color w:val="auto"/>
        </w:rPr>
        <w:t>7</w:t>
      </w:r>
      <w:r>
        <w:rPr>
          <w:rFonts w:ascii="Arial" w:cs="Arial" w:eastAsia="Arial" w:hAnsi="Arial"/>
          <w:sz w:val="16"/>
          <w:szCs w:val="16"/>
          <w:color w:val="auto"/>
        </w:rPr>
        <w:t xml:space="preserve"> /</w:t>
      </w:r>
      <w:r>
        <w:rPr>
          <w:rFonts w:ascii="Arial" w:cs="Arial" w:eastAsia="Arial" w:hAnsi="Arial"/>
          <w:sz w:val="12"/>
          <w:szCs w:val="12"/>
          <w:color w:val="auto"/>
        </w:rPr>
        <w:t>8</w:t>
      </w:r>
      <w:r>
        <w:rPr>
          <w:rFonts w:ascii="Arial" w:cs="Arial" w:eastAsia="Arial" w:hAnsi="Arial"/>
          <w:sz w:val="16"/>
          <w:szCs w:val="16"/>
          <w:color w:val="auto"/>
        </w:rPr>
        <w:t>% First Mortgage Notes due 2020 of the Issuers issued on April 28, 2010 and the guarantees thereof by the Guarantors (the “Original 2020 Notes”), as contemplated by the Registration Rights Agreement, dated as of April 28, 2010 (the “2020 Notes Registration Rights Agreement”), by and among the Issuers, the Guarantors, Deutsche Bank Securities Inc., Banc of America Securities LLC and J.P. Morgan Securities Inc.</w:t>
      </w:r>
    </w:p>
    <w:p>
      <w:pPr>
        <w:spacing w:after="0" w:line="131"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This opinion is being furnished to you in accordance with the requirements of Item 601(b)(5) of Regulation S-K under the Securities Act of 1933, as amended (the “Securities Act”).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rendering the opinions set forth herein, we have examined and relied on originals or copies of the following:</w:t>
      </w:r>
    </w:p>
    <w:p>
      <w:pPr>
        <w:spacing w:after="0" w:line="90" w:lineRule="exact"/>
        <w:rPr>
          <w:sz w:val="20"/>
          <w:szCs w:val="20"/>
          <w:color w:val="auto"/>
        </w:rPr>
      </w:pPr>
    </w:p>
    <w:p>
      <w:pPr>
        <w:ind w:left="460" w:right="240" w:firstLine="443"/>
        <w:spacing w:after="0" w:line="268" w:lineRule="auto"/>
        <w:tabs>
          <w:tab w:leader="none" w:pos="1137" w:val="left"/>
        </w:tabs>
        <w:numPr>
          <w:ilvl w:val="0"/>
          <w:numId w:val="385"/>
        </w:numPr>
        <w:rPr>
          <w:rFonts w:ascii="Arial" w:cs="Arial" w:eastAsia="Arial" w:hAnsi="Arial"/>
          <w:sz w:val="18"/>
          <w:szCs w:val="18"/>
          <w:color w:val="auto"/>
        </w:rPr>
      </w:pPr>
      <w:r>
        <w:rPr>
          <w:rFonts w:ascii="Arial" w:cs="Arial" w:eastAsia="Arial" w:hAnsi="Arial"/>
          <w:sz w:val="18"/>
          <w:szCs w:val="18"/>
          <w:color w:val="auto"/>
        </w:rPr>
        <w:t>the registration statement on Form S-4 of the Issuers and the Guarantors relating to the Exchange Notes and the Guarantees to be filed with the Securities and Exchange Commission (the “Commission”)</w:t>
      </w:r>
    </w:p>
    <w:p>
      <w:pPr>
        <w:sectPr>
          <w:pgSz w:w="11900" w:h="16838" w:orient="portrait"/>
          <w:cols w:equalWidth="0" w:num="1">
            <w:col w:w="11420"/>
          </w:cols>
          <w:pgMar w:left="240" w:top="125" w:right="239" w:bottom="1440" w:gutter="0" w:footer="0" w:header="0"/>
        </w:sectPr>
      </w:pPr>
    </w:p>
    <w:bookmarkStart w:id="329" w:name="page330"/>
    <w:bookmarkEnd w:id="32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Capital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5,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 Securities Act on the date hereof (such registration statement being hereinafter referred to as the “Registration Statement”);</w:t>
      </w:r>
    </w:p>
    <w:p>
      <w:pPr>
        <w:spacing w:after="0" w:line="90" w:lineRule="exact"/>
        <w:rPr>
          <w:sz w:val="20"/>
          <w:szCs w:val="20"/>
          <w:color w:val="auto"/>
        </w:rPr>
      </w:pPr>
    </w:p>
    <w:p>
      <w:pPr>
        <w:ind w:left="1160" w:hanging="257"/>
        <w:spacing w:after="0"/>
        <w:tabs>
          <w:tab w:leader="none" w:pos="116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an executed copy of the 2017 Notes Indenture;</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an executed copy of the 2020 Notes Indenture;</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an executed copy of the 2017 Notes Registration Rights Agreement;</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an executed copy of the 2020 Notes Registration Rights Agreement;</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the form of 2017 Exchange Notes included in the 2017 Notes Indenture;</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the form of 2020 Exchange Notes included in the 2020 Notes Indenture;</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the form of 2017 Notes Guarantees included in the 2017 Notes Indenture; and</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the form of 2020 Notes Guarantees included in the 2020 Notes Indenture.</w:t>
      </w:r>
    </w:p>
    <w:p>
      <w:pPr>
        <w:spacing w:after="0" w:line="171"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We have also examined originals or copies, certified or otherwise identified to our satisfaction, of such records of the Issuers and the Guarantors and such agreements, certificates and receipts of public officials, certificates of officers or other representatives of the Issuers, the Guarantors and others, and such other documents as we have deemed necessary or appropriate as a basis for the opinions set forth below.</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our examination, we have assumed the legal capacity of all natural persons, the genuineness of all signatures, the authenticity of all documents submitted to us as originals, the conformity to original documents of all documents submitted to us as facsimile, electronic, certified or photostatic copies, and the authenticity of the originals of such copies. In making our examination of executed documents, we have assumed that the parties thereto, including the Issuers and the Guarantors, had the power, corporate or other, to enter into and perform all obligations thereunder and have also assumed the due authorization by all requisite action, corporate or other, and the execution and delivery by such parties of such documents and, except to the extent expressly set forth in our opinions below, the validity and binding effect thereof on such parties. We have also assumed that each of the Issuers and the Guarantors has been duly organized and is validly existing in good standing, and has requisite legal status and legal capacity, under the laws of the State of Nevada and that each of the Issuers and the Guarantors has complied and will comply with all aspects of the laws of all relevant jurisdictions (including the laws of the State of Nevada) in connection with the transactions contemplated by, and the performance of their obligations under, the Exchange Offers, other than the laws of the State of New York insofar as we express our opinions herein. As to any facts material to the opinions expressed herein that we did not independently establish or verify, we have relied upon statements and representations of officers and other representatives of the Issuers, the Guarantors and others and of public officials.</w:t>
      </w:r>
    </w:p>
    <w:p>
      <w:pPr>
        <w:spacing w:after="0" w:line="12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do not express any opinion as to any laws other than those laws, rules and regulations of the State of New York that, in our experience, are applicable to transactions of the type contemplated by the Exchange Offers, and to the extent that judicial or regulatory orders or decrees or consents, approvals, licenses, authorizations, validations, filings, recordings or registrations with governmental authorities are relevant, to those required under such laws (all of the foregoing being referred to as “Opined on Law”). We do not express any opinion with respect to the law of any jurisdiction other than Opined on Law or as to the effect of any such law (other than Opined on Law) on the opinions herein stated. Insofar as the opinions expressed herein relate to matters governed by laws other than Opined on Law, we have assumed, without having made any independent investigation, that such laws do not affect the opinions set forth herein. The opinions expressed herein are based on laws in effect on the date hereof, which laws are subject to change with possible retroactive effect, and we disclaim any undertaking to advise you of any subsequent changes in the facts stated or assumed herein or of any subsequent changes in applicable laws.</w:t>
      </w:r>
    </w:p>
    <w:p>
      <w:pPr>
        <w:sectPr>
          <w:pgSz w:w="11900" w:h="16838" w:orient="portrait"/>
          <w:cols w:equalWidth="0" w:num="1">
            <w:col w:w="11420"/>
          </w:cols>
          <w:pgMar w:left="240" w:top="280" w:right="239" w:bottom="1440" w:gutter="0" w:footer="0" w:header="0"/>
        </w:sectPr>
      </w:pPr>
    </w:p>
    <w:bookmarkStart w:id="330" w:name="page331"/>
    <w:bookmarkEnd w:id="3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Capital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5,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opinions set forth below are subject to the following further qualifications, assumptions and limitations:</w:t>
      </w:r>
    </w:p>
    <w:p>
      <w:pPr>
        <w:spacing w:after="0" w:line="90" w:lineRule="exact"/>
        <w:rPr>
          <w:sz w:val="20"/>
          <w:szCs w:val="20"/>
          <w:color w:val="auto"/>
        </w:rPr>
      </w:pPr>
    </w:p>
    <w:p>
      <w:pPr>
        <w:ind w:left="460" w:right="80" w:firstLine="443"/>
        <w:spacing w:after="0" w:line="332" w:lineRule="auto"/>
        <w:tabs>
          <w:tab w:leader="none" w:pos="1137" w:val="left"/>
        </w:tabs>
        <w:numPr>
          <w:ilvl w:val="0"/>
          <w:numId w:val="387"/>
        </w:numPr>
        <w:rPr>
          <w:rFonts w:ascii="Arial" w:cs="Arial" w:eastAsia="Arial" w:hAnsi="Arial"/>
          <w:sz w:val="16"/>
          <w:szCs w:val="16"/>
          <w:color w:val="auto"/>
        </w:rPr>
      </w:pPr>
      <w:r>
        <w:rPr>
          <w:rFonts w:ascii="Arial" w:cs="Arial" w:eastAsia="Arial" w:hAnsi="Arial"/>
          <w:sz w:val="16"/>
          <w:szCs w:val="16"/>
          <w:color w:val="auto"/>
        </w:rPr>
        <w:t>in rendering the opinions set forth below, we have assumed that the Trustee’s certificates of authentication of the Exchange Notes will have been manually signed by one of the Trustee’s authorized officers and that the Exchange Notes conform to the forms thereof examined by us;</w:t>
      </w:r>
    </w:p>
    <w:p>
      <w:pPr>
        <w:spacing w:after="0" w:line="4" w:lineRule="exact"/>
        <w:rPr>
          <w:rFonts w:ascii="Arial" w:cs="Arial" w:eastAsia="Arial" w:hAnsi="Arial"/>
          <w:sz w:val="16"/>
          <w:szCs w:val="16"/>
          <w:color w:val="auto"/>
        </w:rPr>
      </w:pPr>
    </w:p>
    <w:p>
      <w:pPr>
        <w:ind w:left="460" w:right="20" w:firstLine="443"/>
        <w:spacing w:after="0" w:line="298" w:lineRule="auto"/>
        <w:tabs>
          <w:tab w:leader="none" w:pos="1147" w:val="left"/>
        </w:tabs>
        <w:numPr>
          <w:ilvl w:val="0"/>
          <w:numId w:val="387"/>
        </w:numPr>
        <w:rPr>
          <w:rFonts w:ascii="Arial" w:cs="Arial" w:eastAsia="Arial" w:hAnsi="Arial"/>
          <w:sz w:val="16"/>
          <w:szCs w:val="16"/>
          <w:color w:val="auto"/>
        </w:rPr>
      </w:pPr>
      <w:r>
        <w:rPr>
          <w:rFonts w:ascii="Arial" w:cs="Arial" w:eastAsia="Arial" w:hAnsi="Arial"/>
          <w:sz w:val="16"/>
          <w:szCs w:val="16"/>
          <w:color w:val="auto"/>
        </w:rPr>
        <w:t>we do not express any opinion as to the effect on the opinions expressed herein of (i) the compliance or noncompliance of any party to the Indentures (other than with respect to the Issuers and the Guarantors to the extent necessary to render the opinions set forth herein) with any state, federal or other laws or regulations applicable to it or them or (ii) the legal or regulatory status or the nature of the business of any party (other than with respect to the Issuers and the Guarantors to the extent necessary to render the opinions set forth herein);</w:t>
      </w:r>
    </w:p>
    <w:p>
      <w:pPr>
        <w:spacing w:after="0" w:line="31" w:lineRule="exact"/>
        <w:rPr>
          <w:rFonts w:ascii="Arial" w:cs="Arial" w:eastAsia="Arial" w:hAnsi="Arial"/>
          <w:sz w:val="16"/>
          <w:szCs w:val="16"/>
          <w:color w:val="auto"/>
        </w:rPr>
      </w:pPr>
    </w:p>
    <w:p>
      <w:pPr>
        <w:ind w:left="460" w:right="40" w:firstLine="443"/>
        <w:spacing w:after="0" w:line="294" w:lineRule="auto"/>
        <w:tabs>
          <w:tab w:leader="none" w:pos="1137" w:val="left"/>
        </w:tabs>
        <w:numPr>
          <w:ilvl w:val="0"/>
          <w:numId w:val="387"/>
        </w:numPr>
        <w:rPr>
          <w:rFonts w:ascii="Arial" w:cs="Arial" w:eastAsia="Arial" w:hAnsi="Arial"/>
          <w:sz w:val="16"/>
          <w:szCs w:val="16"/>
          <w:color w:val="auto"/>
        </w:rPr>
      </w:pPr>
      <w:r>
        <w:rPr>
          <w:rFonts w:ascii="Arial" w:cs="Arial" w:eastAsia="Arial" w:hAnsi="Arial"/>
          <w:sz w:val="16"/>
          <w:szCs w:val="16"/>
          <w:color w:val="auto"/>
        </w:rPr>
        <w:t>we have assumed that the execution and delivery by the Issuers and the Guarantors of each of the Indentures and the performance by the Issuers and the Guarantors of their obligations thereunder do not and will not violate, conflict with or constitute a default under (i) any agreement or instrument to which the Issuers or the Guarantors or any of their properties is subject, (ii) any law, rule, or regulation to which the Issuers or the Guarantors or any of their properties is subject, (iii) any judicial or regulatory order or decree of any governmental authority or (iv) any consent, approval, license, authorization or validation of, or filing, recording or registration with, any governmental authority;</w:t>
      </w:r>
    </w:p>
    <w:p>
      <w:pPr>
        <w:spacing w:after="0" w:line="34"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387"/>
        </w:numPr>
        <w:rPr>
          <w:rFonts w:ascii="Arial" w:cs="Arial" w:eastAsia="Arial" w:hAnsi="Arial"/>
          <w:sz w:val="18"/>
          <w:szCs w:val="18"/>
          <w:color w:val="auto"/>
        </w:rPr>
      </w:pPr>
      <w:r>
        <w:rPr>
          <w:rFonts w:ascii="Arial" w:cs="Arial" w:eastAsia="Arial" w:hAnsi="Arial"/>
          <w:sz w:val="18"/>
          <w:szCs w:val="18"/>
          <w:color w:val="auto"/>
        </w:rPr>
        <w:t>the validity or enforcement of any agreements or instruments may be limited by applicable bankruptcy, insolvency, reorganization, moratorium or other similar laws affecting creditors’ rights generally and by general principles of equity (regardless of whether enforceability is considered in a proceeding in equity or at law);</w:t>
      </w:r>
    </w:p>
    <w:p>
      <w:pPr>
        <w:spacing w:after="0" w:line="59" w:lineRule="exact"/>
        <w:rPr>
          <w:rFonts w:ascii="Arial" w:cs="Arial" w:eastAsia="Arial" w:hAnsi="Arial"/>
          <w:sz w:val="18"/>
          <w:szCs w:val="18"/>
          <w:color w:val="auto"/>
        </w:rPr>
      </w:pPr>
    </w:p>
    <w:p>
      <w:pPr>
        <w:ind w:left="460" w:right="500" w:firstLine="443"/>
        <w:spacing w:after="0" w:line="268" w:lineRule="auto"/>
        <w:tabs>
          <w:tab w:leader="none" w:pos="1137" w:val="left"/>
        </w:tabs>
        <w:numPr>
          <w:ilvl w:val="0"/>
          <w:numId w:val="387"/>
        </w:numPr>
        <w:rPr>
          <w:rFonts w:ascii="Arial" w:cs="Arial" w:eastAsia="Arial" w:hAnsi="Arial"/>
          <w:sz w:val="18"/>
          <w:szCs w:val="18"/>
          <w:color w:val="auto"/>
        </w:rPr>
      </w:pPr>
      <w:r>
        <w:rPr>
          <w:rFonts w:ascii="Arial" w:cs="Arial" w:eastAsia="Arial" w:hAnsi="Arial"/>
          <w:sz w:val="18"/>
          <w:szCs w:val="18"/>
          <w:color w:val="auto"/>
        </w:rPr>
        <w:t>we do not express any opinion as to the applicability or effect of any fraudulent transfer, preference or similar law on the Indentures or any transactions contemplated thereby; and</w:t>
      </w:r>
    </w:p>
    <w:p>
      <w:pPr>
        <w:spacing w:after="0" w:line="50" w:lineRule="exact"/>
        <w:rPr>
          <w:rFonts w:ascii="Arial" w:cs="Arial" w:eastAsia="Arial" w:hAnsi="Arial"/>
          <w:sz w:val="18"/>
          <w:szCs w:val="18"/>
          <w:color w:val="auto"/>
        </w:rPr>
      </w:pPr>
    </w:p>
    <w:p>
      <w:pPr>
        <w:ind w:left="460" w:right="80" w:firstLine="443"/>
        <w:spacing w:after="0" w:line="259" w:lineRule="auto"/>
        <w:tabs>
          <w:tab w:leader="none" w:pos="1117" w:val="left"/>
        </w:tabs>
        <w:numPr>
          <w:ilvl w:val="0"/>
          <w:numId w:val="387"/>
        </w:numPr>
        <w:rPr>
          <w:rFonts w:ascii="Arial" w:cs="Arial" w:eastAsia="Arial" w:hAnsi="Arial"/>
          <w:sz w:val="18"/>
          <w:szCs w:val="18"/>
          <w:color w:val="auto"/>
        </w:rPr>
      </w:pPr>
      <w:r>
        <w:rPr>
          <w:rFonts w:ascii="Arial" w:cs="Arial" w:eastAsia="Arial" w:hAnsi="Arial"/>
          <w:sz w:val="18"/>
          <w:szCs w:val="18"/>
          <w:color w:val="auto"/>
        </w:rPr>
        <w:t>to the extent any opinion relates to the enforceability of the choice of New York law and choice of New York forum provisions of the Indentures, our opinion is rendered in reliance upon N.Y. Gen. Oblig. Law §§ 5-1401, 5-1402 (McKinney 2001) and N.Y. C.P.L.R. 327(b) (McKinney 2001) and is subject to the qualification that such enforceability may be limited by public policy considerations.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Based upon the foregoing and subject to the limitations, qualifications, exceptions and assumptions set forth herein, we are of the opinion that:</w:t>
      </w:r>
    </w:p>
    <w:p>
      <w:pPr>
        <w:spacing w:after="0" w:line="113" w:lineRule="exact"/>
        <w:rPr>
          <w:sz w:val="20"/>
          <w:szCs w:val="20"/>
          <w:color w:val="auto"/>
        </w:rPr>
      </w:pPr>
    </w:p>
    <w:p>
      <w:pPr>
        <w:ind w:left="460" w:right="20" w:firstLine="443"/>
        <w:spacing w:after="0" w:line="255" w:lineRule="auto"/>
        <w:tabs>
          <w:tab w:leader="none" w:pos="1074" w:val="left"/>
        </w:tabs>
        <w:numPr>
          <w:ilvl w:val="0"/>
          <w:numId w:val="388"/>
        </w:numPr>
        <w:rPr>
          <w:rFonts w:ascii="Arial" w:cs="Arial" w:eastAsia="Arial" w:hAnsi="Arial"/>
          <w:sz w:val="18"/>
          <w:szCs w:val="18"/>
          <w:color w:val="auto"/>
        </w:rPr>
      </w:pPr>
      <w:r>
        <w:rPr>
          <w:rFonts w:ascii="Arial" w:cs="Arial" w:eastAsia="Arial" w:hAnsi="Arial"/>
          <w:sz w:val="18"/>
          <w:szCs w:val="18"/>
          <w:color w:val="auto"/>
        </w:rPr>
        <w:t>When the 2017 Exchange Notes and the 2017 Notes Guarantees (in the forms examined by us) have been duly executed, authenticated, issued and delivered in exchange for the Original 2017 Notes in accordance with the terms of the 2017 Notes Indenture, the 2017 Notes Registration Rights Agreement and the 2017 Notes Exchange Offer, the 2017 Exchange Notes and the 2017 Notes Guarantees will constitute valid and binding obligations of each of the Issuers and each of the Guarantors, respectively, enforceable against each of the Issuers and each of the Guarantors, respectively, in accordance with their terms.</w:t>
      </w:r>
    </w:p>
    <w:p>
      <w:pPr>
        <w:spacing w:after="0" w:line="61" w:lineRule="exact"/>
        <w:rPr>
          <w:rFonts w:ascii="Arial" w:cs="Arial" w:eastAsia="Arial" w:hAnsi="Arial"/>
          <w:sz w:val="18"/>
          <w:szCs w:val="18"/>
          <w:color w:val="auto"/>
        </w:rPr>
      </w:pPr>
    </w:p>
    <w:p>
      <w:pPr>
        <w:ind w:left="460" w:right="20" w:firstLine="443"/>
        <w:spacing w:after="0" w:line="255" w:lineRule="auto"/>
        <w:tabs>
          <w:tab w:leader="none" w:pos="1074" w:val="left"/>
        </w:tabs>
        <w:numPr>
          <w:ilvl w:val="0"/>
          <w:numId w:val="388"/>
        </w:numPr>
        <w:rPr>
          <w:rFonts w:ascii="Arial" w:cs="Arial" w:eastAsia="Arial" w:hAnsi="Arial"/>
          <w:sz w:val="18"/>
          <w:szCs w:val="18"/>
          <w:color w:val="auto"/>
        </w:rPr>
      </w:pPr>
      <w:r>
        <w:rPr>
          <w:rFonts w:ascii="Arial" w:cs="Arial" w:eastAsia="Arial" w:hAnsi="Arial"/>
          <w:sz w:val="18"/>
          <w:szCs w:val="18"/>
          <w:color w:val="auto"/>
        </w:rPr>
        <w:t>When the 2020 Exchange Notes and the 2020 Notes Guarantees (in the forms examined by us) have been duly executed, authenticated, issued and delivered in exchange for the Original 2020 Notes in accordance with the terms of the 2020 Notes Indenture, the 2020 Notes Registration Rights Agreement and the 2020 Notes Exchange Offer, the 2020 Exchange Notes and the 2020 Notes Guarantees will constitute valid and binding obligations of each of the Issuers and each of the Guarantors, respectively, enforceable against each of the Issuers and each of the Guarantors, respectively, in accordance with their terms.</w:t>
      </w:r>
    </w:p>
    <w:p>
      <w:pPr>
        <w:sectPr>
          <w:pgSz w:w="11900" w:h="16838" w:orient="portrait"/>
          <w:cols w:equalWidth="0" w:num="1">
            <w:col w:w="11380"/>
          </w:cols>
          <w:pgMar w:left="240" w:top="280" w:right="279" w:bottom="1440" w:gutter="0" w:footer="0" w:header="0"/>
        </w:sectPr>
      </w:pPr>
    </w:p>
    <w:bookmarkStart w:id="331" w:name="page332"/>
    <w:bookmarkEnd w:id="3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Capital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5,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51"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We hereby consent to the filing of this opinion with the Commission as an exhibit to the Registration Statement. We also hereby consent to the use of our name under the heading “Legal Matters” in the prospectus forming a part of the Registration Statement. In giving this consent, we do not thereby admit that we are within the category of persons whose consent is required under Section 7 of the Securities Act or the rules and regulations of the Commission promulgated thereunder.</w:t>
      </w:r>
    </w:p>
    <w:p>
      <w:pPr>
        <w:spacing w:after="0" w:line="224"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Very truly yours,</w:t>
      </w:r>
    </w:p>
    <w:p>
      <w:pPr>
        <w:spacing w:after="0" w:line="17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 SKADDEN, ARPS, SLATE, MEAGHER &amp; FLOM LLP</w:t>
      </w:r>
    </w:p>
    <w:p>
      <w:pPr>
        <w:sectPr>
          <w:pgSz w:w="11900" w:h="16838" w:orient="portrait"/>
          <w:cols w:equalWidth="0" w:num="1">
            <w:col w:w="11220"/>
          </w:cols>
          <w:pgMar w:left="240" w:top="280" w:right="439" w:bottom="1440" w:gutter="0" w:footer="0" w:header="0"/>
        </w:sectPr>
      </w:pPr>
    </w:p>
    <w:bookmarkStart w:id="332" w:name="page333"/>
    <w:bookmarkEnd w:id="332"/>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w:t>
      </w:r>
    </w:p>
    <w:p>
      <w:pPr>
        <w:spacing w:after="0" w:line="21"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GUARANTORS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Las Vegas Jet, LLC, a Nevada limited liability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Kevyn, LLC, a Nevada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World Travel, LLC, a Nevada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Golf, LLC, a Nevada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Show Performers, LLC, a Nevada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Sunrise, LLC, a Nevada limited liability company</w:t>
      </w:r>
    </w:p>
    <w:p>
      <w:pPr>
        <w:sectPr>
          <w:pgSz w:w="11900" w:h="16838" w:orient="portrait"/>
          <w:cols w:equalWidth="0" w:num="1">
            <w:col w:w="10219"/>
          </w:cols>
          <w:pgMar w:left="240" w:top="273" w:right="1440" w:bottom="1440" w:gutter="0" w:footer="0" w:header="0"/>
        </w:sectPr>
      </w:pPr>
    </w:p>
    <w:bookmarkStart w:id="333" w:name="page334"/>
    <w:bookmarkEnd w:id="333"/>
    <w:p>
      <w:pPr>
        <w:jc w:val="right"/>
        <w:spacing w:after="0"/>
        <w:rPr>
          <w:sz w:val="20"/>
          <w:szCs w:val="20"/>
          <w:color w:val="auto"/>
        </w:rPr>
      </w:pPr>
      <w:r>
        <w:rPr>
          <w:rFonts w:ascii="Arial" w:cs="Arial" w:eastAsia="Arial" w:hAnsi="Arial"/>
          <w:sz w:val="18"/>
          <w:szCs w:val="18"/>
          <w:b w:val="1"/>
          <w:bCs w:val="1"/>
          <w:color w:val="auto"/>
        </w:rPr>
        <w:t>Exhibit 5.2</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May 5,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Capital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 xml:space="preserve">We have acted as special Nevada counsel to Wynn Las Vegas, LLC, a Nevada limited liability company (the “Company”), Wynn Las Vegas Capital Corp., a Nevada corporation (“Capital Corp.” and, together with the Company, the “Issuers”), Wynn Show Performers, LLC, Wynn Golf, LLC, Las Vegas Jet, LLC, World Travel, LLC, Wynn Sunrise, LLC, and Kevyn, LLC, each a Nevada limited liability company (collectively, the “Guarantors”), in connection with the filing of the Registration Statement on Form S-4 (the “Registration Statement”) with the Securities and Exchange Commission (the “Commission”) under the Securities Act of 1933, as amended (the “Act”), covering the registration of (i) $500,000,000 aggregate principal amount of the Issuers’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due 2017 (the “2017 Exchange Notes”), and the guarantees of the 2017 Exchange Notes by the Guarantors (the “2017 Note Guarantees” and together with the 2017 Exchange Notes, the “2017 Securities”), issued under that certain Indenture, dated as of October 19, 2009, by and among the Issuers, the Guarantors and U.S. Bank National Association, as trustee (as supplemented and reaffirmed to date, the “2017 Notes Indenture”); and of (i) $382,010,000 aggregate principal amount of the Issuers’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due 2020 (the “2020 Exchange Notes” and, together with the 2017 Exchange Notes, the “Exchange Notes”), and the guarantees of the 2020 Exchange Notes by the Guarantors (the “2020 Note Guarantees” and, together with the 2020 Exchange Notes, the “2020 Securities” and, together with the 2017 Securities, the “Securities”), issued under that certain Indenture, dated as of April 28, 2010, by and among the Issuers, the Guarantors and U.S. Bank National Association, as trustee (as supplemented and reaffirmed to date, the “2020 Notes Indenture” and, together with the 2017 Notes Indenture, the “Indentures”).</w:t>
      </w:r>
    </w:p>
    <w:p>
      <w:pPr>
        <w:spacing w:after="0" w:line="121"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In our capacity as such counsel, we are familiar with the proceedings taken and proposed to be taken by the Issuers and the Guarantors in connection with the authorization and issuance of the Securities, all as referenced in the Registration Statement. For purposes of this opinion letter, we have assumed all such proceedings will be timely completed in the manner presently proposed and the terms of such issuance will be in compliance with applicable laws.</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made such legal and factual examinations and inquiries, including an examination of originals or copies certified or otherwise identified to our satisfaction of such documents, agreements, instruments and corporate records, as we have deemed necessary or appropriate for the purposes of this opinion letter. We have also obtained from officers and other representatives and agents of the Issuers and the Guarantors and from public officials, and have relied upon, such certificates, representations and assurances as we have deemed necessary and appropriate for the purpose of issuing this opinion letter.</w:t>
      </w:r>
    </w:p>
    <w:p>
      <w:pPr>
        <w:spacing w:after="0" w:line="11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Without limiting the generality of the foregoing, in our examination, we have, with your permission, assumed without independent verification, that (i) the obligations of each party set forth in the Indentures and the Securities are its valid and binding obligations, enforceable against such party in accordance with their respective terms; (ii) each document we reviewed has been duly executed and delivered by the parties thereto (other than the Issuers and the Guarantors) to the extent due execution and delivery are prerequisites to the effectiveness thereof; (iii) each natural person executing a document has sufficient legal capacity to do so; (iv) all documents submitted to us as originals are authentic, the signatures on all documents that we examined are genuine, and all documents submitted to us as certified, conformed, photostatic, electronic or facsimile copies conform to the original document; (v) all documents that we examined accurately describe and contain the mutual understanding of the parties thereto and there are no oral or written agreements or understandings, and there is no course of prior dealing, between or among any of the parties that would in any manner vary or supplement the terms and provisions of such documents, or of the relationships set forth therein, or which would constitute a waiver of any of the provisions thereof by the actions or conduct of the parties or otherwise, or which would have an effect on</w:t>
      </w:r>
    </w:p>
    <w:p>
      <w:pPr>
        <w:sectPr>
          <w:pgSz w:w="11900" w:h="16838" w:orient="portrait"/>
          <w:cols w:equalWidth="0" w:num="1">
            <w:col w:w="11420"/>
          </w:cols>
          <w:pgMar w:left="240" w:top="125" w:right="239" w:bottom="1440" w:gutter="0" w:footer="0" w:header="0"/>
        </w:sectPr>
      </w:pPr>
    </w:p>
    <w:bookmarkStart w:id="334" w:name="page335"/>
    <w:bookmarkEnd w:id="33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Capital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5,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opinion rendered herein; and (vi) all corporate and limited liability company records made available to us by the Issuers and the Guarantors, and all public records we have reviewed, are accurate and complete.</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are qualified to practice law in the State of Nevada. The opinion set forth herein is expressly limited to the effect of the general corporate and limited liability company laws of the State of Nevada, and we do not purport to be experts on, or to express any opinion with respect to the applicability thereto, or to the effect thereon, of the laws of any other jurisdiction or as to matters of local law or the laws, rules or regulations of local governmental departments or agencies within the State of Nevada. We express no opinion herein concerning, and we assume no responsibility as to laws or judicial decisions related to, or any orders, consents or other authorizations or approvals as may be required by, any federal laws, rules or regulations, including, without limitation, any federal securities laws, rules or regulations, or any state securities or “Blue Sky” laws, rules or regulations.</w:t>
      </w:r>
    </w:p>
    <w:p>
      <w:pPr>
        <w:spacing w:after="0" w:line="12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Based on the foregoing, and in reliance thereon, and having regard to legal considerations and other information that we deem relevant, we are of the opinion that the Securities have been duly authorized by the Issuers and the Guarantors, as applicable.</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opinion expressed herein is based upon the applicable Nevada laws in effect and the facts in existence as of the date of this opinion letter. In delivering this opinion letter to you, we assume no obligation, and we advise you that we shall make no effort, to update the opinion set forth herein, to conduct any inquiry into the continued accuracy of such opinion, or to apprise any addressee hereof or its counsel or assignees of any facts, matters, transactions, events or occurrences taking place, and of which we may acquire knowledge, after the date of this letter, or of any change in any applicable Nevada law or any facts occurring after the date of this opinion letter, which may affect the opinion set forth herein. No opinions are offered or implied as to any matter, and no inference may be drawn, beyond the strict scope of the specific issues expressly addressed by the opinion set forth herein.</w:t>
      </w:r>
    </w:p>
    <w:p>
      <w:pPr>
        <w:spacing w:after="0" w:line="12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We consent to your filing this opinion letter as an exhibit to the Registration Statement and to the reference therein to our firm contained under the heading “Legal Matters”. In giving these consents, we do not admit that we are within the category of persons whose consent is required under Section 7 of the Act or the rules and regulations of the Commission promulgated thereunder.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Brownstein Hyatt Farber Schreck, LLP</w:t>
      </w:r>
    </w:p>
    <w:p>
      <w:pPr>
        <w:sectPr>
          <w:pgSz w:w="11900" w:h="16838" w:orient="portrait"/>
          <w:cols w:equalWidth="0" w:num="1">
            <w:col w:w="11360"/>
          </w:cols>
          <w:pgMar w:left="240" w:top="280" w:right="299" w:bottom="1440" w:gutter="0" w:footer="0" w:header="0"/>
        </w:sectPr>
      </w:pPr>
    </w:p>
    <w:bookmarkStart w:id="335" w:name="page336"/>
    <w:bookmarkEnd w:id="335"/>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5"/>
          </w:tcPr>
          <w:p>
            <w:pPr>
              <w:ind w:left="140"/>
              <w:spacing w:after="0"/>
              <w:rPr>
                <w:sz w:val="20"/>
                <w:szCs w:val="20"/>
                <w:color w:val="auto"/>
              </w:rPr>
            </w:pPr>
            <w:r>
              <w:rPr>
                <w:rFonts w:ascii="Arial" w:cs="Arial" w:eastAsia="Arial" w:hAnsi="Arial"/>
                <w:sz w:val="18"/>
                <w:szCs w:val="18"/>
                <w:b w:val="1"/>
                <w:bCs w:val="1"/>
                <w:color w:val="auto"/>
                <w:w w:val="89"/>
              </w:rPr>
              <w:t>Exhibit 12.1</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320" w:type="dxa"/>
            <w:vAlign w:val="bottom"/>
            <w:gridSpan w:val="4"/>
          </w:tcPr>
          <w:p>
            <w:pPr>
              <w:jc w:val="right"/>
              <w:ind w:right="780"/>
              <w:spacing w:after="0"/>
              <w:rPr>
                <w:sz w:val="20"/>
                <w:szCs w:val="20"/>
                <w:color w:val="auto"/>
              </w:rPr>
            </w:pPr>
            <w:r>
              <w:rPr>
                <w:rFonts w:ascii="Arial" w:cs="Arial" w:eastAsia="Arial" w:hAnsi="Arial"/>
                <w:sz w:val="18"/>
                <w:szCs w:val="18"/>
                <w:b w:val="1"/>
                <w:bCs w:val="1"/>
                <w:color w:val="auto"/>
              </w:rPr>
              <w:t>Wynn Las Vegas, LLC</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320" w:type="dxa"/>
            <w:vAlign w:val="bottom"/>
            <w:gridSpan w:val="7"/>
          </w:tcPr>
          <w:p>
            <w:pPr>
              <w:jc w:val="right"/>
              <w:ind w:right="760"/>
              <w:spacing w:after="0"/>
              <w:rPr>
                <w:sz w:val="20"/>
                <w:szCs w:val="20"/>
                <w:color w:val="auto"/>
              </w:rPr>
            </w:pPr>
            <w:r>
              <w:rPr>
                <w:rFonts w:ascii="Arial" w:cs="Arial" w:eastAsia="Arial" w:hAnsi="Arial"/>
                <w:sz w:val="18"/>
                <w:szCs w:val="18"/>
                <w:b w:val="1"/>
                <w:bCs w:val="1"/>
                <w:color w:val="auto"/>
              </w:rPr>
              <w:t>Calculation of Ratio of Earnings to Fixed Charges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6"/>
          </w:tcPr>
          <w:p>
            <w:pPr>
              <w:ind w:left="560"/>
              <w:spacing w:after="0"/>
              <w:rPr>
                <w:sz w:val="20"/>
                <w:szCs w:val="20"/>
                <w:color w:val="auto"/>
              </w:rPr>
            </w:pPr>
            <w:r>
              <w:rPr>
                <w:rFonts w:ascii="Arial" w:cs="Arial" w:eastAsia="Arial" w:hAnsi="Arial"/>
                <w:sz w:val="14"/>
                <w:szCs w:val="14"/>
                <w:b w:val="1"/>
                <w:bCs w:val="1"/>
                <w:color w:val="auto"/>
                <w:w w:val="86"/>
              </w:rPr>
              <w:t>Year ended December 31,</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Add:</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w w:val="94"/>
              </w:rPr>
              <w:t>Pretax income from continuing operations before adjustment for minority interests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tcPr>
          <w:p>
            <w:pPr>
              <w:ind w:left="200"/>
              <w:spacing w:after="0"/>
              <w:rPr>
                <w:sz w:val="20"/>
                <w:szCs w:val="20"/>
                <w:color w:val="auto"/>
              </w:rPr>
            </w:pPr>
            <w:r>
              <w:rPr>
                <w:rFonts w:ascii="Arial" w:cs="Arial" w:eastAsia="Arial" w:hAnsi="Arial"/>
                <w:sz w:val="18"/>
                <w:szCs w:val="18"/>
                <w:color w:val="auto"/>
              </w:rPr>
              <w:t>in consolidated subsidiaries or income or loss from equity investees.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(309,443)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(130,060)</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123,423</w:t>
            </w:r>
          </w:p>
        </w:tc>
        <w:tc>
          <w:tcPr>
            <w:tcW w:w="280" w:type="dxa"/>
            <w:vAlign w:val="bottom"/>
          </w:tcPr>
          <w:p>
            <w:pPr>
              <w:spacing w:after="0"/>
              <w:rPr>
                <w:sz w:val="19"/>
                <w:szCs w:val="19"/>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8,399</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(45,884)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159,359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158,499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121,143</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127,309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125,608</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Amortization of capitalized interest</w:t>
            </w: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24,131</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13,908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13,908</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13,908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9,272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Distributed income of equity investees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160" w:type="dxa"/>
            <w:vAlign w:val="bottom"/>
            <w:gridSpan w:val="2"/>
          </w:tcPr>
          <w:p>
            <w:pPr>
              <w:spacing w:after="0"/>
              <w:rPr>
                <w:sz w:val="20"/>
                <w:szCs w:val="20"/>
                <w:color w:val="auto"/>
              </w:rPr>
            </w:pPr>
            <w:r>
              <w:rPr>
                <w:rFonts w:ascii="Arial" w:cs="Arial" w:eastAsia="Arial" w:hAnsi="Arial"/>
                <w:sz w:val="18"/>
                <w:szCs w:val="18"/>
                <w:b w:val="1"/>
                <w:bCs w:val="1"/>
                <w:color w:val="auto"/>
              </w:rPr>
              <w:t>Subtract:</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Interest capitalized</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80,398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33,592</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7,690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36,769</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Total Earnings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(125,585)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(37,263)</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226,109</w:t>
            </w:r>
          </w:p>
        </w:tc>
        <w:tc>
          <w:tcPr>
            <w:tcW w:w="280" w:type="dxa"/>
            <w:vAlign w:val="bottom"/>
          </w:tcPr>
          <w:p>
            <w:pPr>
              <w:spacing w:after="0"/>
              <w:rPr>
                <w:sz w:val="19"/>
                <w:szCs w:val="19"/>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142,176</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52,227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157,228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75,855</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86,090</w:t>
            </w:r>
          </w:p>
        </w:tc>
        <w:tc>
          <w:tcPr>
            <w:tcW w:w="2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117,787</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86,746</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Interest capitalized</w:t>
            </w:r>
          </w:p>
        </w:tc>
        <w:tc>
          <w:tcPr>
            <w:tcW w:w="10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80,398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33,592</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7,690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36,769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Interest in rental expense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2,246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1,832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Total Fixed Charges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159,359</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158,499</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121,143</w:t>
            </w:r>
          </w:p>
        </w:tc>
        <w:tc>
          <w:tcPr>
            <w:tcW w:w="280" w:type="dxa"/>
            <w:vAlign w:val="bottom"/>
          </w:tcPr>
          <w:p>
            <w:pPr>
              <w:spacing w:after="0"/>
              <w:rPr>
                <w:sz w:val="19"/>
                <w:szCs w:val="19"/>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127,309</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125,608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to Fixed Charges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1.87x</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1.12x</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8"/>
                <w:szCs w:val="18"/>
                <w:b w:val="1"/>
                <w:bCs w:val="1"/>
                <w:color w:val="auto"/>
              </w:rPr>
              <w:t>Deficiency Amount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(284,944)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(195,762)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(73,381)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36" w:name="page337"/>
    <w:bookmarkEnd w:id="336"/>
    <w:p>
      <w:pPr>
        <w:jc w:val="right"/>
        <w:spacing w:after="0"/>
        <w:rPr>
          <w:sz w:val="20"/>
          <w:szCs w:val="20"/>
          <w:color w:val="auto"/>
        </w:rPr>
      </w:pPr>
      <w:r>
        <w:rPr>
          <w:rFonts w:ascii="Arial" w:cs="Arial" w:eastAsia="Arial" w:hAnsi="Arial"/>
          <w:sz w:val="18"/>
          <w:szCs w:val="18"/>
          <w:b w:val="1"/>
          <w:bCs w:val="1"/>
          <w:color w:val="auto"/>
        </w:rPr>
        <w:t>Exhibit 21.1</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SUBSIDIARIES OF WYNN LAS VEGAS, LLC</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Las Vegas Jet, LLC, a Nevada limited liability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Kevyn, LLC, a Nevada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World Travel, LLC, a Nevada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Completion Guarantor, LLC, a Nevada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Golf, LLC, a Nevada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Capital Corp, a Nevada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Show Performers, LLC, a Nevada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Sunrise, LLC, a Nevada limited liability company</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subsidiaries are wholly-owned by Wynn Las Vegas, LLC.</w:t>
      </w:r>
    </w:p>
    <w:p>
      <w:pPr>
        <w:sectPr>
          <w:pgSz w:w="11900" w:h="16838" w:orient="portrait"/>
          <w:cols w:equalWidth="0" w:num="1">
            <w:col w:w="11420"/>
          </w:cols>
          <w:pgMar w:left="240" w:top="125" w:right="239" w:bottom="1440" w:gutter="0" w:footer="0" w:header="0"/>
        </w:sectPr>
      </w:pPr>
    </w:p>
    <w:bookmarkStart w:id="337" w:name="page338"/>
    <w:bookmarkEnd w:id="337"/>
    <w:p>
      <w:pPr>
        <w:jc w:val="right"/>
        <w:spacing w:after="0"/>
        <w:rPr>
          <w:sz w:val="20"/>
          <w:szCs w:val="20"/>
          <w:color w:val="auto"/>
        </w:rPr>
      </w:pPr>
      <w:r>
        <w:rPr>
          <w:rFonts w:ascii="Arial" w:cs="Arial" w:eastAsia="Arial" w:hAnsi="Arial"/>
          <w:sz w:val="18"/>
          <w:szCs w:val="18"/>
          <w:b w:val="1"/>
          <w:bCs w:val="1"/>
          <w:color w:val="auto"/>
        </w:rPr>
        <w:t>Exhibit 23.1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We consent to the reference to our firm under the caption “Experts” and to the use of our report dated February 26, 2010, in the Registration Statement (Form S-4) and related Prospectus of Wynn Las Vegas, LLC for the registration of $500 million of 7 </w:t>
      </w:r>
      <w:r>
        <w:rPr>
          <w:rFonts w:ascii="Arial" w:cs="Arial" w:eastAsia="Arial" w:hAnsi="Arial"/>
          <w:sz w:val="11"/>
          <w:szCs w:val="11"/>
          <w:color w:val="auto"/>
        </w:rPr>
        <w:t>7</w:t>
      </w:r>
      <w:r>
        <w:rPr>
          <w:rFonts w:ascii="Arial" w:cs="Arial" w:eastAsia="Arial" w:hAnsi="Arial"/>
          <w:sz w:val="18"/>
          <w:szCs w:val="18"/>
          <w:color w:val="auto"/>
        </w:rPr>
        <w:t xml:space="preserve"> /</w:t>
      </w:r>
      <w:r>
        <w:rPr>
          <w:rFonts w:ascii="Arial" w:cs="Arial" w:eastAsia="Arial" w:hAnsi="Arial"/>
          <w:sz w:val="13"/>
          <w:szCs w:val="13"/>
          <w:color w:val="auto"/>
        </w:rPr>
        <w:t>8</w:t>
      </w:r>
      <w:r>
        <w:rPr>
          <w:rFonts w:ascii="Arial" w:cs="Arial" w:eastAsia="Arial" w:hAnsi="Arial"/>
          <w:sz w:val="18"/>
          <w:szCs w:val="18"/>
          <w:color w:val="auto"/>
        </w:rPr>
        <w:t xml:space="preserve">% First Mortgage Notes due 2017 and $382.01 million of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2020.</w:t>
      </w:r>
    </w:p>
    <w:p>
      <w:pPr>
        <w:spacing w:after="0" w:line="140"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E</w:t>
      </w:r>
      <w:r>
        <w:rPr>
          <w:rFonts w:ascii="Arial" w:cs="Arial" w:eastAsia="Arial" w:hAnsi="Arial"/>
          <w:sz w:val="13"/>
          <w:szCs w:val="13"/>
          <w:color w:val="auto"/>
        </w:rPr>
        <w:t>RNST</w:t>
      </w:r>
      <w:r>
        <w:rPr>
          <w:rFonts w:ascii="Arial" w:cs="Arial" w:eastAsia="Arial" w:hAnsi="Arial"/>
          <w:sz w:val="16"/>
          <w:szCs w:val="16"/>
          <w:color w:val="auto"/>
        </w:rPr>
        <w:t xml:space="preserve"> &amp; Y</w:t>
      </w:r>
      <w:r>
        <w:rPr>
          <w:rFonts w:ascii="Arial" w:cs="Arial" w:eastAsia="Arial" w:hAnsi="Arial"/>
          <w:sz w:val="13"/>
          <w:szCs w:val="13"/>
          <w:color w:val="auto"/>
        </w:rPr>
        <w:t>OUNG</w:t>
      </w:r>
      <w:r>
        <w:rPr>
          <w:rFonts w:ascii="Arial" w:cs="Arial" w:eastAsia="Arial" w:hAnsi="Arial"/>
          <w:sz w:val="16"/>
          <w:szCs w:val="16"/>
          <w:color w:val="auto"/>
        </w:rPr>
        <w:t xml:space="preserv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5, 2010</w:t>
      </w:r>
    </w:p>
    <w:p>
      <w:pPr>
        <w:sectPr>
          <w:pgSz w:w="11900" w:h="16838" w:orient="portrait"/>
          <w:cols w:equalWidth="0" w:num="1">
            <w:col w:w="11420"/>
          </w:cols>
          <w:pgMar w:left="240" w:top="125" w:right="239" w:bottom="1440" w:gutter="0" w:footer="0" w:header="0"/>
        </w:sectPr>
      </w:pPr>
    </w:p>
    <w:bookmarkStart w:id="338" w:name="page339"/>
    <w:bookmarkEnd w:id="338"/>
    <w:p>
      <w:pPr>
        <w:jc w:val="right"/>
        <w:spacing w:after="0"/>
        <w:rPr>
          <w:sz w:val="20"/>
          <w:szCs w:val="20"/>
          <w:color w:val="auto"/>
        </w:rPr>
      </w:pPr>
      <w:r>
        <w:rPr>
          <w:rFonts w:ascii="Arial" w:cs="Arial" w:eastAsia="Arial" w:hAnsi="Arial"/>
          <w:sz w:val="18"/>
          <w:szCs w:val="18"/>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14605</wp:posOffset>
            </wp:positionV>
            <wp:extent cx="724662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-667385</wp:posOffset>
            </wp:positionH>
            <wp:positionV relativeFrom="paragraph">
              <wp:posOffset>40640</wp:posOffset>
            </wp:positionV>
            <wp:extent cx="724662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jc w:val="center"/>
        <w:ind w:right="1060"/>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0"/>
          <w:szCs w:val="20"/>
          <w:color w:val="auto"/>
        </w:rPr>
      </w:pPr>
    </w:p>
    <w:p>
      <w:pPr>
        <w:ind w:left="35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2196465</wp:posOffset>
            </wp:positionH>
            <wp:positionV relativeFrom="paragraph">
              <wp:posOffset>184785</wp:posOffset>
            </wp:positionV>
            <wp:extent cx="151765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center"/>
        <w:ind w:right="1060"/>
        <w:spacing w:after="0"/>
        <w:rPr>
          <w:sz w:val="20"/>
          <w:szCs w:val="20"/>
          <w:color w:val="auto"/>
        </w:rPr>
      </w:pPr>
      <w:r>
        <w:rPr>
          <w:rFonts w:ascii="Arial" w:cs="Arial" w:eastAsia="Arial" w:hAnsi="Arial"/>
          <w:sz w:val="32"/>
          <w:szCs w:val="32"/>
          <w:b w:val="1"/>
          <w:bCs w:val="1"/>
          <w:color w:val="auto"/>
        </w:rPr>
        <w:t>FORM T-1</w:t>
      </w:r>
    </w:p>
    <w:p>
      <w:pPr>
        <w:spacing w:after="0" w:line="172" w:lineRule="exact"/>
        <w:rPr>
          <w:sz w:val="20"/>
          <w:szCs w:val="20"/>
          <w:color w:val="auto"/>
        </w:rPr>
      </w:pPr>
    </w:p>
    <w:p>
      <w:pPr>
        <w:jc w:val="center"/>
        <w:ind w:right="1040"/>
        <w:spacing w:after="0" w:line="241" w:lineRule="auto"/>
        <w:rPr>
          <w:sz w:val="20"/>
          <w:szCs w:val="20"/>
          <w:color w:val="auto"/>
        </w:rPr>
      </w:pPr>
      <w:r>
        <w:rPr>
          <w:rFonts w:ascii="Arial" w:cs="Arial" w:eastAsia="Arial" w:hAnsi="Arial"/>
          <w:sz w:val="22"/>
          <w:szCs w:val="22"/>
          <w:b w:val="1"/>
          <w:bCs w:val="1"/>
          <w:color w:val="auto"/>
        </w:rPr>
        <w:t>STATEMENT OF ELIGIBILITY UNDER THE TRUST INDENTURE ACT OF 1939 OF A CORPORATION DESIGNATED TO ACT AS TRUSTEE</w:t>
      </w:r>
    </w:p>
    <w:p>
      <w:pPr>
        <w:jc w:val="center"/>
        <w:ind w:right="1060"/>
        <w:spacing w:after="0"/>
        <w:rPr>
          <w:sz w:val="20"/>
          <w:szCs w:val="20"/>
          <w:color w:val="auto"/>
        </w:rPr>
      </w:pPr>
      <w:r>
        <w:rPr>
          <w:rFonts w:ascii="Arial" w:cs="Arial" w:eastAsia="Arial" w:hAnsi="Arial"/>
          <w:sz w:val="18"/>
          <w:szCs w:val="18"/>
          <w:color w:val="auto"/>
        </w:rPr>
        <w:t>Check if an Application to Determine Eligibility of</w:t>
      </w:r>
    </w:p>
    <w:p>
      <w:pPr>
        <w:spacing w:after="0" w:line="1" w:lineRule="exact"/>
        <w:rPr>
          <w:sz w:val="20"/>
          <w:szCs w:val="20"/>
          <w:color w:val="auto"/>
        </w:rPr>
      </w:pPr>
    </w:p>
    <w:p>
      <w:pPr>
        <w:jc w:val="center"/>
        <w:ind w:right="1060"/>
        <w:spacing w:after="0"/>
        <w:rPr>
          <w:sz w:val="20"/>
          <w:szCs w:val="20"/>
          <w:color w:val="auto"/>
        </w:rPr>
      </w:pPr>
      <w:r>
        <w:rPr>
          <w:rFonts w:ascii="Arial" w:cs="Arial" w:eastAsia="Arial" w:hAnsi="Arial"/>
          <w:sz w:val="18"/>
          <w:szCs w:val="18"/>
          <w:color w:val="auto"/>
        </w:rPr>
        <w:t>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2196465</wp:posOffset>
            </wp:positionH>
            <wp:positionV relativeFrom="paragraph">
              <wp:posOffset>187325</wp:posOffset>
            </wp:positionV>
            <wp:extent cx="151765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ind w:right="1060"/>
        <w:spacing w:after="0"/>
        <w:rPr>
          <w:sz w:val="20"/>
          <w:szCs w:val="20"/>
          <w:color w:val="auto"/>
        </w:rPr>
      </w:pPr>
      <w:r>
        <w:rPr>
          <w:rFonts w:ascii="Arial" w:cs="Arial" w:eastAsia="Arial" w:hAnsi="Arial"/>
          <w:sz w:val="43"/>
          <w:szCs w:val="43"/>
          <w:b w:val="1"/>
          <w:bCs w:val="1"/>
          <w:color w:val="auto"/>
        </w:rPr>
        <w:t>U.S. BANK NATIONAL ASSOCIATION</w:t>
      </w:r>
    </w:p>
    <w:p>
      <w:pPr>
        <w:spacing w:after="0" w:line="49" w:lineRule="exact"/>
        <w:rPr>
          <w:sz w:val="20"/>
          <w:szCs w:val="20"/>
          <w:color w:val="auto"/>
        </w:rPr>
      </w:pPr>
    </w:p>
    <w:p>
      <w:pPr>
        <w:jc w:val="center"/>
        <w:ind w:right="1060"/>
        <w:spacing w:after="0"/>
        <w:rPr>
          <w:sz w:val="20"/>
          <w:szCs w:val="20"/>
          <w:color w:val="auto"/>
        </w:rPr>
      </w:pPr>
      <w:r>
        <w:rPr>
          <w:rFonts w:ascii="Arial" w:cs="Arial" w:eastAsia="Arial" w:hAnsi="Arial"/>
          <w:sz w:val="14"/>
          <w:szCs w:val="14"/>
          <w:b w:val="1"/>
          <w:bCs w:val="1"/>
          <w:color w:val="auto"/>
        </w:rPr>
        <w:t>(Exact name of Trustee as specified in its charter)</w:t>
      </w:r>
    </w:p>
    <w:p>
      <w:pPr>
        <w:spacing w:after="0" w:line="135" w:lineRule="exact"/>
        <w:rPr>
          <w:sz w:val="20"/>
          <w:szCs w:val="20"/>
          <w:color w:val="auto"/>
        </w:rPr>
      </w:pPr>
    </w:p>
    <w:p>
      <w:pPr>
        <w:jc w:val="center"/>
        <w:ind w:right="1060"/>
        <w:spacing w:after="0"/>
        <w:rPr>
          <w:sz w:val="20"/>
          <w:szCs w:val="20"/>
          <w:color w:val="auto"/>
        </w:rPr>
      </w:pPr>
      <w:r>
        <w:rPr>
          <w:rFonts w:ascii="Arial" w:cs="Arial" w:eastAsia="Arial" w:hAnsi="Arial"/>
          <w:sz w:val="18"/>
          <w:szCs w:val="18"/>
          <w:b w:val="1"/>
          <w:bCs w:val="1"/>
          <w:color w:val="auto"/>
        </w:rPr>
        <w:t>31-0841368</w:t>
      </w:r>
    </w:p>
    <w:p>
      <w:pPr>
        <w:spacing w:after="0" w:line="21" w:lineRule="exact"/>
        <w:rPr>
          <w:sz w:val="20"/>
          <w:szCs w:val="20"/>
          <w:color w:val="auto"/>
        </w:rPr>
      </w:pPr>
    </w:p>
    <w:p>
      <w:pPr>
        <w:ind w:left="3660"/>
        <w:spacing w:after="0"/>
        <w:rPr>
          <w:sz w:val="20"/>
          <w:szCs w:val="20"/>
          <w:color w:val="auto"/>
        </w:rPr>
      </w:pPr>
      <w:r>
        <w:rPr>
          <w:rFonts w:ascii="Arial" w:cs="Arial" w:eastAsia="Arial" w:hAnsi="Arial"/>
          <w:sz w:val="14"/>
          <w:szCs w:val="14"/>
          <w:b w:val="1"/>
          <w:bCs w:val="1"/>
          <w:color w:val="auto"/>
        </w:rPr>
        <w:t>I.R.S. Employer Identification No.</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00" w:type="dxa"/>
            <w:vAlign w:val="bottom"/>
          </w:tcPr>
          <w:p>
            <w:pPr>
              <w:jc w:val="center"/>
              <w:ind w:right="2914"/>
              <w:spacing w:after="0"/>
              <w:rPr>
                <w:sz w:val="20"/>
                <w:szCs w:val="20"/>
                <w:color w:val="auto"/>
              </w:rPr>
            </w:pPr>
            <w:r>
              <w:rPr>
                <w:rFonts w:ascii="Arial" w:cs="Arial" w:eastAsia="Arial" w:hAnsi="Arial"/>
                <w:sz w:val="18"/>
                <w:szCs w:val="18"/>
                <w:b w:val="1"/>
                <w:bCs w:val="1"/>
                <w:color w:val="auto"/>
                <w:w w:val="89"/>
              </w:rPr>
              <w:t>800 Nicollet Mall</w:t>
            </w:r>
          </w:p>
        </w:tc>
        <w:tc>
          <w:tcPr>
            <w:tcW w:w="2220" w:type="dxa"/>
            <w:vAlign w:val="bottom"/>
          </w:tcPr>
          <w:p>
            <w:pPr>
              <w:spacing w:after="0"/>
              <w:rPr>
                <w:sz w:val="18"/>
                <w:szCs w:val="18"/>
                <w:color w:val="auto"/>
              </w:rPr>
            </w:pPr>
          </w:p>
        </w:tc>
      </w:tr>
      <w:tr>
        <w:trPr>
          <w:trHeight w:val="231"/>
        </w:trPr>
        <w:tc>
          <w:tcPr>
            <w:tcW w:w="6500" w:type="dxa"/>
            <w:vAlign w:val="bottom"/>
          </w:tcPr>
          <w:p>
            <w:pPr>
              <w:jc w:val="center"/>
              <w:ind w:right="2914"/>
              <w:spacing w:after="0"/>
              <w:rPr>
                <w:sz w:val="20"/>
                <w:szCs w:val="20"/>
                <w:color w:val="auto"/>
              </w:rPr>
            </w:pPr>
            <w:r>
              <w:rPr>
                <w:rFonts w:ascii="Arial" w:cs="Arial" w:eastAsia="Arial" w:hAnsi="Arial"/>
                <w:sz w:val="18"/>
                <w:szCs w:val="18"/>
                <w:b w:val="1"/>
                <w:bCs w:val="1"/>
                <w:color w:val="auto"/>
                <w:w w:val="89"/>
              </w:rPr>
              <w:t>Minneapolis, Minnesota</w:t>
            </w:r>
          </w:p>
        </w:tc>
        <w:tc>
          <w:tcPr>
            <w:tcW w:w="2220" w:type="dxa"/>
            <w:vAlign w:val="bottom"/>
          </w:tcPr>
          <w:p>
            <w:pPr>
              <w:jc w:val="center"/>
              <w:ind w:left="61"/>
              <w:spacing w:after="0"/>
              <w:rPr>
                <w:sz w:val="20"/>
                <w:szCs w:val="20"/>
                <w:color w:val="auto"/>
              </w:rPr>
            </w:pPr>
            <w:r>
              <w:rPr>
                <w:rFonts w:ascii="Arial" w:cs="Arial" w:eastAsia="Arial" w:hAnsi="Arial"/>
                <w:sz w:val="18"/>
                <w:szCs w:val="18"/>
                <w:b w:val="1"/>
                <w:bCs w:val="1"/>
                <w:color w:val="auto"/>
                <w:w w:val="87"/>
              </w:rPr>
              <w:t>55402</w:t>
            </w:r>
          </w:p>
        </w:tc>
      </w:tr>
      <w:tr>
        <w:trPr>
          <w:trHeight w:val="174"/>
        </w:trPr>
        <w:tc>
          <w:tcPr>
            <w:tcW w:w="6500" w:type="dxa"/>
            <w:vAlign w:val="bottom"/>
          </w:tcPr>
          <w:p>
            <w:pPr>
              <w:jc w:val="center"/>
              <w:ind w:right="2914"/>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2220" w:type="dxa"/>
            <w:vAlign w:val="bottom"/>
          </w:tcPr>
          <w:p>
            <w:pPr>
              <w:jc w:val="center"/>
              <w:ind w:left="61"/>
              <w:spacing w:after="0"/>
              <w:rPr>
                <w:sz w:val="20"/>
                <w:szCs w:val="20"/>
                <w:color w:val="auto"/>
              </w:rPr>
            </w:pPr>
            <w:r>
              <w:rPr>
                <w:rFonts w:ascii="Arial" w:cs="Arial" w:eastAsia="Arial" w:hAnsi="Arial"/>
                <w:sz w:val="14"/>
                <w:szCs w:val="14"/>
                <w:b w:val="1"/>
                <w:bCs w:val="1"/>
                <w:color w:val="auto"/>
                <w:w w:val="92"/>
              </w:rPr>
              <w:t>(Zip Code)</w:t>
            </w:r>
          </w:p>
        </w:tc>
      </w:tr>
      <w:tr>
        <w:trPr>
          <w:trHeight w:val="351"/>
        </w:trPr>
        <w:tc>
          <w:tcPr>
            <w:tcW w:w="6500" w:type="dxa"/>
            <w:vAlign w:val="bottom"/>
          </w:tcPr>
          <w:p>
            <w:pPr>
              <w:jc w:val="center"/>
              <w:ind w:left="2714"/>
              <w:spacing w:after="0"/>
              <w:rPr>
                <w:sz w:val="20"/>
                <w:szCs w:val="20"/>
                <w:color w:val="auto"/>
              </w:rPr>
            </w:pPr>
            <w:r>
              <w:rPr>
                <w:rFonts w:ascii="Arial" w:cs="Arial" w:eastAsia="Arial" w:hAnsi="Arial"/>
                <w:sz w:val="18"/>
                <w:szCs w:val="18"/>
                <w:b w:val="1"/>
                <w:bCs w:val="1"/>
                <w:color w:val="auto"/>
                <w:w w:val="88"/>
              </w:rPr>
              <w:t>Raymond S. Haverstock</w:t>
            </w:r>
          </w:p>
        </w:tc>
        <w:tc>
          <w:tcPr>
            <w:tcW w:w="2220" w:type="dxa"/>
            <w:vAlign w:val="bottom"/>
          </w:tcPr>
          <w:p>
            <w:pPr>
              <w:spacing w:after="0"/>
              <w:rPr>
                <w:sz w:val="24"/>
                <w:szCs w:val="24"/>
                <w:color w:val="auto"/>
              </w:rPr>
            </w:pPr>
          </w:p>
        </w:tc>
      </w:tr>
      <w:tr>
        <w:trPr>
          <w:trHeight w:val="216"/>
        </w:trPr>
        <w:tc>
          <w:tcPr>
            <w:tcW w:w="6500" w:type="dxa"/>
            <w:vAlign w:val="bottom"/>
          </w:tcPr>
          <w:p>
            <w:pPr>
              <w:jc w:val="center"/>
              <w:ind w:left="2714"/>
              <w:spacing w:after="0"/>
              <w:rPr>
                <w:sz w:val="20"/>
                <w:szCs w:val="20"/>
                <w:color w:val="auto"/>
              </w:rPr>
            </w:pPr>
            <w:r>
              <w:rPr>
                <w:rFonts w:ascii="Arial" w:cs="Arial" w:eastAsia="Arial" w:hAnsi="Arial"/>
                <w:sz w:val="18"/>
                <w:szCs w:val="18"/>
                <w:b w:val="1"/>
                <w:bCs w:val="1"/>
                <w:color w:val="auto"/>
                <w:w w:val="87"/>
              </w:rPr>
              <w:t>U.S. Bank National Association</w:t>
            </w:r>
          </w:p>
        </w:tc>
        <w:tc>
          <w:tcPr>
            <w:tcW w:w="2220" w:type="dxa"/>
            <w:vAlign w:val="bottom"/>
          </w:tcPr>
          <w:p>
            <w:pPr>
              <w:spacing w:after="0"/>
              <w:rPr>
                <w:sz w:val="18"/>
                <w:szCs w:val="18"/>
                <w:color w:val="auto"/>
              </w:rPr>
            </w:pPr>
          </w:p>
        </w:tc>
      </w:tr>
      <w:tr>
        <w:trPr>
          <w:trHeight w:val="216"/>
        </w:trPr>
        <w:tc>
          <w:tcPr>
            <w:tcW w:w="6500" w:type="dxa"/>
            <w:vAlign w:val="bottom"/>
          </w:tcPr>
          <w:p>
            <w:pPr>
              <w:jc w:val="center"/>
              <w:ind w:left="2714"/>
              <w:spacing w:after="0"/>
              <w:rPr>
                <w:sz w:val="20"/>
                <w:szCs w:val="20"/>
                <w:color w:val="auto"/>
              </w:rPr>
            </w:pPr>
            <w:r>
              <w:rPr>
                <w:rFonts w:ascii="Arial" w:cs="Arial" w:eastAsia="Arial" w:hAnsi="Arial"/>
                <w:sz w:val="18"/>
                <w:szCs w:val="18"/>
                <w:b w:val="1"/>
                <w:bCs w:val="1"/>
                <w:color w:val="auto"/>
                <w:w w:val="87"/>
              </w:rPr>
              <w:t>60 Livingston Avenue</w:t>
            </w:r>
          </w:p>
        </w:tc>
        <w:tc>
          <w:tcPr>
            <w:tcW w:w="2220" w:type="dxa"/>
            <w:vAlign w:val="bottom"/>
          </w:tcPr>
          <w:p>
            <w:pPr>
              <w:spacing w:after="0"/>
              <w:rPr>
                <w:sz w:val="18"/>
                <w:szCs w:val="18"/>
                <w:color w:val="auto"/>
              </w:rPr>
            </w:pPr>
          </w:p>
        </w:tc>
      </w:tr>
      <w:tr>
        <w:trPr>
          <w:trHeight w:val="216"/>
        </w:trPr>
        <w:tc>
          <w:tcPr>
            <w:tcW w:w="6500" w:type="dxa"/>
            <w:vAlign w:val="bottom"/>
          </w:tcPr>
          <w:p>
            <w:pPr>
              <w:jc w:val="center"/>
              <w:ind w:left="2714"/>
              <w:spacing w:after="0"/>
              <w:rPr>
                <w:sz w:val="20"/>
                <w:szCs w:val="20"/>
                <w:color w:val="auto"/>
              </w:rPr>
            </w:pPr>
            <w:r>
              <w:rPr>
                <w:rFonts w:ascii="Arial" w:cs="Arial" w:eastAsia="Arial" w:hAnsi="Arial"/>
                <w:sz w:val="18"/>
                <w:szCs w:val="18"/>
                <w:b w:val="1"/>
                <w:bCs w:val="1"/>
                <w:color w:val="auto"/>
                <w:w w:val="91"/>
              </w:rPr>
              <w:t>St. Paul, MN 55107</w:t>
            </w:r>
          </w:p>
        </w:tc>
        <w:tc>
          <w:tcPr>
            <w:tcW w:w="2220" w:type="dxa"/>
            <w:vAlign w:val="bottom"/>
          </w:tcPr>
          <w:p>
            <w:pPr>
              <w:spacing w:after="0"/>
              <w:rPr>
                <w:sz w:val="18"/>
                <w:szCs w:val="18"/>
                <w:color w:val="auto"/>
              </w:rPr>
            </w:pPr>
          </w:p>
        </w:tc>
      </w:tr>
      <w:tr>
        <w:trPr>
          <w:trHeight w:val="218"/>
        </w:trPr>
        <w:tc>
          <w:tcPr>
            <w:tcW w:w="6500" w:type="dxa"/>
            <w:vAlign w:val="bottom"/>
          </w:tcPr>
          <w:p>
            <w:pPr>
              <w:jc w:val="center"/>
              <w:ind w:left="2714"/>
              <w:spacing w:after="0"/>
              <w:rPr>
                <w:sz w:val="20"/>
                <w:szCs w:val="20"/>
                <w:color w:val="auto"/>
              </w:rPr>
            </w:pPr>
            <w:r>
              <w:rPr>
                <w:rFonts w:ascii="Arial" w:cs="Arial" w:eastAsia="Arial" w:hAnsi="Arial"/>
                <w:sz w:val="18"/>
                <w:szCs w:val="18"/>
                <w:b w:val="1"/>
                <w:bCs w:val="1"/>
                <w:color w:val="auto"/>
                <w:w w:val="89"/>
              </w:rPr>
              <w:t>(651) 495-3909</w:t>
            </w:r>
          </w:p>
        </w:tc>
        <w:tc>
          <w:tcPr>
            <w:tcW w:w="2220" w:type="dxa"/>
            <w:vAlign w:val="bottom"/>
          </w:tcPr>
          <w:p>
            <w:pPr>
              <w:spacing w:after="0"/>
              <w:rPr>
                <w:sz w:val="18"/>
                <w:szCs w:val="18"/>
                <w:color w:val="auto"/>
              </w:rPr>
            </w:pPr>
          </w:p>
        </w:tc>
      </w:tr>
      <w:tr>
        <w:trPr>
          <w:trHeight w:val="174"/>
        </w:trPr>
        <w:tc>
          <w:tcPr>
            <w:tcW w:w="6500" w:type="dxa"/>
            <w:vAlign w:val="bottom"/>
          </w:tcPr>
          <w:p>
            <w:pPr>
              <w:jc w:val="center"/>
              <w:ind w:left="2734"/>
              <w:spacing w:after="0"/>
              <w:rPr>
                <w:sz w:val="20"/>
                <w:szCs w:val="20"/>
                <w:color w:val="auto"/>
              </w:rPr>
            </w:pPr>
            <w:r>
              <w:rPr>
                <w:rFonts w:ascii="Arial" w:cs="Arial" w:eastAsia="Arial" w:hAnsi="Arial"/>
                <w:sz w:val="14"/>
                <w:szCs w:val="14"/>
                <w:b w:val="1"/>
                <w:bCs w:val="1"/>
                <w:color w:val="auto"/>
                <w:w w:val="85"/>
              </w:rPr>
              <w:t>(Name, address and telephone number of agent for service)</w:t>
            </w:r>
          </w:p>
        </w:tc>
        <w:tc>
          <w:tcPr>
            <w:tcW w:w="2220" w:type="dxa"/>
            <w:vAlign w:val="bottom"/>
          </w:tcPr>
          <w:p>
            <w:pPr>
              <w:spacing w:after="0"/>
              <w:rPr>
                <w:sz w:val="15"/>
                <w:szCs w:val="15"/>
                <w:color w:val="auto"/>
              </w:rPr>
            </w:pPr>
          </w:p>
        </w:tc>
      </w:tr>
      <w:tr>
        <w:trPr>
          <w:trHeight w:val="404"/>
        </w:trPr>
        <w:tc>
          <w:tcPr>
            <w:tcW w:w="6500" w:type="dxa"/>
            <w:vAlign w:val="bottom"/>
          </w:tcPr>
          <w:p>
            <w:pPr>
              <w:jc w:val="center"/>
              <w:ind w:left="2714"/>
              <w:spacing w:after="0"/>
              <w:rPr>
                <w:sz w:val="20"/>
                <w:szCs w:val="20"/>
                <w:color w:val="auto"/>
              </w:rPr>
            </w:pPr>
            <w:r>
              <w:rPr>
                <w:rFonts w:ascii="Arial" w:cs="Arial" w:eastAsia="Arial" w:hAnsi="Arial"/>
                <w:sz w:val="24"/>
                <w:szCs w:val="24"/>
                <w:b w:val="1"/>
                <w:bCs w:val="1"/>
                <w:color w:val="auto"/>
                <w:w w:val="93"/>
              </w:rPr>
              <w:t>Wynn Las Vegas, LLC</w:t>
            </w:r>
          </w:p>
        </w:tc>
        <w:tc>
          <w:tcPr>
            <w:tcW w:w="2220" w:type="dxa"/>
            <w:vAlign w:val="bottom"/>
          </w:tcPr>
          <w:p>
            <w:pPr>
              <w:spacing w:after="0"/>
              <w:rPr>
                <w:sz w:val="24"/>
                <w:szCs w:val="24"/>
                <w:color w:val="auto"/>
              </w:rPr>
            </w:pPr>
          </w:p>
        </w:tc>
      </w:tr>
      <w:tr>
        <w:trPr>
          <w:trHeight w:val="299"/>
        </w:trPr>
        <w:tc>
          <w:tcPr>
            <w:tcW w:w="6500" w:type="dxa"/>
            <w:vAlign w:val="bottom"/>
          </w:tcPr>
          <w:p>
            <w:pPr>
              <w:jc w:val="center"/>
              <w:ind w:left="2714"/>
              <w:spacing w:after="0"/>
              <w:rPr>
                <w:sz w:val="20"/>
                <w:szCs w:val="20"/>
                <w:color w:val="auto"/>
              </w:rPr>
            </w:pPr>
            <w:r>
              <w:rPr>
                <w:rFonts w:ascii="Arial" w:cs="Arial" w:eastAsia="Arial" w:hAnsi="Arial"/>
                <w:sz w:val="24"/>
                <w:szCs w:val="24"/>
                <w:b w:val="1"/>
                <w:bCs w:val="1"/>
                <w:color w:val="auto"/>
                <w:w w:val="92"/>
              </w:rPr>
              <w:t>Wynn Las Vegas Capital Corp.</w:t>
            </w:r>
          </w:p>
        </w:tc>
        <w:tc>
          <w:tcPr>
            <w:tcW w:w="2220" w:type="dxa"/>
            <w:vAlign w:val="bottom"/>
          </w:tcPr>
          <w:p>
            <w:pPr>
              <w:spacing w:after="0"/>
              <w:rPr>
                <w:sz w:val="24"/>
                <w:szCs w:val="24"/>
                <w:color w:val="auto"/>
              </w:rPr>
            </w:pPr>
          </w:p>
        </w:tc>
      </w:tr>
      <w:tr>
        <w:trPr>
          <w:trHeight w:val="174"/>
        </w:trPr>
        <w:tc>
          <w:tcPr>
            <w:tcW w:w="6500" w:type="dxa"/>
            <w:vAlign w:val="bottom"/>
          </w:tcPr>
          <w:p>
            <w:pPr>
              <w:jc w:val="center"/>
              <w:ind w:left="2714"/>
              <w:spacing w:after="0"/>
              <w:rPr>
                <w:sz w:val="20"/>
                <w:szCs w:val="20"/>
                <w:color w:val="auto"/>
              </w:rPr>
            </w:pPr>
            <w:r>
              <w:rPr>
                <w:rFonts w:ascii="Arial" w:cs="Arial" w:eastAsia="Arial" w:hAnsi="Arial"/>
                <w:sz w:val="14"/>
                <w:szCs w:val="14"/>
                <w:b w:val="1"/>
                <w:bCs w:val="1"/>
                <w:color w:val="auto"/>
                <w:w w:val="85"/>
              </w:rPr>
              <w:t>(Issuer with respect to the Securities)</w:t>
            </w:r>
          </w:p>
        </w:tc>
        <w:tc>
          <w:tcPr>
            <w:tcW w:w="2220" w:type="dxa"/>
            <w:vAlign w:val="bottom"/>
          </w:tcPr>
          <w:p>
            <w:pPr>
              <w:spacing w:after="0"/>
              <w:rPr>
                <w:sz w:val="15"/>
                <w:szCs w:val="15"/>
                <w:color w:val="auto"/>
              </w:rPr>
            </w:pPr>
          </w:p>
        </w:tc>
      </w:tr>
      <w:tr>
        <w:trPr>
          <w:trHeight w:val="391"/>
        </w:trPr>
        <w:tc>
          <w:tcPr>
            <w:tcW w:w="6500" w:type="dxa"/>
            <w:vAlign w:val="bottom"/>
          </w:tcPr>
          <w:p>
            <w:pPr>
              <w:spacing w:after="0"/>
              <w:rPr>
                <w:sz w:val="24"/>
                <w:szCs w:val="24"/>
                <w:color w:val="auto"/>
              </w:rPr>
            </w:pPr>
          </w:p>
        </w:tc>
        <w:tc>
          <w:tcPr>
            <w:tcW w:w="2220" w:type="dxa"/>
            <w:vAlign w:val="bottom"/>
          </w:tcPr>
          <w:p>
            <w:pPr>
              <w:jc w:val="center"/>
              <w:ind w:left="61"/>
              <w:spacing w:after="0"/>
              <w:rPr>
                <w:sz w:val="20"/>
                <w:szCs w:val="20"/>
                <w:color w:val="auto"/>
              </w:rPr>
            </w:pPr>
            <w:r>
              <w:rPr>
                <w:rFonts w:ascii="Arial" w:cs="Arial" w:eastAsia="Arial" w:hAnsi="Arial"/>
                <w:sz w:val="18"/>
                <w:szCs w:val="18"/>
                <w:b w:val="1"/>
                <w:bCs w:val="1"/>
                <w:color w:val="auto"/>
                <w:w w:val="87"/>
              </w:rPr>
              <w:t>88-0494875</w:t>
            </w:r>
          </w:p>
        </w:tc>
      </w:tr>
      <w:tr>
        <w:trPr>
          <w:trHeight w:val="231"/>
        </w:trPr>
        <w:tc>
          <w:tcPr>
            <w:tcW w:w="6500" w:type="dxa"/>
            <w:vAlign w:val="bottom"/>
          </w:tcPr>
          <w:p>
            <w:pPr>
              <w:jc w:val="center"/>
              <w:ind w:right="2914"/>
              <w:spacing w:after="0"/>
              <w:rPr>
                <w:sz w:val="20"/>
                <w:szCs w:val="20"/>
                <w:color w:val="auto"/>
              </w:rPr>
            </w:pPr>
            <w:r>
              <w:rPr>
                <w:rFonts w:ascii="Arial" w:cs="Arial" w:eastAsia="Arial" w:hAnsi="Arial"/>
                <w:sz w:val="18"/>
                <w:szCs w:val="18"/>
                <w:b w:val="1"/>
                <w:bCs w:val="1"/>
                <w:color w:val="auto"/>
                <w:w w:val="90"/>
              </w:rPr>
              <w:t>Nevada</w:t>
            </w:r>
          </w:p>
        </w:tc>
        <w:tc>
          <w:tcPr>
            <w:tcW w:w="2220" w:type="dxa"/>
            <w:vAlign w:val="bottom"/>
          </w:tcPr>
          <w:p>
            <w:pPr>
              <w:jc w:val="center"/>
              <w:ind w:left="61"/>
              <w:spacing w:after="0"/>
              <w:rPr>
                <w:sz w:val="20"/>
                <w:szCs w:val="20"/>
                <w:color w:val="auto"/>
              </w:rPr>
            </w:pPr>
            <w:r>
              <w:rPr>
                <w:rFonts w:ascii="Arial" w:cs="Arial" w:eastAsia="Arial" w:hAnsi="Arial"/>
                <w:sz w:val="18"/>
                <w:szCs w:val="18"/>
                <w:b w:val="1"/>
                <w:bCs w:val="1"/>
                <w:color w:val="auto"/>
                <w:w w:val="87"/>
              </w:rPr>
              <w:t>46-0484992</w:t>
            </w:r>
          </w:p>
        </w:tc>
      </w:tr>
      <w:tr>
        <w:trPr>
          <w:trHeight w:val="174"/>
        </w:trPr>
        <w:tc>
          <w:tcPr>
            <w:tcW w:w="6500" w:type="dxa"/>
            <w:vAlign w:val="bottom"/>
          </w:tcPr>
          <w:p>
            <w:pPr>
              <w:jc w:val="center"/>
              <w:ind w:right="2914"/>
              <w:spacing w:after="0"/>
              <w:rPr>
                <w:sz w:val="20"/>
                <w:szCs w:val="20"/>
                <w:color w:val="auto"/>
              </w:rPr>
            </w:pPr>
            <w:r>
              <w:rPr>
                <w:rFonts w:ascii="Arial" w:cs="Arial" w:eastAsia="Arial" w:hAnsi="Arial"/>
                <w:sz w:val="14"/>
                <w:szCs w:val="14"/>
                <w:b w:val="1"/>
                <w:bCs w:val="1"/>
                <w:color w:val="auto"/>
                <w:w w:val="88"/>
              </w:rPr>
              <w:t>(State or other jurisdiction of incorporation or organization)</w:t>
            </w:r>
          </w:p>
        </w:tc>
        <w:tc>
          <w:tcPr>
            <w:tcW w:w="2220" w:type="dxa"/>
            <w:vAlign w:val="bottom"/>
          </w:tcPr>
          <w:p>
            <w:pPr>
              <w:jc w:val="center"/>
              <w:ind w:left="61"/>
              <w:spacing w:after="0"/>
              <w:rPr>
                <w:sz w:val="20"/>
                <w:szCs w:val="20"/>
                <w:color w:val="auto"/>
              </w:rPr>
            </w:pPr>
            <w:r>
              <w:rPr>
                <w:rFonts w:ascii="Arial" w:cs="Arial" w:eastAsia="Arial" w:hAnsi="Arial"/>
                <w:sz w:val="14"/>
                <w:szCs w:val="14"/>
                <w:b w:val="1"/>
                <w:bCs w:val="1"/>
                <w:color w:val="auto"/>
                <w:w w:val="90"/>
              </w:rPr>
              <w:t>(I.R.S. Employer Identification No.)</w:t>
            </w:r>
          </w:p>
        </w:tc>
      </w:tr>
      <w:tr>
        <w:trPr>
          <w:trHeight w:val="391"/>
        </w:trPr>
        <w:tc>
          <w:tcPr>
            <w:tcW w:w="6500" w:type="dxa"/>
            <w:vAlign w:val="bottom"/>
          </w:tcPr>
          <w:p>
            <w:pPr>
              <w:jc w:val="center"/>
              <w:ind w:right="2914"/>
              <w:spacing w:after="0"/>
              <w:rPr>
                <w:sz w:val="20"/>
                <w:szCs w:val="20"/>
                <w:color w:val="auto"/>
              </w:rPr>
            </w:pPr>
            <w:r>
              <w:rPr>
                <w:rFonts w:ascii="Arial" w:cs="Arial" w:eastAsia="Arial" w:hAnsi="Arial"/>
                <w:sz w:val="18"/>
                <w:szCs w:val="18"/>
                <w:b w:val="1"/>
                <w:bCs w:val="1"/>
                <w:color w:val="auto"/>
                <w:w w:val="86"/>
              </w:rPr>
              <w:t>3131 Las Vegas Boulevard South</w:t>
            </w:r>
          </w:p>
        </w:tc>
        <w:tc>
          <w:tcPr>
            <w:tcW w:w="2220" w:type="dxa"/>
            <w:vAlign w:val="bottom"/>
          </w:tcPr>
          <w:p>
            <w:pPr>
              <w:spacing w:after="0"/>
              <w:rPr>
                <w:sz w:val="24"/>
                <w:szCs w:val="24"/>
                <w:color w:val="auto"/>
              </w:rPr>
            </w:pPr>
          </w:p>
        </w:tc>
      </w:tr>
      <w:tr>
        <w:trPr>
          <w:trHeight w:val="231"/>
        </w:trPr>
        <w:tc>
          <w:tcPr>
            <w:tcW w:w="6500" w:type="dxa"/>
            <w:vAlign w:val="bottom"/>
          </w:tcPr>
          <w:p>
            <w:pPr>
              <w:jc w:val="center"/>
              <w:ind w:right="2914"/>
              <w:spacing w:after="0"/>
              <w:rPr>
                <w:sz w:val="20"/>
                <w:szCs w:val="20"/>
                <w:color w:val="auto"/>
              </w:rPr>
            </w:pPr>
            <w:r>
              <w:rPr>
                <w:rFonts w:ascii="Arial" w:cs="Arial" w:eastAsia="Arial" w:hAnsi="Arial"/>
                <w:sz w:val="18"/>
                <w:szCs w:val="18"/>
                <w:b w:val="1"/>
                <w:bCs w:val="1"/>
                <w:color w:val="auto"/>
                <w:w w:val="87"/>
              </w:rPr>
              <w:t>Las Vegas, Nevada</w:t>
            </w:r>
          </w:p>
        </w:tc>
        <w:tc>
          <w:tcPr>
            <w:tcW w:w="2220" w:type="dxa"/>
            <w:vAlign w:val="bottom"/>
          </w:tcPr>
          <w:p>
            <w:pPr>
              <w:jc w:val="center"/>
              <w:ind w:left="61"/>
              <w:spacing w:after="0"/>
              <w:rPr>
                <w:sz w:val="20"/>
                <w:szCs w:val="20"/>
                <w:color w:val="auto"/>
              </w:rPr>
            </w:pPr>
            <w:r>
              <w:rPr>
                <w:rFonts w:ascii="Arial" w:cs="Arial" w:eastAsia="Arial" w:hAnsi="Arial"/>
                <w:sz w:val="18"/>
                <w:szCs w:val="18"/>
                <w:b w:val="1"/>
                <w:bCs w:val="1"/>
                <w:color w:val="auto"/>
                <w:w w:val="87"/>
              </w:rPr>
              <w:t>89109</w:t>
            </w:r>
          </w:p>
        </w:tc>
      </w:tr>
      <w:tr>
        <w:trPr>
          <w:trHeight w:val="174"/>
        </w:trPr>
        <w:tc>
          <w:tcPr>
            <w:tcW w:w="6500" w:type="dxa"/>
            <w:vAlign w:val="bottom"/>
          </w:tcPr>
          <w:p>
            <w:pPr>
              <w:jc w:val="center"/>
              <w:ind w:right="2914"/>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2220" w:type="dxa"/>
            <w:vAlign w:val="bottom"/>
          </w:tcPr>
          <w:p>
            <w:pPr>
              <w:jc w:val="center"/>
              <w:ind w:left="61"/>
              <w:spacing w:after="0"/>
              <w:rPr>
                <w:sz w:val="20"/>
                <w:szCs w:val="20"/>
                <w:color w:val="auto"/>
              </w:rPr>
            </w:pPr>
            <w:r>
              <w:rPr>
                <w:rFonts w:ascii="Arial" w:cs="Arial" w:eastAsia="Arial" w:hAnsi="Arial"/>
                <w:sz w:val="14"/>
                <w:szCs w:val="14"/>
                <w:b w:val="1"/>
                <w:bCs w:val="1"/>
                <w:color w:val="auto"/>
                <w:w w:val="92"/>
              </w:rPr>
              <w:t>(Zip Code)</w:t>
            </w:r>
          </w:p>
        </w:tc>
      </w:tr>
    </w:tbl>
    <w:p>
      <w:pPr>
        <w:spacing w:after="0" w:line="122" w:lineRule="exact"/>
        <w:rPr>
          <w:sz w:val="20"/>
          <w:szCs w:val="20"/>
          <w:color w:val="auto"/>
        </w:rPr>
      </w:pPr>
    </w:p>
    <w:p>
      <w:pPr>
        <w:ind w:left="3080" w:hanging="184"/>
        <w:spacing w:after="0"/>
        <w:tabs>
          <w:tab w:leader="none" w:pos="3080" w:val="left"/>
        </w:tabs>
        <w:numPr>
          <w:ilvl w:val="0"/>
          <w:numId w:val="389"/>
        </w:numPr>
        <w:rPr>
          <w:rFonts w:ascii="Arial" w:cs="Arial" w:eastAsia="Arial" w:hAnsi="Arial"/>
          <w:sz w:val="22"/>
          <w:szCs w:val="22"/>
          <w:b w:val="1"/>
          <w:bCs w:val="1"/>
          <w:color w:val="auto"/>
        </w:rPr>
      </w:pPr>
      <w:r>
        <w:rPr>
          <w:rFonts w:ascii="Arial" w:cs="Arial" w:eastAsia="Arial" w:hAnsi="Arial"/>
          <w:sz w:val="15"/>
          <w:szCs w:val="15"/>
          <w:b w:val="1"/>
          <w:bCs w:val="1"/>
          <w:color w:val="auto"/>
        </w:rPr>
        <w:t>7</w:t>
      </w:r>
      <w:r>
        <w:rPr>
          <w:rFonts w:ascii="Arial" w:cs="Arial" w:eastAsia="Arial" w:hAnsi="Arial"/>
          <w:sz w:val="21"/>
          <w:szCs w:val="21"/>
          <w:b w:val="1"/>
          <w:bCs w:val="1"/>
          <w:color w:val="auto"/>
        </w:rPr>
        <w:t>/</w:t>
      </w:r>
      <w:r>
        <w:rPr>
          <w:rFonts w:ascii="Arial" w:cs="Arial" w:eastAsia="Arial" w:hAnsi="Arial"/>
          <w:sz w:val="17"/>
          <w:szCs w:val="17"/>
          <w:b w:val="1"/>
          <w:bCs w:val="1"/>
          <w:color w:val="auto"/>
        </w:rPr>
        <w:t>8</w:t>
      </w:r>
      <w:r>
        <w:rPr>
          <w:rFonts w:ascii="Arial" w:cs="Arial" w:eastAsia="Arial" w:hAnsi="Arial"/>
          <w:sz w:val="21"/>
          <w:szCs w:val="21"/>
          <w:b w:val="1"/>
          <w:bCs w:val="1"/>
          <w:color w:val="auto"/>
        </w:rPr>
        <w:t>% First Mortgage Notes due 2017</w:t>
      </w:r>
    </w:p>
    <w:p>
      <w:pPr>
        <w:spacing w:after="0" w:line="14" w:lineRule="exact"/>
        <w:rPr>
          <w:rFonts w:ascii="Arial" w:cs="Arial" w:eastAsia="Arial" w:hAnsi="Arial"/>
          <w:sz w:val="22"/>
          <w:szCs w:val="22"/>
          <w:b w:val="1"/>
          <w:bCs w:val="1"/>
          <w:color w:val="auto"/>
        </w:rPr>
      </w:pPr>
    </w:p>
    <w:p>
      <w:pPr>
        <w:ind w:left="3080" w:hanging="184"/>
        <w:spacing w:after="0" w:line="230" w:lineRule="auto"/>
        <w:tabs>
          <w:tab w:leader="none" w:pos="3080" w:val="left"/>
        </w:tabs>
        <w:numPr>
          <w:ilvl w:val="0"/>
          <w:numId w:val="389"/>
        </w:numPr>
        <w:rPr>
          <w:rFonts w:ascii="Arial" w:cs="Arial" w:eastAsia="Arial" w:hAnsi="Arial"/>
          <w:sz w:val="22"/>
          <w:szCs w:val="22"/>
          <w:b w:val="1"/>
          <w:bCs w:val="1"/>
          <w:color w:val="auto"/>
        </w:rPr>
      </w:pPr>
      <w:r>
        <w:rPr>
          <w:rFonts w:ascii="Arial" w:cs="Arial" w:eastAsia="Arial" w:hAnsi="Arial"/>
          <w:sz w:val="15"/>
          <w:szCs w:val="15"/>
          <w:b w:val="1"/>
          <w:bCs w:val="1"/>
          <w:color w:val="auto"/>
        </w:rPr>
        <w:t>7</w:t>
      </w:r>
      <w:r>
        <w:rPr>
          <w:rFonts w:ascii="Arial" w:cs="Arial" w:eastAsia="Arial" w:hAnsi="Arial"/>
          <w:sz w:val="21"/>
          <w:szCs w:val="21"/>
          <w:b w:val="1"/>
          <w:bCs w:val="1"/>
          <w:color w:val="auto"/>
        </w:rPr>
        <w:t>/</w:t>
      </w:r>
      <w:r>
        <w:rPr>
          <w:rFonts w:ascii="Arial" w:cs="Arial" w:eastAsia="Arial" w:hAnsi="Arial"/>
          <w:sz w:val="17"/>
          <w:szCs w:val="17"/>
          <w:b w:val="1"/>
          <w:bCs w:val="1"/>
          <w:color w:val="auto"/>
        </w:rPr>
        <w:t>8</w:t>
      </w:r>
      <w:r>
        <w:rPr>
          <w:rFonts w:ascii="Arial" w:cs="Arial" w:eastAsia="Arial" w:hAnsi="Arial"/>
          <w:sz w:val="21"/>
          <w:szCs w:val="21"/>
          <w:b w:val="1"/>
          <w:bCs w:val="1"/>
          <w:color w:val="auto"/>
        </w:rPr>
        <w:t>% First Mortgage Notes due 2020</w:t>
      </w:r>
    </w:p>
    <w:p>
      <w:pPr>
        <w:ind w:left="1720"/>
        <w:spacing w:after="0" w:line="231" w:lineRule="auto"/>
        <w:rPr>
          <w:sz w:val="20"/>
          <w:szCs w:val="20"/>
          <w:color w:val="auto"/>
        </w:rPr>
      </w:pPr>
      <w:r>
        <w:rPr>
          <w:rFonts w:ascii="Arial" w:cs="Arial" w:eastAsia="Arial" w:hAnsi="Arial"/>
          <w:sz w:val="22"/>
          <w:szCs w:val="22"/>
          <w:b w:val="1"/>
          <w:bCs w:val="1"/>
          <w:color w:val="auto"/>
        </w:rPr>
        <w:t xml:space="preserve">Guarantees related to the 7 </w:t>
      </w:r>
      <w:r>
        <w:rPr>
          <w:rFonts w:ascii="Arial" w:cs="Arial" w:eastAsia="Arial" w:hAnsi="Arial"/>
          <w:sz w:val="14"/>
          <w:szCs w:val="14"/>
          <w:b w:val="1"/>
          <w:bCs w:val="1"/>
          <w:color w:val="auto"/>
        </w:rPr>
        <w:t>7</w:t>
      </w:r>
      <w:r>
        <w:rPr>
          <w:rFonts w:ascii="Arial" w:cs="Arial" w:eastAsia="Arial" w:hAnsi="Arial"/>
          <w:sz w:val="22"/>
          <w:szCs w:val="22"/>
          <w:b w:val="1"/>
          <w:bCs w:val="1"/>
          <w:color w:val="auto"/>
        </w:rPr>
        <w:t>/</w:t>
      </w:r>
      <w:r>
        <w:rPr>
          <w:rFonts w:ascii="Arial" w:cs="Arial" w:eastAsia="Arial" w:hAnsi="Arial"/>
          <w:sz w:val="17"/>
          <w:szCs w:val="17"/>
          <w:b w:val="1"/>
          <w:bCs w:val="1"/>
          <w:color w:val="auto"/>
        </w:rPr>
        <w:t>8</w:t>
      </w:r>
      <w:r>
        <w:rPr>
          <w:rFonts w:ascii="Arial" w:cs="Arial" w:eastAsia="Arial" w:hAnsi="Arial"/>
          <w:sz w:val="22"/>
          <w:szCs w:val="22"/>
          <w:b w:val="1"/>
          <w:bCs w:val="1"/>
          <w:color w:val="auto"/>
        </w:rPr>
        <w:t>% First Mortgage Notes due 2017</w:t>
      </w:r>
    </w:p>
    <w:p>
      <w:pPr>
        <w:ind w:left="1700"/>
        <w:spacing w:after="0"/>
        <w:rPr>
          <w:sz w:val="20"/>
          <w:szCs w:val="20"/>
          <w:color w:val="auto"/>
        </w:rPr>
      </w:pPr>
      <w:r>
        <w:rPr>
          <w:rFonts w:ascii="Arial" w:cs="Arial" w:eastAsia="Arial" w:hAnsi="Arial"/>
          <w:sz w:val="22"/>
          <w:szCs w:val="22"/>
          <w:b w:val="1"/>
          <w:bCs w:val="1"/>
          <w:color w:val="auto"/>
        </w:rPr>
        <w:t xml:space="preserve">Guarantees related to the 7 </w:t>
      </w:r>
      <w:r>
        <w:rPr>
          <w:rFonts w:ascii="Arial" w:cs="Arial" w:eastAsia="Arial" w:hAnsi="Arial"/>
          <w:sz w:val="14"/>
          <w:szCs w:val="14"/>
          <w:b w:val="1"/>
          <w:bCs w:val="1"/>
          <w:color w:val="auto"/>
        </w:rPr>
        <w:t>7</w:t>
      </w:r>
      <w:r>
        <w:rPr>
          <w:rFonts w:ascii="Arial" w:cs="Arial" w:eastAsia="Arial" w:hAnsi="Arial"/>
          <w:sz w:val="22"/>
          <w:szCs w:val="22"/>
          <w:b w:val="1"/>
          <w:bCs w:val="1"/>
          <w:color w:val="auto"/>
        </w:rPr>
        <w:t xml:space="preserve"> /</w:t>
      </w:r>
      <w:r>
        <w:rPr>
          <w:rFonts w:ascii="Arial" w:cs="Arial" w:eastAsia="Arial" w:hAnsi="Arial"/>
          <w:sz w:val="17"/>
          <w:szCs w:val="17"/>
          <w:b w:val="1"/>
          <w:bCs w:val="1"/>
          <w:color w:val="auto"/>
        </w:rPr>
        <w:t>8</w:t>
      </w:r>
      <w:r>
        <w:rPr>
          <w:rFonts w:ascii="Arial" w:cs="Arial" w:eastAsia="Arial" w:hAnsi="Arial"/>
          <w:sz w:val="22"/>
          <w:szCs w:val="22"/>
          <w:b w:val="1"/>
          <w:bCs w:val="1"/>
          <w:color w:val="auto"/>
        </w:rPr>
        <w:t>% First Mortgage Notes due 2020</w:t>
      </w:r>
    </w:p>
    <w:p>
      <w:pPr>
        <w:ind w:left="3400"/>
        <w:spacing w:after="0"/>
        <w:rPr>
          <w:sz w:val="20"/>
          <w:szCs w:val="20"/>
          <w:color w:val="auto"/>
        </w:rPr>
      </w:pPr>
      <w:r>
        <w:rPr>
          <w:rFonts w:ascii="Arial" w:cs="Arial" w:eastAsia="Arial" w:hAnsi="Arial"/>
          <w:sz w:val="18"/>
          <w:szCs w:val="18"/>
          <w:b w:val="1"/>
          <w:bCs w:val="1"/>
          <w:color w:val="auto"/>
        </w:rPr>
        <w:t>(Title of the Indenture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130810</wp:posOffset>
            </wp:positionV>
            <wp:extent cx="724662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-667385</wp:posOffset>
            </wp:positionH>
            <wp:positionV relativeFrom="paragraph">
              <wp:posOffset>156845</wp:posOffset>
            </wp:positionV>
            <wp:extent cx="724662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360"/>
          </w:cols>
          <w:pgMar w:left="1300" w:top="125" w:right="239" w:bottom="1440" w:gutter="0" w:footer="0" w:header="0"/>
        </w:sectPr>
      </w:pPr>
    </w:p>
    <w:bookmarkStart w:id="339" w:name="page340"/>
    <w:bookmarkEnd w:id="339"/>
    <w:p>
      <w:pPr>
        <w:jc w:val="center"/>
        <w:ind w:right="-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T-1</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GENERAL INFORMATION</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Furnish the following information as to the Trustee.</w:t>
      </w:r>
    </w:p>
    <w:p>
      <w:pPr>
        <w:spacing w:after="0" w:line="96" w:lineRule="exact"/>
        <w:rPr>
          <w:sz w:val="20"/>
          <w:szCs w:val="20"/>
          <w:color w:val="auto"/>
        </w:rPr>
      </w:pPr>
    </w:p>
    <w:p>
      <w:pPr>
        <w:ind w:left="900" w:hanging="446"/>
        <w:spacing w:after="0"/>
        <w:tabs>
          <w:tab w:leader="none" w:pos="900" w:val="left"/>
        </w:tabs>
        <w:numPr>
          <w:ilvl w:val="0"/>
          <w:numId w:val="390"/>
        </w:numPr>
        <w:rPr>
          <w:rFonts w:ascii="Arial" w:cs="Arial" w:eastAsia="Arial" w:hAnsi="Arial"/>
          <w:sz w:val="18"/>
          <w:szCs w:val="18"/>
          <w:color w:val="auto"/>
        </w:rPr>
      </w:pPr>
      <w:r>
        <w:rPr>
          <w:rFonts w:ascii="Arial" w:cs="Arial" w:eastAsia="Arial" w:hAnsi="Arial"/>
          <w:sz w:val="18"/>
          <w:szCs w:val="18"/>
          <w:i w:val="1"/>
          <w:iCs w:val="1"/>
          <w:color w:val="auto"/>
        </w:rPr>
        <w:t>Name and address of each examining or supervising authority to which it is subject.</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Comptroller of the Currency</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Washington, D.C.</w:t>
      </w:r>
    </w:p>
    <w:p>
      <w:pPr>
        <w:spacing w:after="0" w:line="84" w:lineRule="exact"/>
        <w:rPr>
          <w:sz w:val="20"/>
          <w:szCs w:val="20"/>
          <w:color w:val="auto"/>
        </w:rPr>
      </w:pPr>
    </w:p>
    <w:p>
      <w:pPr>
        <w:ind w:left="1500" w:right="6280" w:hanging="1046"/>
        <w:spacing w:after="0" w:line="362" w:lineRule="auto"/>
        <w:tabs>
          <w:tab w:leader="none" w:pos="908" w:val="left"/>
        </w:tabs>
        <w:numPr>
          <w:ilvl w:val="0"/>
          <w:numId w:val="391"/>
        </w:numPr>
        <w:rPr>
          <w:rFonts w:ascii="Arial" w:cs="Arial" w:eastAsia="Arial" w:hAnsi="Arial"/>
          <w:sz w:val="18"/>
          <w:szCs w:val="18"/>
          <w:color w:val="auto"/>
        </w:rPr>
      </w:pPr>
      <w:r>
        <w:rPr>
          <w:rFonts w:ascii="Arial" w:cs="Arial" w:eastAsia="Arial" w:hAnsi="Arial"/>
          <w:sz w:val="18"/>
          <w:szCs w:val="18"/>
          <w:i w:val="1"/>
          <w:iCs w:val="1"/>
          <w:color w:val="auto"/>
        </w:rPr>
        <w:t xml:space="preserve">Whether it is authorized to exercise corporate trust powers. </w:t>
      </w:r>
      <w:r>
        <w:rPr>
          <w:rFonts w:ascii="Arial" w:cs="Arial" w:eastAsia="Arial" w:hAnsi="Arial"/>
          <w:sz w:val="18"/>
          <w:szCs w:val="18"/>
          <w:color w:val="auto"/>
        </w:rPr>
        <w:t>Yes</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 xml:space="preserve">AFFILIATIONS WITH OBLIGOR. </w:t>
      </w:r>
      <w:r>
        <w:rPr>
          <w:rFonts w:ascii="Arial" w:cs="Arial" w:eastAsia="Arial" w:hAnsi="Arial"/>
          <w:sz w:val="16"/>
          <w:szCs w:val="16"/>
          <w:i w:val="1"/>
          <w:iCs w:val="1"/>
          <w:color w:val="auto"/>
        </w:rPr>
        <w:t>If the obligor is an affiliate of the Trustee, describe each such affiliation.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ind w:left="1140" w:right="420" w:hanging="1133"/>
        <w:spacing w:after="0" w:line="268" w:lineRule="auto"/>
        <w:tabs>
          <w:tab w:leader="none" w:pos="1120" w:val="left"/>
        </w:tabs>
        <w:rPr>
          <w:sz w:val="20"/>
          <w:szCs w:val="20"/>
          <w:color w:val="auto"/>
        </w:rPr>
      </w:pPr>
      <w:r>
        <w:rPr>
          <w:rFonts w:ascii="Arial" w:cs="Arial" w:eastAsia="Arial" w:hAnsi="Arial"/>
          <w:sz w:val="18"/>
          <w:szCs w:val="18"/>
          <w:b w:val="1"/>
          <w:bCs w:val="1"/>
          <w:color w:val="auto"/>
        </w:rPr>
        <w:t>Items 3-15</w:t>
      </w:r>
      <w:r>
        <w:rPr>
          <w:sz w:val="20"/>
          <w:szCs w:val="20"/>
          <w:color w:val="auto"/>
        </w:rPr>
        <w:tab/>
      </w:r>
      <w:r>
        <w:rPr>
          <w:rFonts w:ascii="Arial" w:cs="Arial" w:eastAsia="Arial" w:hAnsi="Arial"/>
          <w:sz w:val="18"/>
          <w:szCs w:val="18"/>
          <w:i w:val="1"/>
          <w:iCs w:val="1"/>
          <w:color w:val="auto"/>
        </w:rPr>
        <w:t>Items 3-15 are not applicable because to the best of the Trustee’s knowledge, the obligor is not in default under any Indenture for which the Trustee acts as Trustee.</w:t>
      </w:r>
    </w:p>
    <w:p>
      <w:pPr>
        <w:spacing w:after="0" w:line="25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 xml:space="preserve">LIST OF EXHIBITS: </w:t>
      </w:r>
      <w:r>
        <w:rPr>
          <w:rFonts w:ascii="Arial" w:cs="Arial" w:eastAsia="Arial" w:hAnsi="Arial"/>
          <w:sz w:val="16"/>
          <w:szCs w:val="16"/>
          <w:i w:val="1"/>
          <w:iCs w:val="1"/>
          <w:color w:val="auto"/>
        </w:rPr>
        <w:t>List below all exhibits filed as a part of this statement of eligibility and qualification.</w:t>
      </w:r>
    </w:p>
    <w:p>
      <w:pPr>
        <w:spacing w:after="0" w:line="96" w:lineRule="exact"/>
        <w:rPr>
          <w:sz w:val="20"/>
          <w:szCs w:val="20"/>
          <w:color w:val="auto"/>
        </w:rPr>
      </w:pPr>
    </w:p>
    <w:p>
      <w:pPr>
        <w:ind w:left="900" w:hanging="446"/>
        <w:spacing w:after="0"/>
        <w:tabs>
          <w:tab w:leader="none" w:pos="900" w:val="left"/>
        </w:tabs>
        <w:numPr>
          <w:ilvl w:val="1"/>
          <w:numId w:val="392"/>
        </w:numPr>
        <w:rPr>
          <w:rFonts w:ascii="Arial" w:cs="Arial" w:eastAsia="Arial" w:hAnsi="Arial"/>
          <w:sz w:val="18"/>
          <w:szCs w:val="18"/>
          <w:color w:val="auto"/>
        </w:rPr>
      </w:pPr>
      <w:r>
        <w:rPr>
          <w:rFonts w:ascii="Arial" w:cs="Arial" w:eastAsia="Arial" w:hAnsi="Arial"/>
          <w:sz w:val="18"/>
          <w:szCs w:val="18"/>
          <w:color w:val="auto"/>
        </w:rPr>
        <w:t>A copy of the Articles of Association of the Trustee.*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392"/>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commence business.*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392"/>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exercise corporate trust powers.*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392"/>
        </w:numPr>
        <w:rPr>
          <w:rFonts w:ascii="Arial" w:cs="Arial" w:eastAsia="Arial" w:hAnsi="Arial"/>
          <w:sz w:val="18"/>
          <w:szCs w:val="18"/>
          <w:color w:val="auto"/>
        </w:rPr>
      </w:pPr>
      <w:r>
        <w:rPr>
          <w:rFonts w:ascii="Arial" w:cs="Arial" w:eastAsia="Arial" w:hAnsi="Arial"/>
          <w:sz w:val="18"/>
          <w:szCs w:val="18"/>
          <w:color w:val="auto"/>
        </w:rPr>
        <w:t>A copy of the existing bylaws of the Trustee.**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392"/>
        </w:numPr>
        <w:rPr>
          <w:rFonts w:ascii="Arial" w:cs="Arial" w:eastAsia="Arial" w:hAnsi="Arial"/>
          <w:sz w:val="18"/>
          <w:szCs w:val="18"/>
          <w:color w:val="auto"/>
        </w:rPr>
      </w:pPr>
      <w:r>
        <w:rPr>
          <w:rFonts w:ascii="Arial" w:cs="Arial" w:eastAsia="Arial" w:hAnsi="Arial"/>
          <w:sz w:val="18"/>
          <w:szCs w:val="18"/>
          <w:color w:val="auto"/>
        </w:rPr>
        <w:t>A copy of each Indenture referred to in Item 4. Not applicable.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392"/>
        </w:numPr>
        <w:rPr>
          <w:rFonts w:ascii="Arial" w:cs="Arial" w:eastAsia="Arial" w:hAnsi="Arial"/>
          <w:sz w:val="18"/>
          <w:szCs w:val="18"/>
          <w:color w:val="auto"/>
        </w:rPr>
      </w:pPr>
      <w:r>
        <w:rPr>
          <w:rFonts w:ascii="Arial" w:cs="Arial" w:eastAsia="Arial" w:hAnsi="Arial"/>
          <w:sz w:val="18"/>
          <w:szCs w:val="18"/>
          <w:color w:val="auto"/>
        </w:rPr>
        <w:t>The consent of the Trustee required by Section 321(b) of the Trust Indenture Act of 1939, attached as Exhibit 6.</w:t>
      </w:r>
    </w:p>
    <w:p>
      <w:pPr>
        <w:spacing w:after="0" w:line="90" w:lineRule="exact"/>
        <w:rPr>
          <w:rFonts w:ascii="Arial" w:cs="Arial" w:eastAsia="Arial" w:hAnsi="Arial"/>
          <w:sz w:val="18"/>
          <w:szCs w:val="18"/>
          <w:color w:val="auto"/>
        </w:rPr>
      </w:pPr>
    </w:p>
    <w:p>
      <w:pPr>
        <w:ind w:left="900" w:right="20" w:hanging="446"/>
        <w:spacing w:after="0" w:line="268" w:lineRule="auto"/>
        <w:tabs>
          <w:tab w:leader="none" w:pos="900" w:val="left"/>
        </w:tabs>
        <w:numPr>
          <w:ilvl w:val="1"/>
          <w:numId w:val="392"/>
        </w:numPr>
        <w:rPr>
          <w:rFonts w:ascii="Arial" w:cs="Arial" w:eastAsia="Arial" w:hAnsi="Arial"/>
          <w:sz w:val="18"/>
          <w:szCs w:val="18"/>
          <w:color w:val="auto"/>
        </w:rPr>
      </w:pPr>
      <w:r>
        <w:rPr>
          <w:rFonts w:ascii="Arial" w:cs="Arial" w:eastAsia="Arial" w:hAnsi="Arial"/>
          <w:sz w:val="18"/>
          <w:szCs w:val="18"/>
          <w:color w:val="auto"/>
        </w:rPr>
        <w:t>Report of Condition of the Trustee as of December 31, 2009 published pursuant to law or the requirements of its supervising or examining authority, attached as Exhibit 7.</w:t>
      </w:r>
    </w:p>
    <w:p>
      <w:pPr>
        <w:spacing w:after="0" w:line="13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6"/>
          <w:szCs w:val="16"/>
          <w:color w:val="auto"/>
        </w:rPr>
        <w:t>* Incorporated by reference to Exhibit 25.1 to Amendment No. 2 to registration statement on S-4, Registration Number 333-128217 filed on November 15, 2005.</w:t>
      </w:r>
    </w:p>
    <w:p>
      <w:pPr>
        <w:spacing w:after="0" w:line="38" w:lineRule="exact"/>
        <w:rPr>
          <w:rFonts w:ascii="Arial" w:cs="Arial" w:eastAsia="Arial" w:hAnsi="Arial"/>
          <w:sz w:val="18"/>
          <w:szCs w:val="18"/>
          <w:color w:val="auto"/>
        </w:rPr>
      </w:pPr>
    </w:p>
    <w:p>
      <w:pPr>
        <w:ind w:left="220" w:hanging="212"/>
        <w:spacing w:after="0"/>
        <w:tabs>
          <w:tab w:leader="none" w:pos="22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Incorporated by reference to Exhibit 25.1 to registration statement on S-4, Registration Number 333-159463 filed on August 21, 2009.</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4" w:right="299" w:bottom="1440" w:gutter="0" w:footer="0" w:header="0"/>
        </w:sectPr>
      </w:pPr>
    </w:p>
    <w:bookmarkStart w:id="340" w:name="page341"/>
    <w:bookmarkEnd w:id="340"/>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w:t>
      </w:r>
    </w:p>
    <w:p>
      <w:pPr>
        <w:spacing w:after="0" w:line="17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Pursuant to the requirements of the Trust Indenture Act of 1939, as amended, the Trustee, U.S. BANK NATIONAL ASSOCIATION, a national banking association organized and existing under the laws of the United States of America, has duly caused this statement of eligibility and qualification to be signed on its behalf by the undersigned, thereunto duly authorized, all in the City of St. Paul, State of Minnesota on the 3rd of May, 2010.</w:t>
      </w:r>
    </w:p>
    <w:p>
      <w:pPr>
        <w:spacing w:after="0" w:line="14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Raymond S. Haverstock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Raymond S. Haverstock</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Vice President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By:  /s/ Joshua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Joshua Hahn</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Assistant Vice President</w:t>
      </w:r>
    </w:p>
    <w:p>
      <w:pPr>
        <w:spacing w:after="0" w:line="15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274" w:right="419" w:bottom="1440" w:gutter="0" w:footer="0" w:header="0"/>
        </w:sectPr>
      </w:pPr>
    </w:p>
    <w:bookmarkStart w:id="341" w:name="page342"/>
    <w:bookmarkEnd w:id="341"/>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6</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CONSENT</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accordance with Section 321(b) of the Trust Indenture Act of 1939, the undersigned, U.S. BANK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Dated: May 3</w:t>
      </w:r>
      <w:r>
        <w:rPr>
          <w:rFonts w:ascii="Arial" w:cs="Arial" w:eastAsia="Arial" w:hAnsi="Arial"/>
          <w:sz w:val="11"/>
          <w:szCs w:val="11"/>
          <w:color w:val="auto"/>
        </w:rPr>
        <w:t>rd</w:t>
      </w:r>
      <w:r>
        <w:rPr>
          <w:rFonts w:ascii="Arial" w:cs="Arial" w:eastAsia="Arial" w:hAnsi="Arial"/>
          <w:sz w:val="18"/>
          <w:szCs w:val="18"/>
          <w:color w:val="auto"/>
        </w:rPr>
        <w:t xml:space="preserve"> 2010</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Raymond S. Haverstock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Raymond Haverstock</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Vice President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By:  /s/ Joshua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Joshua Hahn</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Assistant Vice President</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74" w:right="299" w:bottom="1440" w:gutter="0" w:footer="0" w:header="0"/>
        </w:sectPr>
      </w:pPr>
    </w:p>
    <w:bookmarkStart w:id="342" w:name="page343"/>
    <w:bookmarkEnd w:id="342"/>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6080" w:type="dxa"/>
            <w:vAlign w:val="bottom"/>
            <w:gridSpan w:val="2"/>
          </w:tcPr>
          <w:p>
            <w:pPr>
              <w:jc w:val="center"/>
              <w:ind w:right="3280"/>
              <w:spacing w:after="0"/>
              <w:rPr>
                <w:sz w:val="20"/>
                <w:szCs w:val="20"/>
                <w:color w:val="auto"/>
              </w:rPr>
            </w:pPr>
            <w:r>
              <w:rPr>
                <w:rFonts w:ascii="Arial" w:cs="Arial" w:eastAsia="Arial" w:hAnsi="Arial"/>
                <w:sz w:val="18"/>
                <w:szCs w:val="18"/>
                <w:color w:val="auto"/>
                <w:w w:val="90"/>
              </w:rPr>
              <w:t>E</w:t>
            </w:r>
            <w:r>
              <w:rPr>
                <w:rFonts w:ascii="Arial" w:cs="Arial" w:eastAsia="Arial" w:hAnsi="Arial"/>
                <w:sz w:val="18"/>
                <w:szCs w:val="18"/>
                <w:b w:val="1"/>
                <w:bCs w:val="1"/>
                <w:color w:val="auto"/>
                <w:w w:val="90"/>
              </w:rPr>
              <w:t>xhibit 7</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6080" w:type="dxa"/>
            <w:vAlign w:val="bottom"/>
            <w:gridSpan w:val="2"/>
          </w:tcPr>
          <w:p>
            <w:pPr>
              <w:jc w:val="center"/>
              <w:ind w:right="3300"/>
              <w:spacing w:after="0"/>
              <w:rPr>
                <w:sz w:val="20"/>
                <w:szCs w:val="20"/>
                <w:color w:val="auto"/>
              </w:rPr>
            </w:pPr>
            <w:r>
              <w:rPr>
                <w:rFonts w:ascii="Arial" w:cs="Arial" w:eastAsia="Arial" w:hAnsi="Arial"/>
                <w:sz w:val="18"/>
                <w:szCs w:val="18"/>
                <w:b w:val="1"/>
                <w:bCs w:val="1"/>
                <w:color w:val="auto"/>
                <w:w w:val="87"/>
              </w:rPr>
              <w:t>U.S. Bank National Association</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6080" w:type="dxa"/>
            <w:vAlign w:val="bottom"/>
            <w:gridSpan w:val="2"/>
          </w:tcPr>
          <w:p>
            <w:pPr>
              <w:jc w:val="center"/>
              <w:ind w:right="3300"/>
              <w:spacing w:after="0"/>
              <w:rPr>
                <w:sz w:val="20"/>
                <w:szCs w:val="20"/>
                <w:color w:val="auto"/>
              </w:rPr>
            </w:pPr>
            <w:r>
              <w:rPr>
                <w:rFonts w:ascii="Arial" w:cs="Arial" w:eastAsia="Arial" w:hAnsi="Arial"/>
                <w:sz w:val="18"/>
                <w:szCs w:val="18"/>
                <w:b w:val="1"/>
                <w:bCs w:val="1"/>
                <w:color w:val="auto"/>
                <w:w w:val="88"/>
              </w:rPr>
              <w:t>Statement of Financial Condition</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4320" w:type="dxa"/>
            <w:vAlign w:val="bottom"/>
          </w:tcPr>
          <w:p>
            <w:pPr>
              <w:spacing w:after="0"/>
              <w:rPr>
                <w:sz w:val="19"/>
                <w:szCs w:val="19"/>
                <w:color w:val="auto"/>
              </w:rPr>
            </w:pPr>
          </w:p>
        </w:tc>
        <w:tc>
          <w:tcPr>
            <w:tcW w:w="6080" w:type="dxa"/>
            <w:vAlign w:val="bottom"/>
            <w:gridSpan w:val="2"/>
          </w:tcPr>
          <w:p>
            <w:pPr>
              <w:jc w:val="center"/>
              <w:ind w:right="3300"/>
              <w:spacing w:after="0"/>
              <w:rPr>
                <w:sz w:val="20"/>
                <w:szCs w:val="20"/>
                <w:color w:val="auto"/>
              </w:rPr>
            </w:pPr>
            <w:r>
              <w:rPr>
                <w:rFonts w:ascii="Arial" w:cs="Arial" w:eastAsia="Arial" w:hAnsi="Arial"/>
                <w:sz w:val="18"/>
                <w:szCs w:val="18"/>
                <w:b w:val="1"/>
                <w:bCs w:val="1"/>
                <w:color w:val="auto"/>
                <w:w w:val="87"/>
              </w:rPr>
              <w:t>As of 12/31/2009</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97"/>
        </w:trPr>
        <w:tc>
          <w:tcPr>
            <w:tcW w:w="4320" w:type="dxa"/>
            <w:vAlign w:val="bottom"/>
          </w:tcPr>
          <w:p>
            <w:pPr>
              <w:spacing w:after="0"/>
              <w:rPr>
                <w:sz w:val="24"/>
                <w:szCs w:val="24"/>
                <w:color w:val="auto"/>
              </w:rPr>
            </w:pPr>
          </w:p>
        </w:tc>
        <w:tc>
          <w:tcPr>
            <w:tcW w:w="6080" w:type="dxa"/>
            <w:vAlign w:val="bottom"/>
            <w:gridSpan w:val="2"/>
          </w:tcPr>
          <w:p>
            <w:pPr>
              <w:jc w:val="center"/>
              <w:ind w:right="3300"/>
              <w:spacing w:after="0"/>
              <w:rPr>
                <w:sz w:val="20"/>
                <w:szCs w:val="20"/>
                <w:color w:val="auto"/>
              </w:rPr>
            </w:pPr>
            <w:r>
              <w:rPr>
                <w:rFonts w:ascii="Arial" w:cs="Arial" w:eastAsia="Arial" w:hAnsi="Arial"/>
                <w:sz w:val="18"/>
                <w:szCs w:val="18"/>
                <w:b w:val="1"/>
                <w:bCs w:val="1"/>
                <w:color w:val="auto"/>
                <w:w w:val="86"/>
              </w:rPr>
              <w:t>($000’s)</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20"/>
        </w:trPr>
        <w:tc>
          <w:tcPr>
            <w:tcW w:w="43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0"/>
              </w:rPr>
              <w:t>12/31/2009</w:t>
            </w:r>
          </w:p>
        </w:tc>
        <w:tc>
          <w:tcPr>
            <w:tcW w:w="20" w:type="dxa"/>
            <w:vAlign w:val="bottom"/>
          </w:tcPr>
          <w:p>
            <w:pPr>
              <w:spacing w:after="0"/>
              <w:rPr>
                <w:sz w:val="24"/>
                <w:szCs w:val="24"/>
                <w:color w:val="auto"/>
              </w:rPr>
            </w:pPr>
          </w:p>
        </w:tc>
      </w:tr>
      <w:tr>
        <w:trPr>
          <w:trHeight w:val="211"/>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5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320" w:type="dxa"/>
            <w:vAlign w:val="bottom"/>
          </w:tcPr>
          <w:p>
            <w:pPr>
              <w:ind w:left="440"/>
              <w:spacing w:after="0"/>
              <w:rPr>
                <w:sz w:val="20"/>
                <w:szCs w:val="20"/>
                <w:color w:val="auto"/>
              </w:rPr>
            </w:pPr>
            <w:r>
              <w:rPr>
                <w:rFonts w:ascii="Arial" w:cs="Arial" w:eastAsia="Arial" w:hAnsi="Arial"/>
                <w:sz w:val="18"/>
                <w:szCs w:val="18"/>
                <w:color w:val="auto"/>
                <w:w w:val="91"/>
              </w:rPr>
              <w:t>Cash and Balances Due From Depository Institutions</w:t>
            </w:r>
          </w:p>
        </w:tc>
        <w:tc>
          <w:tcPr>
            <w:tcW w:w="6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6,198,904</w:t>
            </w:r>
          </w:p>
        </w:tc>
        <w:tc>
          <w:tcPr>
            <w:tcW w:w="20" w:type="dxa"/>
            <w:vAlign w:val="bottom"/>
          </w:tcPr>
          <w:p>
            <w:pPr>
              <w:spacing w:after="0"/>
              <w:rPr>
                <w:sz w:val="18"/>
                <w:szCs w:val="18"/>
                <w:color w:val="auto"/>
              </w:rPr>
            </w:pPr>
          </w:p>
        </w:tc>
      </w:tr>
      <w:tr>
        <w:trPr>
          <w:trHeight w:val="216"/>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Securities</w:t>
            </w:r>
          </w:p>
        </w:tc>
        <w:tc>
          <w:tcPr>
            <w:tcW w:w="5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43,054,635</w:t>
            </w:r>
          </w:p>
        </w:tc>
        <w:tc>
          <w:tcPr>
            <w:tcW w:w="20" w:type="dxa"/>
            <w:vAlign w:val="bottom"/>
          </w:tcPr>
          <w:p>
            <w:pPr>
              <w:spacing w:after="0"/>
              <w:rPr>
                <w:sz w:val="18"/>
                <w:szCs w:val="18"/>
                <w:color w:val="auto"/>
              </w:rPr>
            </w:pPr>
          </w:p>
        </w:tc>
      </w:tr>
      <w:tr>
        <w:trPr>
          <w:trHeight w:val="216"/>
        </w:trPr>
        <w:tc>
          <w:tcPr>
            <w:tcW w:w="4320" w:type="dxa"/>
            <w:vAlign w:val="bottom"/>
          </w:tcPr>
          <w:p>
            <w:pPr>
              <w:ind w:left="440"/>
              <w:spacing w:after="0"/>
              <w:rPr>
                <w:sz w:val="20"/>
                <w:szCs w:val="20"/>
                <w:color w:val="auto"/>
              </w:rPr>
            </w:pPr>
            <w:r>
              <w:rPr>
                <w:rFonts w:ascii="Arial" w:cs="Arial" w:eastAsia="Arial" w:hAnsi="Arial"/>
                <w:sz w:val="18"/>
                <w:szCs w:val="18"/>
                <w:color w:val="auto"/>
              </w:rPr>
              <w:t>Federal Funds</w:t>
            </w:r>
          </w:p>
        </w:tc>
        <w:tc>
          <w:tcPr>
            <w:tcW w:w="5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3,431,853</w:t>
            </w:r>
          </w:p>
        </w:tc>
        <w:tc>
          <w:tcPr>
            <w:tcW w:w="20" w:type="dxa"/>
            <w:vAlign w:val="bottom"/>
          </w:tcPr>
          <w:p>
            <w:pPr>
              <w:spacing w:after="0"/>
              <w:rPr>
                <w:sz w:val="18"/>
                <w:szCs w:val="18"/>
                <w:color w:val="auto"/>
              </w:rPr>
            </w:pPr>
          </w:p>
        </w:tc>
      </w:tr>
      <w:tr>
        <w:trPr>
          <w:trHeight w:val="216"/>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Loans &amp; Lease Financing Receivables</w:t>
            </w:r>
          </w:p>
        </w:tc>
        <w:tc>
          <w:tcPr>
            <w:tcW w:w="5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189,772,027</w:t>
            </w:r>
          </w:p>
        </w:tc>
        <w:tc>
          <w:tcPr>
            <w:tcW w:w="20" w:type="dxa"/>
            <w:vAlign w:val="bottom"/>
          </w:tcPr>
          <w:p>
            <w:pPr>
              <w:spacing w:after="0"/>
              <w:rPr>
                <w:sz w:val="18"/>
                <w:szCs w:val="18"/>
                <w:color w:val="auto"/>
              </w:rPr>
            </w:pPr>
          </w:p>
        </w:tc>
      </w:tr>
      <w:tr>
        <w:trPr>
          <w:trHeight w:val="216"/>
        </w:trPr>
        <w:tc>
          <w:tcPr>
            <w:tcW w:w="4320" w:type="dxa"/>
            <w:vAlign w:val="bottom"/>
          </w:tcPr>
          <w:p>
            <w:pPr>
              <w:ind w:left="440"/>
              <w:spacing w:after="0"/>
              <w:rPr>
                <w:sz w:val="20"/>
                <w:szCs w:val="20"/>
                <w:color w:val="auto"/>
              </w:rPr>
            </w:pPr>
            <w:r>
              <w:rPr>
                <w:rFonts w:ascii="Arial" w:cs="Arial" w:eastAsia="Arial" w:hAnsi="Arial"/>
                <w:sz w:val="18"/>
                <w:szCs w:val="18"/>
                <w:color w:val="auto"/>
              </w:rPr>
              <w:t>Fixed Assets</w:t>
            </w:r>
          </w:p>
        </w:tc>
        <w:tc>
          <w:tcPr>
            <w:tcW w:w="5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4,797,639</w:t>
            </w:r>
          </w:p>
        </w:tc>
        <w:tc>
          <w:tcPr>
            <w:tcW w:w="20" w:type="dxa"/>
            <w:vAlign w:val="bottom"/>
          </w:tcPr>
          <w:p>
            <w:pPr>
              <w:spacing w:after="0"/>
              <w:rPr>
                <w:sz w:val="18"/>
                <w:szCs w:val="18"/>
                <w:color w:val="auto"/>
              </w:rPr>
            </w:pPr>
          </w:p>
        </w:tc>
      </w:tr>
      <w:tr>
        <w:trPr>
          <w:trHeight w:val="216"/>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Intangible Assets</w:t>
            </w:r>
          </w:p>
        </w:tc>
        <w:tc>
          <w:tcPr>
            <w:tcW w:w="5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13,399,731</w:t>
            </w:r>
          </w:p>
        </w:tc>
        <w:tc>
          <w:tcPr>
            <w:tcW w:w="20" w:type="dxa"/>
            <w:vAlign w:val="bottom"/>
          </w:tcPr>
          <w:p>
            <w:pPr>
              <w:spacing w:after="0"/>
              <w:rPr>
                <w:sz w:val="18"/>
                <w:szCs w:val="18"/>
                <w:color w:val="auto"/>
              </w:rPr>
            </w:pPr>
          </w:p>
        </w:tc>
      </w:tr>
      <w:tr>
        <w:trPr>
          <w:trHeight w:val="223"/>
        </w:trPr>
        <w:tc>
          <w:tcPr>
            <w:tcW w:w="4320" w:type="dxa"/>
            <w:vAlign w:val="bottom"/>
          </w:tcPr>
          <w:p>
            <w:pPr>
              <w:ind w:left="440"/>
              <w:spacing w:after="0"/>
              <w:rPr>
                <w:sz w:val="20"/>
                <w:szCs w:val="20"/>
                <w:color w:val="auto"/>
              </w:rPr>
            </w:pPr>
            <w:r>
              <w:rPr>
                <w:rFonts w:ascii="Arial" w:cs="Arial" w:eastAsia="Arial" w:hAnsi="Arial"/>
                <w:sz w:val="18"/>
                <w:szCs w:val="18"/>
                <w:color w:val="auto"/>
              </w:rPr>
              <w:t>Other Assets</w:t>
            </w:r>
          </w:p>
        </w:tc>
        <w:tc>
          <w:tcPr>
            <w:tcW w:w="5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15,721,341</w:t>
            </w:r>
          </w:p>
        </w:tc>
        <w:tc>
          <w:tcPr>
            <w:tcW w:w="20" w:type="dxa"/>
            <w:vAlign w:val="bottom"/>
          </w:tcPr>
          <w:p>
            <w:pPr>
              <w:spacing w:after="0"/>
              <w:rPr>
                <w:sz w:val="19"/>
                <w:szCs w:val="19"/>
                <w:color w:val="auto"/>
              </w:rPr>
            </w:pPr>
          </w:p>
        </w:tc>
      </w:tr>
      <w:tr>
        <w:trPr>
          <w:trHeight w:val="216"/>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Assets</w:t>
            </w:r>
          </w:p>
        </w:tc>
        <w:tc>
          <w:tcPr>
            <w:tcW w:w="6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276,376,130</w:t>
            </w:r>
          </w:p>
        </w:tc>
        <w:tc>
          <w:tcPr>
            <w:tcW w:w="20" w:type="dxa"/>
            <w:vAlign w:val="bottom"/>
          </w:tcPr>
          <w:p>
            <w:pPr>
              <w:spacing w:after="0"/>
              <w:rPr>
                <w:sz w:val="18"/>
                <w:szCs w:val="18"/>
                <w:color w:val="auto"/>
              </w:rPr>
            </w:pPr>
          </w:p>
        </w:tc>
      </w:tr>
      <w:tr>
        <w:trPr>
          <w:trHeight w:val="322"/>
        </w:trPr>
        <w:tc>
          <w:tcPr>
            <w:tcW w:w="43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5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8"/>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Deposits</w:t>
            </w:r>
          </w:p>
        </w:tc>
        <w:tc>
          <w:tcPr>
            <w:tcW w:w="6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194,253,182</w:t>
            </w:r>
          </w:p>
        </w:tc>
        <w:tc>
          <w:tcPr>
            <w:tcW w:w="20" w:type="dxa"/>
            <w:vAlign w:val="bottom"/>
          </w:tcPr>
          <w:p>
            <w:pPr>
              <w:spacing w:after="0"/>
              <w:rPr>
                <w:sz w:val="18"/>
                <w:szCs w:val="18"/>
                <w:color w:val="auto"/>
              </w:rPr>
            </w:pPr>
          </w:p>
        </w:tc>
      </w:tr>
      <w:tr>
        <w:trPr>
          <w:trHeight w:val="216"/>
        </w:trPr>
        <w:tc>
          <w:tcPr>
            <w:tcW w:w="4320" w:type="dxa"/>
            <w:vAlign w:val="bottom"/>
          </w:tcPr>
          <w:p>
            <w:pPr>
              <w:ind w:left="440"/>
              <w:spacing w:after="0"/>
              <w:rPr>
                <w:sz w:val="20"/>
                <w:szCs w:val="20"/>
                <w:color w:val="auto"/>
              </w:rPr>
            </w:pPr>
            <w:r>
              <w:rPr>
                <w:rFonts w:ascii="Arial" w:cs="Arial" w:eastAsia="Arial" w:hAnsi="Arial"/>
                <w:sz w:val="18"/>
                <w:szCs w:val="18"/>
                <w:color w:val="auto"/>
              </w:rPr>
              <w:t>Fed Funds</w:t>
            </w:r>
          </w:p>
        </w:tc>
        <w:tc>
          <w:tcPr>
            <w:tcW w:w="5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10,148,686</w:t>
            </w:r>
          </w:p>
        </w:tc>
        <w:tc>
          <w:tcPr>
            <w:tcW w:w="20" w:type="dxa"/>
            <w:vAlign w:val="bottom"/>
          </w:tcPr>
          <w:p>
            <w:pPr>
              <w:spacing w:after="0"/>
              <w:rPr>
                <w:sz w:val="18"/>
                <w:szCs w:val="18"/>
                <w:color w:val="auto"/>
              </w:rPr>
            </w:pPr>
          </w:p>
        </w:tc>
      </w:tr>
      <w:tr>
        <w:trPr>
          <w:trHeight w:val="216"/>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Treasury Demand Notes</w:t>
            </w:r>
          </w:p>
        </w:tc>
        <w:tc>
          <w:tcPr>
            <w:tcW w:w="5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4320" w:type="dxa"/>
            <w:vAlign w:val="bottom"/>
          </w:tcPr>
          <w:p>
            <w:pPr>
              <w:ind w:left="440"/>
              <w:spacing w:after="0"/>
              <w:rPr>
                <w:sz w:val="20"/>
                <w:szCs w:val="20"/>
                <w:color w:val="auto"/>
              </w:rPr>
            </w:pPr>
            <w:r>
              <w:rPr>
                <w:rFonts w:ascii="Arial" w:cs="Arial" w:eastAsia="Arial" w:hAnsi="Arial"/>
                <w:sz w:val="18"/>
                <w:szCs w:val="18"/>
                <w:color w:val="auto"/>
              </w:rPr>
              <w:t>Trading Liabilities</w:t>
            </w:r>
          </w:p>
        </w:tc>
        <w:tc>
          <w:tcPr>
            <w:tcW w:w="5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345,396</w:t>
            </w:r>
          </w:p>
        </w:tc>
        <w:tc>
          <w:tcPr>
            <w:tcW w:w="20" w:type="dxa"/>
            <w:vAlign w:val="bottom"/>
          </w:tcPr>
          <w:p>
            <w:pPr>
              <w:spacing w:after="0"/>
              <w:rPr>
                <w:sz w:val="18"/>
                <w:szCs w:val="18"/>
                <w:color w:val="auto"/>
              </w:rPr>
            </w:pPr>
          </w:p>
        </w:tc>
      </w:tr>
      <w:tr>
        <w:trPr>
          <w:trHeight w:val="216"/>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Borrowed Money</w:t>
            </w:r>
          </w:p>
        </w:tc>
        <w:tc>
          <w:tcPr>
            <w:tcW w:w="5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31,068,244</w:t>
            </w:r>
          </w:p>
        </w:tc>
        <w:tc>
          <w:tcPr>
            <w:tcW w:w="20" w:type="dxa"/>
            <w:vAlign w:val="bottom"/>
          </w:tcPr>
          <w:p>
            <w:pPr>
              <w:spacing w:after="0"/>
              <w:rPr>
                <w:sz w:val="18"/>
                <w:szCs w:val="18"/>
                <w:color w:val="auto"/>
              </w:rPr>
            </w:pPr>
          </w:p>
        </w:tc>
      </w:tr>
      <w:tr>
        <w:trPr>
          <w:trHeight w:val="216"/>
        </w:trPr>
        <w:tc>
          <w:tcPr>
            <w:tcW w:w="4320" w:type="dxa"/>
            <w:vAlign w:val="bottom"/>
          </w:tcPr>
          <w:p>
            <w:pPr>
              <w:ind w:left="440"/>
              <w:spacing w:after="0"/>
              <w:rPr>
                <w:sz w:val="20"/>
                <w:szCs w:val="20"/>
                <w:color w:val="auto"/>
              </w:rPr>
            </w:pPr>
            <w:r>
              <w:rPr>
                <w:rFonts w:ascii="Arial" w:cs="Arial" w:eastAsia="Arial" w:hAnsi="Arial"/>
                <w:sz w:val="18"/>
                <w:szCs w:val="18"/>
                <w:color w:val="auto"/>
              </w:rPr>
              <w:t>Acceptances</w:t>
            </w:r>
          </w:p>
        </w:tc>
        <w:tc>
          <w:tcPr>
            <w:tcW w:w="5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Subordinated Notes and Debentures</w:t>
            </w:r>
          </w:p>
        </w:tc>
        <w:tc>
          <w:tcPr>
            <w:tcW w:w="5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7,629,967</w:t>
            </w:r>
          </w:p>
        </w:tc>
        <w:tc>
          <w:tcPr>
            <w:tcW w:w="20" w:type="dxa"/>
            <w:vAlign w:val="bottom"/>
          </w:tcPr>
          <w:p>
            <w:pPr>
              <w:spacing w:after="0"/>
              <w:rPr>
                <w:sz w:val="18"/>
                <w:szCs w:val="18"/>
                <w:color w:val="auto"/>
              </w:rPr>
            </w:pPr>
          </w:p>
        </w:tc>
      </w:tr>
      <w:tr>
        <w:trPr>
          <w:trHeight w:val="223"/>
        </w:trPr>
        <w:tc>
          <w:tcPr>
            <w:tcW w:w="4320" w:type="dxa"/>
            <w:vAlign w:val="bottom"/>
          </w:tcPr>
          <w:p>
            <w:pPr>
              <w:ind w:left="440"/>
              <w:spacing w:after="0"/>
              <w:rPr>
                <w:sz w:val="20"/>
                <w:szCs w:val="20"/>
                <w:color w:val="auto"/>
              </w:rPr>
            </w:pPr>
            <w:r>
              <w:rPr>
                <w:rFonts w:ascii="Arial" w:cs="Arial" w:eastAsia="Arial" w:hAnsi="Arial"/>
                <w:sz w:val="18"/>
                <w:szCs w:val="18"/>
                <w:color w:val="auto"/>
              </w:rPr>
              <w:t>Other Liabilities</w:t>
            </w:r>
          </w:p>
        </w:tc>
        <w:tc>
          <w:tcPr>
            <w:tcW w:w="5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6,705,043</w:t>
            </w:r>
          </w:p>
        </w:tc>
        <w:tc>
          <w:tcPr>
            <w:tcW w:w="20" w:type="dxa"/>
            <w:vAlign w:val="bottom"/>
          </w:tcPr>
          <w:p>
            <w:pPr>
              <w:spacing w:after="0"/>
              <w:rPr>
                <w:sz w:val="19"/>
                <w:szCs w:val="19"/>
                <w:color w:val="auto"/>
              </w:rPr>
            </w:pPr>
          </w:p>
        </w:tc>
      </w:tr>
      <w:tr>
        <w:trPr>
          <w:trHeight w:val="216"/>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Liabilities</w:t>
            </w:r>
          </w:p>
        </w:tc>
        <w:tc>
          <w:tcPr>
            <w:tcW w:w="6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250,150,518</w:t>
            </w:r>
          </w:p>
        </w:tc>
        <w:tc>
          <w:tcPr>
            <w:tcW w:w="20" w:type="dxa"/>
            <w:vAlign w:val="bottom"/>
          </w:tcPr>
          <w:p>
            <w:pPr>
              <w:spacing w:after="0"/>
              <w:rPr>
                <w:sz w:val="18"/>
                <w:szCs w:val="18"/>
                <w:color w:val="auto"/>
              </w:rPr>
            </w:pPr>
          </w:p>
        </w:tc>
      </w:tr>
      <w:tr>
        <w:trPr>
          <w:trHeight w:val="322"/>
        </w:trPr>
        <w:tc>
          <w:tcPr>
            <w:tcW w:w="432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5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8"/>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Minority Interest in Subsidiaries</w:t>
            </w:r>
          </w:p>
        </w:tc>
        <w:tc>
          <w:tcPr>
            <w:tcW w:w="6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1,629,447</w:t>
            </w:r>
          </w:p>
        </w:tc>
        <w:tc>
          <w:tcPr>
            <w:tcW w:w="20" w:type="dxa"/>
            <w:vAlign w:val="bottom"/>
          </w:tcPr>
          <w:p>
            <w:pPr>
              <w:spacing w:after="0"/>
              <w:rPr>
                <w:sz w:val="18"/>
                <w:szCs w:val="18"/>
                <w:color w:val="auto"/>
              </w:rPr>
            </w:pPr>
          </w:p>
        </w:tc>
      </w:tr>
      <w:tr>
        <w:trPr>
          <w:trHeight w:val="216"/>
        </w:trPr>
        <w:tc>
          <w:tcPr>
            <w:tcW w:w="4320" w:type="dxa"/>
            <w:vAlign w:val="bottom"/>
          </w:tcPr>
          <w:p>
            <w:pPr>
              <w:ind w:left="440"/>
              <w:spacing w:after="0"/>
              <w:rPr>
                <w:sz w:val="20"/>
                <w:szCs w:val="20"/>
                <w:color w:val="auto"/>
              </w:rPr>
            </w:pPr>
            <w:r>
              <w:rPr>
                <w:rFonts w:ascii="Arial" w:cs="Arial" w:eastAsia="Arial" w:hAnsi="Arial"/>
                <w:sz w:val="18"/>
                <w:szCs w:val="18"/>
                <w:color w:val="auto"/>
              </w:rPr>
              <w:t>Common and Preferred Stock</w:t>
            </w:r>
          </w:p>
        </w:tc>
        <w:tc>
          <w:tcPr>
            <w:tcW w:w="5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18,200</w:t>
            </w:r>
          </w:p>
        </w:tc>
        <w:tc>
          <w:tcPr>
            <w:tcW w:w="20" w:type="dxa"/>
            <w:vAlign w:val="bottom"/>
          </w:tcPr>
          <w:p>
            <w:pPr>
              <w:spacing w:after="0"/>
              <w:rPr>
                <w:sz w:val="18"/>
                <w:szCs w:val="18"/>
                <w:color w:val="auto"/>
              </w:rPr>
            </w:pPr>
          </w:p>
        </w:tc>
      </w:tr>
      <w:tr>
        <w:trPr>
          <w:trHeight w:val="216"/>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Surplus</w:t>
            </w:r>
          </w:p>
        </w:tc>
        <w:tc>
          <w:tcPr>
            <w:tcW w:w="5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12,642,020</w:t>
            </w:r>
          </w:p>
        </w:tc>
        <w:tc>
          <w:tcPr>
            <w:tcW w:w="20" w:type="dxa"/>
            <w:vAlign w:val="bottom"/>
          </w:tcPr>
          <w:p>
            <w:pPr>
              <w:spacing w:after="0"/>
              <w:rPr>
                <w:sz w:val="18"/>
                <w:szCs w:val="18"/>
                <w:color w:val="auto"/>
              </w:rPr>
            </w:pPr>
          </w:p>
        </w:tc>
      </w:tr>
      <w:tr>
        <w:trPr>
          <w:trHeight w:val="223"/>
        </w:trPr>
        <w:tc>
          <w:tcPr>
            <w:tcW w:w="4320" w:type="dxa"/>
            <w:vAlign w:val="bottom"/>
          </w:tcPr>
          <w:p>
            <w:pPr>
              <w:ind w:left="440"/>
              <w:spacing w:after="0"/>
              <w:rPr>
                <w:sz w:val="20"/>
                <w:szCs w:val="20"/>
                <w:color w:val="auto"/>
              </w:rPr>
            </w:pPr>
            <w:r>
              <w:rPr>
                <w:rFonts w:ascii="Arial" w:cs="Arial" w:eastAsia="Arial" w:hAnsi="Arial"/>
                <w:sz w:val="18"/>
                <w:szCs w:val="18"/>
                <w:color w:val="auto"/>
              </w:rPr>
              <w:t>Undivided Profits</w:t>
            </w:r>
          </w:p>
        </w:tc>
        <w:tc>
          <w:tcPr>
            <w:tcW w:w="5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11,935,945</w:t>
            </w:r>
          </w:p>
        </w:tc>
        <w:tc>
          <w:tcPr>
            <w:tcW w:w="20" w:type="dxa"/>
            <w:vAlign w:val="bottom"/>
          </w:tcPr>
          <w:p>
            <w:pPr>
              <w:spacing w:after="0"/>
              <w:rPr>
                <w:sz w:val="19"/>
                <w:szCs w:val="19"/>
                <w:color w:val="auto"/>
              </w:rPr>
            </w:pPr>
          </w:p>
        </w:tc>
      </w:tr>
      <w:tr>
        <w:trPr>
          <w:trHeight w:val="216"/>
        </w:trPr>
        <w:tc>
          <w:tcPr>
            <w:tcW w:w="432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Total Equity Capital</w:t>
            </w:r>
          </w:p>
        </w:tc>
        <w:tc>
          <w:tcPr>
            <w:tcW w:w="6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26,225,612</w:t>
            </w:r>
          </w:p>
        </w:tc>
        <w:tc>
          <w:tcPr>
            <w:tcW w:w="20" w:type="dxa"/>
            <w:vAlign w:val="bottom"/>
          </w:tcPr>
          <w:p>
            <w:pPr>
              <w:spacing w:after="0"/>
              <w:rPr>
                <w:sz w:val="18"/>
                <w:szCs w:val="18"/>
                <w:color w:val="auto"/>
              </w:rPr>
            </w:pPr>
          </w:p>
        </w:tc>
      </w:tr>
      <w:tr>
        <w:trPr>
          <w:trHeight w:val="322"/>
        </w:trPr>
        <w:tc>
          <w:tcPr>
            <w:tcW w:w="4320" w:type="dxa"/>
            <w:vAlign w:val="bottom"/>
          </w:tcPr>
          <w:p>
            <w:pPr>
              <w:spacing w:after="0"/>
              <w:rPr>
                <w:sz w:val="20"/>
                <w:szCs w:val="20"/>
                <w:color w:val="auto"/>
              </w:rPr>
            </w:pPr>
            <w:r>
              <w:rPr>
                <w:rFonts w:ascii="Arial" w:cs="Arial" w:eastAsia="Arial" w:hAnsi="Arial"/>
                <w:sz w:val="18"/>
                <w:szCs w:val="18"/>
                <w:b w:val="1"/>
                <w:bCs w:val="1"/>
                <w:color w:val="auto"/>
              </w:rPr>
              <w:t>Total Liabilities and Equity Capital</w:t>
            </w:r>
          </w:p>
        </w:tc>
        <w:tc>
          <w:tcPr>
            <w:tcW w:w="6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9"/>
              </w:rPr>
              <w:t>276,376,130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To the best of the undersigned’s determination, as of the date hereof, the above financial information is true and correct.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Bank National Association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By:  /s/ Raymond S. Haverstock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Vice President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 May 3</w:t>
      </w:r>
      <w:r>
        <w:rPr>
          <w:rFonts w:ascii="Arial" w:cs="Arial" w:eastAsia="Arial" w:hAnsi="Arial"/>
          <w:sz w:val="11"/>
          <w:szCs w:val="11"/>
          <w:color w:val="auto"/>
        </w:rPr>
        <w:t>rd</w:t>
      </w:r>
      <w:r>
        <w:rPr>
          <w:rFonts w:ascii="Arial" w:cs="Arial" w:eastAsia="Arial" w:hAnsi="Arial"/>
          <w:sz w:val="18"/>
          <w:szCs w:val="18"/>
          <w:color w:val="auto"/>
        </w:rPr>
        <w:t xml:space="preserve"> 2010</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3" w:right="239" w:bottom="1440" w:gutter="0" w:footer="0" w:header="0"/>
        </w:sectPr>
      </w:pPr>
    </w:p>
    <w:bookmarkStart w:id="343" w:name="page344"/>
    <w:bookmarkEnd w:id="34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Wynn Las Vegas, LLC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Ratio of Earnings to Fixed Charges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6"/>
          </w:tcPr>
          <w:p>
            <w:pPr>
              <w:ind w:left="660"/>
              <w:spacing w:after="0"/>
              <w:rPr>
                <w:sz w:val="20"/>
                <w:szCs w:val="20"/>
                <w:color w:val="auto"/>
              </w:rPr>
            </w:pPr>
            <w:r>
              <w:rPr>
                <w:rFonts w:ascii="Arial" w:cs="Arial" w:eastAsia="Arial" w:hAnsi="Arial"/>
                <w:sz w:val="14"/>
                <w:szCs w:val="14"/>
                <w:b w:val="1"/>
                <w:bCs w:val="1"/>
                <w:color w:val="auto"/>
                <w:w w:val="86"/>
              </w:rPr>
              <w:t>Year ended December 31,</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7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2"/>
                <w:szCs w:val="12"/>
                <w:color w:val="auto"/>
              </w:rPr>
            </w:pPr>
          </w:p>
        </w:tc>
        <w:tc>
          <w:tcPr>
            <w:tcW w:w="74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Add:</w:t>
            </w: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w w:val="94"/>
              </w:rPr>
              <w:t>Pretax income from continuing operations before adjustment for minority interests</w:t>
            </w: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tcPr>
          <w:p>
            <w:pPr>
              <w:ind w:left="200"/>
              <w:spacing w:after="0"/>
              <w:rPr>
                <w:sz w:val="20"/>
                <w:szCs w:val="20"/>
                <w:color w:val="auto"/>
              </w:rPr>
            </w:pPr>
            <w:r>
              <w:rPr>
                <w:rFonts w:ascii="Arial" w:cs="Arial" w:eastAsia="Arial" w:hAnsi="Arial"/>
                <w:sz w:val="18"/>
                <w:szCs w:val="18"/>
                <w:color w:val="auto"/>
              </w:rPr>
              <w:t>in consolidated subsidiaries or income or loss from equity investees.</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w w:val="84"/>
              </w:rPr>
              <w:t>$ (309,443)</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 (130,060)</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123,423</w:t>
            </w:r>
          </w:p>
        </w:tc>
        <w:tc>
          <w:tcPr>
            <w:tcW w:w="280" w:type="dxa"/>
            <w:vAlign w:val="bottom"/>
          </w:tcPr>
          <w:p>
            <w:pPr>
              <w:spacing w:after="0"/>
              <w:rPr>
                <w:sz w:val="19"/>
                <w:szCs w:val="19"/>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8,399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(45,884)</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6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159,359</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158,499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121,143</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127,309</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125,608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6160" w:type="dxa"/>
            <w:vAlign w:val="bottom"/>
            <w:gridSpan w:val="2"/>
          </w:tcPr>
          <w:p>
            <w:pPr>
              <w:spacing w:after="0"/>
              <w:rPr>
                <w:sz w:val="20"/>
                <w:szCs w:val="20"/>
                <w:color w:val="auto"/>
              </w:rPr>
            </w:pPr>
            <w:r>
              <w:rPr>
                <w:rFonts w:ascii="Arial" w:cs="Arial" w:eastAsia="Arial" w:hAnsi="Arial"/>
                <w:sz w:val="18"/>
                <w:szCs w:val="18"/>
                <w:color w:val="auto"/>
              </w:rPr>
              <w:t>Amortization of capitalized interest</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24,131</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13,908</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13,908</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13,908</w:t>
            </w: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9,272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6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Distributed income of equity investees</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368</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6160" w:type="dxa"/>
            <w:vAlign w:val="bottom"/>
            <w:gridSpan w:val="2"/>
          </w:tcPr>
          <w:p>
            <w:pPr>
              <w:spacing w:after="0"/>
              <w:rPr>
                <w:sz w:val="20"/>
                <w:szCs w:val="20"/>
                <w:color w:val="auto"/>
              </w:rPr>
            </w:pPr>
            <w:r>
              <w:rPr>
                <w:rFonts w:ascii="Arial" w:cs="Arial" w:eastAsia="Arial" w:hAnsi="Arial"/>
                <w:sz w:val="18"/>
                <w:szCs w:val="18"/>
                <w:b w:val="1"/>
                <w:bCs w:val="1"/>
                <w:color w:val="auto"/>
              </w:rPr>
              <w:t>Subtract:</w:t>
            </w: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Interest capitalized</w:t>
            </w: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80,398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33,592</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7,690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Total Earnings</w:t>
            </w:r>
          </w:p>
        </w:tc>
        <w:tc>
          <w:tcPr>
            <w:tcW w:w="7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vMerge w:val="continue"/>
          </w:tcPr>
          <w:p>
            <w:pPr>
              <w:spacing w:after="0"/>
              <w:rPr>
                <w:sz w:val="19"/>
                <w:szCs w:val="19"/>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(125,585)</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(37,263)</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226,109</w:t>
            </w:r>
          </w:p>
        </w:tc>
        <w:tc>
          <w:tcPr>
            <w:tcW w:w="280" w:type="dxa"/>
            <w:vAlign w:val="bottom"/>
          </w:tcPr>
          <w:p>
            <w:pPr>
              <w:spacing w:after="0"/>
              <w:rPr>
                <w:sz w:val="19"/>
                <w:szCs w:val="19"/>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142,176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52,227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expensed</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157,228</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75,855</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86,090</w:t>
            </w:r>
          </w:p>
        </w:tc>
        <w:tc>
          <w:tcPr>
            <w:tcW w:w="2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117,787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Interest capitalized</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80,398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33,592</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7,690</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36,769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Interest in rental expense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w:t>
            </w: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2,246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1,832</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Total Fixed Charges</w:t>
            </w:r>
          </w:p>
        </w:tc>
        <w:tc>
          <w:tcPr>
            <w:tcW w:w="7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vMerge w:val="continue"/>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159,359</w:t>
            </w:r>
          </w:p>
        </w:tc>
        <w:tc>
          <w:tcPr>
            <w:tcW w:w="44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158,499</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121,143</w:t>
            </w:r>
          </w:p>
        </w:tc>
        <w:tc>
          <w:tcPr>
            <w:tcW w:w="280" w:type="dxa"/>
            <w:vAlign w:val="bottom"/>
          </w:tcPr>
          <w:p>
            <w:pPr>
              <w:spacing w:after="0"/>
              <w:rPr>
                <w:sz w:val="19"/>
                <w:szCs w:val="19"/>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127,309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125,608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to Fixed Charges</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1.87x</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1.12x</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8"/>
                <w:szCs w:val="18"/>
                <w:b w:val="1"/>
                <w:bCs w:val="1"/>
                <w:color w:val="auto"/>
              </w:rPr>
              <w:t>Deficiency Amount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w w:val="84"/>
              </w:rPr>
              <w:t>$ (284,944)</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 (195,762)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(73,381)</w:t>
            </w:r>
          </w:p>
        </w:tc>
        <w:tc>
          <w:tcPr>
            <w:tcW w:w="0" w:type="dxa"/>
            <w:vAlign w:val="bottom"/>
          </w:tcPr>
          <w:p>
            <w:pPr>
              <w:spacing w:after="0"/>
              <w:rPr>
                <w:sz w:val="1"/>
                <w:szCs w:val="1"/>
                <w:color w:val="auto"/>
              </w:rPr>
            </w:pPr>
          </w:p>
        </w:tc>
      </w:tr>
      <w:tr>
        <w:trPr>
          <w:trHeight w:val="350"/>
        </w:trPr>
        <w:tc>
          <w:tcPr>
            <w:tcW w:w="6160" w:type="dxa"/>
            <w:vAlign w:val="bottom"/>
            <w:gridSpan w:val="2"/>
          </w:tcPr>
          <w:p>
            <w:pPr>
              <w:jc w:val="right"/>
              <w:ind w:right="312"/>
              <w:spacing w:after="0"/>
              <w:rPr>
                <w:sz w:val="20"/>
                <w:szCs w:val="20"/>
                <w:color w:val="auto"/>
              </w:rPr>
            </w:pPr>
            <w:r>
              <w:rPr>
                <w:rFonts w:ascii="Arial" w:cs="Arial" w:eastAsia="Arial" w:hAnsi="Arial"/>
                <w:sz w:val="18"/>
                <w:szCs w:val="18"/>
                <w:color w:val="auto"/>
              </w:rPr>
              <w:t>6</w:t>
            </w: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3" w:right="239" w:bottom="1440" w:gutter="0" w:footer="0" w:header="0"/>
        </w:sectPr>
      </w:pPr>
    </w:p>
    <w:bookmarkStart w:id="344" w:name="page345"/>
    <w:bookmarkEnd w:id="344"/>
    <w:p>
      <w:pPr>
        <w:jc w:val="right"/>
        <w:ind w:right="40"/>
        <w:spacing w:after="0"/>
        <w:rPr>
          <w:sz w:val="20"/>
          <w:szCs w:val="20"/>
          <w:color w:val="auto"/>
        </w:rPr>
      </w:pPr>
      <w:r>
        <w:rPr>
          <w:rFonts w:ascii="Arial" w:cs="Arial" w:eastAsia="Arial" w:hAnsi="Arial"/>
          <w:sz w:val="18"/>
          <w:szCs w:val="18"/>
          <w:b w:val="1"/>
          <w:bCs w:val="1"/>
          <w:color w:val="auto"/>
        </w:rPr>
        <w:t>Exhibit 99.1</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24"/>
          <w:szCs w:val="24"/>
          <w:b w:val="1"/>
          <w:bCs w:val="1"/>
          <w:color w:val="auto"/>
        </w:rPr>
        <w:t>LETTER OF TRANSMITTAL</w:t>
      </w:r>
    </w:p>
    <w:p>
      <w:pPr>
        <w:spacing w:after="0" w:line="131" w:lineRule="exact"/>
        <w:rPr>
          <w:sz w:val="20"/>
          <w:szCs w:val="20"/>
          <w:color w:val="auto"/>
        </w:rPr>
      </w:pPr>
    </w:p>
    <w:p>
      <w:pPr>
        <w:jc w:val="center"/>
        <w:ind w:right="40"/>
        <w:spacing w:after="0"/>
        <w:rPr>
          <w:sz w:val="20"/>
          <w:szCs w:val="20"/>
          <w:color w:val="auto"/>
        </w:rPr>
      </w:pPr>
      <w:r>
        <w:rPr>
          <w:rFonts w:ascii="Arial" w:cs="Arial" w:eastAsia="Arial" w:hAnsi="Arial"/>
          <w:sz w:val="32"/>
          <w:szCs w:val="32"/>
          <w:b w:val="1"/>
          <w:bCs w:val="1"/>
          <w:color w:val="auto"/>
        </w:rPr>
        <w:t>WYNN LAS VEGAS, LLC</w:t>
      </w:r>
    </w:p>
    <w:p>
      <w:pPr>
        <w:spacing w:after="0" w:line="33" w:lineRule="exact"/>
        <w:rPr>
          <w:sz w:val="20"/>
          <w:szCs w:val="20"/>
          <w:color w:val="auto"/>
        </w:rPr>
      </w:pPr>
    </w:p>
    <w:p>
      <w:pPr>
        <w:jc w:val="center"/>
        <w:ind w:right="40"/>
        <w:spacing w:after="0"/>
        <w:rPr>
          <w:sz w:val="20"/>
          <w:szCs w:val="20"/>
          <w:color w:val="auto"/>
        </w:rPr>
      </w:pPr>
      <w:r>
        <w:rPr>
          <w:rFonts w:ascii="Arial" w:cs="Arial" w:eastAsia="Arial" w:hAnsi="Arial"/>
          <w:sz w:val="32"/>
          <w:szCs w:val="32"/>
          <w:b w:val="1"/>
          <w:bCs w:val="1"/>
          <w:color w:val="auto"/>
        </w:rPr>
        <w:t>WYNN LAS VEGAS CAPITAL CORP.</w:t>
      </w:r>
    </w:p>
    <w:p>
      <w:pPr>
        <w:spacing w:after="0" w:line="1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Offer to Exchange</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$500,000,000 of their outstanding</w:t>
      </w:r>
    </w:p>
    <w:p>
      <w:pPr>
        <w:spacing w:after="0" w:line="9" w:lineRule="exact"/>
        <w:rPr>
          <w:sz w:val="20"/>
          <w:szCs w:val="20"/>
          <w:color w:val="auto"/>
        </w:rPr>
      </w:pPr>
    </w:p>
    <w:p>
      <w:pPr>
        <w:ind w:left="4700" w:right="4320" w:hanging="410"/>
        <w:spacing w:after="0" w:line="273" w:lineRule="auto"/>
        <w:tabs>
          <w:tab w:leader="none" w:pos="4431" w:val="left"/>
        </w:tabs>
        <w:numPr>
          <w:ilvl w:val="0"/>
          <w:numId w:val="394"/>
        </w:numPr>
        <w:rPr>
          <w:rFonts w:ascii="Arial" w:cs="Arial" w:eastAsia="Arial" w:hAnsi="Arial"/>
          <w:sz w:val="17"/>
          <w:szCs w:val="17"/>
          <w:b w:val="1"/>
          <w:bCs w:val="1"/>
          <w:color w:val="auto"/>
        </w:rPr>
      </w:pPr>
      <w:r>
        <w:rPr>
          <w:rFonts w:ascii="Arial" w:cs="Arial" w:eastAsia="Arial" w:hAnsi="Arial"/>
          <w:sz w:val="11"/>
          <w:szCs w:val="11"/>
          <w:b w:val="1"/>
          <w:bCs w:val="1"/>
          <w:color w:val="auto"/>
        </w:rPr>
        <w:t>7</w:t>
      </w:r>
      <w:r>
        <w:rPr>
          <w:rFonts w:ascii="Arial" w:cs="Arial" w:eastAsia="Arial" w:hAnsi="Arial"/>
          <w:sz w:val="16"/>
          <w:szCs w:val="16"/>
          <w:b w:val="1"/>
          <w:bCs w:val="1"/>
          <w:color w:val="auto"/>
        </w:rPr>
        <w:t>/</w:t>
      </w:r>
      <w:r>
        <w:rPr>
          <w:rFonts w:ascii="Arial" w:cs="Arial" w:eastAsia="Arial" w:hAnsi="Arial"/>
          <w:sz w:val="12"/>
          <w:szCs w:val="12"/>
          <w:b w:val="1"/>
          <w:bCs w:val="1"/>
          <w:color w:val="auto"/>
        </w:rPr>
        <w:t>8</w:t>
      </w:r>
      <w:r>
        <w:rPr>
          <w:rFonts w:ascii="Arial" w:cs="Arial" w:eastAsia="Arial" w:hAnsi="Arial"/>
          <w:sz w:val="16"/>
          <w:szCs w:val="16"/>
          <w:b w:val="1"/>
          <w:bCs w:val="1"/>
          <w:color w:val="auto"/>
        </w:rPr>
        <w:t>% First Mortgage Notes due 2017</w:t>
      </w:r>
      <w:r>
        <w:rPr>
          <w:rFonts w:ascii="Arial" w:cs="Arial" w:eastAsia="Arial" w:hAnsi="Arial"/>
          <w:sz w:val="11"/>
          <w:szCs w:val="11"/>
          <w:b w:val="1"/>
          <w:bCs w:val="1"/>
          <w:color w:val="auto"/>
        </w:rPr>
        <w:t xml:space="preserve"> </w:t>
      </w:r>
      <w:r>
        <w:rPr>
          <w:rFonts w:ascii="Arial" w:cs="Arial" w:eastAsia="Arial" w:hAnsi="Arial"/>
          <w:sz w:val="16"/>
          <w:szCs w:val="16"/>
          <w:b w:val="1"/>
          <w:bCs w:val="1"/>
          <w:color w:val="auto"/>
        </w:rPr>
        <w:t>Issued on October 19, 2009</w:t>
      </w:r>
    </w:p>
    <w:p>
      <w:pPr>
        <w:ind w:left="560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for</w:t>
      </w:r>
    </w:p>
    <w:p>
      <w:pPr>
        <w:spacing w:after="0" w:line="9" w:lineRule="exact"/>
        <w:rPr>
          <w:rFonts w:ascii="Arial" w:cs="Arial" w:eastAsia="Arial" w:hAnsi="Arial"/>
          <w:sz w:val="17"/>
          <w:szCs w:val="17"/>
          <w:b w:val="1"/>
          <w:bCs w:val="1"/>
          <w:color w:val="auto"/>
        </w:rPr>
      </w:pPr>
    </w:p>
    <w:p>
      <w:pPr>
        <w:ind w:left="4440" w:hanging="150"/>
        <w:spacing w:after="0"/>
        <w:tabs>
          <w:tab w:leader="none" w:pos="4440" w:val="left"/>
        </w:tabs>
        <w:numPr>
          <w:ilvl w:val="0"/>
          <w:numId w:val="394"/>
        </w:numPr>
        <w:rPr>
          <w:rFonts w:ascii="Arial" w:cs="Arial" w:eastAsia="Arial" w:hAnsi="Arial"/>
          <w:sz w:val="18"/>
          <w:szCs w:val="18"/>
          <w:b w:val="1"/>
          <w:bCs w:val="1"/>
          <w:color w:val="auto"/>
        </w:rPr>
      </w:pPr>
      <w:r>
        <w:rPr>
          <w:rFonts w:ascii="Arial" w:cs="Arial" w:eastAsia="Arial" w:hAnsi="Arial"/>
          <w:sz w:val="11"/>
          <w:szCs w:val="11"/>
          <w:b w:val="1"/>
          <w:bCs w:val="1"/>
          <w:color w:val="auto"/>
        </w:rPr>
        <w:t>7</w:t>
      </w:r>
      <w:r>
        <w:rPr>
          <w:rFonts w:ascii="Arial" w:cs="Arial" w:eastAsia="Arial" w:hAnsi="Arial"/>
          <w:sz w:val="17"/>
          <w:szCs w:val="17"/>
          <w:b w:val="1"/>
          <w:bCs w:val="1"/>
          <w:color w:val="auto"/>
        </w:rPr>
        <w:t>/</w:t>
      </w:r>
      <w:r>
        <w:rPr>
          <w:rFonts w:ascii="Arial" w:cs="Arial" w:eastAsia="Arial" w:hAnsi="Arial"/>
          <w:sz w:val="13"/>
          <w:szCs w:val="13"/>
          <w:b w:val="1"/>
          <w:bCs w:val="1"/>
          <w:color w:val="auto"/>
        </w:rPr>
        <w:t>8</w:t>
      </w:r>
      <w:r>
        <w:rPr>
          <w:rFonts w:ascii="Arial" w:cs="Arial" w:eastAsia="Arial" w:hAnsi="Arial"/>
          <w:sz w:val="17"/>
          <w:szCs w:val="17"/>
          <w:b w:val="1"/>
          <w:bCs w:val="1"/>
          <w:color w:val="auto"/>
        </w:rPr>
        <w:t>% First Mortgage Notes due 2017</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That Have Been Registered Under</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Securities Act of 1933, as Amended,</w:t>
      </w:r>
    </w:p>
    <w:p>
      <w:pPr>
        <w:spacing w:after="0" w:line="78"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and</w:t>
      </w:r>
    </w:p>
    <w:p>
      <w:pPr>
        <w:spacing w:after="0" w:line="90"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$382,010,000 of their outstanding</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 xml:space="preserve">7 </w:t>
      </w:r>
      <w:r>
        <w:rPr>
          <w:rFonts w:ascii="Arial" w:cs="Arial" w:eastAsia="Arial" w:hAnsi="Arial"/>
          <w:sz w:val="11"/>
          <w:szCs w:val="11"/>
          <w:b w:val="1"/>
          <w:bCs w:val="1"/>
          <w:color w:val="auto"/>
        </w:rPr>
        <w:t>7</w:t>
      </w:r>
      <w:r>
        <w:rPr>
          <w:rFonts w:ascii="Arial" w:cs="Arial" w:eastAsia="Arial" w:hAnsi="Arial"/>
          <w:sz w:val="18"/>
          <w:szCs w:val="18"/>
          <w:b w:val="1"/>
          <w:bCs w:val="1"/>
          <w:color w:val="auto"/>
        </w:rPr>
        <w:t>/</w:t>
      </w:r>
      <w:r>
        <w:rPr>
          <w:rFonts w:ascii="Arial" w:cs="Arial" w:eastAsia="Arial" w:hAnsi="Arial"/>
          <w:sz w:val="13"/>
          <w:szCs w:val="13"/>
          <w:b w:val="1"/>
          <w:bCs w:val="1"/>
          <w:color w:val="auto"/>
        </w:rPr>
        <w:t>8</w:t>
      </w:r>
      <w:r>
        <w:rPr>
          <w:rFonts w:ascii="Arial" w:cs="Arial" w:eastAsia="Arial" w:hAnsi="Arial"/>
          <w:sz w:val="18"/>
          <w:szCs w:val="18"/>
          <w:b w:val="1"/>
          <w:bCs w:val="1"/>
          <w:color w:val="auto"/>
        </w:rPr>
        <w:t>% First Mortgage Notes due 2020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Issued on April 28, 2010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 xml:space="preserve">7 </w:t>
      </w:r>
      <w:r>
        <w:rPr>
          <w:rFonts w:ascii="Arial" w:cs="Arial" w:eastAsia="Arial" w:hAnsi="Arial"/>
          <w:sz w:val="11"/>
          <w:szCs w:val="11"/>
          <w:b w:val="1"/>
          <w:bCs w:val="1"/>
          <w:color w:val="auto"/>
        </w:rPr>
        <w:t>7</w:t>
      </w:r>
      <w:r>
        <w:rPr>
          <w:rFonts w:ascii="Arial" w:cs="Arial" w:eastAsia="Arial" w:hAnsi="Arial"/>
          <w:sz w:val="18"/>
          <w:szCs w:val="18"/>
          <w:b w:val="1"/>
          <w:bCs w:val="1"/>
          <w:color w:val="auto"/>
        </w:rPr>
        <w:t>/</w:t>
      </w:r>
      <w:r>
        <w:rPr>
          <w:rFonts w:ascii="Arial" w:cs="Arial" w:eastAsia="Arial" w:hAnsi="Arial"/>
          <w:sz w:val="13"/>
          <w:szCs w:val="13"/>
          <w:b w:val="1"/>
          <w:bCs w:val="1"/>
          <w:color w:val="auto"/>
        </w:rPr>
        <w:t>8</w:t>
      </w:r>
      <w:r>
        <w:rPr>
          <w:rFonts w:ascii="Arial" w:cs="Arial" w:eastAsia="Arial" w:hAnsi="Arial"/>
          <w:sz w:val="18"/>
          <w:szCs w:val="18"/>
          <w:b w:val="1"/>
          <w:bCs w:val="1"/>
          <w:color w:val="auto"/>
        </w:rPr>
        <w:t>% First Mortgage Notes due 2020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That Have Been Registered Under</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Securities Act of 1933, as Amended,</w:t>
      </w:r>
    </w:p>
    <w:p>
      <w:pPr>
        <w:spacing w:after="0" w:line="9"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7040" w:type="dxa"/>
            <w:vAlign w:val="bottom"/>
          </w:tcPr>
          <w:p>
            <w:pPr>
              <w:ind w:left="3760"/>
              <w:spacing w:after="0"/>
              <w:rPr>
                <w:sz w:val="20"/>
                <w:szCs w:val="20"/>
                <w:color w:val="auto"/>
              </w:rPr>
            </w:pPr>
            <w:r>
              <w:rPr>
                <w:rFonts w:ascii="Arial" w:cs="Arial" w:eastAsia="Arial" w:hAnsi="Arial"/>
                <w:sz w:val="18"/>
                <w:szCs w:val="18"/>
                <w:b w:val="1"/>
                <w:bCs w:val="1"/>
                <w:color w:val="auto"/>
              </w:rPr>
              <w:t>Pursuant to the Prospectus, dated</w:t>
            </w:r>
          </w:p>
        </w:tc>
        <w:tc>
          <w:tcPr>
            <w:tcW w:w="4420" w:type="dxa"/>
            <w:vAlign w:val="bottom"/>
          </w:tcPr>
          <w:p>
            <w:pPr>
              <w:jc w:val="right"/>
              <w:ind w:right="3712"/>
              <w:spacing w:after="0"/>
              <w:rPr>
                <w:sz w:val="20"/>
                <w:szCs w:val="20"/>
                <w:color w:val="auto"/>
              </w:rPr>
            </w:pPr>
            <w:r>
              <w:rPr>
                <w:rFonts w:ascii="Arial" w:cs="Arial" w:eastAsia="Arial" w:hAnsi="Arial"/>
                <w:sz w:val="18"/>
                <w:szCs w:val="18"/>
                <w:b w:val="1"/>
                <w:bCs w:val="1"/>
                <w:color w:val="auto"/>
              </w:rPr>
              <w:t>, 2010</w:t>
            </w:r>
          </w:p>
        </w:tc>
      </w:tr>
      <w:tr>
        <w:trPr>
          <w:trHeight w:val="189"/>
        </w:trPr>
        <w:tc>
          <w:tcPr>
            <w:tcW w:w="7040" w:type="dxa"/>
            <w:vAlign w:val="bottom"/>
            <w:tcBorders>
              <w:bottom w:val="single" w:sz="8" w:color="auto"/>
            </w:tcBorders>
          </w:tcPr>
          <w:p>
            <w:pPr>
              <w:spacing w:after="0"/>
              <w:rPr>
                <w:sz w:val="16"/>
                <w:szCs w:val="16"/>
                <w:color w:val="auto"/>
              </w:rPr>
            </w:pPr>
          </w:p>
        </w:tc>
        <w:tc>
          <w:tcPr>
            <w:tcW w:w="4420" w:type="dxa"/>
            <w:vAlign w:val="bottom"/>
            <w:tcBorders>
              <w:bottom w:val="single" w:sz="8" w:color="auto"/>
            </w:tcBorders>
          </w:tcPr>
          <w:p>
            <w:pPr>
              <w:spacing w:after="0"/>
              <w:rPr>
                <w:sz w:val="16"/>
                <w:szCs w:val="16"/>
                <w:color w:val="auto"/>
              </w:rPr>
            </w:pPr>
          </w:p>
        </w:tc>
      </w:tr>
      <w:tr>
        <w:trPr>
          <w:trHeight w:val="225"/>
        </w:trPr>
        <w:tc>
          <w:tcPr>
            <w:tcW w:w="7040" w:type="dxa"/>
            <w:vAlign w:val="bottom"/>
            <w:tcBorders>
              <w:left w:val="single" w:sz="8" w:color="auto"/>
            </w:tcBorders>
          </w:tcPr>
          <w:p>
            <w:pPr>
              <w:ind w:left="140"/>
              <w:spacing w:after="0"/>
              <w:rPr>
                <w:sz w:val="20"/>
                <w:szCs w:val="20"/>
                <w:color w:val="auto"/>
              </w:rPr>
            </w:pPr>
            <w:r>
              <w:rPr>
                <w:rFonts w:ascii="Arial" w:cs="Arial" w:eastAsia="Arial" w:hAnsi="Arial"/>
                <w:sz w:val="18"/>
                <w:szCs w:val="18"/>
                <w:b w:val="1"/>
                <w:bCs w:val="1"/>
                <w:color w:val="auto"/>
              </w:rPr>
              <w:t>THE EXCHANGE OFFER WILL EXPIRE AT 5:00 P.M. NEW YORK CITY TIME, ON</w:t>
            </w:r>
          </w:p>
        </w:tc>
        <w:tc>
          <w:tcPr>
            <w:tcW w:w="4420" w:type="dxa"/>
            <w:vAlign w:val="bottom"/>
            <w:tcBorders>
              <w:right w:val="single" w:sz="8" w:color="auto"/>
            </w:tcBorders>
          </w:tcPr>
          <w:p>
            <w:pPr>
              <w:jc w:val="right"/>
              <w:ind w:right="672"/>
              <w:spacing w:after="0"/>
              <w:rPr>
                <w:sz w:val="20"/>
                <w:szCs w:val="20"/>
                <w:color w:val="auto"/>
              </w:rPr>
            </w:pPr>
            <w:r>
              <w:rPr>
                <w:rFonts w:ascii="Arial" w:cs="Arial" w:eastAsia="Arial" w:hAnsi="Arial"/>
                <w:sz w:val="18"/>
                <w:szCs w:val="18"/>
                <w:b w:val="1"/>
                <w:bCs w:val="1"/>
                <w:color w:val="auto"/>
              </w:rPr>
              <w:t>, 2010, UNLESS EXTENDED BY THE</w:t>
            </w:r>
          </w:p>
        </w:tc>
      </w:tr>
      <w:tr>
        <w:trPr>
          <w:trHeight w:val="216"/>
        </w:trPr>
        <w:tc>
          <w:tcPr>
            <w:tcW w:w="11460" w:type="dxa"/>
            <w:vAlign w:val="bottom"/>
            <w:tcBorders>
              <w:left w:val="single" w:sz="8" w:color="auto"/>
              <w:right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ISSUERS (THE “EXPIRATION DATE”). TENDERS MAY BE WITHDRAWN PRIOR TO 5:00 P.M., NEW YORK CITY TIME, ON THE</w:t>
            </w:r>
          </w:p>
        </w:tc>
      </w:tr>
      <w:tr>
        <w:trPr>
          <w:trHeight w:val="228"/>
        </w:trPr>
        <w:tc>
          <w:tcPr>
            <w:tcW w:w="7040" w:type="dxa"/>
            <w:vAlign w:val="bottom"/>
            <w:tcBorders>
              <w:left w:val="single" w:sz="8" w:color="auto"/>
            </w:tcBorders>
          </w:tcPr>
          <w:p>
            <w:pPr>
              <w:ind w:left="140"/>
              <w:spacing w:after="0"/>
              <w:rPr>
                <w:sz w:val="20"/>
                <w:szCs w:val="20"/>
                <w:color w:val="auto"/>
              </w:rPr>
            </w:pPr>
            <w:r>
              <w:rPr>
                <w:rFonts w:ascii="Arial" w:cs="Arial" w:eastAsia="Arial" w:hAnsi="Arial"/>
                <w:sz w:val="18"/>
                <w:szCs w:val="18"/>
                <w:b w:val="1"/>
                <w:bCs w:val="1"/>
                <w:color w:val="auto"/>
              </w:rPr>
              <w:t>EXPIRATION DATE.</w:t>
            </w:r>
          </w:p>
        </w:tc>
        <w:tc>
          <w:tcPr>
            <w:tcW w:w="4420" w:type="dxa"/>
            <w:vAlign w:val="bottom"/>
            <w:tcBorders>
              <w:right w:val="single" w:sz="8" w:color="auto"/>
            </w:tcBorders>
          </w:tcPr>
          <w:p>
            <w:pPr>
              <w:spacing w:after="0"/>
              <w:rPr>
                <w:sz w:val="19"/>
                <w:szCs w:val="19"/>
                <w:color w:val="auto"/>
              </w:rPr>
            </w:pPr>
          </w:p>
        </w:tc>
      </w:tr>
      <w:tr>
        <w:trPr>
          <w:trHeight w:val="53"/>
        </w:trPr>
        <w:tc>
          <w:tcPr>
            <w:tcW w:w="7040" w:type="dxa"/>
            <w:vAlign w:val="bottom"/>
            <w:tcBorders>
              <w:left w:val="single" w:sz="8" w:color="auto"/>
              <w:bottom w:val="single" w:sz="8" w:color="auto"/>
            </w:tcBorders>
          </w:tcPr>
          <w:p>
            <w:pPr>
              <w:spacing w:after="0"/>
              <w:rPr>
                <w:sz w:val="4"/>
                <w:szCs w:val="4"/>
                <w:color w:val="auto"/>
              </w:rPr>
            </w:pPr>
          </w:p>
        </w:tc>
        <w:tc>
          <w:tcPr>
            <w:tcW w:w="4420" w:type="dxa"/>
            <w:vAlign w:val="bottom"/>
            <w:tcBorders>
              <w:bottom w:val="single" w:sz="8" w:color="auto"/>
              <w:right w:val="single" w:sz="8" w:color="auto"/>
            </w:tcBorders>
          </w:tcPr>
          <w:p>
            <w:pPr>
              <w:spacing w:after="0"/>
              <w:rPr>
                <w:sz w:val="4"/>
                <w:szCs w:val="4"/>
                <w:color w:val="auto"/>
              </w:rPr>
            </w:pPr>
          </w:p>
        </w:tc>
      </w:tr>
    </w:tbl>
    <w:p>
      <w:pPr>
        <w:spacing w:after="0" w:line="14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color w:val="auto"/>
        </w:rPr>
        <w:t xml:space="preserve">Delivery To: </w:t>
      </w:r>
      <w:r>
        <w:rPr>
          <w:rFonts w:ascii="Arial" w:cs="Arial" w:eastAsia="Arial" w:hAnsi="Arial"/>
          <w:sz w:val="18"/>
          <w:szCs w:val="18"/>
          <w:b w:val="1"/>
          <w:bCs w:val="1"/>
          <w:color w:val="auto"/>
        </w:rPr>
        <w:t>U.S. Bank National Association,</w:t>
      </w:r>
      <w:r>
        <w:rPr>
          <w:rFonts w:ascii="Arial" w:cs="Arial" w:eastAsia="Arial" w:hAnsi="Arial"/>
          <w:sz w:val="18"/>
          <w:szCs w:val="18"/>
          <w:b w:val="1"/>
          <w:bCs w:val="1"/>
          <w:i w:val="1"/>
          <w:iCs w:val="1"/>
          <w:color w:val="auto"/>
        </w:rPr>
        <w:t xml:space="preserve"> Exchange Agent</w:t>
      </w:r>
    </w:p>
    <w:p>
      <w:pPr>
        <w:spacing w:after="0" w:line="17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By Hand, Overnight Delivery or by Mail:</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60 Livingston Avenue</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St. Paul, Minnesota 55107</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Attention: Specialized Finance Dept.</w:t>
      </w:r>
    </w:p>
    <w:p>
      <w:pPr>
        <w:spacing w:after="0" w:line="16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By Facsimile Transmission:</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651-495-8158</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Confirm by Telephone:</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800-934-6802</w:t>
      </w:r>
    </w:p>
    <w:p>
      <w:pPr>
        <w:spacing w:after="0" w:line="165" w:lineRule="exact"/>
        <w:rPr>
          <w:sz w:val="20"/>
          <w:szCs w:val="20"/>
          <w:color w:val="auto"/>
        </w:rPr>
      </w:pPr>
    </w:p>
    <w:p>
      <w:pPr>
        <w:ind w:right="1400" w:firstLine="456"/>
        <w:spacing w:after="0" w:line="339" w:lineRule="auto"/>
        <w:rPr>
          <w:sz w:val="20"/>
          <w:szCs w:val="20"/>
          <w:color w:val="auto"/>
        </w:rPr>
      </w:pPr>
      <w:r>
        <w:rPr>
          <w:rFonts w:ascii="Arial" w:cs="Arial" w:eastAsia="Arial" w:hAnsi="Arial"/>
          <w:sz w:val="16"/>
          <w:szCs w:val="16"/>
          <w:b w:val="1"/>
          <w:bCs w:val="1"/>
          <w:color w:val="auto"/>
        </w:rPr>
        <w:t>DELIVERY OF THIS INSTRUMENT TO AN ADDRESS OTHER THAN AS SET FORTH ABOVE, OR TRANSMISSION OF INSTRUCTIONS VIA FACSIMILE OTHER THAN AS SET FORTH ABOVE, WILL NOT CONSTITUTE A VALID DELIVERY.</w:t>
      </w:r>
    </w:p>
    <w:p>
      <w:pPr>
        <w:spacing w:after="0" w:line="8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The undersigned acknowledges that he or she has received the Prospectus, dated , 2010 (the “Prospectus”), of Wynn Las Vegas, LLC, a Nevada limited liability company, and Wynn Las Vegas Capital Corp., a Nevada corporation (together, the “Issuers”), and this Letter of Transmittal (the “Letter”), which together constitute the Issuers’ offer (the “Exchange Offer”) to exchange an aggregate principal amount of up to $500,000,000 of the Issuers’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2017 (the “New 2017 Notes”) that have been registered under the Securities Act of 1933, as amended (the “Securities Act”), for a like principal amount of the</w:t>
      </w:r>
    </w:p>
    <w:p>
      <w:pPr>
        <w:sectPr>
          <w:pgSz w:w="11900" w:h="16838" w:orient="portrait"/>
          <w:cols w:equalWidth="0" w:num="1">
            <w:col w:w="11460"/>
          </w:cols>
          <w:pgMar w:left="240" w:top="125" w:right="199" w:bottom="1440" w:gutter="0" w:footer="0" w:header="0"/>
        </w:sectPr>
      </w:pPr>
    </w:p>
    <w:bookmarkStart w:id="345" w:name="page346"/>
    <w:bookmarkEnd w:id="345"/>
    <w:p>
      <w:pPr>
        <w:ind w:right="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Issuers’ issued and outstanding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due 2017 issued on October 19, 2009 (the “Old 2017 Notes”) from the registered holders thereof (the “Old 2017 Note Holders”), and to exchange an aggregate principal amount of up to $382,010,000 of the Issuers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due 2020 (the “New 2020 Notes,” and together with the New 2017 Notes, the “New Notes”) that have been registered under the Securities Act for a like principal amount of the Issuers’ issued and outstanding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due 2020 issued on April 28, 2010 (the “Old 2020 Notes,” and together with the Old 2017 Notes, the “Old Notes”) from the registered holders thereof (the “Old 2020 Note Holders,” and together with the Old 2017 Note Holders, the “Holders”).</w:t>
      </w:r>
    </w:p>
    <w:p>
      <w:pPr>
        <w:spacing w:after="0" w:line="11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For each $2,000 aggregate principal amount and integral multiples of $1,000 in excess of $2,000 of Old 2017 Notes properly tendered and not withdrawn prior to the Expiration Date, the Holder will receive $2,000 principal amount and integral multiples of $1,000 in excess of $2,000 of New 2017 Notes. For each $2,000 aggregate principal amount and integral multiples of $1,000 in excess of $2,000 of Old 2020 Notes properly tendered and not withdrawn prior to the Expiration Date, the Holder will receive $2,000 principal amount and integral multiples of $1,000 in excess of $2,000 of New 2020 Notes.</w:t>
      </w:r>
    </w:p>
    <w:p>
      <w:pPr>
        <w:spacing w:after="0" w:line="11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applicable series of New Notes will bear interest from the most recent date to which interest has been paid on the applicable series of Old Notes. Accordingly, registered Holders of New Notes on the relevant record date for the first interest payment date following the consummation of the Exchange Offer will receive interest accruing from the most recent date to which interest has been paid. Old Notes accepted for exchange will cease to accrue interest from and after the date of consummation of the Exchange Offer. Holders of Old Notes whose Old Notes are accepted for exchange will not receive any payment in respect of accrued interest on such Old Notes otherwise payable on any interest payment date the record date for which occurs on or after consummation of the Exchange Offer.</w:t>
      </w:r>
    </w:p>
    <w:p>
      <w:pPr>
        <w:spacing w:after="0" w:line="14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This Letter is to be completed by a holder of Old Notes either if certificates are to be forwarded herewith or if a tender of Old Notes is to be made by book-entry transfer to the account maintained by the Exchange Agent at The Depository Trust Company (the “Book-Entry Transfer Facility”) pursuant to the procedures set forth in “The Exchange Offer—Book-Entry Transfers” section of the Prospectus and an Agent’s Message is not delivered. Tenders by book-entry transfer may also be made by delivering an Agent’s Message in lieu of this Letter. The term “Agent’s Message” means a message, transmitted by the Book-Entry Transfer Facility to, and received by, the Exchange Agent and forming a part of a Book-Entry Confirmation (as defined below), which states that the Book-Entry Transfer Facility has received an express acknowledgment from the tendering participant, which acknowledgment states that such participant has received and agrees to be bound by this Letter and that the Issuers may enforce this Letter against such participant. Holders of Old Notes whose certificates are not immediately available, or who are unable to deliver their certificates or confirmation of the book-entry tender of their Old Notes into the Exchange Agent’s account at the Book-Entry Transfer Facility (a “Book-Entry Confirmation”) and all other documents required by this Letter to the Exchange Agent prior to the Expiration Date, must tender their Old Notes according to the guaranteed delivery procedures set forth in “The Exchange Offer—Guaranteed Delivery Procedures” section of the Prospectus. See Instruction 1.</w:t>
      </w:r>
    </w:p>
    <w:p>
      <w:pPr>
        <w:spacing w:after="0" w:line="202" w:lineRule="exact"/>
        <w:rPr>
          <w:sz w:val="20"/>
          <w:szCs w:val="20"/>
          <w:color w:val="auto"/>
        </w:rPr>
      </w:pPr>
    </w:p>
    <w:p>
      <w:pPr>
        <w:ind w:right="880" w:firstLine="456"/>
        <w:spacing w:after="0" w:line="275" w:lineRule="auto"/>
        <w:rPr>
          <w:sz w:val="20"/>
          <w:szCs w:val="20"/>
          <w:color w:val="auto"/>
        </w:rPr>
      </w:pPr>
      <w:r>
        <w:rPr>
          <w:rFonts w:ascii="Arial" w:cs="Arial" w:eastAsia="Arial" w:hAnsi="Arial"/>
          <w:sz w:val="18"/>
          <w:szCs w:val="18"/>
          <w:b w:val="1"/>
          <w:bCs w:val="1"/>
          <w:color w:val="auto"/>
        </w:rPr>
        <w:t>DELIVERY OF DOCUMENTS TO THE BOOK-ENTRY TRANSFER FACILITY DOES NOT CONSTITUTE DELIVERY TO THE EXCHANGE AGENT.</w:t>
      </w:r>
    </w:p>
    <w:p>
      <w:pPr>
        <w:spacing w:after="0" w:line="4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undersigned has completed the appropriate boxes below and signed this Letter to indicate the action the undersigned desires to take with respect to the Exchange Offer.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346" w:name="page347"/>
    <w:bookmarkEnd w:id="346"/>
    <w:p>
      <w:pPr>
        <w:ind w:right="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List below the Old Notes to which this Letter relates. If the space provided below is inadequate, the certificate numbers, if applicable, and principal amount of Old Notes should be listed on a separate signed schedule affixed hereto.</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240" w:type="dxa"/>
            <w:vAlign w:val="bottom"/>
            <w:tcBorders>
              <w:bottom w:val="single" w:sz="8" w:color="auto"/>
            </w:tcBorders>
          </w:tcPr>
          <w:p>
            <w:pPr>
              <w:jc w:val="center"/>
              <w:ind w:left="806"/>
              <w:spacing w:after="0"/>
              <w:rPr>
                <w:sz w:val="20"/>
                <w:szCs w:val="20"/>
                <w:color w:val="auto"/>
              </w:rPr>
            </w:pPr>
            <w:r>
              <w:rPr>
                <w:rFonts w:ascii="Arial" w:cs="Arial" w:eastAsia="Arial" w:hAnsi="Arial"/>
                <w:sz w:val="18"/>
                <w:szCs w:val="18"/>
                <w:b w:val="1"/>
                <w:bCs w:val="1"/>
                <w:color w:val="auto"/>
                <w:w w:val="96"/>
              </w:rPr>
              <w:t>DESCRIPTION OF OLD 2017 NOTES</w:t>
            </w:r>
          </w:p>
        </w:tc>
        <w:tc>
          <w:tcPr>
            <w:tcW w:w="2220" w:type="dxa"/>
            <w:vAlign w:val="bottom"/>
            <w:tcBorders>
              <w:bottom w:val="single" w:sz="8" w:color="auto"/>
            </w:tcBorders>
          </w:tcPr>
          <w:p>
            <w:pPr>
              <w:jc w:val="center"/>
              <w:ind w:left="806"/>
              <w:spacing w:after="0"/>
              <w:rPr>
                <w:sz w:val="20"/>
                <w:szCs w:val="20"/>
                <w:color w:val="auto"/>
              </w:rPr>
            </w:pPr>
            <w:r>
              <w:rPr>
                <w:rFonts w:ascii="Arial" w:cs="Arial" w:eastAsia="Arial" w:hAnsi="Arial"/>
                <w:sz w:val="18"/>
                <w:szCs w:val="18"/>
                <w:b w:val="1"/>
                <w:bCs w:val="1"/>
                <w:color w:val="auto"/>
                <w:w w:val="99"/>
              </w:rPr>
              <w:t>1</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2</w:t>
            </w:r>
          </w:p>
        </w:tc>
        <w:tc>
          <w:tcPr>
            <w:tcW w:w="1380" w:type="dxa"/>
            <w:vAlign w:val="bottom"/>
            <w:tcBorders>
              <w:bottom w:val="single" w:sz="8" w:color="auto"/>
            </w:tcBorders>
          </w:tcPr>
          <w:p>
            <w:pPr>
              <w:jc w:val="center"/>
              <w:ind w:right="27"/>
              <w:spacing w:after="0"/>
              <w:rPr>
                <w:sz w:val="20"/>
                <w:szCs w:val="20"/>
                <w:color w:val="auto"/>
              </w:rPr>
            </w:pPr>
            <w:r>
              <w:rPr>
                <w:rFonts w:ascii="Arial" w:cs="Arial" w:eastAsia="Arial" w:hAnsi="Arial"/>
                <w:sz w:val="18"/>
                <w:szCs w:val="18"/>
                <w:b w:val="1"/>
                <w:bCs w:val="1"/>
                <w:color w:val="auto"/>
                <w:w w:val="79"/>
              </w:rPr>
              <w:t>3</w:t>
            </w:r>
          </w:p>
        </w:tc>
      </w:tr>
      <w:tr>
        <w:trPr>
          <w:trHeight w:val="130"/>
        </w:trPr>
        <w:tc>
          <w:tcPr>
            <w:tcW w:w="624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58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86"/>
              </w:rPr>
              <w:t>Aggregate</w:t>
            </w:r>
          </w:p>
        </w:tc>
        <w:tc>
          <w:tcPr>
            <w:tcW w:w="1380" w:type="dxa"/>
            <w:vAlign w:val="bottom"/>
          </w:tcPr>
          <w:p>
            <w:pPr>
              <w:spacing w:after="0"/>
              <w:rPr>
                <w:sz w:val="11"/>
                <w:szCs w:val="11"/>
                <w:color w:val="auto"/>
              </w:rPr>
            </w:pPr>
          </w:p>
        </w:tc>
      </w:tr>
      <w:tr>
        <w:trPr>
          <w:trHeight w:val="149"/>
        </w:trPr>
        <w:tc>
          <w:tcPr>
            <w:tcW w:w="6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Principal</w:t>
            </w:r>
          </w:p>
        </w:tc>
        <w:tc>
          <w:tcPr>
            <w:tcW w:w="1380" w:type="dxa"/>
            <w:vAlign w:val="bottom"/>
          </w:tcPr>
          <w:p>
            <w:pPr>
              <w:jc w:val="center"/>
              <w:ind w:right="27"/>
              <w:spacing w:after="0" w:line="149" w:lineRule="exact"/>
              <w:rPr>
                <w:sz w:val="20"/>
                <w:szCs w:val="20"/>
                <w:color w:val="auto"/>
              </w:rPr>
            </w:pPr>
            <w:r>
              <w:rPr>
                <w:rFonts w:ascii="Arial" w:cs="Arial" w:eastAsia="Arial" w:hAnsi="Arial"/>
                <w:sz w:val="14"/>
                <w:szCs w:val="14"/>
                <w:b w:val="1"/>
                <w:bCs w:val="1"/>
                <w:color w:val="auto"/>
                <w:w w:val="87"/>
              </w:rPr>
              <w:t>Principal</w:t>
            </w:r>
          </w:p>
        </w:tc>
      </w:tr>
      <w:tr>
        <w:trPr>
          <w:trHeight w:val="149"/>
        </w:trPr>
        <w:tc>
          <w:tcPr>
            <w:tcW w:w="6240" w:type="dxa"/>
            <w:vAlign w:val="bottom"/>
          </w:tcPr>
          <w:p>
            <w:pPr>
              <w:jc w:val="center"/>
              <w:ind w:left="806"/>
              <w:spacing w:after="0" w:line="149" w:lineRule="exact"/>
              <w:rPr>
                <w:sz w:val="20"/>
                <w:szCs w:val="20"/>
                <w:color w:val="auto"/>
              </w:rPr>
            </w:pPr>
            <w:r>
              <w:rPr>
                <w:rFonts w:ascii="Arial" w:cs="Arial" w:eastAsia="Arial" w:hAnsi="Arial"/>
                <w:sz w:val="14"/>
                <w:szCs w:val="14"/>
                <w:b w:val="1"/>
                <w:bCs w:val="1"/>
                <w:color w:val="auto"/>
                <w:w w:val="85"/>
              </w:rPr>
              <w:t>Name(s) and Address(es) of Registered Holder(s)</w:t>
            </w:r>
          </w:p>
        </w:tc>
        <w:tc>
          <w:tcPr>
            <w:tcW w:w="2220" w:type="dxa"/>
            <w:vAlign w:val="bottom"/>
          </w:tcPr>
          <w:p>
            <w:pPr>
              <w:jc w:val="center"/>
              <w:ind w:left="806"/>
              <w:spacing w:after="0" w:line="149" w:lineRule="exact"/>
              <w:rPr>
                <w:sz w:val="20"/>
                <w:szCs w:val="20"/>
                <w:color w:val="auto"/>
              </w:rPr>
            </w:pPr>
            <w:r>
              <w:rPr>
                <w:rFonts w:ascii="Arial" w:cs="Arial" w:eastAsia="Arial" w:hAnsi="Arial"/>
                <w:sz w:val="14"/>
                <w:szCs w:val="14"/>
                <w:b w:val="1"/>
                <w:bCs w:val="1"/>
                <w:color w:val="auto"/>
                <w:w w:val="90"/>
              </w:rPr>
              <w:t>Certificate</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1380" w:type="dxa"/>
            <w:vAlign w:val="bottom"/>
          </w:tcPr>
          <w:p>
            <w:pPr>
              <w:jc w:val="center"/>
              <w:ind w:right="27"/>
              <w:spacing w:after="0" w:line="149" w:lineRule="exact"/>
              <w:rPr>
                <w:sz w:val="20"/>
                <w:szCs w:val="20"/>
                <w:color w:val="auto"/>
              </w:rPr>
            </w:pPr>
            <w:r>
              <w:rPr>
                <w:rFonts w:ascii="Arial" w:cs="Arial" w:eastAsia="Arial" w:hAnsi="Arial"/>
                <w:sz w:val="14"/>
                <w:szCs w:val="14"/>
                <w:b w:val="1"/>
                <w:bCs w:val="1"/>
                <w:color w:val="auto"/>
                <w:w w:val="90"/>
              </w:rPr>
              <w:t>Amount</w:t>
            </w:r>
          </w:p>
        </w:tc>
      </w:tr>
      <w:tr>
        <w:trPr>
          <w:trHeight w:val="174"/>
        </w:trPr>
        <w:tc>
          <w:tcPr>
            <w:tcW w:w="6240" w:type="dxa"/>
            <w:vAlign w:val="bottom"/>
          </w:tcPr>
          <w:p>
            <w:pPr>
              <w:jc w:val="center"/>
              <w:ind w:left="786"/>
              <w:spacing w:after="0"/>
              <w:rPr>
                <w:sz w:val="20"/>
                <w:szCs w:val="20"/>
                <w:color w:val="auto"/>
              </w:rPr>
            </w:pPr>
            <w:r>
              <w:rPr>
                <w:rFonts w:ascii="Arial" w:cs="Arial" w:eastAsia="Arial" w:hAnsi="Arial"/>
                <w:sz w:val="14"/>
                <w:szCs w:val="14"/>
                <w:b w:val="1"/>
                <w:bCs w:val="1"/>
                <w:color w:val="auto"/>
                <w:w w:val="88"/>
              </w:rPr>
              <w:t>(Please fill in, if blank)</w:t>
            </w:r>
          </w:p>
        </w:tc>
        <w:tc>
          <w:tcPr>
            <w:tcW w:w="2220" w:type="dxa"/>
            <w:vAlign w:val="bottom"/>
          </w:tcPr>
          <w:p>
            <w:pPr>
              <w:jc w:val="center"/>
              <w:ind w:left="806"/>
              <w:spacing w:after="0"/>
              <w:rPr>
                <w:sz w:val="20"/>
                <w:szCs w:val="20"/>
                <w:color w:val="auto"/>
              </w:rPr>
            </w:pPr>
            <w:r>
              <w:rPr>
                <w:rFonts w:ascii="Arial" w:cs="Arial" w:eastAsia="Arial" w:hAnsi="Arial"/>
                <w:sz w:val="14"/>
                <w:szCs w:val="14"/>
                <w:b w:val="1"/>
                <w:bCs w:val="1"/>
                <w:color w:val="auto"/>
                <w:w w:val="92"/>
              </w:rPr>
              <w:t>Number(s)*</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6"/>
              </w:rPr>
              <w:t>Old 2017 Note(s)</w:t>
            </w:r>
          </w:p>
        </w:tc>
        <w:tc>
          <w:tcPr>
            <w:tcW w:w="1380" w:type="dxa"/>
            <w:vAlign w:val="bottom"/>
          </w:tcPr>
          <w:p>
            <w:pPr>
              <w:jc w:val="center"/>
              <w:ind w:right="27"/>
              <w:spacing w:after="0"/>
              <w:rPr>
                <w:sz w:val="20"/>
                <w:szCs w:val="20"/>
                <w:color w:val="auto"/>
              </w:rPr>
            </w:pPr>
            <w:r>
              <w:rPr>
                <w:rFonts w:ascii="Arial" w:cs="Arial" w:eastAsia="Arial" w:hAnsi="Arial"/>
                <w:sz w:val="14"/>
                <w:szCs w:val="14"/>
                <w:b w:val="1"/>
                <w:bCs w:val="1"/>
                <w:color w:val="auto"/>
                <w:w w:val="91"/>
              </w:rPr>
              <w:t>Tendered**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-539115</wp:posOffset>
            </wp:positionV>
            <wp:extent cx="7250430" cy="157162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250430" cy="157162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7100"/>
        <w:spacing w:after="0"/>
        <w:rPr>
          <w:sz w:val="20"/>
          <w:szCs w:val="20"/>
          <w:color w:val="auto"/>
        </w:rPr>
      </w:pPr>
      <w:r>
        <w:rPr>
          <w:rFonts w:ascii="Arial" w:cs="Arial" w:eastAsia="Arial" w:hAnsi="Arial"/>
          <w:sz w:val="18"/>
          <w:szCs w:val="18"/>
          <w:b w:val="1"/>
          <w:bCs w:val="1"/>
          <w:color w:val="auto"/>
        </w:rPr>
        <w:t>Total</w:t>
      </w:r>
    </w:p>
    <w:p>
      <w:pPr>
        <w:spacing w:after="0" w:line="29" w:lineRule="exact"/>
        <w:rPr>
          <w:sz w:val="20"/>
          <w:szCs w:val="20"/>
          <w:color w:val="auto"/>
        </w:rPr>
      </w:pPr>
    </w:p>
    <w:p>
      <w:pPr>
        <w:ind w:left="520" w:hanging="390"/>
        <w:spacing w:after="0"/>
        <w:tabs>
          <w:tab w:leader="none" w:pos="52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Need not be completed if Old 2017 Notes are being tendered by book-entry transfer.</w:t>
      </w:r>
    </w:p>
    <w:p>
      <w:pPr>
        <w:spacing w:after="0" w:line="15" w:lineRule="exact"/>
        <w:rPr>
          <w:sz w:val="20"/>
          <w:szCs w:val="20"/>
          <w:color w:val="auto"/>
        </w:rPr>
      </w:pPr>
    </w:p>
    <w:p>
      <w:pPr>
        <w:ind w:left="560" w:right="500" w:hanging="430"/>
        <w:spacing w:after="0" w:line="255" w:lineRule="auto"/>
        <w:tabs>
          <w:tab w:leader="none" w:pos="523" w:val="left"/>
        </w:tabs>
        <w:numPr>
          <w:ilvl w:val="0"/>
          <w:numId w:val="396"/>
        </w:numPr>
        <w:rPr>
          <w:rFonts w:ascii="Arial" w:cs="Arial" w:eastAsia="Arial" w:hAnsi="Arial"/>
          <w:sz w:val="18"/>
          <w:szCs w:val="18"/>
          <w:color w:val="auto"/>
        </w:rPr>
      </w:pPr>
      <w:r>
        <w:rPr>
          <w:rFonts w:ascii="Arial" w:cs="Arial" w:eastAsia="Arial" w:hAnsi="Arial"/>
          <w:sz w:val="18"/>
          <w:szCs w:val="18"/>
          <w:color w:val="auto"/>
        </w:rPr>
        <w:t>Unless otherwise indicated in this column, a holder will be deemed to have tendered ALL of the Old 2017 Notes represented by the Old 2017 Notes indicated in column 2. See Instruction 2. Old 2017 Notes tendered hereby must be in denominations of principal amount of $2,000 and integral multiples of $1,000 in excess of $2,000. See Instruction 1.</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240" w:type="dxa"/>
            <w:vAlign w:val="bottom"/>
            <w:tcBorders>
              <w:bottom w:val="single" w:sz="8" w:color="auto"/>
            </w:tcBorders>
          </w:tcPr>
          <w:p>
            <w:pPr>
              <w:jc w:val="center"/>
              <w:ind w:left="806"/>
              <w:spacing w:after="0"/>
              <w:rPr>
                <w:sz w:val="20"/>
                <w:szCs w:val="20"/>
                <w:color w:val="auto"/>
              </w:rPr>
            </w:pPr>
            <w:r>
              <w:rPr>
                <w:rFonts w:ascii="Arial" w:cs="Arial" w:eastAsia="Arial" w:hAnsi="Arial"/>
                <w:sz w:val="18"/>
                <w:szCs w:val="18"/>
                <w:b w:val="1"/>
                <w:bCs w:val="1"/>
                <w:color w:val="auto"/>
                <w:w w:val="96"/>
              </w:rPr>
              <w:t>DESCRIPTION OF OLD 2020 NOTES</w:t>
            </w:r>
          </w:p>
        </w:tc>
        <w:tc>
          <w:tcPr>
            <w:tcW w:w="2220" w:type="dxa"/>
            <w:vAlign w:val="bottom"/>
            <w:tcBorders>
              <w:bottom w:val="single" w:sz="8" w:color="auto"/>
            </w:tcBorders>
          </w:tcPr>
          <w:p>
            <w:pPr>
              <w:jc w:val="center"/>
              <w:ind w:left="806"/>
              <w:spacing w:after="0"/>
              <w:rPr>
                <w:sz w:val="20"/>
                <w:szCs w:val="20"/>
                <w:color w:val="auto"/>
              </w:rPr>
            </w:pPr>
            <w:r>
              <w:rPr>
                <w:rFonts w:ascii="Arial" w:cs="Arial" w:eastAsia="Arial" w:hAnsi="Arial"/>
                <w:sz w:val="18"/>
                <w:szCs w:val="18"/>
                <w:b w:val="1"/>
                <w:bCs w:val="1"/>
                <w:color w:val="auto"/>
                <w:w w:val="99"/>
              </w:rPr>
              <w:t>1</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2</w:t>
            </w:r>
          </w:p>
        </w:tc>
        <w:tc>
          <w:tcPr>
            <w:tcW w:w="1380" w:type="dxa"/>
            <w:vAlign w:val="bottom"/>
            <w:tcBorders>
              <w:bottom w:val="single" w:sz="8" w:color="auto"/>
            </w:tcBorders>
          </w:tcPr>
          <w:p>
            <w:pPr>
              <w:jc w:val="center"/>
              <w:ind w:right="27"/>
              <w:spacing w:after="0"/>
              <w:rPr>
                <w:sz w:val="20"/>
                <w:szCs w:val="20"/>
                <w:color w:val="auto"/>
              </w:rPr>
            </w:pPr>
            <w:r>
              <w:rPr>
                <w:rFonts w:ascii="Arial" w:cs="Arial" w:eastAsia="Arial" w:hAnsi="Arial"/>
                <w:sz w:val="18"/>
                <w:szCs w:val="18"/>
                <w:b w:val="1"/>
                <w:bCs w:val="1"/>
                <w:color w:val="auto"/>
                <w:w w:val="79"/>
              </w:rPr>
              <w:t>3</w:t>
            </w:r>
          </w:p>
        </w:tc>
      </w:tr>
      <w:tr>
        <w:trPr>
          <w:trHeight w:val="130"/>
        </w:trPr>
        <w:tc>
          <w:tcPr>
            <w:tcW w:w="624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58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86"/>
              </w:rPr>
              <w:t>Aggregate</w:t>
            </w:r>
          </w:p>
        </w:tc>
        <w:tc>
          <w:tcPr>
            <w:tcW w:w="1380" w:type="dxa"/>
            <w:vAlign w:val="bottom"/>
          </w:tcPr>
          <w:p>
            <w:pPr>
              <w:spacing w:after="0"/>
              <w:rPr>
                <w:sz w:val="11"/>
                <w:szCs w:val="11"/>
                <w:color w:val="auto"/>
              </w:rPr>
            </w:pPr>
          </w:p>
        </w:tc>
      </w:tr>
      <w:tr>
        <w:trPr>
          <w:trHeight w:val="149"/>
        </w:trPr>
        <w:tc>
          <w:tcPr>
            <w:tcW w:w="6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Principal</w:t>
            </w:r>
          </w:p>
        </w:tc>
        <w:tc>
          <w:tcPr>
            <w:tcW w:w="1380" w:type="dxa"/>
            <w:vAlign w:val="bottom"/>
          </w:tcPr>
          <w:p>
            <w:pPr>
              <w:jc w:val="center"/>
              <w:ind w:right="27"/>
              <w:spacing w:after="0" w:line="149" w:lineRule="exact"/>
              <w:rPr>
                <w:sz w:val="20"/>
                <w:szCs w:val="20"/>
                <w:color w:val="auto"/>
              </w:rPr>
            </w:pPr>
            <w:r>
              <w:rPr>
                <w:rFonts w:ascii="Arial" w:cs="Arial" w:eastAsia="Arial" w:hAnsi="Arial"/>
                <w:sz w:val="14"/>
                <w:szCs w:val="14"/>
                <w:b w:val="1"/>
                <w:bCs w:val="1"/>
                <w:color w:val="auto"/>
                <w:w w:val="87"/>
              </w:rPr>
              <w:t>Principal</w:t>
            </w:r>
          </w:p>
        </w:tc>
      </w:tr>
      <w:tr>
        <w:trPr>
          <w:trHeight w:val="149"/>
        </w:trPr>
        <w:tc>
          <w:tcPr>
            <w:tcW w:w="6240" w:type="dxa"/>
            <w:vAlign w:val="bottom"/>
          </w:tcPr>
          <w:p>
            <w:pPr>
              <w:jc w:val="center"/>
              <w:ind w:left="806"/>
              <w:spacing w:after="0" w:line="149" w:lineRule="exact"/>
              <w:rPr>
                <w:sz w:val="20"/>
                <w:szCs w:val="20"/>
                <w:color w:val="auto"/>
              </w:rPr>
            </w:pPr>
            <w:r>
              <w:rPr>
                <w:rFonts w:ascii="Arial" w:cs="Arial" w:eastAsia="Arial" w:hAnsi="Arial"/>
                <w:sz w:val="14"/>
                <w:szCs w:val="14"/>
                <w:b w:val="1"/>
                <w:bCs w:val="1"/>
                <w:color w:val="auto"/>
                <w:w w:val="85"/>
              </w:rPr>
              <w:t>Name(s) and Address(es) of Registered Holder(s)</w:t>
            </w:r>
          </w:p>
        </w:tc>
        <w:tc>
          <w:tcPr>
            <w:tcW w:w="2220" w:type="dxa"/>
            <w:vAlign w:val="bottom"/>
          </w:tcPr>
          <w:p>
            <w:pPr>
              <w:jc w:val="center"/>
              <w:ind w:left="806"/>
              <w:spacing w:after="0" w:line="149" w:lineRule="exact"/>
              <w:rPr>
                <w:sz w:val="20"/>
                <w:szCs w:val="20"/>
                <w:color w:val="auto"/>
              </w:rPr>
            </w:pPr>
            <w:r>
              <w:rPr>
                <w:rFonts w:ascii="Arial" w:cs="Arial" w:eastAsia="Arial" w:hAnsi="Arial"/>
                <w:sz w:val="14"/>
                <w:szCs w:val="14"/>
                <w:b w:val="1"/>
                <w:bCs w:val="1"/>
                <w:color w:val="auto"/>
                <w:w w:val="90"/>
              </w:rPr>
              <w:t>Certificate</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1380" w:type="dxa"/>
            <w:vAlign w:val="bottom"/>
          </w:tcPr>
          <w:p>
            <w:pPr>
              <w:jc w:val="center"/>
              <w:ind w:right="27"/>
              <w:spacing w:after="0" w:line="149" w:lineRule="exact"/>
              <w:rPr>
                <w:sz w:val="20"/>
                <w:szCs w:val="20"/>
                <w:color w:val="auto"/>
              </w:rPr>
            </w:pPr>
            <w:r>
              <w:rPr>
                <w:rFonts w:ascii="Arial" w:cs="Arial" w:eastAsia="Arial" w:hAnsi="Arial"/>
                <w:sz w:val="14"/>
                <w:szCs w:val="14"/>
                <w:b w:val="1"/>
                <w:bCs w:val="1"/>
                <w:color w:val="auto"/>
                <w:w w:val="90"/>
              </w:rPr>
              <w:t>Amount</w:t>
            </w:r>
          </w:p>
        </w:tc>
      </w:tr>
      <w:tr>
        <w:trPr>
          <w:trHeight w:val="174"/>
        </w:trPr>
        <w:tc>
          <w:tcPr>
            <w:tcW w:w="6240" w:type="dxa"/>
            <w:vAlign w:val="bottom"/>
          </w:tcPr>
          <w:p>
            <w:pPr>
              <w:jc w:val="center"/>
              <w:ind w:left="786"/>
              <w:spacing w:after="0"/>
              <w:rPr>
                <w:sz w:val="20"/>
                <w:szCs w:val="20"/>
                <w:color w:val="auto"/>
              </w:rPr>
            </w:pPr>
            <w:r>
              <w:rPr>
                <w:rFonts w:ascii="Arial" w:cs="Arial" w:eastAsia="Arial" w:hAnsi="Arial"/>
                <w:sz w:val="14"/>
                <w:szCs w:val="14"/>
                <w:b w:val="1"/>
                <w:bCs w:val="1"/>
                <w:color w:val="auto"/>
                <w:w w:val="88"/>
              </w:rPr>
              <w:t>(Please fill in, if blank)</w:t>
            </w:r>
          </w:p>
        </w:tc>
        <w:tc>
          <w:tcPr>
            <w:tcW w:w="2220" w:type="dxa"/>
            <w:vAlign w:val="bottom"/>
          </w:tcPr>
          <w:p>
            <w:pPr>
              <w:jc w:val="center"/>
              <w:ind w:left="806"/>
              <w:spacing w:after="0"/>
              <w:rPr>
                <w:sz w:val="20"/>
                <w:szCs w:val="20"/>
                <w:color w:val="auto"/>
              </w:rPr>
            </w:pPr>
            <w:r>
              <w:rPr>
                <w:rFonts w:ascii="Arial" w:cs="Arial" w:eastAsia="Arial" w:hAnsi="Arial"/>
                <w:sz w:val="14"/>
                <w:szCs w:val="14"/>
                <w:b w:val="1"/>
                <w:bCs w:val="1"/>
                <w:color w:val="auto"/>
                <w:w w:val="92"/>
              </w:rPr>
              <w:t>Number(s)*</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6"/>
              </w:rPr>
              <w:t>Old 2020 Note(s)</w:t>
            </w:r>
          </w:p>
        </w:tc>
        <w:tc>
          <w:tcPr>
            <w:tcW w:w="1380" w:type="dxa"/>
            <w:vAlign w:val="bottom"/>
          </w:tcPr>
          <w:p>
            <w:pPr>
              <w:jc w:val="center"/>
              <w:ind w:right="27"/>
              <w:spacing w:after="0"/>
              <w:rPr>
                <w:sz w:val="20"/>
                <w:szCs w:val="20"/>
                <w:color w:val="auto"/>
              </w:rPr>
            </w:pPr>
            <w:r>
              <w:rPr>
                <w:rFonts w:ascii="Arial" w:cs="Arial" w:eastAsia="Arial" w:hAnsi="Arial"/>
                <w:sz w:val="14"/>
                <w:szCs w:val="14"/>
                <w:b w:val="1"/>
                <w:bCs w:val="1"/>
                <w:color w:val="auto"/>
                <w:w w:val="91"/>
              </w:rPr>
              <w:t>Tendered**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-539115</wp:posOffset>
            </wp:positionV>
            <wp:extent cx="7250430" cy="157162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250430" cy="157162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7100"/>
        <w:spacing w:after="0"/>
        <w:rPr>
          <w:sz w:val="20"/>
          <w:szCs w:val="20"/>
          <w:color w:val="auto"/>
        </w:rPr>
      </w:pPr>
      <w:r>
        <w:rPr>
          <w:rFonts w:ascii="Arial" w:cs="Arial" w:eastAsia="Arial" w:hAnsi="Arial"/>
          <w:sz w:val="18"/>
          <w:szCs w:val="18"/>
          <w:b w:val="1"/>
          <w:bCs w:val="1"/>
          <w:color w:val="auto"/>
        </w:rPr>
        <w:t>Total</w:t>
      </w:r>
    </w:p>
    <w:p>
      <w:pPr>
        <w:spacing w:after="0" w:line="29" w:lineRule="exact"/>
        <w:rPr>
          <w:sz w:val="20"/>
          <w:szCs w:val="20"/>
          <w:color w:val="auto"/>
        </w:rPr>
      </w:pPr>
    </w:p>
    <w:p>
      <w:pPr>
        <w:ind w:left="520" w:hanging="390"/>
        <w:spacing w:after="0"/>
        <w:tabs>
          <w:tab w:leader="none" w:pos="52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Need not be completed if Old 2020 Notes are being tendered by book-entry transfer.</w:t>
      </w:r>
    </w:p>
    <w:p>
      <w:pPr>
        <w:spacing w:after="0" w:line="15" w:lineRule="exact"/>
        <w:rPr>
          <w:sz w:val="20"/>
          <w:szCs w:val="20"/>
          <w:color w:val="auto"/>
        </w:rPr>
      </w:pPr>
    </w:p>
    <w:p>
      <w:pPr>
        <w:ind w:left="560" w:right="500" w:hanging="430"/>
        <w:spacing w:after="0" w:line="255" w:lineRule="auto"/>
        <w:tabs>
          <w:tab w:leader="none" w:pos="523" w:val="left"/>
        </w:tabs>
        <w:numPr>
          <w:ilvl w:val="0"/>
          <w:numId w:val="398"/>
        </w:numPr>
        <w:rPr>
          <w:rFonts w:ascii="Arial" w:cs="Arial" w:eastAsia="Arial" w:hAnsi="Arial"/>
          <w:sz w:val="18"/>
          <w:szCs w:val="18"/>
          <w:color w:val="auto"/>
        </w:rPr>
      </w:pPr>
      <w:r>
        <w:rPr>
          <w:rFonts w:ascii="Arial" w:cs="Arial" w:eastAsia="Arial" w:hAnsi="Arial"/>
          <w:sz w:val="18"/>
          <w:szCs w:val="18"/>
          <w:color w:val="auto"/>
        </w:rPr>
        <w:t>Unless otherwise indicated in this column, a holder will be deemed to have tendered ALL of the Old 2020 Notes represented by the Old 2020 Notes indicated in column 2. See Instruction 2. Old 2020 Notes tendered hereby must be in denominations of principal amount of $2,000 and integral multiples of $1,000 in excess of $2,000. See Instruction 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347" w:name="page348"/>
    <w:bookmarkEnd w:id="347"/>
    <w:p>
      <w:pPr>
        <w:ind w:left="460" w:right="180" w:hanging="452"/>
        <w:spacing w:after="0" w:line="339" w:lineRule="auto"/>
        <w:tabs>
          <w:tab w:leader="none" w:pos="460" w:val="left"/>
        </w:tabs>
        <w:numPr>
          <w:ilvl w:val="0"/>
          <w:numId w:val="399"/>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CHECK HERE IF TENDERED OLD NOTES ARE BEING DELIVERED BY BOOK-ENTRY TRANSFER MADE TO THE ACCOUNT MAINTAINED BY THE EXCHANGE AGENT WITH THE BOOK-ENTRY TRANSFER FACILITY AND COMPLETE THE FOLLOWING:</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of Tendering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1673860</wp:posOffset>
            </wp:positionH>
            <wp:positionV relativeFrom="paragraph">
              <wp:posOffset>-13970</wp:posOffset>
            </wp:positionV>
            <wp:extent cx="420878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4208780" cy="8890"/>
                    </a:xfrm>
                    <a:prstGeom prst="rect">
                      <a:avLst/>
                    </a:prstGeom>
                    <a:noFill/>
                  </pic:spPr>
                </pic:pic>
              </a:graphicData>
            </a:graphic>
          </wp:anchor>
        </w:drawing>
      </w:r>
    </w:p>
    <w:p>
      <w:pPr>
        <w:spacing w:after="0" w:line="151" w:lineRule="exact"/>
        <w:rPr>
          <w:sz w:val="20"/>
          <w:szCs w:val="20"/>
          <w:color w:val="auto"/>
        </w:rPr>
      </w:pPr>
    </w:p>
    <w:p>
      <w:pPr>
        <w:ind w:left="460"/>
        <w:spacing w:after="0"/>
        <w:tabs>
          <w:tab w:leader="none" w:pos="4420" w:val="left"/>
        </w:tabs>
        <w:rPr>
          <w:sz w:val="20"/>
          <w:szCs w:val="20"/>
          <w:color w:val="auto"/>
        </w:rPr>
      </w:pPr>
      <w:r>
        <w:rPr>
          <w:rFonts w:ascii="Arial" w:cs="Arial" w:eastAsia="Arial" w:hAnsi="Arial"/>
          <w:sz w:val="18"/>
          <w:szCs w:val="18"/>
          <w:color w:val="auto"/>
        </w:rPr>
        <w:t>Account Number</w:t>
      </w:r>
      <w:r>
        <w:rPr>
          <w:sz w:val="20"/>
          <w:szCs w:val="20"/>
          <w:color w:val="auto"/>
        </w:rPr>
        <w:tab/>
      </w:r>
      <w:r>
        <w:rPr>
          <w:rFonts w:ascii="Arial" w:cs="Arial" w:eastAsia="Arial" w:hAnsi="Arial"/>
          <w:sz w:val="15"/>
          <w:szCs w:val="15"/>
          <w:color w:val="auto"/>
        </w:rPr>
        <w:t>Transaction Code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-13970</wp:posOffset>
            </wp:positionV>
            <wp:extent cx="1699895"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699895" cy="8890"/>
                    </a:xfrm>
                    <a:prstGeom prst="rect">
                      <a:avLst/>
                    </a:prstGeom>
                    <a:noFill/>
                  </pic:spPr>
                </pic:pic>
              </a:graphicData>
            </a:graphic>
          </wp:anchor>
        </w:drawing>
        <w:drawing>
          <wp:anchor simplePos="0" relativeHeight="251657728" behindDoc="1" locked="0" layoutInCell="0" allowOverlap="1">
            <wp:simplePos x="0" y="0"/>
            <wp:positionH relativeFrom="column">
              <wp:posOffset>4027805</wp:posOffset>
            </wp:positionH>
            <wp:positionV relativeFrom="paragraph">
              <wp:posOffset>-13970</wp:posOffset>
            </wp:positionV>
            <wp:extent cx="1699895"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699895" cy="8890"/>
                    </a:xfrm>
                    <a:prstGeom prst="rect">
                      <a:avLst/>
                    </a:prstGeom>
                    <a:noFill/>
                  </pic:spPr>
                </pic:pic>
              </a:graphicData>
            </a:graphic>
          </wp:anchor>
        </w:drawing>
      </w:r>
    </w:p>
    <w:p>
      <w:pPr>
        <w:spacing w:after="0" w:line="15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By crediting the Old Notes to the Exchange Agent’s account at the Book-Entry Transfer Facility’s Automated Tender Offer Program (“ATOP”) and by complying with applicable ATOP procedures with respect to the Exchange Offer, including transmitting to the Exchange Agent a computer-generated Agent’s Message in which the holder of the Old Notes acknowledges and agrees to be bound by the terms of, and makes the representations and warranties contained in, this Letter, the participant in the Book-Entry Transfer Facility confirms on behalf of itself and the beneficial owners of such Old Notes all provisions of this Letter (including all representations and warranties) applicable to it and such beneficial owner as fully as if it had completed the information required herein and executed and transmitted this Letter to the Exchange Agent.</w:t>
      </w:r>
    </w:p>
    <w:p>
      <w:pPr>
        <w:spacing w:after="0" w:line="179" w:lineRule="exact"/>
        <w:rPr>
          <w:sz w:val="20"/>
          <w:szCs w:val="20"/>
          <w:color w:val="auto"/>
        </w:rPr>
      </w:pPr>
    </w:p>
    <w:p>
      <w:pPr>
        <w:ind w:left="460" w:right="600" w:hanging="452"/>
        <w:spacing w:after="0" w:line="275" w:lineRule="auto"/>
        <w:tabs>
          <w:tab w:leader="none" w:pos="460" w:val="left"/>
        </w:tabs>
        <w:numPr>
          <w:ilvl w:val="0"/>
          <w:numId w:val="400"/>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CHECK HERE IF TENDERED OLD NOTES ARE BEING DELIVERED PURSUANT TO A NOTICE OF GUARANTEED DELIVERY PREVIOUSLY SENT TO THE EXCHANGE AGENT AND COMPLETE THE FOLLOWING:</w:t>
      </w:r>
    </w:p>
    <w:p>
      <w:pPr>
        <w:spacing w:after="0" w:line="125" w:lineRule="exact"/>
        <w:rPr>
          <w:rFonts w:ascii="MS PGothic" w:cs="MS PGothic" w:eastAsia="MS PGothic" w:hAnsi="MS PGothic"/>
          <w:sz w:val="18"/>
          <w:szCs w:val="18"/>
          <w:color w:val="auto"/>
          <w:highlight w:val="black"/>
        </w:rPr>
      </w:pPr>
    </w:p>
    <w:p>
      <w:pPr>
        <w:jc w:val="both"/>
        <w:ind w:left="460" w:right="8620"/>
        <w:spacing w:after="0" w:line="493" w:lineRule="auto"/>
        <w:rPr>
          <w:rFonts w:ascii="MS PGothic" w:cs="MS PGothic" w:eastAsia="MS PGothic" w:hAnsi="MS PGothic"/>
          <w:sz w:val="18"/>
          <w:szCs w:val="18"/>
          <w:color w:val="auto"/>
          <w:highlight w:val="black"/>
        </w:rPr>
      </w:pPr>
      <w:r>
        <w:rPr>
          <w:rFonts w:ascii="Arial" w:cs="Arial" w:eastAsia="Arial" w:hAnsi="Arial"/>
          <w:sz w:val="16"/>
          <w:szCs w:val="16"/>
          <w:color w:val="auto"/>
        </w:rPr>
        <w:t>Name(s) of Registered Holder(s) Window Ticket Number (if any)</w:t>
      </w:r>
    </w:p>
    <w:p>
      <w:pPr>
        <w:ind w:left="460" w:right="7260"/>
        <w:spacing w:after="0" w:line="489" w:lineRule="auto"/>
        <w:rPr>
          <w:rFonts w:ascii="MS PGothic" w:cs="MS PGothic" w:eastAsia="MS PGothic" w:hAnsi="MS PGothic"/>
          <w:sz w:val="18"/>
          <w:szCs w:val="18"/>
          <w:color w:val="auto"/>
          <w:highlight w:val="black"/>
        </w:rPr>
      </w:pPr>
      <w:r>
        <w:rPr>
          <w:rFonts w:ascii="Arial" w:cs="Arial" w:eastAsia="Arial" w:hAnsi="Arial"/>
          <w:sz w:val="16"/>
          <w:szCs w:val="16"/>
          <w:color w:val="auto"/>
        </w:rPr>
        <w:t>Date of Execution of Notice of Guaranteed Delivery Name of Institution Which Guaranteed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1786890</wp:posOffset>
            </wp:positionH>
            <wp:positionV relativeFrom="paragraph">
              <wp:posOffset>-838835</wp:posOffset>
            </wp:positionV>
            <wp:extent cx="409702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4097020" cy="8890"/>
                    </a:xfrm>
                    <a:prstGeom prst="rect">
                      <a:avLst/>
                    </a:prstGeom>
                    <a:noFill/>
                  </pic:spPr>
                </pic:pic>
              </a:graphicData>
            </a:graphic>
          </wp:anchor>
        </w:drawing>
        <w:drawing>
          <wp:anchor simplePos="0" relativeHeight="251657728" behindDoc="1" locked="0" layoutInCell="0" allowOverlap="1">
            <wp:simplePos x="0" y="0"/>
            <wp:positionH relativeFrom="column">
              <wp:posOffset>1763395</wp:posOffset>
            </wp:positionH>
            <wp:positionV relativeFrom="paragraph">
              <wp:posOffset>-598805</wp:posOffset>
            </wp:positionV>
            <wp:extent cx="409702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4097020" cy="8890"/>
                    </a:xfrm>
                    <a:prstGeom prst="rect">
                      <a:avLst/>
                    </a:prstGeom>
                    <a:noFill/>
                  </pic:spPr>
                </pic:pic>
              </a:graphicData>
            </a:graphic>
          </wp:anchor>
        </w:drawing>
        <w:drawing>
          <wp:anchor simplePos="0" relativeHeight="251657728" behindDoc="1" locked="0" layoutInCell="0" allowOverlap="1">
            <wp:simplePos x="0" y="0"/>
            <wp:positionH relativeFrom="column">
              <wp:posOffset>2660015</wp:posOffset>
            </wp:positionH>
            <wp:positionV relativeFrom="paragraph">
              <wp:posOffset>-358775</wp:posOffset>
            </wp:positionV>
            <wp:extent cx="300990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3009900" cy="8890"/>
                    </a:xfrm>
                    <a:prstGeom prst="rect">
                      <a:avLst/>
                    </a:prstGeom>
                    <a:noFill/>
                  </pic:spPr>
                </pic:pic>
              </a:graphicData>
            </a:graphic>
          </wp:anchor>
        </w:drawing>
        <w:drawing>
          <wp:anchor simplePos="0" relativeHeight="251657728" behindDoc="1" locked="0" layoutInCell="0" allowOverlap="1">
            <wp:simplePos x="0" y="0"/>
            <wp:positionH relativeFrom="column">
              <wp:posOffset>2480310</wp:posOffset>
            </wp:positionH>
            <wp:positionV relativeFrom="paragraph">
              <wp:posOffset>-118745</wp:posOffset>
            </wp:positionV>
            <wp:extent cx="3232785"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b w:val="1"/>
          <w:bCs w:val="1"/>
          <w:color w:val="auto"/>
        </w:rPr>
        <w:t>If Delivered by Book-Entry Transfer, Complete the Following:</w:t>
      </w:r>
    </w:p>
    <w:p>
      <w:pPr>
        <w:spacing w:after="0" w:line="177" w:lineRule="exact"/>
        <w:rPr>
          <w:sz w:val="20"/>
          <w:szCs w:val="20"/>
          <w:color w:val="auto"/>
        </w:rPr>
      </w:pPr>
    </w:p>
    <w:p>
      <w:pPr>
        <w:ind w:left="460"/>
        <w:spacing w:after="0"/>
        <w:tabs>
          <w:tab w:leader="none" w:pos="4420" w:val="left"/>
        </w:tabs>
        <w:rPr>
          <w:sz w:val="20"/>
          <w:szCs w:val="20"/>
          <w:color w:val="auto"/>
        </w:rPr>
      </w:pPr>
      <w:r>
        <w:rPr>
          <w:rFonts w:ascii="Arial" w:cs="Arial" w:eastAsia="Arial" w:hAnsi="Arial"/>
          <w:sz w:val="18"/>
          <w:szCs w:val="18"/>
          <w:color w:val="auto"/>
        </w:rPr>
        <w:t>Account Number</w:t>
      </w:r>
      <w:r>
        <w:rPr>
          <w:sz w:val="20"/>
          <w:szCs w:val="20"/>
          <w:color w:val="auto"/>
        </w:rPr>
        <w:tab/>
      </w:r>
      <w:r>
        <w:rPr>
          <w:rFonts w:ascii="Arial" w:cs="Arial" w:eastAsia="Arial" w:hAnsi="Arial"/>
          <w:sz w:val="15"/>
          <w:szCs w:val="15"/>
          <w:color w:val="auto"/>
        </w:rPr>
        <w:t>Transaction Code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-13970</wp:posOffset>
            </wp:positionV>
            <wp:extent cx="1699895"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699895" cy="8890"/>
                    </a:xfrm>
                    <a:prstGeom prst="rect">
                      <a:avLst/>
                    </a:prstGeom>
                    <a:noFill/>
                  </pic:spPr>
                </pic:pic>
              </a:graphicData>
            </a:graphic>
          </wp:anchor>
        </w:drawing>
        <w:drawing>
          <wp:anchor simplePos="0" relativeHeight="251657728" behindDoc="1" locked="0" layoutInCell="0" allowOverlap="1">
            <wp:simplePos x="0" y="0"/>
            <wp:positionH relativeFrom="column">
              <wp:posOffset>4027805</wp:posOffset>
            </wp:positionH>
            <wp:positionV relativeFrom="paragraph">
              <wp:posOffset>-13970</wp:posOffset>
            </wp:positionV>
            <wp:extent cx="1699895"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699895" cy="8890"/>
                    </a:xfrm>
                    <a:prstGeom prst="rect">
                      <a:avLst/>
                    </a:prstGeom>
                    <a:noFill/>
                  </pic:spPr>
                </pic:pic>
              </a:graphicData>
            </a:graphic>
          </wp:anchor>
        </w:drawing>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-13970</wp:posOffset>
            </wp:positionV>
            <wp:extent cx="5546725"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5546725" cy="8890"/>
                    </a:xfrm>
                    <a:prstGeom prst="rect">
                      <a:avLst/>
                    </a:prstGeom>
                    <a:noFill/>
                  </pic:spPr>
                </pic:pic>
              </a:graphicData>
            </a:graphic>
          </wp:anchor>
        </w:drawing>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-13970</wp:posOffset>
            </wp:positionV>
            <wp:extent cx="5407025"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5407025" cy="8890"/>
                    </a:xfrm>
                    <a:prstGeom prst="rect">
                      <a:avLst/>
                    </a:prstGeom>
                    <a:noFill/>
                  </pic:spPr>
                </pic:pic>
              </a:graphicData>
            </a:graphic>
          </wp:anchor>
        </w:drawing>
        <w:drawing>
          <wp:anchor simplePos="0" relativeHeight="251657728" behindDoc="1" locked="0" layoutInCell="0" allowOverlap="1">
            <wp:simplePos x="0" y="0"/>
            <wp:positionH relativeFrom="column">
              <wp:posOffset>294640</wp:posOffset>
            </wp:positionH>
            <wp:positionV relativeFrom="paragraph">
              <wp:posOffset>225425</wp:posOffset>
            </wp:positionV>
            <wp:extent cx="5936615"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5936615"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undersigned represents that it is not an “affiliate” of the Issuers as defined in Rule 405 under the Securities Act, that it acquired the New Notes in the ordinary course of its business, and that at the time of the commencement of the Exchange Offer, neither the undersigned nor, to the knowledge of the undersigned, anyone receiving New Notes from the undersigned, has any arrangement or understanding with any person to participate in the distribution, as defined in the Securities Act, of the New Notes in violation of the Securities Act. If the undersigned is not a broker-dealer, the undersigned represents that it is not engaged in, and does not intend to engage in, a distribution of the New Notes and it has no arrangements or understandings with any person to participate in a distribution of the New Notes, as defined in the Securities Act. If the undersigned is a broker-dealer, it represents that it will receive the New Notes for its own account in exchange for the Old Notes that were acquired by it as a result of its market-making or other trading activities and it will deliver a prospectus in connection with any resale of such New Notes; however, by so acknowledging and by delivering a prospectus, the undersigned will not be deemed to admit that it is an “underwriter” within the meaning of the Securities Act.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3" w:right="259" w:bottom="1440" w:gutter="0" w:footer="0" w:header="0"/>
        </w:sectPr>
      </w:pPr>
    </w:p>
    <w:bookmarkStart w:id="348" w:name="page349"/>
    <w:bookmarkEnd w:id="348"/>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PLEASE READ THE ACCOMPANYING INSTRUCTIONS CAREFULLY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Upon the terms and subject to the conditions of the Exchange Offer, the undersigned hereby tenders to the Issuers the aggregate principal amount of Old Notes indicated above. Subject to, and effective upon, the acceptance for exchange of the Old Notes tendered hereby, the undersigned hereby sells, assigns and transfers to, or upon the order of, the Issuers all right, title and interest in and to such Old Notes as are being tendered hereby.</w:t>
      </w:r>
    </w:p>
    <w:p>
      <w:pPr>
        <w:spacing w:after="0" w:line="107"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The undersigned hereby irrevocably constitutes and appoints the Exchange Agent as the undersigned’s true and lawful agent and attorney-in-fact with respect to such tendered Old Notes, with full power of substitution, among other things, to cause the Old Notes to be assigned, transferred and exchanged. The undersigned hereby represents and warrants that the undersigned has full power and authority to tender, sell, assign and transfer the Old Notes, and to acquire New Notes issuable upon the exchange of such tendered Old Notes, and that, when the same are accepted for exchange, the Issuers will acquire good and unencumbered title thereto, free and clear of all liens, restrictions, charges and encumbrances and not subject to any adverse claim when the same are accepted by the Issuers. The undersigned hereby further represents that: (i) any New Notes received by the undersigned will be received in the ordinary course of business,</w:t>
      </w:r>
    </w:p>
    <w:p>
      <w:pPr>
        <w:spacing w:after="0" w:line="1" w:lineRule="exact"/>
        <w:rPr>
          <w:sz w:val="20"/>
          <w:szCs w:val="20"/>
          <w:color w:val="auto"/>
        </w:rPr>
      </w:pPr>
    </w:p>
    <w:p>
      <w:pPr>
        <w:ind w:right="40" w:firstLine="8"/>
        <w:spacing w:after="0" w:line="290" w:lineRule="auto"/>
        <w:tabs>
          <w:tab w:leader="none" w:pos="258" w:val="left"/>
        </w:tabs>
        <w:numPr>
          <w:ilvl w:val="0"/>
          <w:numId w:val="401"/>
        </w:numPr>
        <w:rPr>
          <w:rFonts w:ascii="Arial" w:cs="Arial" w:eastAsia="Arial" w:hAnsi="Arial"/>
          <w:sz w:val="16"/>
          <w:szCs w:val="16"/>
          <w:color w:val="auto"/>
        </w:rPr>
      </w:pPr>
      <w:r>
        <w:rPr>
          <w:rFonts w:ascii="Arial" w:cs="Arial" w:eastAsia="Arial" w:hAnsi="Arial"/>
          <w:sz w:val="16"/>
          <w:szCs w:val="16"/>
          <w:color w:val="auto"/>
        </w:rPr>
        <w:t>the undersigned will have no arrangement or understanding with any person to participate in the distribution of the Old Notes or the New Notes within the meaning of the Securities Act, (iii) the undersigned is not an “affiliate” (as such term is defined in Rule 501(b) of Regulation D of the Securities Act) of the Issuers or the guarantors, or if the undersigned is an affiliate, then the undersigned will comply with the registration and prospectus delivery requirements of the Securities Act to the extent applicable, (iv) if the undersigned is not a broker-dealer, then it is not engaged in, and does not intend to engage in, the distribution of the New Notes, and (v) if the undersigned is a broker-dealer, then it will receive the New Notes for its own account in exchange for the Old Notes that were acquired as a result of market-making activities or other trading activities and that it will deliver a prospectus in connection with any resale of the New Notes.</w:t>
      </w:r>
    </w:p>
    <w:p>
      <w:pPr>
        <w:spacing w:after="0" w:line="118"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The undersigned acknowledges that this Exchange Offer is being made in reliance on interpretations by the staff of the Securities and Exchange Commission (the “SEC”), as set forth in no-action letters issued to third parties, that the New Notes issued pursuant to the Exchange Offer in exchange for the Old Notes may be offered for resale, resold and otherwise transferred by Holders thereof (other than any such Holder that is an “affiliate” of the Issuers or the guarantors within the meaning of Rule 501(b) of Regulation D of the Securities Act), without compliance with the registration and prospectus delivery provisions of the Securities Act, provided that such New Notes are acquired in the ordinary course of such Holders’ business and such Holders have no arrangement with any person to participate in the distribution of such New Notes. However, the SEC has not considered the Exchange Offer in the context of a no-action letter and there can be no assurance that the staff of the SEC would make a similar determination with respect to the Exchange Offer as in other circumstances. If the undersigned is not a broker-dealer, the undersigned represents that it is not engaged in, and does not intend to engage in, a distribution of New Notes and has no arrangement or understanding to participate in a distribution of New Notes. If any Holder is an affiliate of the Issuers or is engaged in or intends to engage in or has any arrangement or understanding with respect to the distribution of the New Notes to be acquired pursuant to the Exchange Offer, such Holder (i) could not rely on the applicable interpretations of the staff of the SEC and (ii) must comply with the registration and prospectus delivery requirements of the Securities Act in connection with any resale transaction. If the undersigned is a broker-dealer that will receive New Notes for its own account in exchange for Old Notes, it represents that the Old Notes to be exchanged for the New Notes were acquired by it as a result of market-making activities or other trading activities and acknowledges that it will deliver a prospectus meeting the requirements of the Securities Act in connection with any resale of such New Notes; however, by so acknowledging and by delivering a prospectus, the undersigned will not be deemed to admit that it is an “underwriter” within the meaning of the Securities Act.</w:t>
      </w:r>
    </w:p>
    <w:p>
      <w:pPr>
        <w:spacing w:after="0" w:line="12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undersigned will, upon request, execute and deliver any additional documents deemed by the Issuers to be necessary or desirable to complete the sale, assignment and transfer of the Old Notes tendered hereby. All</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4" w:right="279" w:bottom="1440" w:gutter="0" w:footer="0" w:header="0"/>
        </w:sectPr>
      </w:pPr>
    </w:p>
    <w:bookmarkStart w:id="349" w:name="page350"/>
    <w:bookmarkEnd w:id="349"/>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authority conferred or agreed to be conferred in this Letter and every obligation of the undersigned hereunder shall be binding upon the successors, assigns, heirs, executors, administrators, trustees in bankruptcy and legal representatives of the undersigned and shall not be affected by, and shall survive, the death or incapacity of the undersigned. The Exchange Offer may be withdrawn in accordance with the procedures set forth in “The Exchange Offer—Withdrawal Rights” section of the Prospectus.</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Unless otherwise indicated herein in the box entitled “Special Issuance Instructions” below, please deliver the New Notes (and, if applicable, substitute certificates representing Old Notes for any Old Notes not exchanged) in the name of the undersigned or, in the case of a book-entry delivery of Old Notes, please credit the account indicated above maintained at the Book-Entry Transfer Facility. Similarly, unless otherwise indicated under the box entitled “Special Delivery Instructions” below, please send the New Notes (and, if applicable, substitute certificates representing Old Notes for any Old Notes not exchanged) to the undersigned at the address shown above in the boxes entitled “Description of Old 2017 Notes” and “Description of Old 2020 Notes.”</w:t>
      </w:r>
    </w:p>
    <w:p>
      <w:pPr>
        <w:spacing w:after="0" w:line="110" w:lineRule="exact"/>
        <w:rPr>
          <w:sz w:val="20"/>
          <w:szCs w:val="20"/>
          <w:color w:val="auto"/>
        </w:rPr>
      </w:pPr>
    </w:p>
    <w:p>
      <w:pPr>
        <w:ind w:right="120" w:firstLine="456"/>
        <w:spacing w:after="0" w:line="262" w:lineRule="auto"/>
        <w:rPr>
          <w:sz w:val="20"/>
          <w:szCs w:val="20"/>
          <w:color w:val="auto"/>
        </w:rPr>
      </w:pPr>
      <w:r>
        <w:rPr>
          <w:rFonts w:ascii="Arial" w:cs="Arial" w:eastAsia="Arial" w:hAnsi="Arial"/>
          <w:sz w:val="18"/>
          <w:szCs w:val="18"/>
          <w:b w:val="1"/>
          <w:bCs w:val="1"/>
          <w:color w:val="auto"/>
        </w:rPr>
        <w:t>THE UNDERSIGNED, BY COMPLETING THE BOX AND/OR BOXES ENTITLED “DESCRIPTION OF OLD 2017 NOTES” AND/OR “DESCRIPTION OF OLD 2020 NOTES” ABOVE AND SIGNING THIS LETTER, WILL BE DEEMED TO HAVE TENDERED THE OLD NOTES AS SET FORTH IN SUCH BOX AND/OR BOXES ABOVE.</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80" w:right="299" w:bottom="1440" w:gutter="0" w:footer="0" w:header="0"/>
        </w:sectPr>
      </w:pPr>
    </w:p>
    <w:bookmarkStart w:id="350" w:name="page351"/>
    <w:bookmarkEnd w:id="350"/>
    <w:p>
      <w:pPr>
        <w:jc w:val="center"/>
        <w:ind w:lef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182880</wp:posOffset>
            </wp:positionV>
            <wp:extent cx="3473450" cy="414210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3473450" cy="4142105"/>
                    </a:xfrm>
                    <a:prstGeom prst="rect">
                      <a:avLst/>
                    </a:prstGeom>
                    <a:noFill/>
                  </pic:spPr>
                </pic:pic>
              </a:graphicData>
            </a:graphic>
          </wp:anchor>
        </w:drawing>
        <w:t>SPECIAL ISSUANCE INSTRUCTIONS</w:t>
      </w:r>
    </w:p>
    <w:p>
      <w:pPr>
        <w:spacing w:after="0" w:line="21" w:lineRule="exact"/>
        <w:rPr>
          <w:sz w:val="20"/>
          <w:szCs w:val="20"/>
          <w:color w:val="auto"/>
        </w:rPr>
      </w:pPr>
    </w:p>
    <w:p>
      <w:pPr>
        <w:jc w:val="center"/>
        <w:ind w:left="40"/>
        <w:spacing w:after="0"/>
        <w:rPr>
          <w:sz w:val="20"/>
          <w:szCs w:val="20"/>
          <w:color w:val="auto"/>
        </w:rPr>
      </w:pPr>
      <w:r>
        <w:rPr>
          <w:rFonts w:ascii="Arial" w:cs="Arial" w:eastAsia="Arial" w:hAnsi="Arial"/>
          <w:sz w:val="18"/>
          <w:szCs w:val="18"/>
          <w:b w:val="1"/>
          <w:bCs w:val="1"/>
          <w:color w:val="auto"/>
        </w:rPr>
        <w:t>(See Instructions 3 and 4)</w:t>
      </w:r>
    </w:p>
    <w:p>
      <w:pPr>
        <w:spacing w:after="0" w:line="84"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To be completed ONLY if certificates for Old Notes not exchanged and/or New Notes are to be issued in the name of and sent to someone other than the person or persons whose signature(s) appear(s) on this Letter below, or if Old Notes delivered by book-entry transfer which are not accepted for exchange are to be returned by credit to an account maintained at the Book-Entry Transfer Facility other than the account indicated above.</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Issue New Notes and/or Old Notes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Name(s)</w:t>
      </w:r>
    </w:p>
    <w:p>
      <w:pPr>
        <w:spacing w:after="0" w:line="15" w:lineRule="exact"/>
        <w:rPr>
          <w:sz w:val="20"/>
          <w:szCs w:val="20"/>
          <w:color w:val="auto"/>
        </w:rPr>
      </w:pPr>
    </w:p>
    <w:p>
      <w:pPr>
        <w:ind w:left="2260"/>
        <w:spacing w:after="0"/>
        <w:rPr>
          <w:sz w:val="20"/>
          <w:szCs w:val="20"/>
          <w:color w:val="auto"/>
        </w:rPr>
      </w:pPr>
      <w:r>
        <w:rPr>
          <w:rFonts w:ascii="Arial" w:cs="Arial" w:eastAsia="Arial" w:hAnsi="Arial"/>
          <w:sz w:val="14"/>
          <w:szCs w:val="14"/>
          <w:b w:val="1"/>
          <w:bCs w:val="1"/>
          <w:color w:val="auto"/>
        </w:rPr>
        <w:t>(Please Type or Print)</w:t>
      </w:r>
    </w:p>
    <w:p>
      <w:pPr>
        <w:spacing w:after="0" w:line="139" w:lineRule="exact"/>
        <w:rPr>
          <w:sz w:val="20"/>
          <w:szCs w:val="20"/>
          <w:color w:val="auto"/>
        </w:rPr>
      </w:pPr>
    </w:p>
    <w:p>
      <w:pPr>
        <w:ind w:left="2260"/>
        <w:spacing w:after="0"/>
        <w:rPr>
          <w:sz w:val="20"/>
          <w:szCs w:val="20"/>
          <w:color w:val="auto"/>
        </w:rPr>
      </w:pPr>
      <w:r>
        <w:rPr>
          <w:rFonts w:ascii="Arial" w:cs="Arial" w:eastAsia="Arial" w:hAnsi="Arial"/>
          <w:sz w:val="14"/>
          <w:szCs w:val="14"/>
          <w:b w:val="1"/>
          <w:bCs w:val="1"/>
          <w:color w:val="auto"/>
        </w:rPr>
        <w:t>(Please Type or Print)</w:t>
      </w:r>
    </w:p>
    <w:p>
      <w:pPr>
        <w:spacing w:after="0" w:line="200" w:lineRule="exact"/>
        <w:rPr>
          <w:sz w:val="20"/>
          <w:szCs w:val="20"/>
          <w:color w:val="auto"/>
        </w:rPr>
      </w:pPr>
    </w:p>
    <w:p>
      <w:pPr>
        <w:spacing w:after="0" w:line="355" w:lineRule="exact"/>
        <w:rPr>
          <w:sz w:val="20"/>
          <w:szCs w:val="20"/>
          <w:color w:val="auto"/>
        </w:rPr>
      </w:pPr>
    </w:p>
    <w:p>
      <w:pPr>
        <w:ind w:left="2180"/>
        <w:spacing w:after="0"/>
        <w:rPr>
          <w:sz w:val="20"/>
          <w:szCs w:val="20"/>
          <w:color w:val="auto"/>
        </w:rPr>
      </w:pPr>
      <w:r>
        <w:rPr>
          <w:rFonts w:ascii="Arial" w:cs="Arial" w:eastAsia="Arial" w:hAnsi="Arial"/>
          <w:sz w:val="14"/>
          <w:szCs w:val="14"/>
          <w:b w:val="1"/>
          <w:bCs w:val="1"/>
          <w:color w:val="auto"/>
        </w:rPr>
        <w:t>(Address)</w:t>
      </w:r>
    </w:p>
    <w:p>
      <w:pPr>
        <w:spacing w:after="0" w:line="393" w:lineRule="exact"/>
        <w:rPr>
          <w:sz w:val="20"/>
          <w:szCs w:val="20"/>
          <w:color w:val="auto"/>
        </w:rPr>
      </w:pPr>
    </w:p>
    <w:p>
      <w:pPr>
        <w:ind w:left="2140"/>
        <w:spacing w:after="0"/>
        <w:rPr>
          <w:sz w:val="20"/>
          <w:szCs w:val="20"/>
          <w:color w:val="auto"/>
        </w:rPr>
      </w:pPr>
      <w:r>
        <w:rPr>
          <w:rFonts w:ascii="Arial" w:cs="Arial" w:eastAsia="Arial" w:hAnsi="Arial"/>
          <w:sz w:val="14"/>
          <w:szCs w:val="14"/>
          <w:b w:val="1"/>
          <w:bCs w:val="1"/>
          <w:color w:val="auto"/>
        </w:rPr>
        <w:t>(Zip Code)</w:t>
      </w:r>
    </w:p>
    <w:p>
      <w:pPr>
        <w:spacing w:after="0" w:line="231" w:lineRule="exact"/>
        <w:rPr>
          <w:sz w:val="20"/>
          <w:szCs w:val="20"/>
          <w:color w:val="auto"/>
        </w:rPr>
      </w:pPr>
    </w:p>
    <w:p>
      <w:pPr>
        <w:ind w:left="1520"/>
        <w:spacing w:after="0"/>
        <w:rPr>
          <w:sz w:val="20"/>
          <w:szCs w:val="20"/>
          <w:color w:val="auto"/>
        </w:rPr>
      </w:pPr>
      <w:r>
        <w:rPr>
          <w:rFonts w:ascii="Arial" w:cs="Arial" w:eastAsia="Arial" w:hAnsi="Arial"/>
          <w:sz w:val="14"/>
          <w:szCs w:val="14"/>
          <w:b w:val="1"/>
          <w:bCs w:val="1"/>
          <w:color w:val="auto"/>
        </w:rPr>
        <w:t>(Complete Substitute Form W-9)</w:t>
      </w:r>
    </w:p>
    <w:p>
      <w:pPr>
        <w:spacing w:after="0" w:line="235" w:lineRule="exact"/>
        <w:rPr>
          <w:sz w:val="20"/>
          <w:szCs w:val="20"/>
          <w:color w:val="auto"/>
        </w:rPr>
      </w:pPr>
    </w:p>
    <w:p>
      <w:pPr>
        <w:ind w:left="440" w:right="160" w:hanging="431"/>
        <w:spacing w:after="0" w:line="259" w:lineRule="auto"/>
        <w:tabs>
          <w:tab w:leader="none" w:pos="521" w:val="left"/>
        </w:tabs>
        <w:numPr>
          <w:ilvl w:val="0"/>
          <w:numId w:val="402"/>
        </w:numPr>
        <w:rPr>
          <w:rFonts w:ascii="MS PGothic" w:cs="MS PGothic" w:eastAsia="MS PGothic" w:hAnsi="MS PGothic"/>
          <w:sz w:val="18"/>
          <w:szCs w:val="18"/>
          <w:color w:val="auto"/>
        </w:rPr>
      </w:pPr>
      <w:r>
        <w:rPr>
          <w:rFonts w:ascii="Arial" w:cs="Arial" w:eastAsia="Arial" w:hAnsi="Arial"/>
          <w:sz w:val="18"/>
          <w:szCs w:val="18"/>
          <w:color w:val="auto"/>
        </w:rPr>
        <w:t>Credit unexchanged Old Notes delivered by book-entry transfer to the Book-Entry Transfer Facility account set forth below.</w:t>
      </w:r>
    </w:p>
    <w:p>
      <w:pPr>
        <w:spacing w:after="0" w:line="230" w:lineRule="exact"/>
        <w:rPr>
          <w:sz w:val="20"/>
          <w:szCs w:val="20"/>
          <w:color w:val="auto"/>
        </w:rPr>
      </w:pPr>
    </w:p>
    <w:p>
      <w:pPr>
        <w:ind w:left="1600"/>
        <w:spacing w:after="0"/>
        <w:rPr>
          <w:sz w:val="20"/>
          <w:szCs w:val="20"/>
          <w:color w:val="auto"/>
        </w:rPr>
      </w:pPr>
      <w:r>
        <w:rPr>
          <w:rFonts w:ascii="Arial" w:cs="Arial" w:eastAsia="Arial" w:hAnsi="Arial"/>
          <w:sz w:val="14"/>
          <w:szCs w:val="14"/>
          <w:b w:val="1"/>
          <w:bCs w:val="1"/>
          <w:color w:val="auto"/>
        </w:rPr>
        <w:t>(Book-Entry Transfer Facility</w:t>
      </w:r>
    </w:p>
    <w:p>
      <w:pPr>
        <w:spacing w:after="0" w:line="1" w:lineRule="exact"/>
        <w:rPr>
          <w:sz w:val="20"/>
          <w:szCs w:val="20"/>
          <w:color w:val="auto"/>
        </w:rPr>
      </w:pPr>
    </w:p>
    <w:p>
      <w:pPr>
        <w:ind w:left="1560"/>
        <w:spacing w:after="0"/>
        <w:rPr>
          <w:sz w:val="20"/>
          <w:szCs w:val="20"/>
          <w:color w:val="auto"/>
        </w:rPr>
      </w:pPr>
      <w:r>
        <w:rPr>
          <w:rFonts w:ascii="Arial" w:cs="Arial" w:eastAsia="Arial" w:hAnsi="Arial"/>
          <w:sz w:val="14"/>
          <w:szCs w:val="14"/>
          <w:b w:val="1"/>
          <w:bCs w:val="1"/>
          <w:color w:val="auto"/>
        </w:rPr>
        <w:t>Account Number, if applicable)</w:t>
      </w:r>
    </w:p>
    <w:p>
      <w:pPr>
        <w:spacing w:after="0" w:line="20" w:lineRule="exact"/>
        <w:rPr>
          <w:sz w:val="20"/>
          <w:szCs w:val="20"/>
          <w:color w:val="auto"/>
        </w:rPr>
      </w:pPr>
      <w:r>
        <w:rPr>
          <w:sz w:val="20"/>
          <w:szCs w:val="20"/>
          <w:color w:val="auto"/>
        </w:rPr>
        <w:br w:type="column"/>
      </w:r>
    </w:p>
    <w:p>
      <w:pPr>
        <w:jc w:val="center"/>
        <w:ind w:right="-519"/>
        <w:spacing w:after="0"/>
        <w:rPr>
          <w:sz w:val="20"/>
          <w:szCs w:val="20"/>
          <w:color w:val="auto"/>
        </w:rPr>
      </w:pPr>
      <w:r>
        <w:rPr>
          <w:rFonts w:ascii="Arial" w:cs="Arial" w:eastAsia="Arial" w:hAnsi="Arial"/>
          <w:sz w:val="18"/>
          <w:szCs w:val="18"/>
          <w:b w:val="1"/>
          <w:bCs w:val="1"/>
          <w:color w:val="auto"/>
        </w:rPr>
        <w:t>SPECIAL DELIVERY ISSUANCE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-276225</wp:posOffset>
            </wp:positionV>
            <wp:extent cx="7289165" cy="40303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289165" cy="4030345"/>
                    </a:xfrm>
                    <a:prstGeom prst="rect">
                      <a:avLst/>
                    </a:prstGeom>
                    <a:noFill/>
                  </pic:spPr>
                </pic:pic>
              </a:graphicData>
            </a:graphic>
          </wp:anchor>
        </w:drawing>
      </w:r>
    </w:p>
    <w:p>
      <w:pPr>
        <w:spacing w:after="0" w:line="1"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(See Instructions 3 and 4)</w:t>
      </w:r>
    </w:p>
    <w:p>
      <w:pPr>
        <w:spacing w:after="0" w:line="84" w:lineRule="exact"/>
        <w:rPr>
          <w:sz w:val="20"/>
          <w:szCs w:val="20"/>
          <w:color w:val="auto"/>
        </w:rPr>
      </w:pPr>
    </w:p>
    <w:p>
      <w:pPr>
        <w:ind w:left="440" w:firstLine="432"/>
        <w:spacing w:after="0" w:line="294" w:lineRule="auto"/>
        <w:rPr>
          <w:sz w:val="20"/>
          <w:szCs w:val="20"/>
          <w:color w:val="auto"/>
        </w:rPr>
      </w:pPr>
      <w:r>
        <w:rPr>
          <w:rFonts w:ascii="Arial" w:cs="Arial" w:eastAsia="Arial" w:hAnsi="Arial"/>
          <w:sz w:val="16"/>
          <w:szCs w:val="16"/>
          <w:color w:val="auto"/>
        </w:rPr>
        <w:t>To be completed ONLY if certificates for Old Notes not exchanged and/or New Notes are to be sent to someone other than the person or persons whose signature(s) appear(s) on this Letter below or to such person or persons at an address other than shown in the box entitled “Description of Old Notes” on this Letter above.</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Mail New Notes and/or Old Notes to:</w:t>
      </w:r>
    </w:p>
    <w:p>
      <w:pPr>
        <w:spacing w:after="0" w:line="3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Name(s)</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14"/>
          <w:szCs w:val="14"/>
          <w:b w:val="1"/>
          <w:bCs w:val="1"/>
          <w:color w:val="auto"/>
        </w:rPr>
        <w:t>(Please Type or Print)</w:t>
      </w:r>
    </w:p>
    <w:p>
      <w:pPr>
        <w:spacing w:after="0" w:line="139" w:lineRule="exact"/>
        <w:rPr>
          <w:sz w:val="20"/>
          <w:szCs w:val="20"/>
          <w:color w:val="auto"/>
        </w:rPr>
      </w:pPr>
    </w:p>
    <w:p>
      <w:pPr>
        <w:ind w:left="2700"/>
        <w:spacing w:after="0"/>
        <w:rPr>
          <w:sz w:val="20"/>
          <w:szCs w:val="20"/>
          <w:color w:val="auto"/>
        </w:rPr>
      </w:pPr>
      <w:r>
        <w:rPr>
          <w:rFonts w:ascii="Arial" w:cs="Arial" w:eastAsia="Arial" w:hAnsi="Arial"/>
          <w:sz w:val="14"/>
          <w:szCs w:val="14"/>
          <w:b w:val="1"/>
          <w:bCs w:val="1"/>
          <w:color w:val="auto"/>
        </w:rPr>
        <w:t>(Please Type or Print)</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620"/>
        <w:spacing w:after="0"/>
        <w:rPr>
          <w:sz w:val="20"/>
          <w:szCs w:val="20"/>
          <w:color w:val="auto"/>
        </w:rPr>
      </w:pPr>
      <w:r>
        <w:rPr>
          <w:rFonts w:ascii="Arial" w:cs="Arial" w:eastAsia="Arial" w:hAnsi="Arial"/>
          <w:sz w:val="14"/>
          <w:szCs w:val="14"/>
          <w:b w:val="1"/>
          <w:bCs w:val="1"/>
          <w:color w:val="auto"/>
        </w:rPr>
        <w:t>(Address)</w:t>
      </w:r>
    </w:p>
    <w:p>
      <w:pPr>
        <w:spacing w:after="0" w:line="393" w:lineRule="exact"/>
        <w:rPr>
          <w:sz w:val="20"/>
          <w:szCs w:val="20"/>
          <w:color w:val="auto"/>
        </w:rPr>
      </w:pPr>
    </w:p>
    <w:p>
      <w:pPr>
        <w:ind w:left="2580"/>
        <w:spacing w:after="0"/>
        <w:rPr>
          <w:sz w:val="20"/>
          <w:szCs w:val="20"/>
          <w:color w:val="auto"/>
        </w:rPr>
      </w:pPr>
      <w:r>
        <w:rPr>
          <w:rFonts w:ascii="Arial" w:cs="Arial" w:eastAsia="Arial" w:hAnsi="Arial"/>
          <w:sz w:val="14"/>
          <w:szCs w:val="14"/>
          <w:b w:val="1"/>
          <w:bCs w:val="1"/>
          <w:color w:val="auto"/>
        </w:rPr>
        <w:t>(Zip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7</w:t>
      </w:r>
    </w:p>
    <w:p>
      <w:pPr>
        <w:sectPr>
          <w:pgSz w:w="11900" w:h="16838" w:orient="portrait"/>
          <w:cols w:equalWidth="0" w:num="2">
            <w:col w:w="4880" w:space="500"/>
            <w:col w:w="5280"/>
          </w:cols>
          <w:pgMar w:left="540" w:top="368" w:right="699" w:bottom="1440" w:gutter="0" w:footer="0" w:header="0"/>
        </w:sectPr>
      </w:pPr>
    </w:p>
    <w:bookmarkStart w:id="351" w:name="page352"/>
    <w:bookmarkEnd w:id="351"/>
    <w:p>
      <w:pPr>
        <w:ind w:firstLine="456"/>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IMPORTANT: THIS LETTER OR A FACSIMILE HEREOF OR AN AGENT’S MESSAGE IN LIEU HEREOF (TOGETHER WITH THE CERTIFICATES FOR OLD NOTES OR A BOOK-ENTRY CONFIRMATION AND ALL OTHER REQUIRED DOCUMENTS OR THE NOTICE OF GUARANTEED DELIVERY) MUST BE RECEIVED BY THE EXCHANGE AGENT PRIOR TO 5:00 P.M., NEW YORK CITY TIME, ON THE EXPIRATION DATE.</w:t>
      </w:r>
    </w:p>
    <w:p>
      <w:pPr>
        <w:spacing w:after="0" w:line="298"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PLEASE READ THIS ENTIRE LETTER OF TRANSMITTAL</w:t>
      </w:r>
    </w:p>
    <w:p>
      <w:pPr>
        <w:spacing w:after="0" w:line="2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CAREFULLY BEFORE COMPLETING ANY BOX ABOVE.</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PLEASE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536003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246620" cy="5360035"/>
                    </a:xfrm>
                    <a:prstGeom prst="rect">
                      <a:avLst/>
                    </a:prstGeom>
                    <a:noFill/>
                  </pic:spPr>
                </pic:pic>
              </a:graphicData>
            </a:graphic>
          </wp:anchor>
        </w:drawing>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COMPLETED BY ALL TENDERING HOLDERS)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(Complete Accompanying Substitute Form W-9 Below)</w:t>
      </w:r>
    </w:p>
    <w:p>
      <w:pPr>
        <w:spacing w:after="0" w:line="236"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80" w:type="dxa"/>
            <w:vAlign w:val="bottom"/>
          </w:tcPr>
          <w:p>
            <w:pPr>
              <w:spacing w:after="0"/>
              <w:rPr>
                <w:sz w:val="20"/>
                <w:szCs w:val="20"/>
                <w:color w:val="auto"/>
              </w:rPr>
            </w:pPr>
            <w:r>
              <w:rPr>
                <w:rFonts w:ascii="Arial" w:cs="Arial" w:eastAsia="Arial" w:hAnsi="Arial"/>
                <w:sz w:val="18"/>
                <w:szCs w:val="18"/>
                <w:color w:val="auto"/>
              </w:rPr>
              <w:t>X</w:t>
            </w:r>
          </w:p>
        </w:tc>
        <w:tc>
          <w:tcPr>
            <w:tcW w:w="40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4260" w:type="dxa"/>
            <w:vAlign w:val="bottom"/>
            <w:gridSpan w:val="2"/>
          </w:tcPr>
          <w:p>
            <w:pPr>
              <w:jc w:val="right"/>
              <w:spacing w:after="0"/>
              <w:rPr>
                <w:sz w:val="20"/>
                <w:szCs w:val="20"/>
                <w:color w:val="auto"/>
              </w:rPr>
            </w:pPr>
            <w:r>
              <w:rPr>
                <w:rFonts w:ascii="Arial" w:cs="Arial" w:eastAsia="Arial" w:hAnsi="Arial"/>
                <w:sz w:val="18"/>
                <w:szCs w:val="18"/>
                <w:color w:val="auto"/>
              </w:rPr>
              <w:t>, 2010</w:t>
            </w:r>
          </w:p>
        </w:tc>
      </w:tr>
      <w:tr>
        <w:trPr>
          <w:trHeight w:val="20"/>
        </w:trPr>
        <w:tc>
          <w:tcPr>
            <w:tcW w:w="180" w:type="dxa"/>
            <w:vAlign w:val="bottom"/>
          </w:tcPr>
          <w:p>
            <w:pPr>
              <w:spacing w:after="0" w:line="20" w:lineRule="exact"/>
              <w:rPr>
                <w:sz w:val="1"/>
                <w:szCs w:val="1"/>
                <w:color w:val="auto"/>
              </w:rPr>
            </w:pPr>
          </w:p>
        </w:tc>
        <w:tc>
          <w:tcPr>
            <w:tcW w:w="404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8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39"/>
        </w:trPr>
        <w:tc>
          <w:tcPr>
            <w:tcW w:w="180" w:type="dxa"/>
            <w:vAlign w:val="bottom"/>
          </w:tcPr>
          <w:p>
            <w:pPr>
              <w:spacing w:after="0"/>
              <w:rPr>
                <w:sz w:val="20"/>
                <w:szCs w:val="20"/>
                <w:color w:val="auto"/>
              </w:rPr>
            </w:pPr>
            <w:r>
              <w:rPr>
                <w:rFonts w:ascii="Arial" w:cs="Arial" w:eastAsia="Arial" w:hAnsi="Arial"/>
                <w:sz w:val="18"/>
                <w:szCs w:val="18"/>
                <w:color w:val="auto"/>
              </w:rPr>
              <w:t>X</w:t>
            </w:r>
          </w:p>
        </w:tc>
        <w:tc>
          <w:tcPr>
            <w:tcW w:w="40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260" w:type="dxa"/>
            <w:vAlign w:val="bottom"/>
            <w:gridSpan w:val="2"/>
          </w:tcPr>
          <w:p>
            <w:pPr>
              <w:jc w:val="right"/>
              <w:spacing w:after="0"/>
              <w:rPr>
                <w:sz w:val="20"/>
                <w:szCs w:val="20"/>
                <w:color w:val="auto"/>
              </w:rPr>
            </w:pPr>
            <w:r>
              <w:rPr>
                <w:rFonts w:ascii="Arial" w:cs="Arial" w:eastAsia="Arial" w:hAnsi="Arial"/>
                <w:sz w:val="18"/>
                <w:szCs w:val="18"/>
                <w:color w:val="auto"/>
              </w:rPr>
              <w:t>, 2010</w:t>
            </w:r>
          </w:p>
        </w:tc>
      </w:tr>
      <w:tr>
        <w:trPr>
          <w:trHeight w:val="182"/>
        </w:trPr>
        <w:tc>
          <w:tcPr>
            <w:tcW w:w="180" w:type="dxa"/>
            <w:vAlign w:val="bottom"/>
          </w:tcPr>
          <w:p>
            <w:pPr>
              <w:spacing w:after="0"/>
              <w:rPr>
                <w:sz w:val="15"/>
                <w:szCs w:val="15"/>
                <w:color w:val="auto"/>
              </w:rPr>
            </w:pPr>
          </w:p>
        </w:tc>
        <w:tc>
          <w:tcPr>
            <w:tcW w:w="4040" w:type="dxa"/>
            <w:vAlign w:val="bottom"/>
            <w:tcBorders>
              <w:top w:val="single" w:sz="8" w:color="auto"/>
            </w:tcBorders>
          </w:tcPr>
          <w:p>
            <w:pPr>
              <w:ind w:left="1600"/>
              <w:spacing w:after="0"/>
              <w:rPr>
                <w:sz w:val="20"/>
                <w:szCs w:val="20"/>
                <w:color w:val="auto"/>
              </w:rPr>
            </w:pPr>
            <w:r>
              <w:rPr>
                <w:rFonts w:ascii="Arial" w:cs="Arial" w:eastAsia="Arial" w:hAnsi="Arial"/>
                <w:sz w:val="14"/>
                <w:szCs w:val="14"/>
                <w:b w:val="1"/>
                <w:bCs w:val="1"/>
                <w:color w:val="auto"/>
              </w:rPr>
              <w:t>(Signature(s) of Owner)</w:t>
            </w:r>
          </w:p>
        </w:tc>
        <w:tc>
          <w:tcPr>
            <w:tcW w:w="2700" w:type="dxa"/>
            <w:vAlign w:val="bottom"/>
          </w:tcPr>
          <w:p>
            <w:pPr>
              <w:spacing w:after="0"/>
              <w:rPr>
                <w:sz w:val="15"/>
                <w:szCs w:val="15"/>
                <w:color w:val="auto"/>
              </w:rPr>
            </w:pPr>
          </w:p>
        </w:tc>
        <w:tc>
          <w:tcPr>
            <w:tcW w:w="3820" w:type="dxa"/>
            <w:vAlign w:val="bottom"/>
            <w:tcBorders>
              <w:top w:val="single" w:sz="8" w:color="auto"/>
            </w:tcBorders>
          </w:tcPr>
          <w:p>
            <w:pPr>
              <w:spacing w:after="0"/>
              <w:rPr>
                <w:sz w:val="15"/>
                <w:szCs w:val="15"/>
                <w:color w:val="auto"/>
              </w:rPr>
            </w:pPr>
          </w:p>
        </w:tc>
        <w:tc>
          <w:tcPr>
            <w:tcW w:w="440" w:type="dxa"/>
            <w:vAlign w:val="bottom"/>
          </w:tcPr>
          <w:p>
            <w:pPr>
              <w:spacing w:after="0"/>
              <w:rPr>
                <w:sz w:val="15"/>
                <w:szCs w:val="15"/>
                <w:color w:val="auto"/>
              </w:rPr>
            </w:pPr>
          </w:p>
        </w:tc>
      </w:tr>
    </w:tbl>
    <w:p>
      <w:pPr>
        <w:spacing w:after="0" w:line="22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Area Code and Telephone Number</w:t>
      </w:r>
    </w:p>
    <w:p>
      <w:pPr>
        <w:spacing w:after="0" w:line="252" w:lineRule="exact"/>
        <w:rPr>
          <w:sz w:val="20"/>
          <w:szCs w:val="20"/>
          <w:color w:val="auto"/>
        </w:rPr>
      </w:pPr>
    </w:p>
    <w:p>
      <w:pPr>
        <w:ind w:left="120" w:right="400" w:firstLine="432"/>
        <w:spacing w:after="0" w:line="335" w:lineRule="auto"/>
        <w:rPr>
          <w:sz w:val="20"/>
          <w:szCs w:val="20"/>
          <w:color w:val="auto"/>
        </w:rPr>
      </w:pPr>
      <w:r>
        <w:rPr>
          <w:rFonts w:ascii="Arial" w:cs="Arial" w:eastAsia="Arial" w:hAnsi="Arial"/>
          <w:sz w:val="15"/>
          <w:szCs w:val="15"/>
          <w:color w:val="auto"/>
        </w:rPr>
        <w:t>If a holder is tendering any Old Notes, this Letter must be signed by the registered holder(s) as the name(s) appear(s) on the certificate(s) for the Old Notes or by any person(s) authorized to become registered holder(s) by endorsements and documents transmitted herewith. If signature is by a trustee, executor, administrator, guardian, officer or other person acting in a fiduciary or representative capacity, please set forth full title. See Instruction 3.</w:t>
      </w:r>
    </w:p>
    <w:p>
      <w:pPr>
        <w:spacing w:after="0" w:line="1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Name(s):</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(Please Type or Print)</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Capacity:</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(Including Zip Code)</w:t>
      </w:r>
    </w:p>
    <w:p>
      <w:pPr>
        <w:spacing w:after="0" w:line="7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Tax Identification No.:</w:t>
      </w:r>
    </w:p>
    <w:p>
      <w:pPr>
        <w:spacing w:after="0" w:line="20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SIGNATURE GUARANTEE</w:t>
      </w:r>
    </w:p>
    <w:p>
      <w:pPr>
        <w:spacing w:after="0" w:line="21"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(If required by Instruction 3)</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Signature(s) Guaranteed by</w:t>
      </w:r>
    </w:p>
    <w:p>
      <w:pPr>
        <w:spacing w:after="0" w:line="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 Eligible Institution: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(Authorized Signature)</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(Title)</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(Name and Firm)</w:t>
      </w:r>
    </w:p>
    <w:p>
      <w:pPr>
        <w:spacing w:after="0" w:line="172"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Arial" w:cs="Arial" w:eastAsia="Arial" w:hAnsi="Arial"/>
                <w:sz w:val="18"/>
                <w:szCs w:val="18"/>
                <w:color w:val="auto"/>
                <w:w w:val="82"/>
              </w:rPr>
              <w:t>Dated:</w:t>
            </w:r>
          </w:p>
        </w:tc>
        <w:tc>
          <w:tcPr>
            <w:tcW w:w="8340" w:type="dxa"/>
            <w:vAlign w:val="bottom"/>
            <w:gridSpan w:val="2"/>
          </w:tcPr>
          <w:p>
            <w:pPr>
              <w:jc w:val="right"/>
              <w:spacing w:after="0"/>
              <w:rPr>
                <w:sz w:val="20"/>
                <w:szCs w:val="20"/>
                <w:color w:val="auto"/>
              </w:rPr>
            </w:pPr>
            <w:r>
              <w:rPr>
                <w:rFonts w:ascii="Arial" w:cs="Arial" w:eastAsia="Arial" w:hAnsi="Arial"/>
                <w:sz w:val="18"/>
                <w:szCs w:val="18"/>
                <w:color w:val="auto"/>
              </w:rPr>
              <w:t>, 2010</w:t>
            </w:r>
          </w:p>
        </w:tc>
      </w:tr>
      <w:tr>
        <w:trPr>
          <w:trHeight w:val="20"/>
        </w:trPr>
        <w:tc>
          <w:tcPr>
            <w:tcW w:w="460" w:type="dxa"/>
            <w:vAlign w:val="bottom"/>
          </w:tcPr>
          <w:p>
            <w:pPr>
              <w:spacing w:after="0" w:line="20" w:lineRule="exact"/>
              <w:rPr>
                <w:sz w:val="1"/>
                <w:szCs w:val="1"/>
                <w:color w:val="auto"/>
              </w:rPr>
            </w:pPr>
          </w:p>
        </w:tc>
        <w:tc>
          <w:tcPr>
            <w:tcW w:w="79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352" w:name="page353"/>
    <w:bookmarkEnd w:id="35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INSTRUCTIONS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Forming Part of the Terms and Conditions of the Exchange Offer for the</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 xml:space="preserve">7 </w:t>
      </w:r>
      <w:r>
        <w:rPr>
          <w:rFonts w:ascii="Arial" w:cs="Arial" w:eastAsia="Arial" w:hAnsi="Arial"/>
          <w:sz w:val="11"/>
          <w:szCs w:val="11"/>
          <w:b w:val="1"/>
          <w:bCs w:val="1"/>
          <w:color w:val="auto"/>
        </w:rPr>
        <w:t>7</w:t>
      </w:r>
      <w:r>
        <w:rPr>
          <w:rFonts w:ascii="Arial" w:cs="Arial" w:eastAsia="Arial" w:hAnsi="Arial"/>
          <w:sz w:val="18"/>
          <w:szCs w:val="18"/>
          <w:b w:val="1"/>
          <w:bCs w:val="1"/>
          <w:color w:val="auto"/>
        </w:rPr>
        <w:t>/</w:t>
      </w:r>
      <w:r>
        <w:rPr>
          <w:rFonts w:ascii="Arial" w:cs="Arial" w:eastAsia="Arial" w:hAnsi="Arial"/>
          <w:sz w:val="13"/>
          <w:szCs w:val="13"/>
          <w:b w:val="1"/>
          <w:bCs w:val="1"/>
          <w:color w:val="auto"/>
        </w:rPr>
        <w:t>8</w:t>
      </w:r>
      <w:r>
        <w:rPr>
          <w:rFonts w:ascii="Arial" w:cs="Arial" w:eastAsia="Arial" w:hAnsi="Arial"/>
          <w:sz w:val="18"/>
          <w:szCs w:val="18"/>
          <w:b w:val="1"/>
          <w:bCs w:val="1"/>
          <w:color w:val="auto"/>
        </w:rPr>
        <w:t>% First Mortgage Notes due 2017 Issued on October 19, 2009 of</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Wynn Las Vegas, LLC and Wynn Las Vegas Capital Corp.</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Exchange for the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 xml:space="preserve">7 </w:t>
      </w:r>
      <w:r>
        <w:rPr>
          <w:rFonts w:ascii="Arial" w:cs="Arial" w:eastAsia="Arial" w:hAnsi="Arial"/>
          <w:sz w:val="11"/>
          <w:szCs w:val="11"/>
          <w:b w:val="1"/>
          <w:bCs w:val="1"/>
          <w:color w:val="auto"/>
        </w:rPr>
        <w:t>7</w:t>
      </w:r>
      <w:r>
        <w:rPr>
          <w:rFonts w:ascii="Arial" w:cs="Arial" w:eastAsia="Arial" w:hAnsi="Arial"/>
          <w:sz w:val="18"/>
          <w:szCs w:val="18"/>
          <w:b w:val="1"/>
          <w:bCs w:val="1"/>
          <w:color w:val="auto"/>
        </w:rPr>
        <w:t>/</w:t>
      </w:r>
      <w:r>
        <w:rPr>
          <w:rFonts w:ascii="Arial" w:cs="Arial" w:eastAsia="Arial" w:hAnsi="Arial"/>
          <w:sz w:val="13"/>
          <w:szCs w:val="13"/>
          <w:b w:val="1"/>
          <w:bCs w:val="1"/>
          <w:color w:val="auto"/>
        </w:rPr>
        <w:t>8</w:t>
      </w:r>
      <w:r>
        <w:rPr>
          <w:rFonts w:ascii="Arial" w:cs="Arial" w:eastAsia="Arial" w:hAnsi="Arial"/>
          <w:sz w:val="18"/>
          <w:szCs w:val="18"/>
          <w:b w:val="1"/>
          <w:bCs w:val="1"/>
          <w:color w:val="auto"/>
        </w:rPr>
        <w:t>% First Mortgage Notes due 2017 of Wynn Las Vegas, LLC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and Wynn Las Vegas Capital Corp. That Have Been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Registered Under the Securities Act of 1933, as Amended</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and the</w:t>
      </w:r>
    </w:p>
    <w:p>
      <w:pPr>
        <w:spacing w:after="0" w:line="171" w:lineRule="exact"/>
        <w:rPr>
          <w:sz w:val="20"/>
          <w:szCs w:val="20"/>
          <w:color w:val="auto"/>
        </w:rPr>
      </w:pPr>
    </w:p>
    <w:p>
      <w:pPr>
        <w:ind w:left="3520" w:right="3220" w:hanging="252"/>
        <w:spacing w:after="0" w:line="281" w:lineRule="auto"/>
        <w:tabs>
          <w:tab w:leader="none" w:pos="3413" w:val="left"/>
        </w:tabs>
        <w:numPr>
          <w:ilvl w:val="0"/>
          <w:numId w:val="403"/>
        </w:numPr>
        <w:rPr>
          <w:rFonts w:ascii="Arial" w:cs="Arial" w:eastAsia="Arial" w:hAnsi="Arial"/>
          <w:sz w:val="17"/>
          <w:szCs w:val="17"/>
          <w:b w:val="1"/>
          <w:bCs w:val="1"/>
          <w:color w:val="auto"/>
        </w:rPr>
      </w:pPr>
      <w:r>
        <w:rPr>
          <w:rFonts w:ascii="Arial" w:cs="Arial" w:eastAsia="Arial" w:hAnsi="Arial"/>
          <w:sz w:val="11"/>
          <w:szCs w:val="11"/>
          <w:b w:val="1"/>
          <w:bCs w:val="1"/>
          <w:color w:val="auto"/>
        </w:rPr>
        <w:t>7</w:t>
      </w:r>
      <w:r>
        <w:rPr>
          <w:rFonts w:ascii="Arial" w:cs="Arial" w:eastAsia="Arial" w:hAnsi="Arial"/>
          <w:sz w:val="16"/>
          <w:szCs w:val="16"/>
          <w:b w:val="1"/>
          <w:bCs w:val="1"/>
          <w:color w:val="auto"/>
        </w:rPr>
        <w:t>/</w:t>
      </w:r>
      <w:r>
        <w:rPr>
          <w:rFonts w:ascii="Arial" w:cs="Arial" w:eastAsia="Arial" w:hAnsi="Arial"/>
          <w:sz w:val="12"/>
          <w:szCs w:val="12"/>
          <w:b w:val="1"/>
          <w:bCs w:val="1"/>
          <w:color w:val="auto"/>
        </w:rPr>
        <w:t>8</w:t>
      </w:r>
      <w:r>
        <w:rPr>
          <w:rFonts w:ascii="Arial" w:cs="Arial" w:eastAsia="Arial" w:hAnsi="Arial"/>
          <w:sz w:val="16"/>
          <w:szCs w:val="16"/>
          <w:b w:val="1"/>
          <w:bCs w:val="1"/>
          <w:color w:val="auto"/>
        </w:rPr>
        <w:t>% First Mortgage Notes due 2020 Issued on April 28, 2010 of</w:t>
      </w:r>
      <w:r>
        <w:rPr>
          <w:rFonts w:ascii="Arial" w:cs="Arial" w:eastAsia="Arial" w:hAnsi="Arial"/>
          <w:sz w:val="11"/>
          <w:szCs w:val="11"/>
          <w:b w:val="1"/>
          <w:bCs w:val="1"/>
          <w:color w:val="auto"/>
        </w:rPr>
        <w:t xml:space="preserve"> </w:t>
      </w:r>
      <w:r>
        <w:rPr>
          <w:rFonts w:ascii="Arial" w:cs="Arial" w:eastAsia="Arial" w:hAnsi="Arial"/>
          <w:sz w:val="16"/>
          <w:szCs w:val="16"/>
          <w:b w:val="1"/>
          <w:bCs w:val="1"/>
          <w:color w:val="auto"/>
        </w:rPr>
        <w:t>Wynn Las Vegas, LLC and Wynn Las Vegas Capital Corp.</w:t>
      </w:r>
    </w:p>
    <w:p>
      <w:pPr>
        <w:jc w:val="center"/>
        <w:ind w:right="-59"/>
        <w:spacing w:after="0"/>
        <w:rPr>
          <w:sz w:val="20"/>
          <w:szCs w:val="20"/>
          <w:color w:val="auto"/>
        </w:rPr>
      </w:pPr>
      <w:r>
        <w:rPr>
          <w:rFonts w:ascii="Arial" w:cs="Arial" w:eastAsia="Arial" w:hAnsi="Arial"/>
          <w:sz w:val="18"/>
          <w:szCs w:val="18"/>
          <w:b w:val="1"/>
          <w:bCs w:val="1"/>
          <w:color w:val="auto"/>
        </w:rPr>
        <w:t>in Exchange for the</w:t>
      </w:r>
    </w:p>
    <w:p>
      <w:pPr>
        <w:spacing w:after="0" w:line="9" w:lineRule="exact"/>
        <w:rPr>
          <w:sz w:val="20"/>
          <w:szCs w:val="20"/>
          <w:color w:val="auto"/>
        </w:rPr>
      </w:pPr>
    </w:p>
    <w:p>
      <w:pPr>
        <w:ind w:left="3760" w:right="3280" w:hanging="434"/>
        <w:spacing w:after="0" w:line="273" w:lineRule="auto"/>
        <w:tabs>
          <w:tab w:leader="none" w:pos="3468" w:val="left"/>
        </w:tabs>
        <w:numPr>
          <w:ilvl w:val="0"/>
          <w:numId w:val="404"/>
        </w:numPr>
        <w:rPr>
          <w:rFonts w:ascii="Arial" w:cs="Arial" w:eastAsia="Arial" w:hAnsi="Arial"/>
          <w:sz w:val="17"/>
          <w:szCs w:val="17"/>
          <w:b w:val="1"/>
          <w:bCs w:val="1"/>
          <w:color w:val="auto"/>
        </w:rPr>
      </w:pPr>
      <w:r>
        <w:rPr>
          <w:rFonts w:ascii="Arial" w:cs="Arial" w:eastAsia="Arial" w:hAnsi="Arial"/>
          <w:sz w:val="11"/>
          <w:szCs w:val="11"/>
          <w:b w:val="1"/>
          <w:bCs w:val="1"/>
          <w:color w:val="auto"/>
        </w:rPr>
        <w:t>7</w:t>
      </w:r>
      <w:r>
        <w:rPr>
          <w:rFonts w:ascii="Arial" w:cs="Arial" w:eastAsia="Arial" w:hAnsi="Arial"/>
          <w:sz w:val="16"/>
          <w:szCs w:val="16"/>
          <w:b w:val="1"/>
          <w:bCs w:val="1"/>
          <w:color w:val="auto"/>
        </w:rPr>
        <w:t>/</w:t>
      </w:r>
      <w:r>
        <w:rPr>
          <w:rFonts w:ascii="Arial" w:cs="Arial" w:eastAsia="Arial" w:hAnsi="Arial"/>
          <w:sz w:val="12"/>
          <w:szCs w:val="12"/>
          <w:b w:val="1"/>
          <w:bCs w:val="1"/>
          <w:color w:val="auto"/>
        </w:rPr>
        <w:t>8</w:t>
      </w:r>
      <w:r>
        <w:rPr>
          <w:rFonts w:ascii="Arial" w:cs="Arial" w:eastAsia="Arial" w:hAnsi="Arial"/>
          <w:sz w:val="16"/>
          <w:szCs w:val="16"/>
          <w:b w:val="1"/>
          <w:bCs w:val="1"/>
          <w:color w:val="auto"/>
        </w:rPr>
        <w:t>% First Mortgage Notes due 2020 of Wynn Las Vegas, LLC</w:t>
      </w:r>
      <w:r>
        <w:rPr>
          <w:rFonts w:ascii="Arial" w:cs="Arial" w:eastAsia="Arial" w:hAnsi="Arial"/>
          <w:sz w:val="11"/>
          <w:szCs w:val="11"/>
          <w:b w:val="1"/>
          <w:bCs w:val="1"/>
          <w:color w:val="auto"/>
        </w:rPr>
        <w:t xml:space="preserve"> </w:t>
      </w:r>
      <w:r>
        <w:rPr>
          <w:rFonts w:ascii="Arial" w:cs="Arial" w:eastAsia="Arial" w:hAnsi="Arial"/>
          <w:sz w:val="16"/>
          <w:szCs w:val="16"/>
          <w:b w:val="1"/>
          <w:bCs w:val="1"/>
          <w:color w:val="auto"/>
        </w:rPr>
        <w:t>and Wynn Las Vegas Capital Corp. That Have Been</w:t>
      </w:r>
    </w:p>
    <w:p>
      <w:pPr>
        <w:spacing w:after="0" w:line="1" w:lineRule="exact"/>
        <w:rPr>
          <w:sz w:val="20"/>
          <w:szCs w:val="20"/>
          <w:color w:val="auto"/>
        </w:rPr>
      </w:pPr>
    </w:p>
    <w:p>
      <w:pPr>
        <w:ind w:right="3520" w:firstLine="3569"/>
        <w:spacing w:after="0" w:line="387" w:lineRule="auto"/>
        <w:rPr>
          <w:sz w:val="20"/>
          <w:szCs w:val="20"/>
          <w:color w:val="auto"/>
        </w:rPr>
      </w:pPr>
      <w:r>
        <w:rPr>
          <w:rFonts w:ascii="Arial" w:cs="Arial" w:eastAsia="Arial" w:hAnsi="Arial"/>
          <w:sz w:val="18"/>
          <w:szCs w:val="18"/>
          <w:b w:val="1"/>
          <w:bCs w:val="1"/>
          <w:color w:val="auto"/>
        </w:rPr>
        <w:t>Registered Under the Securities Act of 1933, as Amended 1. Delivery of this Letter and Old Notes; Guaranteed Delivery Procedures.</w:t>
      </w:r>
    </w:p>
    <w:p>
      <w:pPr>
        <w:spacing w:after="0" w:line="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This Letter is to be completed by holders of Old Notes either if certificates are to be forwarded herewith or if tenders are to be made pursuant to the procedures for delivery by book-entry transfer set forth in “The Exchange Offer—Book-Entry Transfers” section of the Prospectus and an Agent’s Message is not delivered. Tenders by book-entry transfer may also be made by delivering an Agent’s Message in lieu of this Letter. The term “Agent’s Message” means a message, transmitted by the Book-Entry Transfer Facility to and received by the Exchange Agent and forming a part of a Book-Entry Confirmation, which states that the Book-Entry Transfer Facility has received an express acknowledgment from the tendering participant, which acknowledgment states that such participant has received and agrees to be bound by the Letter of Transmittal and that the Issuers may enforce the Letter of Transmittal against such participant. Certificates for all physically tendered Old Notes, or Book-Entry Confirmation, as the case may be, as well as a properly completed and duly executed Letter (or manually signed facsimile hereof or Agent’s Message in lieu thereof) and any other documents required by this Letter, must be received by the Exchange Agent at the address set forth herein prior to the Expiration Date, or the tendering holder must comply with the guaranteed delivery procedures referred to below and set forth in “The Exchange Offer—Guaranteed Delivery Procedures” section of the Prospectus. Old Notes tendered hereby must be in denominations of principal amount of $2,000 and integral multiples of $1,000 in excess of $2,000.</w:t>
      </w:r>
    </w:p>
    <w:p>
      <w:pPr>
        <w:spacing w:after="0" w:line="12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Holders whose certificates for Old Notes are not immediately available or who cannot deliver their certificates and all other required documents to the Exchange Agent prior to the Expiration Date, or who cannot complete the procedure for book-entry transfer on a timely basis, may tender their Old Notes pursuant to the guaranteed delivery procedures set forth in “The Exchange Offer—Guaranteed Delivery Procedures” section of the Prospectus. Pursuant to such procedures, (i) such tender must be made through an Eligible Institution, (ii) prior to 5:00 p.m., New York City time, on the Expiration Date, the Exchange Agent must receive from such Eligible Institution a properly completed and duly executed Notice of Guaranteed Delivery, substantially in the form provided by the Issuers (by telegram, facsimile transmission, mail or hand delivery), setting forth the name and address of the Holder and the amount of Old Notes tendered, stating that the tender is being made thereby and guaranteeing that within three New York Stock Exchange (“NYSE”) trading days after the date of execution of the Notice of Guaranteed Delivery, the certificates for all physically tendered Old Notes, in proper form for transfer, or a Book-Entry Confirmation, as the case may be, together with this Letter properly completed and duly executed (or facsimile hereof or Agent’s Message in lieu hereof) with any required signature guarantees and any other documents required by this Letter will be deposited by the Eligible Institution with the Exchange Agent, and (iii) the certificates for all physically tendered Old Notes, in proper form for transfer, or a Book-Entry</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73" w:right="279" w:bottom="1440" w:gutter="0" w:footer="0" w:header="0"/>
        </w:sectPr>
      </w:pPr>
    </w:p>
    <w:bookmarkStart w:id="353" w:name="page354"/>
    <w:bookmarkEnd w:id="353"/>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Confirmation, as the case may be, together with this Letter properly completed and duly executed (or facsimile hereof or Agent’s Message in lieu hereof) with any required signature guarantees and all other documents required by this Letter, are received by the Exchange Agent within three NYSE trading days after the date of execution of the Notice of Guaranteed Delivery.</w:t>
      </w:r>
    </w:p>
    <w:p>
      <w:pPr>
        <w:spacing w:after="0" w:line="14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The method of delivery of this Letter, the Old Notes and all other required documents is at the election and risk of the tendering holders, but the delivery will be deemed made only when actually received or confirmed by the Exchange Agent. If Old Notes are sent by mail, it is suggested that the mailing be registered mail, properly insured, with return receipt requested, made sufficiently in advance of the Expiration Date to permit delivery to the Exchange Agent prior to 5:00 p.m., New York City time, on the Expiration Date.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“The Exchange Offer” section of the Prospectus.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Partial Tenders (not applicable to noteholders who tender by book-entry transfer).</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If less than all of the Old Notes evidenced by a submitted certificate are to be tendered, the tendering holder(s) should fill in the aggregate principal amount of Old Notes to be tendered in the box or boxes above entitled “Description of Old 2017 Notes—Principal Amount Tendered” and/or “Description of Old 2020 Notes—Principal Amount Tendered.” A reissued certificate representing the balance of nontendered Old Notes will be sent to such tendering holder, unless otherwise provided in the appropriate box on this Letter, promptly after the Expiration Date. </w:t>
      </w:r>
      <w:r>
        <w:rPr>
          <w:rFonts w:ascii="Arial" w:cs="Arial" w:eastAsia="Arial" w:hAnsi="Arial"/>
          <w:sz w:val="18"/>
          <w:szCs w:val="18"/>
          <w:b w:val="1"/>
          <w:bCs w:val="1"/>
          <w:color w:val="auto"/>
        </w:rPr>
        <w:t>All of the Old Notes delivered to the Exchange Agent will be</w:t>
      </w:r>
      <w:r>
        <w:rPr>
          <w:rFonts w:ascii="Arial" w:cs="Arial" w:eastAsia="Arial" w:hAnsi="Arial"/>
          <w:sz w:val="18"/>
          <w:szCs w:val="18"/>
          <w:color w:val="auto"/>
        </w:rPr>
        <w:t xml:space="preserve"> </w:t>
      </w:r>
      <w:r>
        <w:rPr>
          <w:rFonts w:ascii="Arial" w:cs="Arial" w:eastAsia="Arial" w:hAnsi="Arial"/>
          <w:sz w:val="18"/>
          <w:szCs w:val="18"/>
          <w:b w:val="1"/>
          <w:bCs w:val="1"/>
          <w:color w:val="auto"/>
        </w:rPr>
        <w:t>deemed to have been tendered unless otherwise indicated.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Signatures on this Letter; Bond Powers and Endorsements; Guarantee of Signatures.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If this Letter is signed by the registered holder of the Old Notes tendered hereby, the signature must correspond exactly with the name as written on the face of the certificates without any change whatsoever.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any tendered Old Notes are owned of record by two or more joint owners, all of such owners must sign this Letter.</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If any tendered Old Notes are registered in different names on several certificates, it will be necessary to complete, sign and submit as many separate copies of this Letter as there are different registrations of certificates.</w:t>
      </w:r>
    </w:p>
    <w:p>
      <w:pPr>
        <w:spacing w:after="0" w:line="132"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When this Letter is signed by the registered holder or holders of the Old Notes specified herein and tendered hereby, no endorsements of certificates or separate bond powers are required. If, however, the New Notes are to be issued, or any untendered Old Notes are to be reissued, to a person other than the registered holder, then endorsements of any certificates transmitted hereby or separate bond powers are required. Signatures on such certificate(s) must be guaranteed by an Eligible Institution.</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this Letter is signed by a person other than the registered holder or holders of any certificate(s) specified herein, such certificate(s) must be endorsed or accompanied by appropriate bond powers, in either case signed exactly as the name or names of the registered holder or holders appear(s) on the certificate(s) and signatures on such certificate(s) must be guaranteed by an Eligible Institution.</w:t>
      </w:r>
    </w:p>
    <w:p>
      <w:pPr>
        <w:spacing w:after="0" w:line="14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If this Letter or any certificates or bond powers are signed by trustees, executors, administrators, guardians, attorneys-in-fact, officers of corporations or others acting in a fiduciary or representative capacity, such persons should so indicate when signing, and, unless waived by the Issuers, proper evidence satisfactory to the Issuers of their authority to so act must be submitted.</w:t>
      </w:r>
    </w:p>
    <w:p>
      <w:pPr>
        <w:spacing w:after="0" w:line="14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Endorsements on certificates for Old Notes or signatures on bond powers required by this Instruction 3 must be guaranteed by a firm that is a financial institution (including most banks, savings and loan associations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354" w:name="page355"/>
    <w:bookmarkEnd w:id="354"/>
    <w:p>
      <w:pPr>
        <w:ind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brokerage houses) that is a participant in the Securities Transfer Agents Medallion Program, the New York Stock Exchange Medallion Signature Program or the Stock Exchanges Medallion Program (each an “Eligible Institution”).</w:t>
      </w:r>
    </w:p>
    <w:p>
      <w:pPr>
        <w:spacing w:after="0" w:line="13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Signatures on this Letter need not be guaranteed by an Eligible Institution, provided the Old Notes are tendered: (i) by a registered holder (which term, for purposes of the Exchange Offer, includes any participant in the Book-Entry Transfer Facility system whose name appears on a security position listing as the holder of such Old Notes) who has not completed the box entitled “Special Issuance Instructions” or “Special Delivery Instructions” on this Letter, or (ii) for the account of an Eligible Institution.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Special Issuance and Delivery Instructions.</w:t>
      </w:r>
    </w:p>
    <w:p>
      <w:pPr>
        <w:spacing w:after="0" w:line="9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Tendering holders of Old Notes should indicate in the applicable box the name and address to which New Notes issued pursuant to the Exchange Offer and/or substitute certificates evidencing Old Notes not exchanged are to be issued or sent, if different from the name or address of the person signing this Letter. In the case of issuance in a different name, the employer identification or social security number of the person named must also be indicated. Noteholders tendering Old Notes by book-entry transfer may request that Old Notes not exchanged be credited to such account maintained at the Book-Entry Transfer Facility as such noteholder may designate hereon. If no such instructions are given, such Old Notes not exchanged will be returned to the name and address of the person signing this Letter.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Taxpayer Identification Number and Certification of Foreign Status.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Federal income tax law generally requires that a tendering holder whose Old Notes are accepted for exchange must provide the Issuers (as payors) with such holder’s correct Taxpayer Identification Number (“TIN”) on the Substitute Form W-9 below, which generally is such holder’s social security number or employee identification number, or otherwise establish an exemption. If the Issuers are not provided with the current TIN or an adequate basis for an exemption from backup withholding, such tendering holder may be subject to a $50 penalty imposed by the Internal Revenue Service (the “IRS”) and backup withholding at the then applicable rate on the amount of any reportable payments made after the exchange to such tendering holder of New Notes. If withholding results in an overpayment of taxes, a refund may be obtained provided that the required information is timely furnished to the IRS.</w:t>
      </w:r>
    </w:p>
    <w:p>
      <w:pPr>
        <w:spacing w:after="0" w:line="12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Exempt holders of Old Notes (including, among others, all corporations and certain foreign individuals) are not subject to these backup withholding and reporting requirements. To prevent possible backup withholding an exempt holder that is a U.S. person should write “Exempt” in Part 3 of Substitute Form W-9. See the enclosed Guidelines of Certification of Taxpayer Identification Number on Substitute Form W-9 (the “W-9 Guidelines”) for additional instructions.</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To prevent backup withholding, each tendering holder of Old Notes must provide its correct TIN by completing the Substitute Form W-9 set forth below, certifying, under penalties of perjury, that (A) the TIN provided is correct (or that such holder is awaiting a TIN), (B) the holder is a U.S. person, and (C) (i) the holder is exempt from backup withholding, (ii) the holder has not been notified by the IRS that such holder is subject to backup withholding as a result of a failure to report all interest or dividends or (iii) the IRS has notified the holder that such holder is no longer subject to backup withholding.</w:t>
      </w:r>
    </w:p>
    <w:p>
      <w:pPr>
        <w:spacing w:after="0" w:line="113" w:lineRule="exact"/>
        <w:rPr>
          <w:sz w:val="20"/>
          <w:szCs w:val="20"/>
          <w:color w:val="auto"/>
        </w:rPr>
      </w:pPr>
    </w:p>
    <w:p>
      <w:pPr>
        <w:jc w:val="both"/>
        <w:ind w:right="120" w:firstLine="456"/>
        <w:spacing w:after="0" w:line="294" w:lineRule="auto"/>
        <w:rPr>
          <w:sz w:val="20"/>
          <w:szCs w:val="20"/>
          <w:color w:val="auto"/>
        </w:rPr>
      </w:pPr>
      <w:r>
        <w:rPr>
          <w:rFonts w:ascii="Arial" w:cs="Arial" w:eastAsia="Arial" w:hAnsi="Arial"/>
          <w:sz w:val="16"/>
          <w:szCs w:val="16"/>
          <w:color w:val="auto"/>
        </w:rPr>
        <w:t>If a holder that is a U.S. person does not have a TIN, such holder should consult the W-9 Guidelines for instructions on applying for a TIN, check the box in Part 2 of the Substitute Form W-9 and write “applied for” in the space for the TIN in Part 3 of the Substitute Form W-9. Note: Checking this box and writing “applied for” on the form means that such holder has already applied for a TIN or that such holder intends to apply for one in the near future. If the box in Part 2 of the Substitute Form W-9 is checked, and the Exchange Agent is not provided with a TIN by the time of payment, the Exchange Agent may withhold a portion of all reportable payments to the holder thereafter until such holder furnishes its TIN to the Exchange Agent.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355" w:name="page356"/>
    <w:bookmarkEnd w:id="355"/>
    <w:p>
      <w:pPr>
        <w:jc w:val="both"/>
        <w:ind w:right="2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tendering holder of Old Notes is a nonresident alien or foreign entity not subject to backup withholding, such holder must give the Exchange Agent a completed Form W-8BEN, Certificate of Foreign Status. These forms may be obtained from the Exchange Agent. If the Old Notes are in more than one name or are not in the name of the actual owner, such holder should consult the W-9 Guidelines for information on which TIN to report.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Transfer Taxes.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Issuers will pay or cause to be paid all transfer taxes, if any, applicable to the transfer of Old Notes to them or their order pursuant to the Exchange Offer. If, however, New Notes are to be delivered to, or are to be registered or issued in the name of, any person other than the registered holder of the Old Notes tendered hereby, or if tendered Old Notes are registered in the name of any person other than the person signing this Letter, or if a transfer tax is imposed for any reason other than the transfer of Old Notes to the Issuers or their order pursuant to the Exchange Offer, the amount of any such transfer taxes (whether imposed on the registered holder or any other persons) will be payable by the tendering holder. If satisfactory evidence of payment of such taxes or exemption therefrom is not submitted herewith, the amount of such transfer taxes will be billed directly to such tendering holder.</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Except as provided in this Instruction 6, it will not be necessary for transfer tax stamps to be affixed to the Old Notes specified in this letter.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Waiver of Conditions.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Issuers reserve the absolute right to waive satisfaction of any or all conditions enumerated in the Prospectus.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No Conditional Tenders.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No alternative, conditional, irregular or contingent tenders will be accepted. All tendering holders of Old Notes, by execution of this Letter, shall waive any right to receive notice of the acceptance of their Old Notes for exchange.</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None of the Issuers, the Exchange Agent nor any other person is obligated to give notice of any defect or irregularity with respect to any tender of Old Notes nor shall any of them incur any liability for failure to give any such notice.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Mutilated, Lost, Stolen or Destroyed Old Notes.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Any holder whose Old Notes have been mutilated, lost, stolen or destroyed should contact the Exchange Agent at the address indicated above for further instructions.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Withdrawal Rights.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Tenders of Old Notes may be withdrawn at any time prior to 5:00 p.m., New York City time, on the Expiration Date.</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For a withdrawal of a tender of Old Notes to be effective, a written notice of withdrawal must be received by the Exchange Agent at the address set forth above prior to 5:00 p.m., New York City time, on the Expiration Date. Any such notice of withdrawal must (i) specify the name of the person having tendered the Old Notes to be withdrawn (the “Depositor”), (ii) identify the Old Notes to be withdrawn (including certificate number or numbers, if certificated, and the name and number of the account at the Book-Entry Transfer Facility to be credited with the withdrawn Old Notes, if tendered pursuant to the procedure for book-entry transfer, and the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79" w:right="279" w:bottom="1440" w:gutter="0" w:footer="0" w:header="0"/>
        </w:sectPr>
      </w:pPr>
    </w:p>
    <w:bookmarkStart w:id="356" w:name="page357"/>
    <w:bookmarkEnd w:id="356"/>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principal amount of such Old Notes), (iii) contain a statement that such Holder is withdrawing its election to have such Old Notes exchanged, (iv) be signed by the Holder in the same manner as the original signature on the Letter by which such Old Notes were tendered (including any required signature guarantees) or be accompanied by documents of transfer to have the Trustee with respect to the Old Notes register the transfer of such Old Notes in the name of the person withdrawing the tender and (v) specify the name in which such Old Notes are registered, if different from that of the Depositor. If Old Notes have been tendered pursuant to the procedure for book-entry transfer set forth in “The Exchange Offer—Book-Entry Transfers” section of the Prospectus, any notice of withdrawal must specify the name and number of the account at the Book-Entry Transfer Facility to be credited with the withdrawn Old Notes and otherwise comply with the procedures of such facility. All questions as to the validity, form and eligibility (including time of receipt) of such notices will be determined by the Issuers, whose determination shall be final and binding on all parties. Any Old Notes so withdrawn will be deemed not to have been validly tendered for exchange for purposes of the Exchange Offer and no New Notes will be issued with respect thereto unless the Old Notes so withdrawn are validly retendered prior to the Expiration Date. Any Old Notes that have been tendered for exchange but which are not exchanged for any reason will be returned to the Holder thereof without cost to such Holder (or, in the case of Old Notes tendered by book-entry transfer into the Exchange Agent’s account at the Book-Entry Transfer Facility pursuant to the book-entry transfer procedures set forth in “The Exchange Offer—Book-Entry Transfers” section of the Prospectus, such Old Notes will be credited to an account maintained with the Book-Entry Transfer Facility for the Old Notes) as soon as practicable after withdrawal, rejection of tender or termination of the Exchange Offer. Properly withdrawn Old Notes may be retendered by following the procedures described above at any time prior to 5:00 p.m., New York City time, on the Expiration Date.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Requests for Assistance or Additional Copies.</w:t>
      </w:r>
    </w:p>
    <w:p>
      <w:pPr>
        <w:spacing w:after="0" w:line="96"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Questions relating to the procedure for tendering, as well as requests for additional copies of the Prospectus and this Letter, and requests for Notices of Guaranteed Delivery and other related documents may be directed to the Exchange Agent, at the address and telephone number indicated above.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357" w:name="page358"/>
    <w:bookmarkEnd w:id="35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BE COMPLETED BY ALL TENDERING HOLDERS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Instruction 5)</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PAYOR’S NAME: U.S. BANK NATIONAL ASSOCIATION</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224"/>
        </w:trPr>
        <w:tc>
          <w:tcPr>
            <w:tcW w:w="25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SUBSTITUTE</w:t>
            </w:r>
          </w:p>
        </w:tc>
        <w:tc>
          <w:tcPr>
            <w:tcW w:w="4160" w:type="dxa"/>
            <w:vAlign w:val="bottom"/>
            <w:tcBorders>
              <w:top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Please fill in your name and address below.</w:t>
            </w:r>
          </w:p>
        </w:tc>
        <w:tc>
          <w:tcPr>
            <w:tcW w:w="420" w:type="dxa"/>
            <w:vAlign w:val="bottom"/>
            <w:tcBorders>
              <w:top w:val="single" w:sz="8" w:color="auto"/>
              <w:right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40" w:type="dxa"/>
            <w:vAlign w:val="bottom"/>
            <w:tcBorders>
              <w:top w:val="single" w:sz="8" w:color="auto"/>
            </w:tcBorders>
            <w:gridSpan w:val="4"/>
          </w:tcPr>
          <w:p>
            <w:pPr>
              <w:ind w:left="140"/>
              <w:spacing w:after="0"/>
              <w:rPr>
                <w:sz w:val="20"/>
                <w:szCs w:val="20"/>
                <w:color w:val="auto"/>
              </w:rPr>
            </w:pPr>
            <w:r>
              <w:rPr>
                <w:rFonts w:ascii="Arial" w:cs="Arial" w:eastAsia="Arial" w:hAnsi="Arial"/>
                <w:sz w:val="18"/>
                <w:szCs w:val="18"/>
                <w:b w:val="1"/>
                <w:bCs w:val="1"/>
                <w:color w:val="auto"/>
              </w:rPr>
              <w:t>Part 1</w:t>
            </w:r>
            <w:r>
              <w:rPr>
                <w:rFonts w:ascii="Arial" w:cs="Arial" w:eastAsia="Arial" w:hAnsi="Arial"/>
                <w:sz w:val="18"/>
                <w:szCs w:val="18"/>
                <w:color w:val="auto"/>
              </w:rPr>
              <w:t>—PLEASE PROVIDE YOUR TIN IN THE</w:t>
            </w:r>
          </w:p>
        </w:tc>
        <w:tc>
          <w:tcPr>
            <w:tcW w:w="0" w:type="dxa"/>
            <w:vAlign w:val="bottom"/>
          </w:tcPr>
          <w:p>
            <w:pPr>
              <w:spacing w:after="0"/>
              <w:rPr>
                <w:sz w:val="1"/>
                <w:szCs w:val="1"/>
                <w:color w:val="auto"/>
              </w:rPr>
            </w:pPr>
          </w:p>
        </w:tc>
      </w:tr>
      <w:tr>
        <w:trPr>
          <w:trHeight w:val="216"/>
        </w:trPr>
        <w:tc>
          <w:tcPr>
            <w:tcW w:w="25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b w:val="1"/>
                <w:bCs w:val="1"/>
                <w:color w:val="auto"/>
              </w:rPr>
              <w:t>Form W-9</w:t>
            </w:r>
          </w:p>
        </w:tc>
        <w:tc>
          <w:tcPr>
            <w:tcW w:w="2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240" w:type="dxa"/>
            <w:vAlign w:val="bottom"/>
            <w:gridSpan w:val="4"/>
          </w:tcPr>
          <w:p>
            <w:pPr>
              <w:ind w:left="140"/>
              <w:spacing w:after="0"/>
              <w:rPr>
                <w:sz w:val="20"/>
                <w:szCs w:val="20"/>
                <w:color w:val="auto"/>
              </w:rPr>
            </w:pPr>
            <w:r>
              <w:rPr>
                <w:rFonts w:ascii="Arial" w:cs="Arial" w:eastAsia="Arial" w:hAnsi="Arial"/>
                <w:sz w:val="18"/>
                <w:szCs w:val="18"/>
                <w:color w:val="auto"/>
              </w:rPr>
              <w:t>BOX BELOW AND CERTIFY BY SIGNING AND</w:t>
            </w:r>
          </w:p>
        </w:tc>
        <w:tc>
          <w:tcPr>
            <w:tcW w:w="0" w:type="dxa"/>
            <w:vAlign w:val="bottom"/>
          </w:tcPr>
          <w:p>
            <w:pPr>
              <w:spacing w:after="0"/>
              <w:rPr>
                <w:sz w:val="1"/>
                <w:szCs w:val="1"/>
                <w:color w:val="auto"/>
              </w:rPr>
            </w:pPr>
          </w:p>
        </w:tc>
      </w:tr>
      <w:tr>
        <w:trPr>
          <w:trHeight w:val="35"/>
        </w:trPr>
        <w:tc>
          <w:tcPr>
            <w:tcW w:w="2520" w:type="dxa"/>
            <w:vAlign w:val="bottom"/>
            <w:tcBorders>
              <w:left w:val="single" w:sz="8" w:color="auto"/>
              <w:right w:val="single" w:sz="8" w:color="auto"/>
            </w:tcBorders>
            <w:vMerge w:val="continue"/>
          </w:tcPr>
          <w:p>
            <w:pPr>
              <w:spacing w:after="0"/>
              <w:rPr>
                <w:sz w:val="3"/>
                <w:szCs w:val="3"/>
                <w:color w:val="auto"/>
              </w:rPr>
            </w:pPr>
          </w:p>
        </w:tc>
        <w:tc>
          <w:tcPr>
            <w:tcW w:w="220" w:type="dxa"/>
            <w:vAlign w:val="bottom"/>
          </w:tcPr>
          <w:p>
            <w:pPr>
              <w:spacing w:after="0"/>
              <w:rPr>
                <w:sz w:val="3"/>
                <w:szCs w:val="3"/>
                <w:color w:val="auto"/>
              </w:rPr>
            </w:pPr>
          </w:p>
        </w:tc>
        <w:tc>
          <w:tcPr>
            <w:tcW w:w="3940" w:type="dxa"/>
            <w:vAlign w:val="bottom"/>
            <w:tcBorders>
              <w:bottom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240" w:type="dxa"/>
            <w:vAlign w:val="bottom"/>
            <w:gridSpan w:val="4"/>
            <w:vMerge w:val="restart"/>
          </w:tcPr>
          <w:p>
            <w:pPr>
              <w:ind w:left="140"/>
              <w:spacing w:after="0"/>
              <w:rPr>
                <w:sz w:val="20"/>
                <w:szCs w:val="20"/>
                <w:color w:val="auto"/>
              </w:rPr>
            </w:pPr>
            <w:r>
              <w:rPr>
                <w:rFonts w:ascii="Arial" w:cs="Arial" w:eastAsia="Arial" w:hAnsi="Arial"/>
                <w:sz w:val="18"/>
                <w:szCs w:val="18"/>
                <w:color w:val="auto"/>
              </w:rPr>
              <w:t>DATING BELOW.</w:t>
            </w:r>
          </w:p>
        </w:tc>
        <w:tc>
          <w:tcPr>
            <w:tcW w:w="0" w:type="dxa"/>
            <w:vAlign w:val="bottom"/>
          </w:tcPr>
          <w:p>
            <w:pPr>
              <w:spacing w:after="0"/>
              <w:rPr>
                <w:sz w:val="1"/>
                <w:szCs w:val="1"/>
                <w:color w:val="auto"/>
              </w:rPr>
            </w:pPr>
          </w:p>
        </w:tc>
      </w:tr>
      <w:tr>
        <w:trPr>
          <w:trHeight w:val="167"/>
        </w:trPr>
        <w:tc>
          <w:tcPr>
            <w:tcW w:w="2520" w:type="dxa"/>
            <w:vAlign w:val="bottom"/>
            <w:tcBorders>
              <w:left w:val="single" w:sz="8" w:color="auto"/>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940" w:type="dxa"/>
            <w:vAlign w:val="bottom"/>
          </w:tcPr>
          <w:p>
            <w:pPr>
              <w:spacing w:after="0"/>
              <w:rPr>
                <w:sz w:val="20"/>
                <w:szCs w:val="20"/>
                <w:color w:val="auto"/>
              </w:rPr>
            </w:pPr>
            <w:r>
              <w:rPr>
                <w:rFonts w:ascii="Arial" w:cs="Arial" w:eastAsia="Arial" w:hAnsi="Arial"/>
                <w:sz w:val="14"/>
                <w:szCs w:val="14"/>
                <w:color w:val="auto"/>
              </w:rPr>
              <w:t>Name</w:t>
            </w:r>
          </w:p>
        </w:tc>
        <w:tc>
          <w:tcPr>
            <w:tcW w:w="4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2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5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Department of the Treasury</w:t>
            </w:r>
          </w:p>
        </w:tc>
        <w:tc>
          <w:tcPr>
            <w:tcW w:w="220" w:type="dxa"/>
            <w:vAlign w:val="bottom"/>
          </w:tcPr>
          <w:p>
            <w:pPr>
              <w:spacing w:after="0"/>
              <w:rPr>
                <w:sz w:val="18"/>
                <w:szCs w:val="18"/>
                <w:color w:val="auto"/>
              </w:rPr>
            </w:pPr>
          </w:p>
        </w:tc>
        <w:tc>
          <w:tcPr>
            <w:tcW w:w="394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TIN:</w:t>
            </w:r>
          </w:p>
        </w:tc>
        <w:tc>
          <w:tcPr>
            <w:tcW w:w="3120" w:type="dxa"/>
            <w:vAlign w:val="bottom"/>
            <w:gridSpan w:val="2"/>
            <w:vMerge w:val="restart"/>
          </w:tcPr>
          <w:p>
            <w:pPr>
              <w:spacing w:after="0"/>
              <w:rPr>
                <w:sz w:val="18"/>
                <w:szCs w:val="18"/>
                <w:color w:val="auto"/>
              </w:rPr>
            </w:pPr>
          </w:p>
        </w:tc>
        <w:tc>
          <w:tcPr>
            <w:tcW w:w="58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25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b w:val="1"/>
                <w:bCs w:val="1"/>
                <w:color w:val="auto"/>
              </w:rPr>
              <w:t>Internal Revenue Service</w:t>
            </w:r>
          </w:p>
        </w:tc>
        <w:tc>
          <w:tcPr>
            <w:tcW w:w="4160" w:type="dxa"/>
            <w:vAlign w:val="bottom"/>
            <w:gridSpan w:val="2"/>
          </w:tcPr>
          <w:p>
            <w:pPr>
              <w:ind w:left="220"/>
              <w:spacing w:after="0" w:line="142" w:lineRule="exact"/>
              <w:rPr>
                <w:sz w:val="20"/>
                <w:szCs w:val="20"/>
                <w:color w:val="auto"/>
              </w:rPr>
            </w:pPr>
            <w:r>
              <w:rPr>
                <w:rFonts w:ascii="Arial" w:cs="Arial" w:eastAsia="Arial" w:hAnsi="Arial"/>
                <w:sz w:val="14"/>
                <w:szCs w:val="14"/>
                <w:color w:val="auto"/>
              </w:rPr>
              <w:t>Name</w:t>
            </w:r>
          </w:p>
        </w:tc>
        <w:tc>
          <w:tcPr>
            <w:tcW w:w="4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3120" w:type="dxa"/>
            <w:vAlign w:val="bottom"/>
            <w:tcBorders>
              <w:bottom w:val="single" w:sz="8" w:color="auto"/>
            </w:tcBorders>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2520" w:type="dxa"/>
            <w:vAlign w:val="bottom"/>
            <w:tcBorders>
              <w:left w:val="single" w:sz="8" w:color="auto"/>
              <w:right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4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700" w:type="dxa"/>
            <w:vAlign w:val="bottom"/>
            <w:gridSpan w:val="3"/>
            <w:vMerge w:val="restart"/>
          </w:tcPr>
          <w:p>
            <w:pPr>
              <w:jc w:val="center"/>
              <w:ind w:right="540"/>
              <w:spacing w:after="0"/>
              <w:rPr>
                <w:sz w:val="20"/>
                <w:szCs w:val="20"/>
                <w:color w:val="auto"/>
              </w:rPr>
            </w:pPr>
            <w:r>
              <w:rPr>
                <w:rFonts w:ascii="Arial" w:cs="Arial" w:eastAsia="Arial" w:hAnsi="Arial"/>
                <w:sz w:val="18"/>
                <w:szCs w:val="18"/>
                <w:b w:val="1"/>
                <w:bCs w:val="1"/>
                <w:color w:val="auto"/>
                <w:w w:val="88"/>
              </w:rPr>
              <w:t>Social Security Number or</w:t>
            </w:r>
          </w:p>
        </w:tc>
        <w:tc>
          <w:tcPr>
            <w:tcW w:w="0" w:type="dxa"/>
            <w:vAlign w:val="bottom"/>
          </w:tcPr>
          <w:p>
            <w:pPr>
              <w:spacing w:after="0"/>
              <w:rPr>
                <w:sz w:val="1"/>
                <w:szCs w:val="1"/>
                <w:color w:val="auto"/>
              </w:rPr>
            </w:pPr>
          </w:p>
        </w:tc>
      </w:tr>
      <w:tr>
        <w:trPr>
          <w:trHeight w:val="124"/>
        </w:trPr>
        <w:tc>
          <w:tcPr>
            <w:tcW w:w="2520" w:type="dxa"/>
            <w:vAlign w:val="bottom"/>
            <w:tcBorders>
              <w:left w:val="single" w:sz="8" w:color="auto"/>
              <w:right w:val="single" w:sz="8" w:color="auto"/>
            </w:tcBorders>
          </w:tcPr>
          <w:p>
            <w:pPr>
              <w:spacing w:after="0"/>
              <w:rPr>
                <w:sz w:val="10"/>
                <w:szCs w:val="10"/>
                <w:color w:val="auto"/>
              </w:rPr>
            </w:pPr>
          </w:p>
        </w:tc>
        <w:tc>
          <w:tcPr>
            <w:tcW w:w="4160" w:type="dxa"/>
            <w:vAlign w:val="bottom"/>
            <w:gridSpan w:val="2"/>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80" w:type="dxa"/>
            <w:vAlign w:val="bottom"/>
            <w:vMerge w:val="restart"/>
          </w:tcPr>
          <w:p>
            <w:pPr>
              <w:spacing w:after="0"/>
              <w:rPr>
                <w:sz w:val="10"/>
                <w:szCs w:val="10"/>
                <w:color w:val="auto"/>
              </w:rPr>
            </w:pPr>
          </w:p>
        </w:tc>
        <w:tc>
          <w:tcPr>
            <w:tcW w:w="540" w:type="dxa"/>
            <w:vAlign w:val="bottom"/>
            <w:vMerge w:val="restart"/>
          </w:tcPr>
          <w:p>
            <w:pPr>
              <w:spacing w:after="0"/>
              <w:rPr>
                <w:sz w:val="10"/>
                <w:szCs w:val="10"/>
                <w:color w:val="auto"/>
              </w:rPr>
            </w:pPr>
          </w:p>
        </w:tc>
        <w:tc>
          <w:tcPr>
            <w:tcW w:w="37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5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b w:val="1"/>
                <w:bCs w:val="1"/>
                <w:color w:val="auto"/>
                <w:w w:val="92"/>
              </w:rPr>
              <w:t>Payor’s Request for Taxpayer</w:t>
            </w:r>
          </w:p>
        </w:tc>
        <w:tc>
          <w:tcPr>
            <w:tcW w:w="220" w:type="dxa"/>
            <w:vAlign w:val="bottom"/>
          </w:tcPr>
          <w:p>
            <w:pPr>
              <w:spacing w:after="0"/>
              <w:rPr>
                <w:sz w:val="15"/>
                <w:szCs w:val="15"/>
                <w:color w:val="auto"/>
              </w:rPr>
            </w:pPr>
          </w:p>
        </w:tc>
        <w:tc>
          <w:tcPr>
            <w:tcW w:w="39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Business Name (if different from above)</w:t>
            </w:r>
          </w:p>
        </w:tc>
        <w:tc>
          <w:tcPr>
            <w:tcW w:w="420" w:type="dxa"/>
            <w:vAlign w:val="bottom"/>
            <w:tcBorders>
              <w:top w:val="single" w:sz="8" w:color="auto"/>
              <w:right w:val="single" w:sz="8" w:color="auto"/>
            </w:tcBorders>
          </w:tcPr>
          <w:p>
            <w:pPr>
              <w:spacing w:after="0"/>
              <w:rPr>
                <w:sz w:val="15"/>
                <w:szCs w:val="15"/>
                <w:color w:val="auto"/>
              </w:rPr>
            </w:pPr>
          </w:p>
        </w:tc>
        <w:tc>
          <w:tcPr>
            <w:tcW w:w="8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37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2520" w:type="dxa"/>
            <w:vAlign w:val="bottom"/>
            <w:tcBorders>
              <w:left w:val="single" w:sz="8" w:color="auto"/>
              <w:right w:val="single" w:sz="8" w:color="auto"/>
            </w:tcBorders>
            <w:vMerge w:val="continue"/>
          </w:tcPr>
          <w:p>
            <w:pPr>
              <w:spacing w:after="0"/>
              <w:rPr>
                <w:sz w:val="7"/>
                <w:szCs w:val="7"/>
                <w:color w:val="auto"/>
              </w:rPr>
            </w:pPr>
          </w:p>
        </w:tc>
        <w:tc>
          <w:tcPr>
            <w:tcW w:w="220" w:type="dxa"/>
            <w:vAlign w:val="bottom"/>
          </w:tcPr>
          <w:p>
            <w:pPr>
              <w:spacing w:after="0"/>
              <w:rPr>
                <w:sz w:val="7"/>
                <w:szCs w:val="7"/>
                <w:color w:val="auto"/>
              </w:rPr>
            </w:pPr>
          </w:p>
        </w:tc>
        <w:tc>
          <w:tcPr>
            <w:tcW w:w="3940" w:type="dxa"/>
            <w:vAlign w:val="bottom"/>
          </w:tcPr>
          <w:p>
            <w:pPr>
              <w:spacing w:after="0"/>
              <w:rPr>
                <w:sz w:val="7"/>
                <w:szCs w:val="7"/>
                <w:color w:val="auto"/>
              </w:rPr>
            </w:pPr>
          </w:p>
        </w:tc>
        <w:tc>
          <w:tcPr>
            <w:tcW w:w="42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700" w:type="dxa"/>
            <w:vAlign w:val="bottom"/>
            <w:gridSpan w:val="3"/>
            <w:vMerge w:val="restart"/>
          </w:tcPr>
          <w:p>
            <w:pPr>
              <w:jc w:val="center"/>
              <w:ind w:right="520"/>
              <w:spacing w:after="0" w:line="203" w:lineRule="exact"/>
              <w:rPr>
                <w:sz w:val="20"/>
                <w:szCs w:val="20"/>
                <w:color w:val="auto"/>
              </w:rPr>
            </w:pPr>
            <w:r>
              <w:rPr>
                <w:rFonts w:ascii="Arial" w:cs="Arial" w:eastAsia="Arial" w:hAnsi="Arial"/>
                <w:sz w:val="18"/>
                <w:szCs w:val="18"/>
                <w:b w:val="1"/>
                <w:bCs w:val="1"/>
                <w:color w:val="auto"/>
                <w:w w:val="90"/>
              </w:rPr>
              <w:t>Employer Identification Number</w:t>
            </w:r>
          </w:p>
        </w:tc>
        <w:tc>
          <w:tcPr>
            <w:tcW w:w="0" w:type="dxa"/>
            <w:vAlign w:val="bottom"/>
          </w:tcPr>
          <w:p>
            <w:pPr>
              <w:spacing w:after="0"/>
              <w:rPr>
                <w:sz w:val="1"/>
                <w:szCs w:val="1"/>
                <w:color w:val="auto"/>
              </w:rPr>
            </w:pPr>
          </w:p>
        </w:tc>
      </w:tr>
      <w:tr>
        <w:trPr>
          <w:trHeight w:val="122"/>
        </w:trPr>
        <w:tc>
          <w:tcPr>
            <w:tcW w:w="25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b w:val="1"/>
                <w:bCs w:val="1"/>
                <w:color w:val="auto"/>
              </w:rPr>
              <w:t>Identification Number</w:t>
            </w:r>
          </w:p>
        </w:tc>
        <w:tc>
          <w:tcPr>
            <w:tcW w:w="220" w:type="dxa"/>
            <w:vAlign w:val="bottom"/>
          </w:tcPr>
          <w:p>
            <w:pPr>
              <w:spacing w:after="0"/>
              <w:rPr>
                <w:sz w:val="10"/>
                <w:szCs w:val="10"/>
                <w:color w:val="auto"/>
              </w:rPr>
            </w:pPr>
          </w:p>
        </w:tc>
        <w:tc>
          <w:tcPr>
            <w:tcW w:w="3940" w:type="dxa"/>
            <w:vAlign w:val="bottom"/>
            <w:tcBorders>
              <w:bottom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7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2520" w:type="dxa"/>
            <w:vAlign w:val="bottom"/>
            <w:tcBorders>
              <w:left w:val="single" w:sz="8" w:color="auto"/>
              <w:right w:val="single" w:sz="8" w:color="auto"/>
            </w:tcBorders>
            <w:vMerge w:val="continue"/>
          </w:tcPr>
          <w:p>
            <w:pPr>
              <w:spacing w:after="0"/>
              <w:rPr>
                <w:sz w:val="6"/>
                <w:szCs w:val="6"/>
                <w:color w:val="auto"/>
              </w:rPr>
            </w:pPr>
          </w:p>
        </w:tc>
        <w:tc>
          <w:tcPr>
            <w:tcW w:w="4160" w:type="dxa"/>
            <w:vAlign w:val="bottom"/>
            <w:gridSpan w:val="2"/>
            <w:vMerge w:val="restart"/>
          </w:tcPr>
          <w:p>
            <w:pPr>
              <w:ind w:left="220"/>
              <w:spacing w:after="0"/>
              <w:rPr>
                <w:sz w:val="20"/>
                <w:szCs w:val="20"/>
                <w:color w:val="auto"/>
              </w:rPr>
            </w:pPr>
            <w:r>
              <w:rPr>
                <w:rFonts w:ascii="Arial" w:cs="Arial" w:eastAsia="Arial" w:hAnsi="Arial"/>
                <w:sz w:val="14"/>
                <w:szCs w:val="14"/>
                <w:color w:val="auto"/>
              </w:rPr>
              <w:t>Address (number and street)</w:t>
            </w:r>
          </w:p>
        </w:tc>
        <w:tc>
          <w:tcPr>
            <w:tcW w:w="42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25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b w:val="1"/>
                <w:bCs w:val="1"/>
                <w:color w:val="auto"/>
              </w:rPr>
              <w:t>(“TIN”) and Certification</w:t>
            </w:r>
          </w:p>
        </w:tc>
        <w:tc>
          <w:tcPr>
            <w:tcW w:w="4160" w:type="dxa"/>
            <w:vAlign w:val="bottom"/>
            <w:gridSpan w:val="2"/>
            <w:vMerge w:val="continue"/>
          </w:tcPr>
          <w:p>
            <w:pPr>
              <w:spacing w:after="0"/>
              <w:rPr>
                <w:sz w:val="8"/>
                <w:szCs w:val="8"/>
                <w:color w:val="auto"/>
              </w:rPr>
            </w:pPr>
          </w:p>
        </w:tc>
        <w:tc>
          <w:tcPr>
            <w:tcW w:w="4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520" w:type="dxa"/>
            <w:vAlign w:val="bottom"/>
            <w:tcBorders>
              <w:left w:val="single" w:sz="8" w:color="auto"/>
              <w:right w:val="single" w:sz="8" w:color="auto"/>
            </w:tcBorders>
            <w:vMerge w:val="continue"/>
          </w:tcPr>
          <w:p>
            <w:pPr>
              <w:spacing w:after="0"/>
              <w:rPr>
                <w:sz w:val="11"/>
                <w:szCs w:val="11"/>
                <w:color w:val="auto"/>
              </w:rPr>
            </w:pPr>
          </w:p>
        </w:tc>
        <w:tc>
          <w:tcPr>
            <w:tcW w:w="22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2520" w:type="dxa"/>
            <w:vAlign w:val="bottom"/>
            <w:tcBorders>
              <w:left w:val="single" w:sz="8" w:color="auto"/>
              <w:right w:val="single" w:sz="8" w:color="auto"/>
            </w:tcBorders>
          </w:tcPr>
          <w:p>
            <w:pPr>
              <w:spacing w:after="0"/>
              <w:rPr>
                <w:sz w:val="7"/>
                <w:szCs w:val="7"/>
                <w:color w:val="auto"/>
              </w:rPr>
            </w:pPr>
          </w:p>
        </w:tc>
        <w:tc>
          <w:tcPr>
            <w:tcW w:w="4160" w:type="dxa"/>
            <w:vAlign w:val="bottom"/>
            <w:gridSpan w:val="2"/>
          </w:tcPr>
          <w:p>
            <w:pPr>
              <w:spacing w:after="0"/>
              <w:rPr>
                <w:sz w:val="7"/>
                <w:szCs w:val="7"/>
                <w:color w:val="auto"/>
              </w:rPr>
            </w:pPr>
          </w:p>
        </w:tc>
        <w:tc>
          <w:tcPr>
            <w:tcW w:w="42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2520" w:type="dxa"/>
            <w:vAlign w:val="bottom"/>
            <w:tcBorders>
              <w:left w:val="single" w:sz="8" w:color="auto"/>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940" w:type="dxa"/>
            <w:vAlign w:val="bottom"/>
            <w:tcBorders>
              <w:top w:val="single" w:sz="8" w:color="auto"/>
            </w:tcBorders>
          </w:tcPr>
          <w:p>
            <w:pPr>
              <w:spacing w:after="0" w:line="115" w:lineRule="exact"/>
              <w:rPr>
                <w:sz w:val="20"/>
                <w:szCs w:val="20"/>
                <w:color w:val="auto"/>
              </w:rPr>
            </w:pPr>
            <w:r>
              <w:rPr>
                <w:rFonts w:ascii="Arial" w:cs="Arial" w:eastAsia="Arial" w:hAnsi="Arial"/>
                <w:sz w:val="12"/>
                <w:szCs w:val="12"/>
                <w:color w:val="auto"/>
              </w:rPr>
              <w:t>City, State and Zip Code</w:t>
            </w:r>
          </w:p>
        </w:tc>
        <w:tc>
          <w:tcPr>
            <w:tcW w:w="420" w:type="dxa"/>
            <w:vAlign w:val="bottom"/>
            <w:tcBorders>
              <w:top w:val="single" w:sz="8" w:color="auto"/>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520" w:type="dxa"/>
            <w:vAlign w:val="bottom"/>
            <w:tcBorders>
              <w:left w:val="single" w:sz="8" w:color="auto"/>
              <w:right w:val="single" w:sz="8" w:color="auto"/>
            </w:tcBorders>
          </w:tcPr>
          <w:p>
            <w:pPr>
              <w:spacing w:after="0"/>
              <w:rPr>
                <w:sz w:val="15"/>
                <w:szCs w:val="15"/>
                <w:color w:val="auto"/>
              </w:rPr>
            </w:pPr>
          </w:p>
        </w:tc>
        <w:tc>
          <w:tcPr>
            <w:tcW w:w="4160" w:type="dxa"/>
            <w:vAlign w:val="bottom"/>
            <w:gridSpan w:val="2"/>
          </w:tcPr>
          <w:p>
            <w:pPr>
              <w:ind w:left="220"/>
              <w:spacing w:after="0" w:line="176" w:lineRule="exact"/>
              <w:rPr>
                <w:sz w:val="20"/>
                <w:szCs w:val="20"/>
                <w:color w:val="auto"/>
              </w:rPr>
            </w:pPr>
            <w:r>
              <w:rPr>
                <w:rFonts w:ascii="Arial" w:cs="Arial" w:eastAsia="Arial" w:hAnsi="Arial"/>
                <w:sz w:val="18"/>
                <w:szCs w:val="18"/>
                <w:b w:val="1"/>
                <w:bCs w:val="1"/>
                <w:color w:val="auto"/>
                <w:w w:val="93"/>
              </w:rPr>
              <w:t xml:space="preserve">Check appropriate box: </w:t>
            </w:r>
            <w:r>
              <w:rPr>
                <w:rFonts w:ascii="MS PGothic" w:cs="MS PGothic" w:eastAsia="MS PGothic" w:hAnsi="MS PGothic"/>
                <w:sz w:val="18"/>
                <w:szCs w:val="18"/>
                <w:color w:val="auto"/>
                <w:highlight w:val="black"/>
                <w:w w:val="93"/>
              </w:rPr>
              <w:t>☐</w:t>
            </w:r>
            <w:r>
              <w:rPr>
                <w:rFonts w:ascii="Arial" w:cs="Arial" w:eastAsia="Arial" w:hAnsi="Arial"/>
                <w:sz w:val="18"/>
                <w:szCs w:val="18"/>
                <w:b w:val="1"/>
                <w:bCs w:val="1"/>
                <w:color w:val="auto"/>
                <w:w w:val="93"/>
              </w:rPr>
              <w:t xml:space="preserve">  Disregarded Entity </w:t>
            </w:r>
            <w:r>
              <w:rPr>
                <w:rFonts w:ascii="MS PGothic" w:cs="MS PGothic" w:eastAsia="MS PGothic" w:hAnsi="MS PGothic"/>
                <w:sz w:val="18"/>
                <w:szCs w:val="18"/>
                <w:color w:val="auto"/>
                <w:highlight w:val="black"/>
                <w:w w:val="93"/>
              </w:rPr>
              <w:t>☐</w:t>
            </w:r>
          </w:p>
        </w:tc>
        <w:tc>
          <w:tcPr>
            <w:tcW w:w="420" w:type="dxa"/>
            <w:vAlign w:val="bottom"/>
          </w:tcPr>
          <w:p>
            <w:pPr>
              <w:spacing w:after="0"/>
              <w:rPr>
                <w:sz w:val="15"/>
                <w:szCs w:val="15"/>
                <w:color w:val="auto"/>
              </w:rPr>
            </w:pPr>
          </w:p>
        </w:tc>
        <w:tc>
          <w:tcPr>
            <w:tcW w:w="4320" w:type="dxa"/>
            <w:vAlign w:val="bottom"/>
            <w:gridSpan w:val="5"/>
          </w:tcPr>
          <w:p>
            <w:pPr>
              <w:spacing w:after="0" w:line="176" w:lineRule="exact"/>
              <w:rPr>
                <w:sz w:val="20"/>
                <w:szCs w:val="20"/>
                <w:color w:val="auto"/>
              </w:rPr>
            </w:pPr>
            <w:r>
              <w:rPr>
                <w:rFonts w:ascii="Arial" w:cs="Arial" w:eastAsia="Arial" w:hAnsi="Arial"/>
                <w:sz w:val="18"/>
                <w:szCs w:val="18"/>
                <w:b w:val="1"/>
                <w:bCs w:val="1"/>
                <w:color w:val="auto"/>
              </w:rPr>
              <w:t>Individual/Sole</w:t>
            </w:r>
          </w:p>
        </w:tc>
        <w:tc>
          <w:tcPr>
            <w:tcW w:w="0" w:type="dxa"/>
            <w:vAlign w:val="bottom"/>
          </w:tcPr>
          <w:p>
            <w:pPr>
              <w:spacing w:after="0"/>
              <w:rPr>
                <w:sz w:val="1"/>
                <w:szCs w:val="1"/>
                <w:color w:val="auto"/>
              </w:rPr>
            </w:pPr>
          </w:p>
        </w:tc>
      </w:tr>
      <w:tr>
        <w:trPr>
          <w:trHeight w:val="216"/>
        </w:trPr>
        <w:tc>
          <w:tcPr>
            <w:tcW w:w="2520" w:type="dxa"/>
            <w:vAlign w:val="bottom"/>
            <w:tcBorders>
              <w:left w:val="single" w:sz="8" w:color="auto"/>
              <w:right w:val="single" w:sz="8" w:color="auto"/>
            </w:tcBorders>
          </w:tcPr>
          <w:p>
            <w:pPr>
              <w:spacing w:after="0"/>
              <w:rPr>
                <w:sz w:val="18"/>
                <w:szCs w:val="18"/>
                <w:color w:val="auto"/>
              </w:rPr>
            </w:pPr>
          </w:p>
        </w:tc>
        <w:tc>
          <w:tcPr>
            <w:tcW w:w="4160" w:type="dxa"/>
            <w:vAlign w:val="bottom"/>
            <w:gridSpan w:val="2"/>
          </w:tcPr>
          <w:p>
            <w:pPr>
              <w:ind w:left="220"/>
              <w:spacing w:after="0" w:line="207" w:lineRule="exact"/>
              <w:rPr>
                <w:sz w:val="20"/>
                <w:szCs w:val="20"/>
                <w:color w:val="auto"/>
              </w:rPr>
            </w:pPr>
            <w:r>
              <w:rPr>
                <w:rFonts w:ascii="Arial" w:cs="Arial" w:eastAsia="Arial" w:hAnsi="Arial"/>
                <w:sz w:val="18"/>
                <w:szCs w:val="18"/>
                <w:b w:val="1"/>
                <w:bCs w:val="1"/>
                <w:color w:val="auto"/>
              </w:rPr>
              <w:t xml:space="preserve">Proprietor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Corporation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Partnership  </w:t>
            </w:r>
            <w:r>
              <w:rPr>
                <w:rFonts w:ascii="MS PGothic" w:cs="MS PGothic" w:eastAsia="MS PGothic" w:hAnsi="MS PGothic"/>
                <w:sz w:val="18"/>
                <w:szCs w:val="18"/>
                <w:color w:val="auto"/>
                <w:highlight w:val="black"/>
              </w:rPr>
              <w:t>☐</w:t>
            </w:r>
          </w:p>
        </w:tc>
        <w:tc>
          <w:tcPr>
            <w:tcW w:w="500" w:type="dxa"/>
            <w:vAlign w:val="bottom"/>
            <w:gridSpan w:val="2"/>
          </w:tcPr>
          <w:p>
            <w:pPr>
              <w:ind w:left="20"/>
              <w:spacing w:after="0"/>
              <w:rPr>
                <w:sz w:val="20"/>
                <w:szCs w:val="20"/>
                <w:color w:val="auto"/>
              </w:rPr>
            </w:pPr>
            <w:r>
              <w:rPr>
                <w:rFonts w:ascii="Arial" w:cs="Arial" w:eastAsia="Arial" w:hAnsi="Arial"/>
                <w:sz w:val="18"/>
                <w:szCs w:val="18"/>
                <w:b w:val="1"/>
                <w:bCs w:val="1"/>
                <w:color w:val="auto"/>
                <w:w w:val="95"/>
              </w:rPr>
              <w:t>Other</w:t>
            </w:r>
          </w:p>
        </w:tc>
        <w:tc>
          <w:tcPr>
            <w:tcW w:w="2340" w:type="dxa"/>
            <w:vAlign w:val="bottom"/>
            <w:tcBorders>
              <w:bottom w:val="single" w:sz="8" w:color="auto"/>
            </w:tcBorders>
            <w:gridSpan w:val="2"/>
          </w:tcPr>
          <w:p>
            <w:pPr>
              <w:spacing w:after="0"/>
              <w:rPr>
                <w:sz w:val="18"/>
                <w:szCs w:val="18"/>
                <w:color w:val="auto"/>
              </w:rPr>
            </w:pPr>
          </w:p>
        </w:tc>
        <w:tc>
          <w:tcPr>
            <w:tcW w:w="1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309"/>
        </w:trPr>
        <w:tc>
          <w:tcPr>
            <w:tcW w:w="2520" w:type="dxa"/>
            <w:vAlign w:val="bottom"/>
            <w:tcBorders>
              <w:left w:val="single" w:sz="8" w:color="auto"/>
              <w:right w:val="single" w:sz="8" w:color="auto"/>
            </w:tcBorders>
          </w:tcPr>
          <w:p>
            <w:pPr>
              <w:spacing w:after="0"/>
              <w:rPr>
                <w:sz w:val="24"/>
                <w:szCs w:val="24"/>
                <w:color w:val="auto"/>
              </w:rPr>
            </w:pPr>
          </w:p>
        </w:tc>
        <w:tc>
          <w:tcPr>
            <w:tcW w:w="8900" w:type="dxa"/>
            <w:vAlign w:val="bottom"/>
            <w:gridSpan w:val="8"/>
          </w:tcPr>
          <w:p>
            <w:pPr>
              <w:ind w:left="220"/>
              <w:spacing w:after="0"/>
              <w:rPr>
                <w:sz w:val="20"/>
                <w:szCs w:val="20"/>
                <w:color w:val="auto"/>
              </w:rPr>
            </w:pPr>
            <w:r>
              <w:rPr>
                <w:rFonts w:ascii="Arial" w:cs="Arial" w:eastAsia="Arial" w:hAnsi="Arial"/>
                <w:sz w:val="18"/>
                <w:szCs w:val="18"/>
                <w:color w:val="auto"/>
                <w:w w:val="92"/>
              </w:rPr>
              <w:t>(If you are an LLC, check the box marked “Other”, write “LLC”, and also check one of the other boxes to indicate your</w:t>
            </w:r>
          </w:p>
        </w:tc>
        <w:tc>
          <w:tcPr>
            <w:tcW w:w="0" w:type="dxa"/>
            <w:vAlign w:val="bottom"/>
          </w:tcPr>
          <w:p>
            <w:pPr>
              <w:spacing w:after="0"/>
              <w:rPr>
                <w:sz w:val="1"/>
                <w:szCs w:val="1"/>
                <w:color w:val="auto"/>
              </w:rPr>
            </w:pPr>
          </w:p>
        </w:tc>
      </w:tr>
      <w:tr>
        <w:trPr>
          <w:trHeight w:val="251"/>
        </w:trPr>
        <w:tc>
          <w:tcPr>
            <w:tcW w:w="2520" w:type="dxa"/>
            <w:vAlign w:val="bottom"/>
            <w:tcBorders>
              <w:left w:val="single" w:sz="8" w:color="auto"/>
              <w:bottom w:val="single" w:sz="8" w:color="auto"/>
              <w:right w:val="single" w:sz="8" w:color="auto"/>
            </w:tcBorders>
          </w:tcPr>
          <w:p>
            <w:pPr>
              <w:spacing w:after="0"/>
              <w:rPr>
                <w:sz w:val="21"/>
                <w:szCs w:val="21"/>
                <w:color w:val="auto"/>
              </w:rPr>
            </w:pPr>
          </w:p>
        </w:tc>
        <w:tc>
          <w:tcPr>
            <w:tcW w:w="8900" w:type="dxa"/>
            <w:vAlign w:val="bottom"/>
            <w:tcBorders>
              <w:bottom w:val="single" w:sz="8" w:color="auto"/>
            </w:tcBorders>
            <w:gridSpan w:val="8"/>
          </w:tcPr>
          <w:p>
            <w:pPr>
              <w:ind w:left="220"/>
              <w:spacing w:after="0"/>
              <w:rPr>
                <w:sz w:val="20"/>
                <w:szCs w:val="20"/>
                <w:color w:val="auto"/>
              </w:rPr>
            </w:pPr>
            <w:r>
              <w:rPr>
                <w:rFonts w:ascii="Arial" w:cs="Arial" w:eastAsia="Arial" w:hAnsi="Arial"/>
                <w:sz w:val="18"/>
                <w:szCs w:val="18"/>
                <w:color w:val="auto"/>
              </w:rPr>
              <w:t>tax status (e.g., disregarded entity, individual/sole proprietor, corporation, partnership)).</w:t>
            </w:r>
          </w:p>
        </w:tc>
        <w:tc>
          <w:tcPr>
            <w:tcW w:w="0" w:type="dxa"/>
            <w:vAlign w:val="bottom"/>
          </w:tcPr>
          <w:p>
            <w:pPr>
              <w:spacing w:after="0"/>
              <w:rPr>
                <w:sz w:val="1"/>
                <w:szCs w:val="1"/>
                <w:color w:val="auto"/>
              </w:rPr>
            </w:pPr>
          </w:p>
        </w:tc>
      </w:tr>
      <w:tr>
        <w:trPr>
          <w:trHeight w:val="457"/>
        </w:trPr>
        <w:tc>
          <w:tcPr>
            <w:tcW w:w="2520" w:type="dxa"/>
            <w:vAlign w:val="bottom"/>
          </w:tcPr>
          <w:p>
            <w:pPr>
              <w:spacing w:after="0"/>
              <w:rPr>
                <w:sz w:val="24"/>
                <w:szCs w:val="24"/>
                <w:color w:val="auto"/>
              </w:rPr>
            </w:pPr>
          </w:p>
        </w:tc>
        <w:tc>
          <w:tcPr>
            <w:tcW w:w="4160" w:type="dxa"/>
            <w:vAlign w:val="bottom"/>
            <w:gridSpan w:val="2"/>
          </w:tcPr>
          <w:p>
            <w:pPr>
              <w:ind w:left="220"/>
              <w:spacing w:after="0" w:line="207" w:lineRule="exact"/>
              <w:rPr>
                <w:sz w:val="20"/>
                <w:szCs w:val="20"/>
                <w:color w:val="auto"/>
              </w:rPr>
            </w:pPr>
            <w:r>
              <w:rPr>
                <w:rFonts w:ascii="Arial" w:cs="Arial" w:eastAsia="Arial" w:hAnsi="Arial"/>
                <w:sz w:val="18"/>
                <w:szCs w:val="18"/>
                <w:b w:val="1"/>
                <w:bCs w:val="1"/>
                <w:color w:val="auto"/>
              </w:rPr>
              <w:t xml:space="preserve">Part 2—Awaiting TIN </w:t>
            </w:r>
            <w:r>
              <w:rPr>
                <w:rFonts w:ascii="MS PGothic" w:cs="MS PGothic" w:eastAsia="MS PGothic" w:hAnsi="MS PGothic"/>
                <w:sz w:val="18"/>
                <w:szCs w:val="18"/>
                <w:color w:val="auto"/>
                <w:highlight w:val="black"/>
              </w:rPr>
              <w:t>☐</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-2360295</wp:posOffset>
            </wp:positionV>
            <wp:extent cx="7246620" cy="46653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246620" cy="4665345"/>
                    </a:xfrm>
                    <a:prstGeom prst="rect">
                      <a:avLst/>
                    </a:prstGeom>
                    <a:noFill/>
                  </pic:spPr>
                </pic:pic>
              </a:graphicData>
            </a:graphic>
          </wp:anchor>
        </w:drawing>
      </w:r>
    </w:p>
    <w:p>
      <w:pPr>
        <w:spacing w:after="0" w:line="204"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Part 3—</w:t>
      </w:r>
      <w:r>
        <w:rPr>
          <w:rFonts w:ascii="Arial" w:cs="Arial" w:eastAsia="Arial" w:hAnsi="Arial"/>
          <w:sz w:val="18"/>
          <w:szCs w:val="18"/>
          <w:color w:val="auto"/>
        </w:rPr>
        <w:t>CERTIFICATION: UNDER THE PENALTIES OF PERJURY, I CERTIFY THAT:</w:t>
      </w:r>
    </w:p>
    <w:p>
      <w:pPr>
        <w:spacing w:after="0" w:line="96" w:lineRule="exact"/>
        <w:rPr>
          <w:sz w:val="20"/>
          <w:szCs w:val="20"/>
          <w:color w:val="auto"/>
        </w:rPr>
      </w:pPr>
    </w:p>
    <w:p>
      <w:pPr>
        <w:ind w:left="3120" w:hanging="370"/>
        <w:spacing w:after="0"/>
        <w:tabs>
          <w:tab w:leader="none" w:pos="312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the number shown on this form is my correct TIN (or I am waiting for a number to be issued to me),</w:t>
      </w:r>
    </w:p>
    <w:p>
      <w:pPr>
        <w:spacing w:after="0" w:line="15" w:lineRule="exact"/>
        <w:rPr>
          <w:rFonts w:ascii="Arial" w:cs="Arial" w:eastAsia="Arial" w:hAnsi="Arial"/>
          <w:sz w:val="18"/>
          <w:szCs w:val="18"/>
          <w:color w:val="auto"/>
        </w:rPr>
      </w:pPr>
    </w:p>
    <w:p>
      <w:pPr>
        <w:ind w:left="3180" w:right="220" w:hanging="430"/>
        <w:spacing w:after="0" w:line="250" w:lineRule="auto"/>
        <w:tabs>
          <w:tab w:leader="none" w:pos="3128" w:val="left"/>
        </w:tabs>
        <w:numPr>
          <w:ilvl w:val="0"/>
          <w:numId w:val="405"/>
        </w:numPr>
        <w:rPr>
          <w:rFonts w:ascii="Arial" w:cs="Arial" w:eastAsia="Arial" w:hAnsi="Arial"/>
          <w:sz w:val="18"/>
          <w:szCs w:val="18"/>
          <w:color w:val="auto"/>
        </w:rPr>
      </w:pPr>
      <w:r>
        <w:rPr>
          <w:rFonts w:ascii="Arial" w:cs="Arial" w:eastAsia="Arial" w:hAnsi="Arial"/>
          <w:sz w:val="18"/>
          <w:szCs w:val="18"/>
          <w:color w:val="auto"/>
        </w:rPr>
        <w:t>I am not subject to backup withholding either because: (a) I am exempt from backup withholding, or (b) I have not been notified by the Internal Revenue Service (the “IRS”) that I am subject to backup withholding as a result of a failure to report all interest or dividends, or (c) the IRS has notified me that I am no longer subject to backup withholding, and</w:t>
      </w:r>
    </w:p>
    <w:p>
      <w:pPr>
        <w:spacing w:after="0" w:line="1" w:lineRule="exact"/>
        <w:rPr>
          <w:rFonts w:ascii="Arial" w:cs="Arial" w:eastAsia="Arial" w:hAnsi="Arial"/>
          <w:sz w:val="18"/>
          <w:szCs w:val="18"/>
          <w:color w:val="auto"/>
        </w:rPr>
      </w:pPr>
    </w:p>
    <w:p>
      <w:pPr>
        <w:ind w:left="3120" w:hanging="370"/>
        <w:spacing w:after="0"/>
        <w:tabs>
          <w:tab w:leader="none" w:pos="312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I am a U.S. person (including a U.S. resident alien).</w:t>
      </w:r>
    </w:p>
    <w:p>
      <w:pPr>
        <w:spacing w:after="0" w:line="84"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For U.S. Payees Exempt from Backup Withholding (write “Exempt” in</w:t>
      </w:r>
    </w:p>
    <w:p>
      <w:pPr>
        <w:spacing w:after="0" w:line="15"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this space):</w:t>
      </w:r>
    </w:p>
    <w:p>
      <w:pPr>
        <w:spacing w:after="0" w:line="84"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OF U.S. PERSON</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DATE</w:t>
      </w:r>
    </w:p>
    <w:p>
      <w:pPr>
        <w:spacing w:after="0" w:line="36" w:lineRule="exact"/>
        <w:rPr>
          <w:sz w:val="20"/>
          <w:szCs w:val="20"/>
          <w:color w:val="auto"/>
        </w:rPr>
      </w:pPr>
    </w:p>
    <w:p>
      <w:pPr>
        <w:ind w:left="120" w:right="460"/>
        <w:spacing w:after="0" w:line="306" w:lineRule="auto"/>
        <w:rPr>
          <w:sz w:val="20"/>
          <w:szCs w:val="20"/>
          <w:color w:val="auto"/>
        </w:rPr>
      </w:pPr>
      <w:r>
        <w:rPr>
          <w:rFonts w:ascii="Arial" w:cs="Arial" w:eastAsia="Arial" w:hAnsi="Arial"/>
          <w:sz w:val="16"/>
          <w:szCs w:val="16"/>
          <w:color w:val="auto"/>
        </w:rPr>
        <w:t>You must cross out item (2) of the above certification if you have been notified by the IRS that you are subject to backup with holding because of underreporting of interest or dividends on your tax return and you have not been notified by the IRS that you are no longer subject to backup withholding. (Also see instructions in the enclosed Guidelines for Certification of Taxpayer Identification Number on Substitute Form W-9).</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 MUST COMPLETE THE FOLLOWING CERTIFICATE IF YOU CHECKED THE BOX</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PART 2 OF SUBSTITUTE FORM W-9</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CERTIFICATE OF AWAITING TAXPAYER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-153035</wp:posOffset>
            </wp:positionV>
            <wp:extent cx="7250430" cy="10502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250430" cy="1050290"/>
                    </a:xfrm>
                    <a:prstGeom prst="rect">
                      <a:avLst/>
                    </a:prstGeom>
                    <a:noFill/>
                  </pic:spPr>
                </pic:pic>
              </a:graphicData>
            </a:graphic>
          </wp:anchor>
        </w:drawing>
      </w:r>
    </w:p>
    <w:p>
      <w:pPr>
        <w:spacing w:after="0" w:line="70" w:lineRule="exact"/>
        <w:rPr>
          <w:sz w:val="20"/>
          <w:szCs w:val="20"/>
          <w:color w:val="auto"/>
        </w:rPr>
      </w:pPr>
    </w:p>
    <w:p>
      <w:pPr>
        <w:ind w:left="120" w:right="260" w:firstLine="432"/>
        <w:spacing w:after="0" w:line="298" w:lineRule="auto"/>
        <w:rPr>
          <w:sz w:val="20"/>
          <w:szCs w:val="20"/>
          <w:color w:val="auto"/>
        </w:rPr>
      </w:pPr>
      <w:r>
        <w:rPr>
          <w:rFonts w:ascii="Arial" w:cs="Arial" w:eastAsia="Arial" w:hAnsi="Arial"/>
          <w:sz w:val="16"/>
          <w:szCs w:val="16"/>
          <w:color w:val="auto"/>
        </w:rPr>
        <w:t>I certify under penalties of perjury that a Taxpayer Identification Number has not been issued to me, and either (a) I have mailed or delivered an application to receive a Taxpayer Identification Number to the appropriate Internal Revenue Service Center or Social Security Administration Office or (b) I intend to mail or deliver an application in the near future. I understand that if I do not provide a Taxpayer Identification Number by the time of the exchange, an amount equal to the then applicable backup withholding rate on all reportable payments made to me thereafter will be withheld until I provide a number.</w:t>
      </w:r>
    </w:p>
    <w:p>
      <w:pPr>
        <w:spacing w:after="0" w:line="147" w:lineRule="exact"/>
        <w:rPr>
          <w:sz w:val="20"/>
          <w:szCs w:val="20"/>
          <w:color w:val="auto"/>
        </w:rPr>
      </w:pPr>
    </w:p>
    <w:p>
      <w:pPr>
        <w:ind w:left="560"/>
        <w:spacing w:after="0"/>
        <w:tabs>
          <w:tab w:leader="none" w:pos="5400" w:val="left"/>
        </w:tabs>
        <w:rPr>
          <w:sz w:val="20"/>
          <w:szCs w:val="20"/>
          <w:color w:val="auto"/>
        </w:rPr>
      </w:pPr>
      <w:r>
        <w:rPr>
          <w:rFonts w:ascii="Arial" w:cs="Arial" w:eastAsia="Arial" w:hAnsi="Arial"/>
          <w:sz w:val="18"/>
          <w:szCs w:val="18"/>
          <w:b w:val="1"/>
          <w:bCs w:val="1"/>
          <w:color w:val="auto"/>
        </w:rPr>
        <w:t>Signature</w:t>
      </w:r>
      <w:r>
        <w:rPr>
          <w:sz w:val="20"/>
          <w:szCs w:val="20"/>
          <w:color w:val="auto"/>
        </w:rPr>
        <w:tab/>
      </w:r>
      <w:r>
        <w:rPr>
          <w:rFonts w:ascii="Arial" w:cs="Arial" w:eastAsia="Arial" w:hAnsi="Arial"/>
          <w:sz w:val="18"/>
          <w:szCs w:val="18"/>
          <w:b w:val="1"/>
          <w:bCs w:val="1"/>
          <w:color w:val="auto"/>
        </w:rPr>
        <w:t>Date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358" w:name="page359"/>
    <w:bookmarkEnd w:id="35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GUIDELINES FOR CERTIFICATION OF TAXPAYER IDENTIFICATION NUMBER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 SUBSTITUTE FORM W-9</w:t>
      </w:r>
    </w:p>
    <w:p>
      <w:pPr>
        <w:spacing w:after="0" w:line="78" w:lineRule="exact"/>
        <w:rPr>
          <w:sz w:val="20"/>
          <w:szCs w:val="20"/>
          <w:color w:val="auto"/>
        </w:rPr>
      </w:pPr>
    </w:p>
    <w:p>
      <w:pPr>
        <w:jc w:val="both"/>
        <w:ind w:right="100" w:firstLine="456"/>
        <w:spacing w:after="0" w:line="262" w:lineRule="auto"/>
        <w:rPr>
          <w:sz w:val="20"/>
          <w:szCs w:val="20"/>
          <w:color w:val="auto"/>
        </w:rPr>
      </w:pPr>
      <w:r>
        <w:rPr>
          <w:rFonts w:ascii="Arial" w:cs="Arial" w:eastAsia="Arial" w:hAnsi="Arial"/>
          <w:sz w:val="18"/>
          <w:szCs w:val="18"/>
          <w:b w:val="1"/>
          <w:bCs w:val="1"/>
          <w:color w:val="auto"/>
        </w:rPr>
        <w:t>GUIDELINES FOR DETERMINING THE PROPER IDENTIFICATION NUMBER TO GIVE THE PAYOR</w:t>
      </w:r>
      <w:r>
        <w:rPr>
          <w:rFonts w:ascii="Arial" w:cs="Arial" w:eastAsia="Arial" w:hAnsi="Arial"/>
          <w:sz w:val="18"/>
          <w:szCs w:val="18"/>
          <w:color w:val="auto"/>
        </w:rPr>
        <w:t>—Social security numbers have nine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digits separated by two hyphens, </w:t>
      </w:r>
      <w:r>
        <w:rPr>
          <w:rFonts w:ascii="Arial" w:cs="Arial" w:eastAsia="Arial" w:hAnsi="Arial"/>
          <w:sz w:val="18"/>
          <w:szCs w:val="18"/>
          <w:i w:val="1"/>
          <w:iCs w:val="1"/>
          <w:color w:val="auto"/>
        </w:rPr>
        <w:t>e.g</w:t>
      </w:r>
      <w:r>
        <w:rPr>
          <w:rFonts w:ascii="Arial" w:cs="Arial" w:eastAsia="Arial" w:hAnsi="Arial"/>
          <w:sz w:val="18"/>
          <w:szCs w:val="18"/>
          <w:color w:val="auto"/>
        </w:rPr>
        <w:t xml:space="preserve">., 000-00-0000. Employer identification numbers have nine digits separated by only one hyphen, </w:t>
      </w:r>
      <w:r>
        <w:rPr>
          <w:rFonts w:ascii="Arial" w:cs="Arial" w:eastAsia="Arial" w:hAnsi="Arial"/>
          <w:sz w:val="18"/>
          <w:szCs w:val="18"/>
          <w:i w:val="1"/>
          <w:iCs w:val="1"/>
          <w:color w:val="auto"/>
        </w:rPr>
        <w:t>e.g</w:t>
      </w:r>
      <w:r>
        <w:rPr>
          <w:rFonts w:ascii="Arial" w:cs="Arial" w:eastAsia="Arial" w:hAnsi="Arial"/>
          <w:sz w:val="18"/>
          <w:szCs w:val="18"/>
          <w:color w:val="auto"/>
        </w:rPr>
        <w:t>., 00-0000000. The table below will help determine the number to give the payor.</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Borders>
              <w:top w:val="single" w:sz="8" w:color="auto"/>
            </w:tcBorders>
          </w:tcPr>
          <w:p>
            <w:pPr>
              <w:spacing w:after="0"/>
              <w:rPr>
                <w:sz w:val="12"/>
                <w:szCs w:val="12"/>
                <w:color w:val="auto"/>
              </w:rPr>
            </w:pPr>
          </w:p>
        </w:tc>
        <w:tc>
          <w:tcPr>
            <w:tcW w:w="1900" w:type="dxa"/>
            <w:vAlign w:val="bottom"/>
            <w:tcBorders>
              <w:top w:val="single" w:sz="8" w:color="auto"/>
            </w:tcBorders>
          </w:tcPr>
          <w:p>
            <w:pPr>
              <w:spacing w:after="0"/>
              <w:rPr>
                <w:sz w:val="12"/>
                <w:szCs w:val="12"/>
                <w:color w:val="auto"/>
              </w:rPr>
            </w:pPr>
          </w:p>
        </w:tc>
        <w:tc>
          <w:tcPr>
            <w:tcW w:w="3560" w:type="dxa"/>
            <w:vAlign w:val="bottom"/>
            <w:tcBorders>
              <w:top w:val="single" w:sz="8" w:color="auto"/>
            </w:tcBorders>
            <w:vMerge w:val="restart"/>
          </w:tcPr>
          <w:p>
            <w:pPr>
              <w:ind w:left="100"/>
              <w:spacing w:after="0"/>
              <w:rPr>
                <w:sz w:val="20"/>
                <w:szCs w:val="20"/>
                <w:color w:val="auto"/>
              </w:rPr>
            </w:pPr>
            <w:r>
              <w:rPr>
                <w:rFonts w:ascii="Arial" w:cs="Arial" w:eastAsia="Arial" w:hAnsi="Arial"/>
                <w:sz w:val="14"/>
                <w:szCs w:val="14"/>
                <w:b w:val="1"/>
                <w:bCs w:val="1"/>
                <w:color w:val="auto"/>
              </w:rPr>
              <w:t>Give the name* and</w:t>
            </w:r>
          </w:p>
        </w:tc>
        <w:tc>
          <w:tcPr>
            <w:tcW w:w="360" w:type="dxa"/>
            <w:vAlign w:val="bottom"/>
            <w:tcBorders>
              <w:top w:val="single" w:sz="8" w:color="auto"/>
            </w:tcBorders>
          </w:tcPr>
          <w:p>
            <w:pPr>
              <w:spacing w:after="0"/>
              <w:rPr>
                <w:sz w:val="12"/>
                <w:szCs w:val="12"/>
                <w:color w:val="auto"/>
              </w:rPr>
            </w:pPr>
          </w:p>
        </w:tc>
        <w:tc>
          <w:tcPr>
            <w:tcW w:w="3420" w:type="dxa"/>
            <w:vAlign w:val="bottom"/>
            <w:tcBorders>
              <w:top w:val="single" w:sz="8" w:color="auto"/>
            </w:tcBorders>
          </w:tcPr>
          <w:p>
            <w:pPr>
              <w:spacing w:after="0"/>
              <w:rPr>
                <w:sz w:val="12"/>
                <w:szCs w:val="12"/>
                <w:color w:val="auto"/>
              </w:rPr>
            </w:pPr>
          </w:p>
        </w:tc>
        <w:tc>
          <w:tcPr>
            <w:tcW w:w="1980" w:type="dxa"/>
            <w:vAlign w:val="bottom"/>
            <w:tcBorders>
              <w:top w:val="single" w:sz="8" w:color="auto"/>
            </w:tcBorders>
          </w:tcPr>
          <w:p>
            <w:pPr>
              <w:ind w:left="40"/>
              <w:spacing w:after="0" w:line="149" w:lineRule="exact"/>
              <w:rPr>
                <w:sz w:val="20"/>
                <w:szCs w:val="20"/>
                <w:color w:val="auto"/>
              </w:rPr>
            </w:pPr>
            <w:r>
              <w:rPr>
                <w:rFonts w:ascii="Arial" w:cs="Arial" w:eastAsia="Arial" w:hAnsi="Arial"/>
                <w:sz w:val="14"/>
                <w:szCs w:val="14"/>
                <w:b w:val="1"/>
                <w:bCs w:val="1"/>
                <w:color w:val="auto"/>
              </w:rPr>
              <w:t>Give the name and</w:t>
            </w:r>
          </w:p>
        </w:tc>
        <w:tc>
          <w:tcPr>
            <w:tcW w:w="0" w:type="dxa"/>
            <w:vAlign w:val="bottom"/>
          </w:tcPr>
          <w:p>
            <w:pPr>
              <w:spacing w:after="0"/>
              <w:rPr>
                <w:sz w:val="1"/>
                <w:szCs w:val="1"/>
                <w:color w:val="auto"/>
              </w:rPr>
            </w:pPr>
          </w:p>
        </w:tc>
      </w:tr>
      <w:tr>
        <w:trPr>
          <w:trHeight w:val="135"/>
        </w:trPr>
        <w:tc>
          <w:tcPr>
            <w:tcW w:w="2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356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1980" w:type="dxa"/>
            <w:vAlign w:val="bottom"/>
          </w:tcPr>
          <w:p>
            <w:pPr>
              <w:ind w:left="40"/>
              <w:spacing w:after="0" w:line="135" w:lineRule="exact"/>
              <w:rPr>
                <w:sz w:val="20"/>
                <w:szCs w:val="20"/>
                <w:color w:val="auto"/>
              </w:rPr>
            </w:pPr>
            <w:r>
              <w:rPr>
                <w:rFonts w:ascii="Arial" w:cs="Arial" w:eastAsia="Arial" w:hAnsi="Arial"/>
                <w:sz w:val="14"/>
                <w:szCs w:val="14"/>
                <w:b w:val="1"/>
                <w:bCs w:val="1"/>
                <w:color w:val="auto"/>
              </w:rPr>
              <w:t>EMPLOYER</w:t>
            </w: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356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SOCIAL SECURITY</w:t>
            </w:r>
          </w:p>
        </w:tc>
        <w:tc>
          <w:tcPr>
            <w:tcW w:w="3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98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IDENTIFICATION</w:t>
            </w:r>
          </w:p>
        </w:tc>
        <w:tc>
          <w:tcPr>
            <w:tcW w:w="0" w:type="dxa"/>
            <w:vAlign w:val="bottom"/>
          </w:tcPr>
          <w:p>
            <w:pPr>
              <w:spacing w:after="0"/>
              <w:rPr>
                <w:sz w:val="1"/>
                <w:szCs w:val="1"/>
                <w:color w:val="auto"/>
              </w:rPr>
            </w:pPr>
          </w:p>
        </w:tc>
      </w:tr>
      <w:tr>
        <w:trPr>
          <w:trHeight w:val="175"/>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For this type of account:</w:t>
            </w:r>
          </w:p>
        </w:tc>
        <w:tc>
          <w:tcPr>
            <w:tcW w:w="35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number of—</w:t>
            </w:r>
          </w:p>
        </w:tc>
        <w:tc>
          <w:tcPr>
            <w:tcW w:w="37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For this type of account:</w:t>
            </w:r>
          </w:p>
        </w:tc>
        <w:tc>
          <w:tcPr>
            <w:tcW w:w="19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201"/>
        </w:trPr>
        <w:tc>
          <w:tcPr>
            <w:tcW w:w="200" w:type="dxa"/>
            <w:vAlign w:val="bottom"/>
          </w:tcPr>
          <w:p>
            <w:pPr>
              <w:spacing w:after="0" w:line="201" w:lineRule="exact"/>
              <w:rPr>
                <w:sz w:val="20"/>
                <w:szCs w:val="20"/>
                <w:color w:val="auto"/>
              </w:rPr>
            </w:pPr>
            <w:r>
              <w:rPr>
                <w:rFonts w:ascii="Arial" w:cs="Arial" w:eastAsia="Arial" w:hAnsi="Arial"/>
                <w:sz w:val="18"/>
                <w:szCs w:val="18"/>
                <w:color w:val="auto"/>
              </w:rPr>
              <w:t>1.</w:t>
            </w:r>
          </w:p>
        </w:tc>
        <w:tc>
          <w:tcPr>
            <w:tcW w:w="1900" w:type="dxa"/>
            <w:vAlign w:val="bottom"/>
          </w:tcPr>
          <w:p>
            <w:pPr>
              <w:ind w:left="60"/>
              <w:spacing w:after="0" w:line="201" w:lineRule="exact"/>
              <w:rPr>
                <w:sz w:val="20"/>
                <w:szCs w:val="20"/>
                <w:color w:val="auto"/>
              </w:rPr>
            </w:pPr>
            <w:r>
              <w:rPr>
                <w:rFonts w:ascii="Arial" w:cs="Arial" w:eastAsia="Arial" w:hAnsi="Arial"/>
                <w:sz w:val="18"/>
                <w:szCs w:val="18"/>
                <w:color w:val="auto"/>
              </w:rPr>
              <w:t>Individual</w:t>
            </w:r>
          </w:p>
        </w:tc>
        <w:tc>
          <w:tcPr>
            <w:tcW w:w="3560" w:type="dxa"/>
            <w:vAlign w:val="bottom"/>
          </w:tcPr>
          <w:p>
            <w:pPr>
              <w:ind w:left="100"/>
              <w:spacing w:after="0" w:line="201" w:lineRule="exact"/>
              <w:rPr>
                <w:sz w:val="20"/>
                <w:szCs w:val="20"/>
                <w:color w:val="auto"/>
              </w:rPr>
            </w:pPr>
            <w:r>
              <w:rPr>
                <w:rFonts w:ascii="Arial" w:cs="Arial" w:eastAsia="Arial" w:hAnsi="Arial"/>
                <w:sz w:val="18"/>
                <w:szCs w:val="18"/>
                <w:color w:val="auto"/>
              </w:rPr>
              <w:t>The individual</w:t>
            </w:r>
          </w:p>
        </w:tc>
        <w:tc>
          <w:tcPr>
            <w:tcW w:w="360" w:type="dxa"/>
            <w:vAlign w:val="bottom"/>
          </w:tcPr>
          <w:p>
            <w:pPr>
              <w:ind w:left="80"/>
              <w:spacing w:after="0" w:line="201" w:lineRule="exact"/>
              <w:rPr>
                <w:sz w:val="20"/>
                <w:szCs w:val="20"/>
                <w:color w:val="auto"/>
              </w:rPr>
            </w:pPr>
            <w:r>
              <w:rPr>
                <w:rFonts w:ascii="Arial" w:cs="Arial" w:eastAsia="Arial" w:hAnsi="Arial"/>
                <w:sz w:val="18"/>
                <w:szCs w:val="18"/>
                <w:color w:val="auto"/>
              </w:rPr>
              <w:t>6.</w:t>
            </w:r>
          </w:p>
        </w:tc>
        <w:tc>
          <w:tcPr>
            <w:tcW w:w="3420" w:type="dxa"/>
            <w:vAlign w:val="bottom"/>
          </w:tcPr>
          <w:p>
            <w:pPr>
              <w:ind w:left="60"/>
              <w:spacing w:after="0" w:line="201" w:lineRule="exact"/>
              <w:rPr>
                <w:sz w:val="20"/>
                <w:szCs w:val="20"/>
                <w:color w:val="auto"/>
              </w:rPr>
            </w:pPr>
            <w:r>
              <w:rPr>
                <w:rFonts w:ascii="Arial" w:cs="Arial" w:eastAsia="Arial" w:hAnsi="Arial"/>
                <w:sz w:val="18"/>
                <w:szCs w:val="18"/>
                <w:color w:val="auto"/>
              </w:rPr>
              <w:t>Sole proprietorship or single-owner LLC</w:t>
            </w:r>
          </w:p>
        </w:tc>
        <w:tc>
          <w:tcPr>
            <w:tcW w:w="1980" w:type="dxa"/>
            <w:vAlign w:val="bottom"/>
          </w:tcPr>
          <w:p>
            <w:pPr>
              <w:ind w:left="40"/>
              <w:spacing w:after="0" w:line="201" w:lineRule="exact"/>
              <w:rPr>
                <w:sz w:val="20"/>
                <w:szCs w:val="20"/>
                <w:color w:val="auto"/>
              </w:rPr>
            </w:pPr>
            <w:r>
              <w:rPr>
                <w:rFonts w:ascii="Arial" w:cs="Arial" w:eastAsia="Arial" w:hAnsi="Arial"/>
                <w:sz w:val="18"/>
                <w:szCs w:val="18"/>
                <w:color w:val="auto"/>
              </w:rPr>
              <w:t>The owner(3)</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2.</w:t>
            </w:r>
          </w:p>
        </w:tc>
        <w:tc>
          <w:tcPr>
            <w:tcW w:w="1900" w:type="dxa"/>
            <w:vAlign w:val="bottom"/>
          </w:tcPr>
          <w:p>
            <w:pPr>
              <w:ind w:left="60"/>
              <w:spacing w:after="0"/>
              <w:rPr>
                <w:sz w:val="20"/>
                <w:szCs w:val="20"/>
                <w:color w:val="auto"/>
              </w:rPr>
            </w:pPr>
            <w:r>
              <w:rPr>
                <w:rFonts w:ascii="Arial" w:cs="Arial" w:eastAsia="Arial" w:hAnsi="Arial"/>
                <w:sz w:val="18"/>
                <w:szCs w:val="18"/>
                <w:color w:val="auto"/>
                <w:w w:val="95"/>
              </w:rPr>
              <w:t>Two or more individuals</w:t>
            </w:r>
          </w:p>
        </w:tc>
        <w:tc>
          <w:tcPr>
            <w:tcW w:w="3560" w:type="dxa"/>
            <w:vAlign w:val="bottom"/>
          </w:tcPr>
          <w:p>
            <w:pPr>
              <w:ind w:left="100"/>
              <w:spacing w:after="0"/>
              <w:rPr>
                <w:sz w:val="20"/>
                <w:szCs w:val="20"/>
                <w:color w:val="auto"/>
              </w:rPr>
            </w:pPr>
            <w:r>
              <w:rPr>
                <w:rFonts w:ascii="Arial" w:cs="Arial" w:eastAsia="Arial" w:hAnsi="Arial"/>
                <w:sz w:val="18"/>
                <w:szCs w:val="18"/>
                <w:color w:val="auto"/>
                <w:w w:val="90"/>
              </w:rPr>
              <w:t>The actual owner of the account or, if combined</w:t>
            </w:r>
          </w:p>
        </w:tc>
        <w:tc>
          <w:tcPr>
            <w:tcW w:w="360" w:type="dxa"/>
            <w:vAlign w:val="bottom"/>
          </w:tcPr>
          <w:p>
            <w:pPr>
              <w:ind w:left="80"/>
              <w:spacing w:after="0"/>
              <w:rPr>
                <w:sz w:val="20"/>
                <w:szCs w:val="20"/>
                <w:color w:val="auto"/>
              </w:rPr>
            </w:pPr>
            <w:r>
              <w:rPr>
                <w:rFonts w:ascii="Arial" w:cs="Arial" w:eastAsia="Arial" w:hAnsi="Arial"/>
                <w:sz w:val="18"/>
                <w:szCs w:val="18"/>
                <w:color w:val="auto"/>
              </w:rPr>
              <w:t>7.</w:t>
            </w:r>
          </w:p>
        </w:tc>
        <w:tc>
          <w:tcPr>
            <w:tcW w:w="3420" w:type="dxa"/>
            <w:vAlign w:val="bottom"/>
          </w:tcPr>
          <w:p>
            <w:pPr>
              <w:ind w:left="60"/>
              <w:spacing w:after="0"/>
              <w:rPr>
                <w:sz w:val="20"/>
                <w:szCs w:val="20"/>
                <w:color w:val="auto"/>
              </w:rPr>
            </w:pPr>
            <w:r>
              <w:rPr>
                <w:rFonts w:ascii="Arial" w:cs="Arial" w:eastAsia="Arial" w:hAnsi="Arial"/>
                <w:sz w:val="18"/>
                <w:szCs w:val="18"/>
                <w:color w:val="auto"/>
              </w:rPr>
              <w:t>A valid trust, estate, or pension trust</w:t>
            </w:r>
          </w:p>
        </w:tc>
        <w:tc>
          <w:tcPr>
            <w:tcW w:w="1980" w:type="dxa"/>
            <w:vAlign w:val="bottom"/>
          </w:tcPr>
          <w:p>
            <w:pPr>
              <w:ind w:left="40"/>
              <w:spacing w:after="0"/>
              <w:rPr>
                <w:sz w:val="20"/>
                <w:szCs w:val="20"/>
                <w:color w:val="auto"/>
              </w:rPr>
            </w:pPr>
            <w:r>
              <w:rPr>
                <w:rFonts w:ascii="Arial" w:cs="Arial" w:eastAsia="Arial" w:hAnsi="Arial"/>
                <w:sz w:val="18"/>
                <w:szCs w:val="18"/>
                <w:color w:val="auto"/>
              </w:rPr>
              <w:t>Legal entity(4)</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900" w:type="dxa"/>
            <w:vAlign w:val="bottom"/>
          </w:tcPr>
          <w:p>
            <w:pPr>
              <w:ind w:left="60"/>
              <w:spacing w:after="0"/>
              <w:rPr>
                <w:sz w:val="20"/>
                <w:szCs w:val="20"/>
                <w:color w:val="auto"/>
              </w:rPr>
            </w:pPr>
            <w:r>
              <w:rPr>
                <w:rFonts w:ascii="Arial" w:cs="Arial" w:eastAsia="Arial" w:hAnsi="Arial"/>
                <w:sz w:val="18"/>
                <w:szCs w:val="18"/>
                <w:color w:val="auto"/>
              </w:rPr>
              <w:t>(joint account)</w:t>
            </w:r>
          </w:p>
        </w:tc>
        <w:tc>
          <w:tcPr>
            <w:tcW w:w="3560" w:type="dxa"/>
            <w:vAlign w:val="bottom"/>
          </w:tcPr>
          <w:p>
            <w:pPr>
              <w:ind w:left="100"/>
              <w:spacing w:after="0"/>
              <w:rPr>
                <w:sz w:val="20"/>
                <w:szCs w:val="20"/>
                <w:color w:val="auto"/>
              </w:rPr>
            </w:pPr>
            <w:r>
              <w:rPr>
                <w:rFonts w:ascii="Arial" w:cs="Arial" w:eastAsia="Arial" w:hAnsi="Arial"/>
                <w:sz w:val="18"/>
                <w:szCs w:val="18"/>
                <w:color w:val="auto"/>
              </w:rPr>
              <w:t>funds, the first individual on the account(1)</w:t>
            </w:r>
          </w:p>
        </w:tc>
        <w:tc>
          <w:tcPr>
            <w:tcW w:w="3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3.</w:t>
            </w:r>
          </w:p>
        </w:tc>
        <w:tc>
          <w:tcPr>
            <w:tcW w:w="1900" w:type="dxa"/>
            <w:vAlign w:val="bottom"/>
          </w:tcPr>
          <w:p>
            <w:pPr>
              <w:ind w:left="60"/>
              <w:spacing w:after="0"/>
              <w:rPr>
                <w:sz w:val="20"/>
                <w:szCs w:val="20"/>
                <w:color w:val="auto"/>
              </w:rPr>
            </w:pPr>
            <w:r>
              <w:rPr>
                <w:rFonts w:ascii="Arial" w:cs="Arial" w:eastAsia="Arial" w:hAnsi="Arial"/>
                <w:sz w:val="18"/>
                <w:szCs w:val="18"/>
                <w:color w:val="auto"/>
                <w:w w:val="98"/>
              </w:rPr>
              <w:t>Custodian account of a</w:t>
            </w:r>
          </w:p>
        </w:tc>
        <w:tc>
          <w:tcPr>
            <w:tcW w:w="3560" w:type="dxa"/>
            <w:vAlign w:val="bottom"/>
          </w:tcPr>
          <w:p>
            <w:pPr>
              <w:ind w:left="100"/>
              <w:spacing w:after="0"/>
              <w:rPr>
                <w:sz w:val="20"/>
                <w:szCs w:val="20"/>
                <w:color w:val="auto"/>
              </w:rPr>
            </w:pPr>
            <w:r>
              <w:rPr>
                <w:rFonts w:ascii="Arial" w:cs="Arial" w:eastAsia="Arial" w:hAnsi="Arial"/>
                <w:sz w:val="18"/>
                <w:szCs w:val="18"/>
                <w:color w:val="auto"/>
              </w:rPr>
              <w:t>The minor(2)</w:t>
            </w:r>
          </w:p>
        </w:tc>
        <w:tc>
          <w:tcPr>
            <w:tcW w:w="360" w:type="dxa"/>
            <w:vAlign w:val="bottom"/>
          </w:tcPr>
          <w:p>
            <w:pPr>
              <w:ind w:left="80"/>
              <w:spacing w:after="0"/>
              <w:rPr>
                <w:sz w:val="20"/>
                <w:szCs w:val="20"/>
                <w:color w:val="auto"/>
              </w:rPr>
            </w:pPr>
            <w:r>
              <w:rPr>
                <w:rFonts w:ascii="Arial" w:cs="Arial" w:eastAsia="Arial" w:hAnsi="Arial"/>
                <w:sz w:val="18"/>
                <w:szCs w:val="18"/>
                <w:color w:val="auto"/>
              </w:rPr>
              <w:t>8.</w:t>
            </w:r>
          </w:p>
        </w:tc>
        <w:tc>
          <w:tcPr>
            <w:tcW w:w="3420" w:type="dxa"/>
            <w:vAlign w:val="bottom"/>
          </w:tcPr>
          <w:p>
            <w:pPr>
              <w:ind w:left="60"/>
              <w:spacing w:after="0"/>
              <w:rPr>
                <w:sz w:val="20"/>
                <w:szCs w:val="20"/>
                <w:color w:val="auto"/>
              </w:rPr>
            </w:pPr>
            <w:r>
              <w:rPr>
                <w:rFonts w:ascii="Arial" w:cs="Arial" w:eastAsia="Arial" w:hAnsi="Arial"/>
                <w:sz w:val="18"/>
                <w:szCs w:val="18"/>
                <w:color w:val="auto"/>
                <w:w w:val="91"/>
              </w:rPr>
              <w:t>Corporate or LLC electing corporate status on</w:t>
            </w:r>
          </w:p>
        </w:tc>
        <w:tc>
          <w:tcPr>
            <w:tcW w:w="1980" w:type="dxa"/>
            <w:vAlign w:val="bottom"/>
          </w:tcPr>
          <w:p>
            <w:pPr>
              <w:ind w:left="40"/>
              <w:spacing w:after="0"/>
              <w:rPr>
                <w:sz w:val="20"/>
                <w:szCs w:val="20"/>
                <w:color w:val="auto"/>
              </w:rPr>
            </w:pPr>
            <w:r>
              <w:rPr>
                <w:rFonts w:ascii="Arial" w:cs="Arial" w:eastAsia="Arial" w:hAnsi="Arial"/>
                <w:sz w:val="18"/>
                <w:szCs w:val="18"/>
                <w:color w:val="auto"/>
              </w:rPr>
              <w:t>The corporation</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900" w:type="dxa"/>
            <w:vAlign w:val="bottom"/>
          </w:tcPr>
          <w:p>
            <w:pPr>
              <w:ind w:left="60"/>
              <w:spacing w:after="0"/>
              <w:rPr>
                <w:sz w:val="20"/>
                <w:szCs w:val="20"/>
                <w:color w:val="auto"/>
              </w:rPr>
            </w:pPr>
            <w:r>
              <w:rPr>
                <w:rFonts w:ascii="Arial" w:cs="Arial" w:eastAsia="Arial" w:hAnsi="Arial"/>
                <w:sz w:val="18"/>
                <w:szCs w:val="18"/>
                <w:color w:val="auto"/>
              </w:rPr>
              <w:t>minor (Uniform Gift to</w:t>
            </w:r>
          </w:p>
        </w:tc>
        <w:tc>
          <w:tcPr>
            <w:tcW w:w="3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20" w:type="dxa"/>
            <w:vAlign w:val="bottom"/>
          </w:tcPr>
          <w:p>
            <w:pPr>
              <w:ind w:left="60"/>
              <w:spacing w:after="0"/>
              <w:rPr>
                <w:sz w:val="20"/>
                <w:szCs w:val="20"/>
                <w:color w:val="auto"/>
              </w:rPr>
            </w:pPr>
            <w:r>
              <w:rPr>
                <w:rFonts w:ascii="Arial" w:cs="Arial" w:eastAsia="Arial" w:hAnsi="Arial"/>
                <w:sz w:val="18"/>
                <w:szCs w:val="18"/>
                <w:color w:val="auto"/>
              </w:rPr>
              <w:t>Form 8832</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900" w:type="dxa"/>
            <w:vAlign w:val="bottom"/>
          </w:tcPr>
          <w:p>
            <w:pPr>
              <w:ind w:left="60"/>
              <w:spacing w:after="0"/>
              <w:rPr>
                <w:sz w:val="20"/>
                <w:szCs w:val="20"/>
                <w:color w:val="auto"/>
              </w:rPr>
            </w:pPr>
            <w:r>
              <w:rPr>
                <w:rFonts w:ascii="Arial" w:cs="Arial" w:eastAsia="Arial" w:hAnsi="Arial"/>
                <w:sz w:val="18"/>
                <w:szCs w:val="18"/>
                <w:color w:val="auto"/>
              </w:rPr>
              <w:t>Minors Act)</w:t>
            </w:r>
          </w:p>
        </w:tc>
        <w:tc>
          <w:tcPr>
            <w:tcW w:w="3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4.</w:t>
            </w:r>
          </w:p>
        </w:tc>
        <w:tc>
          <w:tcPr>
            <w:tcW w:w="1900" w:type="dxa"/>
            <w:vAlign w:val="bottom"/>
          </w:tcPr>
          <w:p>
            <w:pPr>
              <w:ind w:left="60"/>
              <w:spacing w:after="0"/>
              <w:rPr>
                <w:sz w:val="20"/>
                <w:szCs w:val="20"/>
                <w:color w:val="auto"/>
              </w:rPr>
            </w:pPr>
            <w:r>
              <w:rPr>
                <w:rFonts w:ascii="Arial" w:cs="Arial" w:eastAsia="Arial" w:hAnsi="Arial"/>
                <w:sz w:val="18"/>
                <w:szCs w:val="18"/>
                <w:color w:val="auto"/>
                <w:w w:val="97"/>
              </w:rPr>
              <w:t>a.  The usual revocable</w:t>
            </w:r>
          </w:p>
        </w:tc>
        <w:tc>
          <w:tcPr>
            <w:tcW w:w="3560" w:type="dxa"/>
            <w:vAlign w:val="bottom"/>
          </w:tcPr>
          <w:p>
            <w:pPr>
              <w:ind w:left="100"/>
              <w:spacing w:after="0"/>
              <w:rPr>
                <w:sz w:val="20"/>
                <w:szCs w:val="20"/>
                <w:color w:val="auto"/>
              </w:rPr>
            </w:pPr>
            <w:r>
              <w:rPr>
                <w:rFonts w:ascii="Arial" w:cs="Arial" w:eastAsia="Arial" w:hAnsi="Arial"/>
                <w:sz w:val="18"/>
                <w:szCs w:val="18"/>
                <w:color w:val="auto"/>
              </w:rPr>
              <w:t>The grantor-trustee(1)</w:t>
            </w:r>
          </w:p>
        </w:tc>
        <w:tc>
          <w:tcPr>
            <w:tcW w:w="360" w:type="dxa"/>
            <w:vAlign w:val="bottom"/>
          </w:tcPr>
          <w:p>
            <w:pPr>
              <w:ind w:left="80"/>
              <w:spacing w:after="0"/>
              <w:rPr>
                <w:sz w:val="20"/>
                <w:szCs w:val="20"/>
                <w:color w:val="auto"/>
              </w:rPr>
            </w:pPr>
            <w:r>
              <w:rPr>
                <w:rFonts w:ascii="Arial" w:cs="Arial" w:eastAsia="Arial" w:hAnsi="Arial"/>
                <w:sz w:val="18"/>
                <w:szCs w:val="18"/>
                <w:color w:val="auto"/>
              </w:rPr>
              <w:t>9.</w:t>
            </w:r>
          </w:p>
        </w:tc>
        <w:tc>
          <w:tcPr>
            <w:tcW w:w="3420" w:type="dxa"/>
            <w:vAlign w:val="bottom"/>
          </w:tcPr>
          <w:p>
            <w:pPr>
              <w:ind w:left="60"/>
              <w:spacing w:after="0"/>
              <w:rPr>
                <w:sz w:val="20"/>
                <w:szCs w:val="20"/>
                <w:color w:val="auto"/>
              </w:rPr>
            </w:pPr>
            <w:r>
              <w:rPr>
                <w:rFonts w:ascii="Arial" w:cs="Arial" w:eastAsia="Arial" w:hAnsi="Arial"/>
                <w:sz w:val="18"/>
                <w:szCs w:val="18"/>
                <w:color w:val="auto"/>
              </w:rPr>
              <w:t>Association, club, religious, charitable,</w:t>
            </w:r>
          </w:p>
        </w:tc>
        <w:tc>
          <w:tcPr>
            <w:tcW w:w="1980" w:type="dxa"/>
            <w:vAlign w:val="bottom"/>
          </w:tcPr>
          <w:p>
            <w:pPr>
              <w:ind w:left="40"/>
              <w:spacing w:after="0"/>
              <w:rPr>
                <w:sz w:val="20"/>
                <w:szCs w:val="20"/>
                <w:color w:val="auto"/>
              </w:rPr>
            </w:pPr>
            <w:r>
              <w:rPr>
                <w:rFonts w:ascii="Arial" w:cs="Arial" w:eastAsia="Arial" w:hAnsi="Arial"/>
                <w:sz w:val="18"/>
                <w:szCs w:val="18"/>
                <w:color w:val="auto"/>
              </w:rPr>
              <w:t>The organization</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900" w:type="dxa"/>
            <w:vAlign w:val="bottom"/>
          </w:tcPr>
          <w:p>
            <w:pPr>
              <w:ind w:left="300"/>
              <w:spacing w:after="0"/>
              <w:rPr>
                <w:sz w:val="20"/>
                <w:szCs w:val="20"/>
                <w:color w:val="auto"/>
              </w:rPr>
            </w:pPr>
            <w:r>
              <w:rPr>
                <w:rFonts w:ascii="Arial" w:cs="Arial" w:eastAsia="Arial" w:hAnsi="Arial"/>
                <w:sz w:val="18"/>
                <w:szCs w:val="18"/>
                <w:color w:val="auto"/>
                <w:w w:val="93"/>
              </w:rPr>
              <w:t>savings trust (grantor</w:t>
            </w:r>
          </w:p>
        </w:tc>
        <w:tc>
          <w:tcPr>
            <w:tcW w:w="3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20" w:type="dxa"/>
            <w:vAlign w:val="bottom"/>
          </w:tcPr>
          <w:p>
            <w:pPr>
              <w:ind w:left="60"/>
              <w:spacing w:after="0"/>
              <w:rPr>
                <w:sz w:val="20"/>
                <w:szCs w:val="20"/>
                <w:color w:val="auto"/>
              </w:rPr>
            </w:pPr>
            <w:r>
              <w:rPr>
                <w:rFonts w:ascii="Arial" w:cs="Arial" w:eastAsia="Arial" w:hAnsi="Arial"/>
                <w:sz w:val="18"/>
                <w:szCs w:val="18"/>
                <w:color w:val="auto"/>
                <w:w w:val="93"/>
              </w:rPr>
              <w:t>educational or other tax-exempt organization</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900" w:type="dxa"/>
            <w:vAlign w:val="bottom"/>
          </w:tcPr>
          <w:p>
            <w:pPr>
              <w:ind w:left="300"/>
              <w:spacing w:after="0"/>
              <w:rPr>
                <w:sz w:val="20"/>
                <w:szCs w:val="20"/>
                <w:color w:val="auto"/>
              </w:rPr>
            </w:pPr>
            <w:r>
              <w:rPr>
                <w:rFonts w:ascii="Arial" w:cs="Arial" w:eastAsia="Arial" w:hAnsi="Arial"/>
                <w:sz w:val="18"/>
                <w:szCs w:val="18"/>
                <w:color w:val="auto"/>
              </w:rPr>
              <w:t>is also trustee)</w:t>
            </w:r>
          </w:p>
        </w:tc>
        <w:tc>
          <w:tcPr>
            <w:tcW w:w="3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900" w:type="dxa"/>
            <w:vAlign w:val="bottom"/>
          </w:tcPr>
          <w:p>
            <w:pPr>
              <w:ind w:left="60"/>
              <w:spacing w:after="0"/>
              <w:rPr>
                <w:sz w:val="20"/>
                <w:szCs w:val="20"/>
                <w:color w:val="auto"/>
              </w:rPr>
            </w:pPr>
            <w:r>
              <w:rPr>
                <w:rFonts w:ascii="Arial" w:cs="Arial" w:eastAsia="Arial" w:hAnsi="Arial"/>
                <w:sz w:val="18"/>
                <w:szCs w:val="18"/>
                <w:color w:val="auto"/>
              </w:rPr>
              <w:t>b. So-called “trust”</w:t>
            </w:r>
          </w:p>
        </w:tc>
        <w:tc>
          <w:tcPr>
            <w:tcW w:w="3560" w:type="dxa"/>
            <w:vAlign w:val="bottom"/>
          </w:tcPr>
          <w:p>
            <w:pPr>
              <w:ind w:left="100"/>
              <w:spacing w:after="0"/>
              <w:rPr>
                <w:sz w:val="20"/>
                <w:szCs w:val="20"/>
                <w:color w:val="auto"/>
              </w:rPr>
            </w:pPr>
            <w:r>
              <w:rPr>
                <w:rFonts w:ascii="Arial" w:cs="Arial" w:eastAsia="Arial" w:hAnsi="Arial"/>
                <w:sz w:val="18"/>
                <w:szCs w:val="18"/>
                <w:color w:val="auto"/>
              </w:rPr>
              <w:t>The actual owner(1)</w:t>
            </w:r>
          </w:p>
        </w:tc>
        <w:tc>
          <w:tcPr>
            <w:tcW w:w="360" w:type="dxa"/>
            <w:vAlign w:val="bottom"/>
          </w:tcPr>
          <w:p>
            <w:pPr>
              <w:ind w:left="80"/>
              <w:spacing w:after="0"/>
              <w:rPr>
                <w:sz w:val="20"/>
                <w:szCs w:val="20"/>
                <w:color w:val="auto"/>
              </w:rPr>
            </w:pPr>
            <w:r>
              <w:rPr>
                <w:rFonts w:ascii="Arial" w:cs="Arial" w:eastAsia="Arial" w:hAnsi="Arial"/>
                <w:sz w:val="18"/>
                <w:szCs w:val="18"/>
                <w:color w:val="auto"/>
              </w:rPr>
              <w:t>10.</w:t>
            </w:r>
          </w:p>
        </w:tc>
        <w:tc>
          <w:tcPr>
            <w:tcW w:w="3420" w:type="dxa"/>
            <w:vAlign w:val="bottom"/>
          </w:tcPr>
          <w:p>
            <w:pPr>
              <w:ind w:left="60"/>
              <w:spacing w:after="0"/>
              <w:rPr>
                <w:sz w:val="20"/>
                <w:szCs w:val="20"/>
                <w:color w:val="auto"/>
              </w:rPr>
            </w:pPr>
            <w:r>
              <w:rPr>
                <w:rFonts w:ascii="Arial" w:cs="Arial" w:eastAsia="Arial" w:hAnsi="Arial"/>
                <w:sz w:val="18"/>
                <w:szCs w:val="18"/>
                <w:color w:val="auto"/>
              </w:rPr>
              <w:t>Partnership or Multi-Member LLC</w:t>
            </w:r>
          </w:p>
        </w:tc>
        <w:tc>
          <w:tcPr>
            <w:tcW w:w="1980" w:type="dxa"/>
            <w:vAlign w:val="bottom"/>
          </w:tcPr>
          <w:p>
            <w:pPr>
              <w:ind w:left="40"/>
              <w:spacing w:after="0"/>
              <w:rPr>
                <w:sz w:val="20"/>
                <w:szCs w:val="20"/>
                <w:color w:val="auto"/>
              </w:rPr>
            </w:pPr>
            <w:r>
              <w:rPr>
                <w:rFonts w:ascii="Arial" w:cs="Arial" w:eastAsia="Arial" w:hAnsi="Arial"/>
                <w:sz w:val="18"/>
                <w:szCs w:val="18"/>
                <w:color w:val="auto"/>
              </w:rPr>
              <w:t>The partnership</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900" w:type="dxa"/>
            <w:vAlign w:val="bottom"/>
          </w:tcPr>
          <w:p>
            <w:pPr>
              <w:ind w:left="300"/>
              <w:spacing w:after="0"/>
              <w:rPr>
                <w:sz w:val="20"/>
                <w:szCs w:val="20"/>
                <w:color w:val="auto"/>
              </w:rPr>
            </w:pPr>
            <w:r>
              <w:rPr>
                <w:rFonts w:ascii="Arial" w:cs="Arial" w:eastAsia="Arial" w:hAnsi="Arial"/>
                <w:sz w:val="18"/>
                <w:szCs w:val="18"/>
                <w:color w:val="auto"/>
                <w:w w:val="98"/>
              </w:rPr>
              <w:t>account that is not a</w:t>
            </w:r>
          </w:p>
        </w:tc>
        <w:tc>
          <w:tcPr>
            <w:tcW w:w="3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900" w:type="dxa"/>
            <w:vAlign w:val="bottom"/>
          </w:tcPr>
          <w:p>
            <w:pPr>
              <w:ind w:left="300"/>
              <w:spacing w:after="0"/>
              <w:rPr>
                <w:sz w:val="20"/>
                <w:szCs w:val="20"/>
                <w:color w:val="auto"/>
              </w:rPr>
            </w:pPr>
            <w:r>
              <w:rPr>
                <w:rFonts w:ascii="Arial" w:cs="Arial" w:eastAsia="Arial" w:hAnsi="Arial"/>
                <w:sz w:val="18"/>
                <w:szCs w:val="18"/>
                <w:color w:val="auto"/>
              </w:rPr>
              <w:t>legal or valid trust</w:t>
            </w:r>
          </w:p>
        </w:tc>
        <w:tc>
          <w:tcPr>
            <w:tcW w:w="3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900" w:type="dxa"/>
            <w:vAlign w:val="bottom"/>
          </w:tcPr>
          <w:p>
            <w:pPr>
              <w:ind w:left="300"/>
              <w:spacing w:after="0"/>
              <w:rPr>
                <w:sz w:val="20"/>
                <w:szCs w:val="20"/>
                <w:color w:val="auto"/>
              </w:rPr>
            </w:pPr>
            <w:r>
              <w:rPr>
                <w:rFonts w:ascii="Arial" w:cs="Arial" w:eastAsia="Arial" w:hAnsi="Arial"/>
                <w:sz w:val="18"/>
                <w:szCs w:val="18"/>
                <w:color w:val="auto"/>
              </w:rPr>
              <w:t>under state law</w:t>
            </w:r>
          </w:p>
        </w:tc>
        <w:tc>
          <w:tcPr>
            <w:tcW w:w="3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5.</w:t>
            </w:r>
          </w:p>
        </w:tc>
        <w:tc>
          <w:tcPr>
            <w:tcW w:w="1900" w:type="dxa"/>
            <w:vAlign w:val="bottom"/>
          </w:tcPr>
          <w:p>
            <w:pPr>
              <w:ind w:left="60"/>
              <w:spacing w:after="0"/>
              <w:rPr>
                <w:sz w:val="20"/>
                <w:szCs w:val="20"/>
                <w:color w:val="auto"/>
              </w:rPr>
            </w:pPr>
            <w:r>
              <w:rPr>
                <w:rFonts w:ascii="Arial" w:cs="Arial" w:eastAsia="Arial" w:hAnsi="Arial"/>
                <w:sz w:val="18"/>
                <w:szCs w:val="18"/>
                <w:color w:val="auto"/>
              </w:rPr>
              <w:t>Sole proprietorship or</w:t>
            </w:r>
          </w:p>
        </w:tc>
        <w:tc>
          <w:tcPr>
            <w:tcW w:w="3560" w:type="dxa"/>
            <w:vAlign w:val="bottom"/>
          </w:tcPr>
          <w:p>
            <w:pPr>
              <w:ind w:left="100"/>
              <w:spacing w:after="0"/>
              <w:rPr>
                <w:sz w:val="20"/>
                <w:szCs w:val="20"/>
                <w:color w:val="auto"/>
              </w:rPr>
            </w:pPr>
            <w:r>
              <w:rPr>
                <w:rFonts w:ascii="Arial" w:cs="Arial" w:eastAsia="Arial" w:hAnsi="Arial"/>
                <w:sz w:val="18"/>
                <w:szCs w:val="18"/>
                <w:color w:val="auto"/>
              </w:rPr>
              <w:t>The owner(3)</w:t>
            </w:r>
          </w:p>
        </w:tc>
        <w:tc>
          <w:tcPr>
            <w:tcW w:w="360" w:type="dxa"/>
            <w:vAlign w:val="bottom"/>
          </w:tcPr>
          <w:p>
            <w:pPr>
              <w:ind w:left="80"/>
              <w:spacing w:after="0"/>
              <w:rPr>
                <w:sz w:val="20"/>
                <w:szCs w:val="20"/>
                <w:color w:val="auto"/>
              </w:rPr>
            </w:pPr>
            <w:r>
              <w:rPr>
                <w:rFonts w:ascii="Arial" w:cs="Arial" w:eastAsia="Arial" w:hAnsi="Arial"/>
                <w:sz w:val="18"/>
                <w:szCs w:val="18"/>
                <w:color w:val="auto"/>
              </w:rPr>
              <w:t>11.</w:t>
            </w:r>
          </w:p>
        </w:tc>
        <w:tc>
          <w:tcPr>
            <w:tcW w:w="3420" w:type="dxa"/>
            <w:vAlign w:val="bottom"/>
          </w:tcPr>
          <w:p>
            <w:pPr>
              <w:ind w:left="60"/>
              <w:spacing w:after="0"/>
              <w:rPr>
                <w:sz w:val="20"/>
                <w:szCs w:val="20"/>
                <w:color w:val="auto"/>
              </w:rPr>
            </w:pPr>
            <w:r>
              <w:rPr>
                <w:rFonts w:ascii="Arial" w:cs="Arial" w:eastAsia="Arial" w:hAnsi="Arial"/>
                <w:sz w:val="18"/>
                <w:szCs w:val="18"/>
                <w:color w:val="auto"/>
              </w:rPr>
              <w:t>A broker or registered nominee</w:t>
            </w:r>
          </w:p>
        </w:tc>
        <w:tc>
          <w:tcPr>
            <w:tcW w:w="1980" w:type="dxa"/>
            <w:vAlign w:val="bottom"/>
          </w:tcPr>
          <w:p>
            <w:pPr>
              <w:ind w:left="40"/>
              <w:spacing w:after="0"/>
              <w:rPr>
                <w:sz w:val="20"/>
                <w:szCs w:val="20"/>
                <w:color w:val="auto"/>
              </w:rPr>
            </w:pPr>
            <w:r>
              <w:rPr>
                <w:rFonts w:ascii="Arial" w:cs="Arial" w:eastAsia="Arial" w:hAnsi="Arial"/>
                <w:sz w:val="18"/>
                <w:szCs w:val="18"/>
                <w:color w:val="auto"/>
              </w:rPr>
              <w:t>The broker or nominee</w:t>
            </w:r>
          </w:p>
        </w:tc>
        <w:tc>
          <w:tcPr>
            <w:tcW w:w="0" w:type="dxa"/>
            <w:vAlign w:val="bottom"/>
          </w:tcPr>
          <w:p>
            <w:pPr>
              <w:spacing w:after="0"/>
              <w:rPr>
                <w:sz w:val="1"/>
                <w:szCs w:val="1"/>
                <w:color w:val="auto"/>
              </w:rPr>
            </w:pPr>
          </w:p>
        </w:tc>
      </w:tr>
      <w:tr>
        <w:trPr>
          <w:trHeight w:val="222"/>
        </w:trPr>
        <w:tc>
          <w:tcPr>
            <w:tcW w:w="200" w:type="dxa"/>
            <w:vAlign w:val="bottom"/>
          </w:tcPr>
          <w:p>
            <w:pPr>
              <w:spacing w:after="0"/>
              <w:rPr>
                <w:sz w:val="19"/>
                <w:szCs w:val="19"/>
                <w:color w:val="auto"/>
              </w:rPr>
            </w:pPr>
          </w:p>
        </w:tc>
        <w:tc>
          <w:tcPr>
            <w:tcW w:w="1900" w:type="dxa"/>
            <w:vAlign w:val="bottom"/>
          </w:tcPr>
          <w:p>
            <w:pPr>
              <w:ind w:left="60"/>
              <w:spacing w:after="0"/>
              <w:rPr>
                <w:sz w:val="20"/>
                <w:szCs w:val="20"/>
                <w:color w:val="auto"/>
              </w:rPr>
            </w:pPr>
            <w:r>
              <w:rPr>
                <w:rFonts w:ascii="Arial" w:cs="Arial" w:eastAsia="Arial" w:hAnsi="Arial"/>
                <w:sz w:val="18"/>
                <w:szCs w:val="18"/>
                <w:color w:val="auto"/>
              </w:rPr>
              <w:t>single-owner LLC</w:t>
            </w:r>
          </w:p>
        </w:tc>
        <w:tc>
          <w:tcPr>
            <w:tcW w:w="3560" w:type="dxa"/>
            <w:vAlign w:val="bottom"/>
          </w:tcPr>
          <w:p>
            <w:pPr>
              <w:spacing w:after="0"/>
              <w:rPr>
                <w:sz w:val="19"/>
                <w:szCs w:val="19"/>
                <w:color w:val="auto"/>
              </w:rPr>
            </w:pPr>
          </w:p>
        </w:tc>
        <w:tc>
          <w:tcPr>
            <w:tcW w:w="360" w:type="dxa"/>
            <w:vAlign w:val="bottom"/>
            <w:vMerge w:val="restart"/>
          </w:tcPr>
          <w:p>
            <w:pPr>
              <w:ind w:left="80"/>
              <w:spacing w:after="0"/>
              <w:rPr>
                <w:sz w:val="20"/>
                <w:szCs w:val="20"/>
                <w:color w:val="auto"/>
              </w:rPr>
            </w:pPr>
            <w:r>
              <w:rPr>
                <w:rFonts w:ascii="Arial" w:cs="Arial" w:eastAsia="Arial" w:hAnsi="Arial"/>
                <w:sz w:val="18"/>
                <w:szCs w:val="18"/>
                <w:color w:val="auto"/>
              </w:rPr>
              <w:t>12.</w:t>
            </w:r>
          </w:p>
        </w:tc>
        <w:tc>
          <w:tcPr>
            <w:tcW w:w="3420" w:type="dxa"/>
            <w:vAlign w:val="bottom"/>
            <w:vMerge w:val="restart"/>
          </w:tcPr>
          <w:p>
            <w:pPr>
              <w:ind w:left="60"/>
              <w:spacing w:after="0"/>
              <w:rPr>
                <w:sz w:val="20"/>
                <w:szCs w:val="20"/>
                <w:color w:val="auto"/>
              </w:rPr>
            </w:pPr>
            <w:r>
              <w:rPr>
                <w:rFonts w:ascii="Arial" w:cs="Arial" w:eastAsia="Arial" w:hAnsi="Arial"/>
                <w:sz w:val="18"/>
                <w:szCs w:val="18"/>
                <w:color w:val="auto"/>
                <w:w w:val="92"/>
              </w:rPr>
              <w:t>Account with the Department of Agriculture in</w:t>
            </w:r>
          </w:p>
        </w:tc>
        <w:tc>
          <w:tcPr>
            <w:tcW w:w="1980" w:type="dxa"/>
            <w:vAlign w:val="bottom"/>
            <w:vMerge w:val="restart"/>
          </w:tcPr>
          <w:p>
            <w:pPr>
              <w:ind w:left="40"/>
              <w:spacing w:after="0"/>
              <w:rPr>
                <w:sz w:val="20"/>
                <w:szCs w:val="20"/>
                <w:color w:val="auto"/>
              </w:rPr>
            </w:pPr>
            <w:r>
              <w:rPr>
                <w:rFonts w:ascii="Arial" w:cs="Arial" w:eastAsia="Arial" w:hAnsi="Arial"/>
                <w:sz w:val="18"/>
                <w:szCs w:val="18"/>
                <w:color w:val="auto"/>
              </w:rPr>
              <w:t>The public entity</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3420" w:type="dxa"/>
            <w:vAlign w:val="bottom"/>
            <w:vMerge w:val="continue"/>
          </w:tcPr>
          <w:p>
            <w:pPr>
              <w:spacing w:after="0"/>
              <w:rPr>
                <w:sz w:val="18"/>
                <w:szCs w:val="18"/>
                <w:color w:val="auto"/>
              </w:rPr>
            </w:pPr>
          </w:p>
        </w:tc>
        <w:tc>
          <w:tcPr>
            <w:tcW w:w="1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20" w:type="dxa"/>
            <w:vAlign w:val="bottom"/>
          </w:tcPr>
          <w:p>
            <w:pPr>
              <w:ind w:left="60"/>
              <w:spacing w:after="0"/>
              <w:rPr>
                <w:sz w:val="20"/>
                <w:szCs w:val="20"/>
                <w:color w:val="auto"/>
              </w:rPr>
            </w:pPr>
            <w:r>
              <w:rPr>
                <w:rFonts w:ascii="Arial" w:cs="Arial" w:eastAsia="Arial" w:hAnsi="Arial"/>
                <w:sz w:val="18"/>
                <w:szCs w:val="18"/>
                <w:color w:val="auto"/>
                <w:w w:val="91"/>
              </w:rPr>
              <w:t>the name of a public entity (such as a state or</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20" w:type="dxa"/>
            <w:vAlign w:val="bottom"/>
          </w:tcPr>
          <w:p>
            <w:pPr>
              <w:ind w:left="60"/>
              <w:spacing w:after="0"/>
              <w:rPr>
                <w:sz w:val="20"/>
                <w:szCs w:val="20"/>
                <w:color w:val="auto"/>
              </w:rPr>
            </w:pPr>
            <w:r>
              <w:rPr>
                <w:rFonts w:ascii="Arial" w:cs="Arial" w:eastAsia="Arial" w:hAnsi="Arial"/>
                <w:sz w:val="18"/>
                <w:szCs w:val="18"/>
                <w:color w:val="auto"/>
                <w:w w:val="97"/>
              </w:rPr>
              <w:t>local government, school district, or prison)</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c>
          <w:tcPr>
            <w:tcW w:w="35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5"/>
              </w:rPr>
              <w:t>that receives agricultural program payments</w:t>
            </w:r>
          </w:p>
        </w:tc>
        <w:tc>
          <w:tcPr>
            <w:tcW w:w="1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460" w:right="60" w:hanging="364"/>
        <w:spacing w:after="0" w:line="259" w:lineRule="auto"/>
        <w:tabs>
          <w:tab w:leader="none" w:pos="46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If you are an individual, you must generally enter the name shown on your social security card. However, if you have changed your last name, for instance, due to marriage, without informing the Social Security Administration of the name change, enter your first name, the last name shown on your social security card, and your new last name.</w:t>
      </w:r>
    </w:p>
    <w:p>
      <w:pPr>
        <w:spacing w:after="0" w:line="59" w:lineRule="exact"/>
        <w:rPr>
          <w:sz w:val="20"/>
          <w:szCs w:val="20"/>
          <w:color w:val="auto"/>
        </w:rPr>
      </w:pPr>
    </w:p>
    <w:p>
      <w:pPr>
        <w:ind w:left="460" w:right="400" w:hanging="452"/>
        <w:spacing w:after="0" w:line="268" w:lineRule="auto"/>
        <w:tabs>
          <w:tab w:leader="none" w:pos="46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List first and circle the name of the person whose number you furnish. If only one person on a joint account has a social security number, that person’s number must be furnished.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Circle the minor’s name and furnish the minor’s social security number.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359" w:name="page360"/>
    <w:bookmarkEnd w:id="359"/>
    <w:p>
      <w:pPr>
        <w:ind w:left="460" w:hanging="452"/>
        <w:spacing w:after="0" w:line="259" w:lineRule="auto"/>
        <w:tabs>
          <w:tab w:leader="none" w:pos="460" w:val="left"/>
        </w:tabs>
        <w:numPr>
          <w:ilvl w:val="0"/>
          <w:numId w:val="4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You must show your individual name and you may also enter your business or “DBA” name on the second name line. You may use either your social security number or employer identification number (if you have one). If you are a sole proprietor, the Internal Revenue Service encourages you to use your social security number.</w:t>
      </w:r>
    </w:p>
    <w:p>
      <w:pPr>
        <w:spacing w:after="0" w:line="59" w:lineRule="exact"/>
        <w:rPr>
          <w:rFonts w:ascii="Arial" w:cs="Arial" w:eastAsia="Arial" w:hAnsi="Arial"/>
          <w:sz w:val="18"/>
          <w:szCs w:val="18"/>
          <w:color w:val="auto"/>
        </w:rPr>
      </w:pPr>
    </w:p>
    <w:p>
      <w:pPr>
        <w:ind w:left="460" w:right="340" w:hanging="452"/>
        <w:spacing w:after="0" w:line="268" w:lineRule="auto"/>
        <w:tabs>
          <w:tab w:leader="none" w:pos="46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List first and circle the name of the legal trust, estate or pension trust. (Do not furnish the TIN of the personal representative or trustee unless the legal entity itself is not designated in the account title.)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Note: If no name is circled when more than one name is listed, the number will be considered to be that of the first name listed.</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40"/>
          </w:cols>
          <w:pgMar w:left="240" w:top="280" w:right="319" w:bottom="1440" w:gutter="0" w:footer="0" w:header="0"/>
        </w:sectPr>
      </w:pPr>
    </w:p>
    <w:bookmarkStart w:id="360" w:name="page361"/>
    <w:bookmarkEnd w:id="36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GUIDELINES FOR CERTIFICATION OF TAXPAYER</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IDENTIFICATION NUMBER ON SUBSTITUTE FORM W-9</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Obtaining a TIN</w:t>
      </w:r>
    </w:p>
    <w:p>
      <w:pPr>
        <w:spacing w:after="0" w:line="90" w:lineRule="exact"/>
        <w:rPr>
          <w:sz w:val="20"/>
          <w:szCs w:val="20"/>
          <w:color w:val="auto"/>
        </w:rPr>
      </w:pPr>
    </w:p>
    <w:p>
      <w:pPr>
        <w:ind w:right="100" w:firstLine="456"/>
        <w:spacing w:after="0" w:line="301" w:lineRule="auto"/>
        <w:rPr>
          <w:sz w:val="20"/>
          <w:szCs w:val="20"/>
          <w:color w:val="auto"/>
        </w:rPr>
      </w:pPr>
      <w:r>
        <w:rPr>
          <w:rFonts w:ascii="Arial" w:cs="Arial" w:eastAsia="Arial" w:hAnsi="Arial"/>
          <w:sz w:val="16"/>
          <w:szCs w:val="16"/>
          <w:color w:val="auto"/>
        </w:rPr>
        <w:t xml:space="preserve">If you do not have a TIN or you do not know your number, obtain </w:t>
      </w:r>
      <w:r>
        <w:rPr>
          <w:rFonts w:ascii="Arial" w:cs="Arial" w:eastAsia="Arial" w:hAnsi="Arial"/>
          <w:sz w:val="16"/>
          <w:szCs w:val="16"/>
          <w:b w:val="1"/>
          <w:bCs w:val="1"/>
          <w:color w:val="auto"/>
        </w:rPr>
        <w:t>Form SS-5</w:t>
      </w:r>
      <w:r>
        <w:rPr>
          <w:rFonts w:ascii="Arial" w:cs="Arial" w:eastAsia="Arial" w:hAnsi="Arial"/>
          <w:sz w:val="16"/>
          <w:szCs w:val="16"/>
          <w:color w:val="auto"/>
        </w:rPr>
        <w:t xml:space="preserve">, Application for a Social Security Card (for resident individuals), </w:t>
      </w:r>
      <w:r>
        <w:rPr>
          <w:rFonts w:ascii="Arial" w:cs="Arial" w:eastAsia="Arial" w:hAnsi="Arial"/>
          <w:sz w:val="16"/>
          <w:szCs w:val="16"/>
          <w:b w:val="1"/>
          <w:bCs w:val="1"/>
          <w:color w:val="auto"/>
        </w:rPr>
        <w:t>Form SS-4</w:t>
      </w:r>
      <w:r>
        <w:rPr>
          <w:rFonts w:ascii="Arial" w:cs="Arial" w:eastAsia="Arial" w:hAnsi="Arial"/>
          <w:sz w:val="16"/>
          <w:szCs w:val="16"/>
          <w:color w:val="auto"/>
        </w:rPr>
        <w:t>, Application for Employer Identification Number (for businesses and all other entities),</w:t>
      </w:r>
      <w:r>
        <w:rPr>
          <w:rFonts w:ascii="Arial" w:cs="Arial" w:eastAsia="Arial" w:hAnsi="Arial"/>
          <w:sz w:val="16"/>
          <w:szCs w:val="16"/>
          <w:b w:val="1"/>
          <w:bCs w:val="1"/>
          <w:color w:val="auto"/>
        </w:rPr>
        <w:t xml:space="preserve"> Form W-7</w:t>
      </w:r>
      <w:r>
        <w:rPr>
          <w:rFonts w:ascii="Arial" w:cs="Arial" w:eastAsia="Arial" w:hAnsi="Arial"/>
          <w:sz w:val="16"/>
          <w:szCs w:val="16"/>
          <w:color w:val="auto"/>
        </w:rPr>
        <w:t>, Application for IRS Individual Taxpayer Identification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Number (for resident alien individuals required to file U.S. tax returns). You may obtain Form SS-5 from your local Social Security Administration Office and Forms SS-4 and W-7 from the IRS by calling 1-800-TAX-FORM (1-800-829-3676) or from the IRS’s Internet Web Site at </w:t>
      </w:r>
      <w:r>
        <w:rPr>
          <w:rFonts w:ascii="Arial" w:cs="Arial" w:eastAsia="Arial" w:hAnsi="Arial"/>
          <w:sz w:val="16"/>
          <w:szCs w:val="16"/>
          <w:i w:val="1"/>
          <w:iCs w:val="1"/>
          <w:color w:val="auto"/>
        </w:rPr>
        <w:t>www.irs.gov.</w:t>
      </w:r>
    </w:p>
    <w:p>
      <w:pPr>
        <w:spacing w:after="0" w:line="10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To complete Substitute Form W-9 if you do not have a TIN, write “Applied For” in the space for the TIN in Part 1, sign and date the form, and give it to the payor. Generally, you will then have 60 days to obtain a TIN and furnish it to the payor. If the payor does not receive your TIN within 60 days, backup withholding, if applicable, will begin and will continue until you furnish your TIN to the payor. </w:t>
      </w:r>
      <w:r>
        <w:rPr>
          <w:rFonts w:ascii="Arial" w:cs="Arial" w:eastAsia="Arial" w:hAnsi="Arial"/>
          <w:sz w:val="18"/>
          <w:szCs w:val="18"/>
          <w:b w:val="1"/>
          <w:bCs w:val="1"/>
          <w:color w:val="auto"/>
        </w:rPr>
        <w:t>Note:</w:t>
      </w:r>
      <w:r>
        <w:rPr>
          <w:rFonts w:ascii="Arial" w:cs="Arial" w:eastAsia="Arial" w:hAnsi="Arial"/>
          <w:sz w:val="18"/>
          <w:szCs w:val="18"/>
          <w:color w:val="auto"/>
        </w:rPr>
        <w:t xml:space="preserve"> </w:t>
      </w:r>
      <w:r>
        <w:rPr>
          <w:rFonts w:ascii="Arial" w:cs="Arial" w:eastAsia="Arial" w:hAnsi="Arial"/>
          <w:sz w:val="18"/>
          <w:szCs w:val="18"/>
          <w:i w:val="1"/>
          <w:iCs w:val="1"/>
          <w:color w:val="auto"/>
        </w:rPr>
        <w:t>Writing “Applied For” means that you have already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applied for a TIN </w:t>
      </w:r>
      <w:r>
        <w:rPr>
          <w:rFonts w:ascii="Arial" w:cs="Arial" w:eastAsia="Arial" w:hAnsi="Arial"/>
          <w:sz w:val="18"/>
          <w:szCs w:val="18"/>
          <w:b w:val="1"/>
          <w:bCs w:val="1"/>
          <w:i w:val="1"/>
          <w:iCs w:val="1"/>
          <w:color w:val="auto"/>
        </w:rPr>
        <w:t>OR</w:t>
      </w:r>
      <w:r>
        <w:rPr>
          <w:rFonts w:ascii="Arial" w:cs="Arial" w:eastAsia="Arial" w:hAnsi="Arial"/>
          <w:sz w:val="18"/>
          <w:szCs w:val="18"/>
          <w:i w:val="1"/>
          <w:iCs w:val="1"/>
          <w:color w:val="auto"/>
        </w:rPr>
        <w:t xml:space="preserve"> that you intend to apply for one soon.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Payees Exempt from Backup Withholding</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i w:val="1"/>
          <w:iCs w:val="1"/>
          <w:color w:val="auto"/>
        </w:rPr>
        <w:t>Unless otherwise noted herein, all references below to section numbers or to regulations are references to the Internal Revenue Code of 1986, as amended, and the regulations promulgated thereunder.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Payees specifically exempted from backup withholding on ALL payments include the following:</w:t>
      </w:r>
    </w:p>
    <w:p>
      <w:pPr>
        <w:spacing w:after="0" w:line="90" w:lineRule="exact"/>
        <w:rPr>
          <w:sz w:val="20"/>
          <w:szCs w:val="20"/>
          <w:color w:val="auto"/>
        </w:rPr>
      </w:pPr>
    </w:p>
    <w:p>
      <w:pPr>
        <w:ind w:left="780" w:hanging="326"/>
        <w:spacing w:after="0"/>
        <w:tabs>
          <w:tab w:leader="none" w:pos="78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A corporation.</w:t>
      </w:r>
    </w:p>
    <w:p>
      <w:pPr>
        <w:spacing w:after="0" w:line="90" w:lineRule="exact"/>
        <w:rPr>
          <w:rFonts w:ascii="Arial" w:cs="Arial" w:eastAsia="Arial" w:hAnsi="Arial"/>
          <w:sz w:val="18"/>
          <w:szCs w:val="18"/>
          <w:color w:val="auto"/>
        </w:rPr>
      </w:pPr>
    </w:p>
    <w:p>
      <w:pPr>
        <w:ind w:left="780" w:right="940" w:hanging="326"/>
        <w:spacing w:after="0" w:line="268" w:lineRule="auto"/>
        <w:tabs>
          <w:tab w:leader="none" w:pos="78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An organization exempt from tax under section 501(a), any IRA, or a custodial account under section 403(b)(7) if the account satisfies the requirements of section 401(f)(2).</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The United States or any of its agencies or instrumentalities.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A state, the District of Columbia, a possession of the United States, or any of their political subdivisions or instrumentalities.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A foreign government or any of its political subdivisions, agencies or instrumentalities.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An international organization or any of its agencies or instrumentalities.</w:t>
      </w:r>
    </w:p>
    <w:p>
      <w:pPr>
        <w:spacing w:after="0" w:line="165"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Exempt payees described above should file a Substitute Form W-9 to avoid possible backup withholding. FURNISH YOUR TIN IN PART 1, WRITE “EXEMPT” IN PART 3, SIGN AND DATE THE FORM AND RETURN IT TO THE PAYOR.</w:t>
      </w:r>
    </w:p>
    <w:p>
      <w:pPr>
        <w:spacing w:after="0" w:line="12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Certain payments not subject to information reporting also are not subject to backup withholding. For details, see sections 6041, 6041A(a), 6042, 6044, 6045, 6049, 6050A, and 6050N, and their regulations.</w:t>
      </w:r>
    </w:p>
    <w:p>
      <w:pPr>
        <w:spacing w:after="0" w:line="126" w:lineRule="exact"/>
        <w:rPr>
          <w:sz w:val="20"/>
          <w:szCs w:val="20"/>
          <w:color w:val="auto"/>
        </w:rPr>
      </w:pPr>
    </w:p>
    <w:p>
      <w:pPr>
        <w:ind w:right="120" w:firstLine="456"/>
        <w:spacing w:after="0" w:line="339" w:lineRule="auto"/>
        <w:rPr>
          <w:sz w:val="20"/>
          <w:szCs w:val="20"/>
          <w:color w:val="auto"/>
        </w:rPr>
      </w:pPr>
      <w:r>
        <w:rPr>
          <w:rFonts w:ascii="Arial" w:cs="Arial" w:eastAsia="Arial" w:hAnsi="Arial"/>
          <w:sz w:val="15"/>
          <w:szCs w:val="15"/>
          <w:b w:val="1"/>
          <w:bCs w:val="1"/>
          <w:color w:val="auto"/>
        </w:rPr>
        <w:t>Privacy Act Notice</w:t>
      </w:r>
      <w:r>
        <w:rPr>
          <w:rFonts w:ascii="Arial" w:cs="Arial" w:eastAsia="Arial" w:hAnsi="Arial"/>
          <w:sz w:val="15"/>
          <w:szCs w:val="15"/>
          <w:color w:val="auto"/>
        </w:rPr>
        <w:t>. Section 6109 requires you to give your correct TIN to persons who must file information returns with the IRS to report interest,</w:t>
      </w:r>
      <w:r>
        <w:rPr>
          <w:rFonts w:ascii="Arial" w:cs="Arial" w:eastAsia="Arial" w:hAnsi="Arial"/>
          <w:sz w:val="15"/>
          <w:szCs w:val="15"/>
          <w:b w:val="1"/>
          <w:bCs w:val="1"/>
          <w:color w:val="auto"/>
        </w:rPr>
        <w:t xml:space="preserve"> </w:t>
      </w:r>
      <w:r>
        <w:rPr>
          <w:rFonts w:ascii="Arial" w:cs="Arial" w:eastAsia="Arial" w:hAnsi="Arial"/>
          <w:sz w:val="15"/>
          <w:szCs w:val="15"/>
          <w:color w:val="auto"/>
        </w:rPr>
        <w:t>dividends and certain other payments. The IRS uses the numbers for identification purposes and to help verify the accuracy of your tax return. The IRS also may provide this information to the Department of Justice for civil and criminal litigation, and to cities, states and the District of Columbia to carry out their tax laws.</w:t>
      </w:r>
    </w:p>
    <w:p>
      <w:pPr>
        <w:spacing w:after="0" w:line="79" w:lineRule="exact"/>
        <w:rPr>
          <w:sz w:val="20"/>
          <w:szCs w:val="20"/>
          <w:color w:val="auto"/>
        </w:rPr>
      </w:pPr>
    </w:p>
    <w:p>
      <w:pPr>
        <w:ind w:right="520" w:firstLine="456"/>
        <w:spacing w:after="0" w:line="339" w:lineRule="auto"/>
        <w:rPr>
          <w:sz w:val="20"/>
          <w:szCs w:val="20"/>
          <w:color w:val="auto"/>
        </w:rPr>
      </w:pPr>
      <w:r>
        <w:rPr>
          <w:rFonts w:ascii="Arial" w:cs="Arial" w:eastAsia="Arial" w:hAnsi="Arial"/>
          <w:sz w:val="16"/>
          <w:szCs w:val="16"/>
          <w:b w:val="1"/>
          <w:bCs w:val="1"/>
          <w:color w:val="auto"/>
        </w:rPr>
        <w:t>You must provide your TIN to the payor whether or not you are required to file a tax return</w:t>
      </w:r>
      <w:r>
        <w:rPr>
          <w:rFonts w:ascii="Arial" w:cs="Arial" w:eastAsia="Arial" w:hAnsi="Arial"/>
          <w:sz w:val="16"/>
          <w:szCs w:val="16"/>
          <w:color w:val="auto"/>
        </w:rPr>
        <w:t>. Payors must generally withhold 28% of taxable</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 dividends, and certain other payments to a payee who does not give a TIN to a payor. Certain penalties also may apply.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Penalties</w:t>
      </w:r>
    </w:p>
    <w:p>
      <w:pPr>
        <w:spacing w:after="0" w:line="90" w:lineRule="exact"/>
        <w:rPr>
          <w:sz w:val="20"/>
          <w:szCs w:val="20"/>
          <w:color w:val="auto"/>
        </w:rPr>
      </w:pPr>
    </w:p>
    <w:p>
      <w:pPr>
        <w:ind w:right="80" w:firstLine="464"/>
        <w:spacing w:after="0" w:line="275" w:lineRule="auto"/>
        <w:tabs>
          <w:tab w:leader="none" w:pos="705" w:val="left"/>
        </w:tabs>
        <w:numPr>
          <w:ilvl w:val="0"/>
          <w:numId w:val="410"/>
        </w:numPr>
        <w:rPr>
          <w:rFonts w:ascii="Arial" w:cs="Arial" w:eastAsia="Arial" w:hAnsi="Arial"/>
          <w:sz w:val="18"/>
          <w:szCs w:val="18"/>
          <w:color w:val="auto"/>
        </w:rPr>
      </w:pPr>
      <w:r>
        <w:rPr>
          <w:rFonts w:ascii="Arial" w:cs="Arial" w:eastAsia="Arial" w:hAnsi="Arial"/>
          <w:sz w:val="18"/>
          <w:szCs w:val="18"/>
          <w:b w:val="1"/>
          <w:bCs w:val="1"/>
          <w:color w:val="auto"/>
        </w:rPr>
        <w:t>Penalty for Failure to Furnish a TIN</w:t>
      </w:r>
      <w:r>
        <w:rPr>
          <w:rFonts w:ascii="Arial" w:cs="Arial" w:eastAsia="Arial" w:hAnsi="Arial"/>
          <w:sz w:val="18"/>
          <w:szCs w:val="18"/>
          <w:color w:val="auto"/>
        </w:rPr>
        <w:t>—If you fail to furnish your TIN to a payor, you are subject to a penalty of $50 for each such failure unless your</w:t>
      </w:r>
      <w:r>
        <w:rPr>
          <w:rFonts w:ascii="Arial" w:cs="Arial" w:eastAsia="Arial" w:hAnsi="Arial"/>
          <w:sz w:val="18"/>
          <w:szCs w:val="18"/>
          <w:b w:val="1"/>
          <w:bCs w:val="1"/>
          <w:color w:val="auto"/>
        </w:rPr>
        <w:t xml:space="preserve"> </w:t>
      </w:r>
      <w:r>
        <w:rPr>
          <w:rFonts w:ascii="Arial" w:cs="Arial" w:eastAsia="Arial" w:hAnsi="Arial"/>
          <w:sz w:val="18"/>
          <w:szCs w:val="18"/>
          <w:color w:val="auto"/>
        </w:rPr>
        <w:t>failure is due to reasonable cause and not to willful neglect.</w:t>
      </w:r>
    </w:p>
    <w:p>
      <w:pPr>
        <w:spacing w:after="0" w:line="119" w:lineRule="exact"/>
        <w:rPr>
          <w:rFonts w:ascii="Arial" w:cs="Arial" w:eastAsia="Arial" w:hAnsi="Arial"/>
          <w:sz w:val="18"/>
          <w:szCs w:val="18"/>
          <w:color w:val="auto"/>
        </w:rPr>
      </w:pPr>
    </w:p>
    <w:p>
      <w:pPr>
        <w:ind w:right="560" w:firstLine="464"/>
        <w:spacing w:after="0" w:line="275" w:lineRule="auto"/>
        <w:tabs>
          <w:tab w:leader="none" w:pos="705" w:val="left"/>
        </w:tabs>
        <w:numPr>
          <w:ilvl w:val="0"/>
          <w:numId w:val="410"/>
        </w:numPr>
        <w:rPr>
          <w:rFonts w:ascii="Arial" w:cs="Arial" w:eastAsia="Arial" w:hAnsi="Arial"/>
          <w:sz w:val="18"/>
          <w:szCs w:val="18"/>
          <w:color w:val="auto"/>
        </w:rPr>
      </w:pPr>
      <w:r>
        <w:rPr>
          <w:rFonts w:ascii="Arial" w:cs="Arial" w:eastAsia="Arial" w:hAnsi="Arial"/>
          <w:sz w:val="18"/>
          <w:szCs w:val="18"/>
          <w:b w:val="1"/>
          <w:bCs w:val="1"/>
          <w:color w:val="auto"/>
        </w:rPr>
        <w:t>Civil Penalty for False Statements With Respect to Withholding</w:t>
      </w:r>
      <w:r>
        <w:rPr>
          <w:rFonts w:ascii="Arial" w:cs="Arial" w:eastAsia="Arial" w:hAnsi="Arial"/>
          <w:sz w:val="18"/>
          <w:szCs w:val="18"/>
          <w:color w:val="auto"/>
        </w:rPr>
        <w:t>—If you make a false statement with no reasonable basis which results in no</w:t>
      </w:r>
      <w:r>
        <w:rPr>
          <w:rFonts w:ascii="Arial" w:cs="Arial" w:eastAsia="Arial" w:hAnsi="Arial"/>
          <w:sz w:val="18"/>
          <w:szCs w:val="18"/>
          <w:b w:val="1"/>
          <w:bCs w:val="1"/>
          <w:color w:val="auto"/>
        </w:rPr>
        <w:t xml:space="preserve"> </w:t>
      </w:r>
      <w:r>
        <w:rPr>
          <w:rFonts w:ascii="Arial" w:cs="Arial" w:eastAsia="Arial" w:hAnsi="Arial"/>
          <w:sz w:val="18"/>
          <w:szCs w:val="18"/>
          <w:color w:val="auto"/>
        </w:rPr>
        <w:t>imposition of backup withholding, you are subject to a $500 penalty.</w:t>
      </w:r>
    </w:p>
    <w:p>
      <w:pPr>
        <w:spacing w:after="0" w:line="119" w:lineRule="exact"/>
        <w:rPr>
          <w:rFonts w:ascii="Arial" w:cs="Arial" w:eastAsia="Arial" w:hAnsi="Arial"/>
          <w:sz w:val="18"/>
          <w:szCs w:val="18"/>
          <w:color w:val="auto"/>
        </w:rPr>
      </w:pPr>
    </w:p>
    <w:p>
      <w:pPr>
        <w:ind w:right="60" w:firstLine="464"/>
        <w:spacing w:after="0" w:line="275" w:lineRule="auto"/>
        <w:tabs>
          <w:tab w:leader="none" w:pos="705" w:val="left"/>
        </w:tabs>
        <w:numPr>
          <w:ilvl w:val="0"/>
          <w:numId w:val="410"/>
        </w:numPr>
        <w:rPr>
          <w:rFonts w:ascii="Arial" w:cs="Arial" w:eastAsia="Arial" w:hAnsi="Arial"/>
          <w:sz w:val="18"/>
          <w:szCs w:val="18"/>
          <w:color w:val="auto"/>
        </w:rPr>
      </w:pPr>
      <w:r>
        <w:rPr>
          <w:rFonts w:ascii="Arial" w:cs="Arial" w:eastAsia="Arial" w:hAnsi="Arial"/>
          <w:sz w:val="18"/>
          <w:szCs w:val="18"/>
          <w:b w:val="1"/>
          <w:bCs w:val="1"/>
          <w:color w:val="auto"/>
        </w:rPr>
        <w:t>Criminal Penalty for Falsifying Information</w:t>
      </w:r>
      <w:r>
        <w:rPr>
          <w:rFonts w:ascii="Arial" w:cs="Arial" w:eastAsia="Arial" w:hAnsi="Arial"/>
          <w:sz w:val="18"/>
          <w:szCs w:val="18"/>
          <w:color w:val="auto"/>
        </w:rPr>
        <w:t>—Willfully falsifying certifications or affirmations may subject you to criminal penalties including fines</w:t>
      </w:r>
      <w:r>
        <w:rPr>
          <w:rFonts w:ascii="Arial" w:cs="Arial" w:eastAsia="Arial" w:hAnsi="Arial"/>
          <w:sz w:val="18"/>
          <w:szCs w:val="18"/>
          <w:b w:val="1"/>
          <w:bCs w:val="1"/>
          <w:color w:val="auto"/>
        </w:rPr>
        <w:t xml:space="preserve"> </w:t>
      </w:r>
      <w:r>
        <w:rPr>
          <w:rFonts w:ascii="Arial" w:cs="Arial" w:eastAsia="Arial" w:hAnsi="Arial"/>
          <w:sz w:val="18"/>
          <w:szCs w:val="18"/>
          <w:color w:val="auto"/>
        </w:rPr>
        <w:t>and/or imprisonment.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ADDITIONAL INFORMATION CONTACT YOUR TAX CONSULTANT OR THE INTERNAL REVENUE SERVICE.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3" w:right="239" w:bottom="1440" w:gutter="0" w:footer="0" w:header="0"/>
        </w:sectPr>
      </w:pPr>
    </w:p>
    <w:bookmarkStart w:id="361" w:name="page362"/>
    <w:bookmarkEnd w:id="361"/>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GUARANTEED DELIVERY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WYNN LAS VEGAS, LLC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WYNN LAS VEGAS CAPITAL CORP.</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Offer to Exchange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$500,000,000 of their outstanding</w:t>
      </w:r>
    </w:p>
    <w:p>
      <w:pPr>
        <w:spacing w:after="0" w:line="9" w:lineRule="exact"/>
        <w:rPr>
          <w:sz w:val="20"/>
          <w:szCs w:val="20"/>
          <w:color w:val="auto"/>
        </w:rPr>
      </w:pPr>
    </w:p>
    <w:p>
      <w:pPr>
        <w:ind w:left="4700" w:right="4280" w:hanging="410"/>
        <w:spacing w:after="0" w:line="273" w:lineRule="auto"/>
        <w:tabs>
          <w:tab w:leader="none" w:pos="4431" w:val="left"/>
        </w:tabs>
        <w:numPr>
          <w:ilvl w:val="0"/>
          <w:numId w:val="411"/>
        </w:numPr>
        <w:rPr>
          <w:rFonts w:ascii="Arial" w:cs="Arial" w:eastAsia="Arial" w:hAnsi="Arial"/>
          <w:sz w:val="17"/>
          <w:szCs w:val="17"/>
          <w:b w:val="1"/>
          <w:bCs w:val="1"/>
          <w:color w:val="auto"/>
        </w:rPr>
      </w:pPr>
      <w:r>
        <w:rPr>
          <w:rFonts w:ascii="Arial" w:cs="Arial" w:eastAsia="Arial" w:hAnsi="Arial"/>
          <w:sz w:val="11"/>
          <w:szCs w:val="11"/>
          <w:b w:val="1"/>
          <w:bCs w:val="1"/>
          <w:color w:val="auto"/>
        </w:rPr>
        <w:t>7</w:t>
      </w:r>
      <w:r>
        <w:rPr>
          <w:rFonts w:ascii="Arial" w:cs="Arial" w:eastAsia="Arial" w:hAnsi="Arial"/>
          <w:sz w:val="16"/>
          <w:szCs w:val="16"/>
          <w:b w:val="1"/>
          <w:bCs w:val="1"/>
          <w:color w:val="auto"/>
        </w:rPr>
        <w:t>/</w:t>
      </w:r>
      <w:r>
        <w:rPr>
          <w:rFonts w:ascii="Arial" w:cs="Arial" w:eastAsia="Arial" w:hAnsi="Arial"/>
          <w:sz w:val="12"/>
          <w:szCs w:val="12"/>
          <w:b w:val="1"/>
          <w:bCs w:val="1"/>
          <w:color w:val="auto"/>
        </w:rPr>
        <w:t>8</w:t>
      </w:r>
      <w:r>
        <w:rPr>
          <w:rFonts w:ascii="Arial" w:cs="Arial" w:eastAsia="Arial" w:hAnsi="Arial"/>
          <w:sz w:val="16"/>
          <w:szCs w:val="16"/>
          <w:b w:val="1"/>
          <w:bCs w:val="1"/>
          <w:color w:val="auto"/>
        </w:rPr>
        <w:t>% First Mortgage Notes due 2017</w:t>
      </w:r>
      <w:r>
        <w:rPr>
          <w:rFonts w:ascii="Arial" w:cs="Arial" w:eastAsia="Arial" w:hAnsi="Arial"/>
          <w:sz w:val="11"/>
          <w:szCs w:val="11"/>
          <w:b w:val="1"/>
          <w:bCs w:val="1"/>
          <w:color w:val="auto"/>
        </w:rPr>
        <w:t xml:space="preserve"> </w:t>
      </w:r>
      <w:r>
        <w:rPr>
          <w:rFonts w:ascii="Arial" w:cs="Arial" w:eastAsia="Arial" w:hAnsi="Arial"/>
          <w:sz w:val="16"/>
          <w:szCs w:val="16"/>
          <w:b w:val="1"/>
          <w:bCs w:val="1"/>
          <w:color w:val="auto"/>
        </w:rPr>
        <w:t>Issued on October 19, 2009</w:t>
      </w:r>
    </w:p>
    <w:p>
      <w:pPr>
        <w:ind w:left="560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for</w:t>
      </w:r>
    </w:p>
    <w:p>
      <w:pPr>
        <w:spacing w:after="0" w:line="9" w:lineRule="exact"/>
        <w:rPr>
          <w:rFonts w:ascii="Arial" w:cs="Arial" w:eastAsia="Arial" w:hAnsi="Arial"/>
          <w:sz w:val="17"/>
          <w:szCs w:val="17"/>
          <w:b w:val="1"/>
          <w:bCs w:val="1"/>
          <w:color w:val="auto"/>
        </w:rPr>
      </w:pPr>
    </w:p>
    <w:p>
      <w:pPr>
        <w:ind w:left="4440" w:hanging="150"/>
        <w:spacing w:after="0"/>
        <w:tabs>
          <w:tab w:leader="none" w:pos="4440" w:val="left"/>
        </w:tabs>
        <w:numPr>
          <w:ilvl w:val="0"/>
          <w:numId w:val="411"/>
        </w:numPr>
        <w:rPr>
          <w:rFonts w:ascii="Arial" w:cs="Arial" w:eastAsia="Arial" w:hAnsi="Arial"/>
          <w:sz w:val="18"/>
          <w:szCs w:val="18"/>
          <w:b w:val="1"/>
          <w:bCs w:val="1"/>
          <w:color w:val="auto"/>
        </w:rPr>
      </w:pPr>
      <w:r>
        <w:rPr>
          <w:rFonts w:ascii="Arial" w:cs="Arial" w:eastAsia="Arial" w:hAnsi="Arial"/>
          <w:sz w:val="11"/>
          <w:szCs w:val="11"/>
          <w:b w:val="1"/>
          <w:bCs w:val="1"/>
          <w:color w:val="auto"/>
        </w:rPr>
        <w:t>7</w:t>
      </w:r>
      <w:r>
        <w:rPr>
          <w:rFonts w:ascii="Arial" w:cs="Arial" w:eastAsia="Arial" w:hAnsi="Arial"/>
          <w:sz w:val="17"/>
          <w:szCs w:val="17"/>
          <w:b w:val="1"/>
          <w:bCs w:val="1"/>
          <w:color w:val="auto"/>
        </w:rPr>
        <w:t>/</w:t>
      </w:r>
      <w:r>
        <w:rPr>
          <w:rFonts w:ascii="Arial" w:cs="Arial" w:eastAsia="Arial" w:hAnsi="Arial"/>
          <w:sz w:val="13"/>
          <w:szCs w:val="13"/>
          <w:b w:val="1"/>
          <w:bCs w:val="1"/>
          <w:color w:val="auto"/>
        </w:rPr>
        <w:t>8</w:t>
      </w:r>
      <w:r>
        <w:rPr>
          <w:rFonts w:ascii="Arial" w:cs="Arial" w:eastAsia="Arial" w:hAnsi="Arial"/>
          <w:sz w:val="17"/>
          <w:szCs w:val="17"/>
          <w:b w:val="1"/>
          <w:bCs w:val="1"/>
          <w:color w:val="auto"/>
        </w:rPr>
        <w:t>% First Mortgage Notes due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That Have Been Registered Under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 as Amended,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ectPr>
          <w:pgSz w:w="11900" w:h="16838" w:orient="portrait"/>
          <w:cols w:equalWidth="0" w:num="1">
            <w:col w:w="11420"/>
          </w:cols>
          <w:pgMar w:left="240" w:top="125" w:right="239" w:bottom="1440" w:gutter="0" w:footer="0" w:header="0"/>
        </w:sectPr>
      </w:pPr>
    </w:p>
    <w:p>
      <w:pPr>
        <w:spacing w:after="0" w:line="90" w:lineRule="exact"/>
        <w:rPr>
          <w:sz w:val="20"/>
          <w:szCs w:val="20"/>
          <w:color w:val="auto"/>
        </w:rPr>
      </w:pPr>
    </w:p>
    <w:p>
      <w:pPr>
        <w:ind w:left="4460"/>
        <w:spacing w:after="0"/>
        <w:rPr>
          <w:sz w:val="20"/>
          <w:szCs w:val="20"/>
          <w:color w:val="auto"/>
        </w:rPr>
      </w:pPr>
      <w:r>
        <w:rPr>
          <w:rFonts w:ascii="Arial" w:cs="Arial" w:eastAsia="Arial" w:hAnsi="Arial"/>
          <w:sz w:val="16"/>
          <w:szCs w:val="16"/>
          <w:b w:val="1"/>
          <w:bCs w:val="1"/>
          <w:color w:val="auto"/>
        </w:rPr>
        <w:t>$382,010,000 of their outstanding</w:t>
      </w:r>
    </w:p>
    <w:p>
      <w:pPr>
        <w:spacing w:after="0" w:line="44" w:lineRule="exact"/>
        <w:rPr>
          <w:sz w:val="20"/>
          <w:szCs w:val="20"/>
          <w:color w:val="auto"/>
        </w:rPr>
      </w:pPr>
    </w:p>
    <w:p>
      <w:pPr>
        <w:ind w:left="4300"/>
        <w:spacing w:after="0"/>
        <w:rPr>
          <w:sz w:val="20"/>
          <w:szCs w:val="20"/>
          <w:color w:val="auto"/>
        </w:rPr>
      </w:pPr>
      <w:r>
        <w:rPr>
          <w:rFonts w:ascii="Arial" w:cs="Arial" w:eastAsia="Arial" w:hAnsi="Arial"/>
          <w:sz w:val="16"/>
          <w:szCs w:val="16"/>
          <w:b w:val="1"/>
          <w:bCs w:val="1"/>
          <w:color w:val="auto"/>
        </w:rPr>
        <w:t xml:space="preserve">7 </w:t>
      </w:r>
      <w:r>
        <w:rPr>
          <w:rFonts w:ascii="Arial" w:cs="Arial" w:eastAsia="Arial" w:hAnsi="Arial"/>
          <w:sz w:val="10"/>
          <w:szCs w:val="10"/>
          <w:b w:val="1"/>
          <w:bCs w:val="1"/>
          <w:color w:val="auto"/>
        </w:rPr>
        <w:t>7</w:t>
      </w:r>
      <w:r>
        <w:rPr>
          <w:rFonts w:ascii="Arial" w:cs="Arial" w:eastAsia="Arial" w:hAnsi="Arial"/>
          <w:sz w:val="16"/>
          <w:szCs w:val="16"/>
          <w:b w:val="1"/>
          <w:bCs w:val="1"/>
          <w:color w:val="auto"/>
        </w:rPr>
        <w:t>/</w:t>
      </w:r>
      <w:r>
        <w:rPr>
          <w:rFonts w:ascii="Arial" w:cs="Arial" w:eastAsia="Arial" w:hAnsi="Arial"/>
          <w:sz w:val="12"/>
          <w:szCs w:val="12"/>
          <w:b w:val="1"/>
          <w:bCs w:val="1"/>
          <w:color w:val="auto"/>
        </w:rPr>
        <w:t>8</w:t>
      </w:r>
      <w:r>
        <w:rPr>
          <w:rFonts w:ascii="Arial" w:cs="Arial" w:eastAsia="Arial" w:hAnsi="Arial"/>
          <w:sz w:val="16"/>
          <w:szCs w:val="16"/>
          <w:b w:val="1"/>
          <w:bCs w:val="1"/>
          <w:color w:val="auto"/>
        </w:rPr>
        <w:t>% First Mortgage Notes due 2020</w:t>
      </w:r>
    </w:p>
    <w:p>
      <w:pPr>
        <w:spacing w:after="0" w:line="32"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Issued on April 28, 2010</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6"/>
          <w:szCs w:val="16"/>
          <w:b w:val="1"/>
          <w:bCs w:val="1"/>
          <w:color w:val="auto"/>
        </w:rPr>
        <w:t xml:space="preserve">7 </w:t>
      </w:r>
      <w:r>
        <w:rPr>
          <w:rFonts w:ascii="Arial" w:cs="Arial" w:eastAsia="Arial" w:hAnsi="Arial"/>
          <w:sz w:val="10"/>
          <w:szCs w:val="10"/>
          <w:b w:val="1"/>
          <w:bCs w:val="1"/>
          <w:color w:val="auto"/>
        </w:rPr>
        <w:t>7</w:t>
      </w:r>
      <w:r>
        <w:rPr>
          <w:rFonts w:ascii="Arial" w:cs="Arial" w:eastAsia="Arial" w:hAnsi="Arial"/>
          <w:sz w:val="16"/>
          <w:szCs w:val="16"/>
          <w:b w:val="1"/>
          <w:bCs w:val="1"/>
          <w:color w:val="auto"/>
        </w:rPr>
        <w:t>/</w:t>
      </w:r>
      <w:r>
        <w:rPr>
          <w:rFonts w:ascii="Arial" w:cs="Arial" w:eastAsia="Arial" w:hAnsi="Arial"/>
          <w:sz w:val="12"/>
          <w:szCs w:val="12"/>
          <w:b w:val="1"/>
          <w:bCs w:val="1"/>
          <w:color w:val="auto"/>
        </w:rPr>
        <w:t>8</w:t>
      </w:r>
      <w:r>
        <w:rPr>
          <w:rFonts w:ascii="Arial" w:cs="Arial" w:eastAsia="Arial" w:hAnsi="Arial"/>
          <w:sz w:val="16"/>
          <w:szCs w:val="16"/>
          <w:b w:val="1"/>
          <w:bCs w:val="1"/>
          <w:color w:val="auto"/>
        </w:rPr>
        <w:t>% First Mortgage Notes due 2020</w:t>
      </w:r>
    </w:p>
    <w:p>
      <w:pPr>
        <w:spacing w:after="0" w:line="32" w:lineRule="exact"/>
        <w:rPr>
          <w:sz w:val="20"/>
          <w:szCs w:val="20"/>
          <w:color w:val="auto"/>
        </w:rPr>
      </w:pPr>
    </w:p>
    <w:p>
      <w:pPr>
        <w:ind w:left="4420"/>
        <w:spacing w:after="0"/>
        <w:rPr>
          <w:sz w:val="20"/>
          <w:szCs w:val="20"/>
          <w:color w:val="auto"/>
        </w:rPr>
      </w:pPr>
      <w:r>
        <w:rPr>
          <w:rFonts w:ascii="Arial" w:cs="Arial" w:eastAsia="Arial" w:hAnsi="Arial"/>
          <w:sz w:val="16"/>
          <w:szCs w:val="16"/>
          <w:b w:val="1"/>
          <w:bCs w:val="1"/>
          <w:color w:val="auto"/>
        </w:rPr>
        <w:t>That Have Been Registered Under</w:t>
      </w:r>
    </w:p>
    <w:p>
      <w:pPr>
        <w:spacing w:after="0" w:line="32" w:lineRule="exact"/>
        <w:rPr>
          <w:sz w:val="20"/>
          <w:szCs w:val="20"/>
          <w:color w:val="auto"/>
        </w:rPr>
      </w:pPr>
    </w:p>
    <w:p>
      <w:pPr>
        <w:ind w:left="4240"/>
        <w:spacing w:after="0"/>
        <w:rPr>
          <w:sz w:val="20"/>
          <w:szCs w:val="20"/>
          <w:color w:val="auto"/>
        </w:rPr>
      </w:pPr>
      <w:r>
        <w:rPr>
          <w:rFonts w:ascii="Arial" w:cs="Arial" w:eastAsia="Arial" w:hAnsi="Arial"/>
          <w:sz w:val="15"/>
          <w:szCs w:val="15"/>
          <w:b w:val="1"/>
          <w:bCs w:val="1"/>
          <w:color w:val="auto"/>
        </w:rPr>
        <w:t>the Securities Act of 1933, as Amended,</w:t>
      </w:r>
    </w:p>
    <w:p>
      <w:pPr>
        <w:spacing w:after="0" w:line="44"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Pursuant to the Prospectus,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76465" cy="26162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276465" cy="261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2010</w:t>
      </w:r>
    </w:p>
    <w:p>
      <w:pPr>
        <w:spacing w:after="0" w:line="246" w:lineRule="exact"/>
        <w:rPr>
          <w:sz w:val="20"/>
          <w:szCs w:val="20"/>
          <w:color w:val="auto"/>
        </w:rPr>
      </w:pPr>
    </w:p>
    <w:p>
      <w:pPr>
        <w:sectPr>
          <w:pgSz w:w="11900" w:h="16838" w:orient="portrait"/>
          <w:cols w:equalWidth="0" w:num="2">
            <w:col w:w="7200" w:space="20"/>
            <w:col w:w="4200"/>
          </w:cols>
          <w:pgMar w:left="240" w:top="125" w:right="239" w:bottom="1440" w:gutter="0" w:footer="0" w:header="0"/>
          <w:type w:val="continuous"/>
        </w:sectPr>
      </w:pPr>
    </w:p>
    <w:p>
      <w:pPr>
        <w:spacing w:after="0" w:line="41" w:lineRule="exact"/>
        <w:rPr>
          <w:sz w:val="20"/>
          <w:szCs w:val="20"/>
          <w:color w:val="auto"/>
        </w:rPr>
      </w:pPr>
    </w:p>
    <w:p>
      <w:pPr>
        <w:ind w:left="140"/>
        <w:spacing w:after="0"/>
        <w:tabs>
          <w:tab w:leader="none" w:pos="5980" w:val="left"/>
        </w:tabs>
        <w:rPr>
          <w:sz w:val="20"/>
          <w:szCs w:val="20"/>
          <w:color w:val="auto"/>
        </w:rPr>
      </w:pPr>
      <w:r>
        <w:rPr>
          <w:rFonts w:ascii="Arial" w:cs="Arial" w:eastAsia="Arial" w:hAnsi="Arial"/>
          <w:sz w:val="14"/>
          <w:szCs w:val="14"/>
          <w:b w:val="1"/>
          <w:bCs w:val="1"/>
          <w:color w:val="auto"/>
        </w:rPr>
        <w:t>THE EXCHANGE OFFER WILL EXPIRE AT 5:00 P.M. NEW YORK CITY TIME, ON</w:t>
      </w:r>
      <w:r>
        <w:rPr>
          <w:sz w:val="20"/>
          <w:szCs w:val="20"/>
          <w:color w:val="auto"/>
        </w:rPr>
        <w:tab/>
      </w:r>
      <w:r>
        <w:rPr>
          <w:rFonts w:ascii="Arial" w:cs="Arial" w:eastAsia="Arial" w:hAnsi="Arial"/>
          <w:sz w:val="12"/>
          <w:szCs w:val="12"/>
          <w:b w:val="1"/>
          <w:bCs w:val="1"/>
          <w:color w:val="auto"/>
        </w:rPr>
        <w:t>, 2010, UNLESS EXTENDED BY THE ISSUERS (THE “EXPIRATION DATE”). TENDERS</w:t>
      </w:r>
    </w:p>
    <w:p>
      <w:pPr>
        <w:sectPr>
          <w:pgSz w:w="11900" w:h="16838" w:orient="portrait"/>
          <w:cols w:equalWidth="0" w:num="1">
            <w:col w:w="11420"/>
          </w:cols>
          <w:pgMar w:left="240" w:top="125" w:right="239" w:bottom="1440" w:gutter="0" w:footer="0" w:header="0"/>
          <w:type w:val="continuous"/>
        </w:sectPr>
      </w:pPr>
    </w:p>
    <w:p>
      <w:pPr>
        <w:spacing w:after="0" w:line="1"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MAY BE WITHDRAWN PRIOR TO 5:00 P.M., NEW YORK CITY TIME, ON THE EXPIRATION DATE.</w:t>
      </w:r>
    </w:p>
    <w:p>
      <w:pPr>
        <w:spacing w:after="0" w:line="206" w:lineRule="exact"/>
        <w:rPr>
          <w:sz w:val="20"/>
          <w:szCs w:val="20"/>
          <w:color w:val="auto"/>
        </w:rPr>
      </w:pPr>
    </w:p>
    <w:p>
      <w:pPr>
        <w:ind w:firstLine="342"/>
        <w:spacing w:after="0" w:line="194" w:lineRule="auto"/>
        <w:rPr>
          <w:sz w:val="20"/>
          <w:szCs w:val="20"/>
          <w:color w:val="auto"/>
        </w:rPr>
      </w:pPr>
      <w:r>
        <w:rPr>
          <w:rFonts w:ascii="Arial" w:cs="Arial" w:eastAsia="Arial" w:hAnsi="Arial"/>
          <w:sz w:val="12"/>
          <w:szCs w:val="12"/>
          <w:color w:val="auto"/>
        </w:rPr>
        <w:t xml:space="preserve">This form or one substantially equivalent hereto must be used to accept the offer (the “Exchange Offer”) of Wynn Las Vegas, LLC and Wynn Las Vegas Capital Corp. (together, the “Issuers”) to exchange an aggregate principal amount of up to $500,000,000 7 </w:t>
      </w:r>
      <w:r>
        <w:rPr>
          <w:rFonts w:ascii="Arial" w:cs="Arial" w:eastAsia="Arial" w:hAnsi="Arial"/>
          <w:sz w:val="19"/>
          <w:szCs w:val="19"/>
          <w:color w:val="auto"/>
          <w:vertAlign w:val="superscript"/>
        </w:rPr>
        <w:t>7</w:t>
      </w:r>
      <w:r>
        <w:rPr>
          <w:rFonts w:ascii="Arial" w:cs="Arial" w:eastAsia="Arial" w:hAnsi="Arial"/>
          <w:sz w:val="12"/>
          <w:szCs w:val="12"/>
          <w:color w:val="auto"/>
        </w:rPr>
        <w:t xml:space="preserve">/8% First Mortgage Notes due 2017 of the Issuers issued on October 19, 2009 (the “Old 2017 Notes”) for 7 </w:t>
      </w:r>
      <w:r>
        <w:rPr>
          <w:rFonts w:ascii="Arial" w:cs="Arial" w:eastAsia="Arial" w:hAnsi="Arial"/>
          <w:sz w:val="19"/>
          <w:szCs w:val="19"/>
          <w:color w:val="auto"/>
          <w:vertAlign w:val="superscript"/>
        </w:rPr>
        <w:t>7</w:t>
      </w:r>
      <w:r>
        <w:rPr>
          <w:rFonts w:ascii="Arial" w:cs="Arial" w:eastAsia="Arial" w:hAnsi="Arial"/>
          <w:sz w:val="12"/>
          <w:szCs w:val="12"/>
          <w:color w:val="auto"/>
        </w:rPr>
        <w:t xml:space="preserve">/8% First Mortgage Notes due 2017 of the Issuers that have been registered under the Securities Act of 1933, as amended (the “New 2017 Notes”), and to exchange an aggregate principal amount of up to $382,010,000 of 7 </w:t>
      </w:r>
      <w:r>
        <w:rPr>
          <w:rFonts w:ascii="Arial" w:cs="Arial" w:eastAsia="Arial" w:hAnsi="Arial"/>
          <w:sz w:val="19"/>
          <w:szCs w:val="19"/>
          <w:color w:val="auto"/>
          <w:vertAlign w:val="superscript"/>
        </w:rPr>
        <w:t>7</w:t>
      </w:r>
      <w:r>
        <w:rPr>
          <w:rFonts w:ascii="Arial" w:cs="Arial" w:eastAsia="Arial" w:hAnsi="Arial"/>
          <w:sz w:val="12"/>
          <w:szCs w:val="12"/>
          <w:color w:val="auto"/>
        </w:rPr>
        <w:t xml:space="preserve">/8 % First Mortgage Notes due 2020 of the Issuers issued on April 28, 2010 (the “Old 2020 Notes,” and together with the Old 2017 Notes, the “Old Notes”) for 7 </w:t>
      </w:r>
      <w:r>
        <w:rPr>
          <w:rFonts w:ascii="Arial" w:cs="Arial" w:eastAsia="Arial" w:hAnsi="Arial"/>
          <w:sz w:val="19"/>
          <w:szCs w:val="19"/>
          <w:color w:val="auto"/>
          <w:vertAlign w:val="superscript"/>
        </w:rPr>
        <w:t>7</w:t>
      </w:r>
      <w:r>
        <w:rPr>
          <w:rFonts w:ascii="Arial" w:cs="Arial" w:eastAsia="Arial" w:hAnsi="Arial"/>
          <w:sz w:val="12"/>
          <w:szCs w:val="12"/>
          <w:color w:val="auto"/>
        </w:rPr>
        <w:t>/8% First Mortgage Notes due 2020 of the Issuers that have been registered under the Securities Act of 1933, as amended (the “New 2020 Notes,” and together with the New 2017 Notes, the “New Notes”), upon the terms and subject to the conditions set forth in the Prospectus, dated</w:t>
      </w:r>
    </w:p>
    <w:p>
      <w:pPr>
        <w:spacing w:after="0" w:line="2" w:lineRule="exact"/>
        <w:rPr>
          <w:sz w:val="20"/>
          <w:szCs w:val="20"/>
          <w:color w:val="auto"/>
        </w:rPr>
      </w:pPr>
    </w:p>
    <w:p>
      <w:pPr>
        <w:ind w:right="100" w:firstLine="683"/>
        <w:spacing w:after="0" w:line="268" w:lineRule="auto"/>
        <w:tabs>
          <w:tab w:leader="none" w:pos="743" w:val="left"/>
        </w:tabs>
        <w:numPr>
          <w:ilvl w:val="0"/>
          <w:numId w:val="412"/>
        </w:numPr>
        <w:rPr>
          <w:rFonts w:ascii="Arial" w:cs="Arial" w:eastAsia="Arial" w:hAnsi="Arial"/>
          <w:sz w:val="12"/>
          <w:szCs w:val="12"/>
          <w:color w:val="auto"/>
        </w:rPr>
      </w:pPr>
      <w:r>
        <w:rPr>
          <w:rFonts w:ascii="Arial" w:cs="Arial" w:eastAsia="Arial" w:hAnsi="Arial"/>
          <w:sz w:val="12"/>
          <w:szCs w:val="12"/>
          <w:color w:val="auto"/>
        </w:rPr>
        <w:t>2010 (the “Prospectus”) and the related Letter of Transmittal (the “Letter of Transmittal”), if certificates for the Old Notes are not immediately available or if the procedure for book-entry transfer cannot be completed on a timely basis or time will not permit all required documents to reach U.S. Bank National Association, as exchange agent (the “Exchange Agent”), prior to 5:00 p.m., New York City time, on the Expiration Date. Such form may be delivered or transmitted by facsimile transmission, mail or hand delivery to the Exchange Agent as set forth below. In addition, in order to utilize the guaranteed delivery procedure to tender Old Notes pursuant to the Exchange Offer, a completed, signed and dated Letter of Transmittal, or facsimile thereof or Agent’s Message in lieu thereof, must also be received by the Exchange Agent prior to 5:00 p.m., New York City time, on the Expiration Date. Capitalized terms not defined herein shall have the respective meanings set forth in the Prospectus.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Delivery To: U.S. Bank National Association, Exchange Agent</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By Hand, Overnight Delivery or by Mail:</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60 Livingston Avenue</w:t>
      </w:r>
    </w:p>
    <w:p>
      <w:pPr>
        <w:jc w:val="center"/>
        <w:ind w:right="-19"/>
        <w:spacing w:after="0" w:line="221" w:lineRule="auto"/>
        <w:rPr>
          <w:sz w:val="20"/>
          <w:szCs w:val="20"/>
          <w:color w:val="auto"/>
        </w:rPr>
      </w:pPr>
      <w:r>
        <w:rPr>
          <w:rFonts w:ascii="Arial" w:cs="Arial" w:eastAsia="Arial" w:hAnsi="Arial"/>
          <w:sz w:val="14"/>
          <w:szCs w:val="14"/>
          <w:color w:val="auto"/>
        </w:rPr>
        <w:t>St. Paul, Minnesota 55107-2292</w:t>
      </w:r>
    </w:p>
    <w:p>
      <w:pPr>
        <w:jc w:val="center"/>
        <w:ind w:right="-19"/>
        <w:spacing w:after="0"/>
        <w:rPr>
          <w:sz w:val="20"/>
          <w:szCs w:val="20"/>
          <w:color w:val="auto"/>
        </w:rPr>
      </w:pPr>
      <w:r>
        <w:rPr>
          <w:rFonts w:ascii="Arial" w:cs="Arial" w:eastAsia="Arial" w:hAnsi="Arial"/>
          <w:sz w:val="14"/>
          <w:szCs w:val="14"/>
          <w:color w:val="auto"/>
        </w:rPr>
        <w:t>Attention: Specialized Finance Dept.</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By Facsimile Transmission</w:t>
      </w:r>
    </w:p>
    <w:p>
      <w:pPr>
        <w:jc w:val="center"/>
        <w:ind w:right="-19"/>
        <w:spacing w:after="0"/>
        <w:rPr>
          <w:sz w:val="20"/>
          <w:szCs w:val="20"/>
          <w:color w:val="auto"/>
        </w:rPr>
      </w:pPr>
      <w:r>
        <w:rPr>
          <w:rFonts w:ascii="Arial" w:cs="Arial" w:eastAsia="Arial" w:hAnsi="Arial"/>
          <w:sz w:val="14"/>
          <w:szCs w:val="14"/>
          <w:color w:val="auto"/>
        </w:rPr>
        <w:t>(for Eligible Institutions only):</w:t>
      </w:r>
    </w:p>
    <w:p>
      <w:pPr>
        <w:spacing w:after="0" w:line="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651-495-8158</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Confirm by Telephone:</w:t>
      </w:r>
    </w:p>
    <w:p>
      <w:pPr>
        <w:jc w:val="center"/>
        <w:ind w:right="-19"/>
        <w:spacing w:after="0"/>
        <w:rPr>
          <w:sz w:val="20"/>
          <w:szCs w:val="20"/>
          <w:color w:val="auto"/>
        </w:rPr>
      </w:pPr>
      <w:r>
        <w:rPr>
          <w:rFonts w:ascii="Arial" w:cs="Arial" w:eastAsia="Arial" w:hAnsi="Arial"/>
          <w:sz w:val="14"/>
          <w:szCs w:val="14"/>
          <w:color w:val="auto"/>
        </w:rPr>
        <w:t>800-934-6802</w:t>
      </w:r>
    </w:p>
    <w:p>
      <w:pPr>
        <w:spacing w:after="0" w:line="138" w:lineRule="exact"/>
        <w:rPr>
          <w:sz w:val="20"/>
          <w:szCs w:val="20"/>
          <w:color w:val="auto"/>
        </w:rPr>
      </w:pPr>
    </w:p>
    <w:p>
      <w:pPr>
        <w:ind w:right="240" w:firstLine="342"/>
        <w:spacing w:after="0" w:line="239" w:lineRule="auto"/>
        <w:rPr>
          <w:sz w:val="20"/>
          <w:szCs w:val="20"/>
          <w:color w:val="auto"/>
        </w:rPr>
      </w:pPr>
      <w:r>
        <w:rPr>
          <w:rFonts w:ascii="Arial" w:cs="Arial" w:eastAsia="Arial" w:hAnsi="Arial"/>
          <w:sz w:val="14"/>
          <w:szCs w:val="14"/>
          <w:b w:val="1"/>
          <w:bCs w:val="1"/>
          <w:i w:val="1"/>
          <w:iCs w:val="1"/>
          <w:color w:val="auto"/>
        </w:rPr>
        <w:t>DELIVERY OF THIS INSTRUMENT TO AN ADDRESS OTHER THAN AS SET FORTH ABOVE, OR TRANSMISSION OF THIS INSTRUMENT VIA FACSIMILE OTHER THAN AS SET FORTH ABOVE, WILL NOT CONSTITUTE A VALID DELIVERY.</w:t>
      </w:r>
    </w:p>
    <w:p>
      <w:pPr>
        <w:spacing w:after="0" w:line="139" w:lineRule="exact"/>
        <w:rPr>
          <w:sz w:val="20"/>
          <w:szCs w:val="20"/>
          <w:color w:val="auto"/>
        </w:rPr>
      </w:pPr>
    </w:p>
    <w:p>
      <w:pPr>
        <w:ind w:right="480" w:firstLine="342"/>
        <w:spacing w:after="0" w:line="239" w:lineRule="auto"/>
        <w:rPr>
          <w:sz w:val="20"/>
          <w:szCs w:val="20"/>
          <w:color w:val="auto"/>
        </w:rPr>
      </w:pPr>
      <w:r>
        <w:rPr>
          <w:rFonts w:ascii="Arial" w:cs="Arial" w:eastAsia="Arial" w:hAnsi="Arial"/>
          <w:sz w:val="14"/>
          <w:szCs w:val="14"/>
          <w:color w:val="auto"/>
        </w:rPr>
        <w:t>This Notice is not to be used to guarantee signatures. If a signature on a Letter of Transmittal is required to be guaranteed by a “Medallion Signature Guarantor” under the instructions thereto, such signature guarantee must appear in the applicable space provided in the signature box on the Letter of Transmittal.</w:t>
      </w:r>
    </w:p>
    <w:p>
      <w:pPr>
        <w:sectPr>
          <w:pgSz w:w="11900" w:h="16838" w:orient="portrait"/>
          <w:cols w:equalWidth="0" w:num="1">
            <w:col w:w="11420"/>
          </w:cols>
          <w:pgMar w:left="240" w:top="125" w:right="239" w:bottom="1440" w:gutter="0" w:footer="0" w:header="0"/>
          <w:type w:val="continuous"/>
        </w:sectPr>
      </w:pPr>
    </w:p>
    <w:bookmarkStart w:id="362" w:name="page363"/>
    <w:bookmarkEnd w:id="36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Ladies and Gentlemen:</w:t>
      </w:r>
    </w:p>
    <w:p>
      <w:pPr>
        <w:spacing w:after="0" w:line="23"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Upon the terms and conditions set forth in the Prospectus and the accompanying Letter of Transmittal, receipt of which the undersigned hereby acknowledges, the undersigned hereby tenders to the Issuers the aggregate principal amount of Old Notes set forth below pursuant to the guaranteed delivery procedures described in “The Exchange Offer—Guaranteed Delivery Procedures” section of the Prospectus.</w:t>
      </w:r>
    </w:p>
    <w:p>
      <w:pPr>
        <w:sectPr>
          <w:pgSz w:w="11900" w:h="16838" w:orient="portrait"/>
          <w:cols w:equalWidth="0" w:num="1">
            <w:col w:w="11260"/>
          </w:cols>
          <w:pgMar w:left="240" w:top="280" w:right="399" w:bottom="1440" w:gutter="0" w:footer="0" w:header="0"/>
        </w:sectPr>
      </w:pPr>
    </w:p>
    <w:p>
      <w:pPr>
        <w:spacing w:after="0" w:line="200" w:lineRule="exact"/>
        <w:rPr>
          <w:sz w:val="20"/>
          <w:szCs w:val="20"/>
          <w:color w:val="auto"/>
        </w:rPr>
      </w:pPr>
    </w:p>
    <w:p>
      <w:pPr>
        <w:spacing w:after="0" w:line="393" w:lineRule="exact"/>
        <w:rPr>
          <w:sz w:val="20"/>
          <w:szCs w:val="20"/>
          <w:color w:val="auto"/>
        </w:rPr>
      </w:pPr>
    </w:p>
    <w:p>
      <w:pPr>
        <w:ind w:left="260" w:right="140"/>
        <w:spacing w:after="0" w:line="259" w:lineRule="auto"/>
        <w:rPr>
          <w:sz w:val="20"/>
          <w:szCs w:val="20"/>
          <w:color w:val="auto"/>
        </w:rPr>
      </w:pPr>
      <w:r>
        <w:rPr>
          <w:rFonts w:ascii="Arial" w:cs="Arial" w:eastAsia="Arial" w:hAnsi="Arial"/>
          <w:sz w:val="18"/>
          <w:szCs w:val="18"/>
          <w:color w:val="auto"/>
        </w:rPr>
        <w:t>Aggregate Principal Amount of Old 2017 Notes Tendered (must be in denominations of principal amount of $2,000 and integral multiples of $1,000 in excess of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-702310</wp:posOffset>
            </wp:positionV>
            <wp:extent cx="3267075" cy="565150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3267075" cy="565150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Name(s) of Holders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Name of Eligible Guarantor Institution Guaranteeing Delivery</w:t>
      </w:r>
    </w:p>
    <w:p>
      <w:pPr>
        <w:spacing w:after="0" w:line="293" w:lineRule="exact"/>
        <w:rPr>
          <w:sz w:val="20"/>
          <w:szCs w:val="20"/>
          <w:color w:val="auto"/>
        </w:rPr>
      </w:pPr>
    </w:p>
    <w:p>
      <w:pPr>
        <w:ind w:left="260" w:right="60"/>
        <w:spacing w:after="0" w:line="268" w:lineRule="auto"/>
        <w:rPr>
          <w:sz w:val="20"/>
          <w:szCs w:val="20"/>
          <w:color w:val="auto"/>
        </w:rPr>
      </w:pPr>
      <w:r>
        <w:rPr>
          <w:rFonts w:ascii="Arial" w:cs="Arial" w:eastAsia="Arial" w:hAnsi="Arial"/>
          <w:sz w:val="18"/>
          <w:szCs w:val="18"/>
          <w:color w:val="auto"/>
        </w:rPr>
        <w:t>Provide the following information for Old 2017 Notes certificates to be delivered to the Exchange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Name of Tendering Institution</w:t>
      </w:r>
    </w:p>
    <w:p>
      <w:pPr>
        <w:spacing w:after="0" w:line="200" w:lineRule="exact"/>
        <w:rPr>
          <w:sz w:val="20"/>
          <w:szCs w:val="20"/>
          <w:color w:val="auto"/>
        </w:rPr>
      </w:pPr>
    </w:p>
    <w:p>
      <w:pPr>
        <w:spacing w:after="0" w:line="28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DTC Account Number</w:t>
      </w:r>
    </w:p>
    <w:p>
      <w:pPr>
        <w:spacing w:after="0" w:line="84"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b w:val="1"/>
          <w:bCs w:val="1"/>
          <w:color w:val="auto"/>
        </w:rPr>
        <w:t>ALL AUTHORITY HEREIN CONFERRED OR AGREED TO BE CONFERRED SHALL SURVIVE THE DEATH OR INCAPACITY OF THE UNDERSIGNED AND EVERY OBLIGATION OF THE UNDERSIGNED HEREUNDER SHALL BE BINDING UPON THE HEIRS, PERSONAL REPRESENTATIVES, SUCCESSORS AND ASSIGNS OF THE UNDERSIGNED.</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line="1" w:lineRule="exact"/>
        <w:rPr>
          <w:sz w:val="1"/>
          <w:szCs w:val="1"/>
          <w:color w:val="auto"/>
        </w:rPr>
      </w:pPr>
    </w:p>
    <w:tbl>
      <w:tblPr>
        <w:tblLayout w:type="fixed"/>
        <w:tblInd w:w="600" w:type="dxa"/>
        <w:tblCellMar>
          <w:top w:w="0" w:type="dxa"/>
          <w:left w:w="0" w:type="dxa"/>
          <w:bottom w:w="0" w:type="dxa"/>
          <w:right w:w="0" w:type="dxa"/>
        </w:tblCellMar>
      </w:tblPr>
      <w:tr>
        <w:trPr>
          <w:trHeight w:val="228"/>
        </w:trPr>
        <w:tc>
          <w:tcPr>
            <w:tcW w:w="2600" w:type="dxa"/>
            <w:vAlign w:val="bottom"/>
          </w:tcPr>
          <w:p>
            <w:pPr>
              <w:spacing w:after="0"/>
              <w:rPr>
                <w:sz w:val="20"/>
                <w:szCs w:val="20"/>
                <w:color w:val="auto"/>
              </w:rPr>
            </w:pPr>
            <w:r>
              <w:rPr>
                <w:rFonts w:ascii="Arial" w:cs="Arial" w:eastAsia="Arial" w:hAnsi="Arial"/>
                <w:sz w:val="18"/>
                <w:szCs w:val="18"/>
                <w:b w:val="1"/>
                <w:bCs w:val="1"/>
                <w:color w:val="auto"/>
              </w:rPr>
              <w:t>PLEASE SIGN HERE</w:t>
            </w: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839"/>
        </w:trPr>
        <w:tc>
          <w:tcPr>
            <w:tcW w:w="2600" w:type="dxa"/>
            <w:vAlign w:val="bottom"/>
          </w:tcPr>
          <w:p>
            <w:pPr>
              <w:ind w:left="100"/>
              <w:spacing w:after="0"/>
              <w:rPr>
                <w:sz w:val="20"/>
                <w:szCs w:val="20"/>
                <w:color w:val="auto"/>
              </w:rPr>
            </w:pPr>
            <w:r>
              <w:rPr>
                <w:rFonts w:ascii="Arial" w:cs="Arial" w:eastAsia="Arial" w:hAnsi="Arial"/>
                <w:sz w:val="18"/>
                <w:szCs w:val="18"/>
                <w:color w:val="auto"/>
              </w:rPr>
              <w:t>X</w:t>
            </w:r>
          </w:p>
        </w:tc>
        <w:tc>
          <w:tcPr>
            <w:tcW w:w="1120" w:type="dxa"/>
            <w:vAlign w:val="bottom"/>
            <w:gridSpan w:val="2"/>
          </w:tcPr>
          <w:p>
            <w:pPr>
              <w:spacing w:after="0"/>
              <w:rPr>
                <w:sz w:val="20"/>
                <w:szCs w:val="20"/>
                <w:color w:val="auto"/>
              </w:rPr>
            </w:pPr>
            <w:r>
              <w:rPr>
                <w:rFonts w:ascii="Arial" w:cs="Arial" w:eastAsia="Arial" w:hAnsi="Arial"/>
                <w:sz w:val="18"/>
                <w:szCs w:val="18"/>
                <w:color w:val="auto"/>
              </w:rPr>
              <w:t>Date</w:t>
            </w:r>
          </w:p>
        </w:tc>
      </w:tr>
      <w:tr>
        <w:trPr>
          <w:trHeight w:val="20"/>
        </w:trPr>
        <w:tc>
          <w:tcPr>
            <w:tcW w:w="2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439"/>
        </w:trPr>
        <w:tc>
          <w:tcPr>
            <w:tcW w:w="2600" w:type="dxa"/>
            <w:vAlign w:val="bottom"/>
          </w:tcPr>
          <w:p>
            <w:pPr>
              <w:ind w:left="100"/>
              <w:spacing w:after="0"/>
              <w:rPr>
                <w:sz w:val="20"/>
                <w:szCs w:val="20"/>
                <w:color w:val="auto"/>
              </w:rPr>
            </w:pPr>
            <w:r>
              <w:rPr>
                <w:rFonts w:ascii="Arial" w:cs="Arial" w:eastAsia="Arial" w:hAnsi="Arial"/>
                <w:sz w:val="18"/>
                <w:szCs w:val="18"/>
                <w:color w:val="auto"/>
              </w:rPr>
              <w:t>X</w:t>
            </w:r>
          </w:p>
        </w:tc>
        <w:tc>
          <w:tcPr>
            <w:tcW w:w="1120" w:type="dxa"/>
            <w:vAlign w:val="bottom"/>
            <w:gridSpan w:val="2"/>
          </w:tcPr>
          <w:p>
            <w:pPr>
              <w:spacing w:after="0"/>
              <w:rPr>
                <w:sz w:val="20"/>
                <w:szCs w:val="20"/>
                <w:color w:val="auto"/>
              </w:rPr>
            </w:pPr>
            <w:r>
              <w:rPr>
                <w:rFonts w:ascii="Arial" w:cs="Arial" w:eastAsia="Arial" w:hAnsi="Arial"/>
                <w:sz w:val="18"/>
                <w:szCs w:val="18"/>
                <w:color w:val="auto"/>
              </w:rPr>
              <w:t>Date</w:t>
            </w:r>
          </w:p>
        </w:tc>
      </w:tr>
      <w:tr>
        <w:trPr>
          <w:trHeight w:val="228"/>
        </w:trPr>
        <w:tc>
          <w:tcPr>
            <w:tcW w:w="26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Signature(s) of Owner(s)</w:t>
            </w:r>
          </w:p>
        </w:tc>
        <w:tc>
          <w:tcPr>
            <w:tcW w:w="32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r>
      <w:tr>
        <w:trPr>
          <w:trHeight w:val="222"/>
        </w:trPr>
        <w:tc>
          <w:tcPr>
            <w:tcW w:w="2600" w:type="dxa"/>
            <w:vAlign w:val="bottom"/>
          </w:tcPr>
          <w:p>
            <w:pPr>
              <w:ind w:left="100"/>
              <w:spacing w:after="0"/>
              <w:rPr>
                <w:sz w:val="20"/>
                <w:szCs w:val="20"/>
                <w:color w:val="auto"/>
              </w:rPr>
            </w:pPr>
            <w:r>
              <w:rPr>
                <w:rFonts w:ascii="Arial" w:cs="Arial" w:eastAsia="Arial" w:hAnsi="Arial"/>
                <w:sz w:val="18"/>
                <w:szCs w:val="18"/>
                <w:color w:val="auto"/>
              </w:rPr>
              <w:t>or Authorized Signatory</w:t>
            </w: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-1267460</wp:posOffset>
            </wp:positionV>
            <wp:extent cx="3395980" cy="565150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3395980" cy="565150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Area Code and Telephone Number</w:t>
      </w:r>
    </w:p>
    <w:p>
      <w:pPr>
        <w:spacing w:after="0" w:line="63" w:lineRule="exact"/>
        <w:rPr>
          <w:sz w:val="20"/>
          <w:szCs w:val="20"/>
          <w:color w:val="auto"/>
        </w:rPr>
      </w:pPr>
    </w:p>
    <w:p>
      <w:pPr>
        <w:ind w:left="600"/>
        <w:spacing w:after="0" w:line="286" w:lineRule="auto"/>
        <w:rPr>
          <w:sz w:val="20"/>
          <w:szCs w:val="20"/>
          <w:color w:val="auto"/>
        </w:rPr>
      </w:pPr>
      <w:r>
        <w:rPr>
          <w:rFonts w:ascii="Arial" w:cs="Arial" w:eastAsia="Arial" w:hAnsi="Arial"/>
          <w:sz w:val="16"/>
          <w:szCs w:val="16"/>
          <w:color w:val="auto"/>
        </w:rPr>
        <w:t>The Notice of Guaranteed Delivery must be signed by the registered holder(s) of the Old 2017 Notes certificate(s), or if signed by a person other than the registered holder(s) of any certificate(s), such certificate(s) must be endorsed or accompanied by appropriate bond powers, in either case, signed exactly as its (their) name(s) appear(s) on certificate(s) or on a security position listing, and such certificate(s) must be guaranteed by an Eligible Institution. If signature is by a trustee, executor, administrator, guardian, attorney-in-fact, officer of a corporation or other person acting in a fiduciary or representative capacity, such person must set forth his or her full title below and, unless waived by the Issuers, submit proper evidence satisfactory to the Issuers of such person’s authority to so act. Please print name(s) and address(es).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Name(s)</w:t>
      </w:r>
    </w:p>
    <w:p>
      <w:pPr>
        <w:spacing w:after="0" w:line="200" w:lineRule="exact"/>
        <w:rPr>
          <w:sz w:val="20"/>
          <w:szCs w:val="20"/>
          <w:color w:val="auto"/>
        </w:rPr>
      </w:pPr>
    </w:p>
    <w:p>
      <w:pPr>
        <w:spacing w:after="0" w:line="28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Capacity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Address(es)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ectPr>
          <w:pgSz w:w="11900" w:h="16838" w:orient="portrait"/>
          <w:cols w:equalWidth="0" w:num="2">
            <w:col w:w="5120" w:space="560"/>
            <w:col w:w="5580"/>
          </w:cols>
          <w:pgMar w:left="240" w:top="280" w:right="399" w:bottom="1440" w:gutter="0" w:footer="0" w:header="0"/>
          <w:type w:val="continuous"/>
        </w:sectPr>
      </w:pPr>
    </w:p>
    <w:bookmarkStart w:id="363" w:name="page364"/>
    <w:bookmarkEnd w:id="36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183515</wp:posOffset>
            </wp:positionV>
            <wp:extent cx="3267075" cy="590042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3267075" cy="5900420"/>
                    </a:xfrm>
                    <a:prstGeom prst="rect">
                      <a:avLst/>
                    </a:prstGeom>
                    <a:noFill/>
                  </pic:spPr>
                </pic:pic>
              </a:graphicData>
            </a:graphic>
          </wp:anchor>
        </w:drawing>
      </w:r>
    </w:p>
    <w:p>
      <w:pPr>
        <w:spacing w:after="0" w:line="238" w:lineRule="exact"/>
        <w:rPr>
          <w:sz w:val="20"/>
          <w:szCs w:val="20"/>
          <w:color w:val="auto"/>
        </w:rPr>
      </w:pPr>
    </w:p>
    <w:p>
      <w:pPr>
        <w:ind w:left="140" w:right="140"/>
        <w:spacing w:after="0" w:line="259" w:lineRule="auto"/>
        <w:rPr>
          <w:sz w:val="20"/>
          <w:szCs w:val="20"/>
          <w:color w:val="auto"/>
        </w:rPr>
      </w:pPr>
      <w:r>
        <w:rPr>
          <w:rFonts w:ascii="Arial" w:cs="Arial" w:eastAsia="Arial" w:hAnsi="Arial"/>
          <w:sz w:val="18"/>
          <w:szCs w:val="18"/>
          <w:color w:val="auto"/>
        </w:rPr>
        <w:t>Aggregate Principal Amount of Old 2020 Notes Tendered (must be in denominations of principal amount of $2,000 and integral multiples of $1,000 in excess of $2,000)</w:t>
      </w:r>
    </w:p>
    <w:p>
      <w:pPr>
        <w:spacing w:after="0" w:line="200" w:lineRule="exact"/>
        <w:rPr>
          <w:sz w:val="20"/>
          <w:szCs w:val="20"/>
          <w:color w:val="auto"/>
        </w:rPr>
      </w:pPr>
    </w:p>
    <w:p>
      <w:pPr>
        <w:spacing w:after="0" w:line="25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Name(s) of Holders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Name of Eligible Guarantor Institution Guaranteeing Delivery</w:t>
      </w:r>
    </w:p>
    <w:p>
      <w:pPr>
        <w:spacing w:after="0" w:line="212" w:lineRule="exact"/>
        <w:rPr>
          <w:sz w:val="20"/>
          <w:szCs w:val="20"/>
          <w:color w:val="auto"/>
        </w:rPr>
      </w:pPr>
    </w:p>
    <w:p>
      <w:pPr>
        <w:ind w:left="140" w:right="60"/>
        <w:spacing w:after="0" w:line="268" w:lineRule="auto"/>
        <w:rPr>
          <w:sz w:val="20"/>
          <w:szCs w:val="20"/>
          <w:color w:val="auto"/>
        </w:rPr>
      </w:pPr>
      <w:r>
        <w:rPr>
          <w:rFonts w:ascii="Arial" w:cs="Arial" w:eastAsia="Arial" w:hAnsi="Arial"/>
          <w:sz w:val="18"/>
          <w:szCs w:val="18"/>
          <w:color w:val="auto"/>
        </w:rPr>
        <w:t>Provide the following information for Old 2020 Notes certificates to be delivered to the Exchange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Name of Tendering Institution</w:t>
      </w:r>
    </w:p>
    <w:p>
      <w:pPr>
        <w:spacing w:after="0" w:line="200" w:lineRule="exact"/>
        <w:rPr>
          <w:sz w:val="20"/>
          <w:szCs w:val="20"/>
          <w:color w:val="auto"/>
        </w:rPr>
      </w:pPr>
    </w:p>
    <w:p>
      <w:pPr>
        <w:spacing w:after="0" w:line="28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DTC Account Number</w:t>
      </w:r>
    </w:p>
    <w:p>
      <w:pPr>
        <w:spacing w:after="0" w:line="206"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color w:val="auto"/>
        </w:rPr>
        <w:t>ALL AUTHORITY HEREIN CONFERRED OR AGREED TO BE CONFERRED SHALL SURVIVE THE DEATH OR INCAPACITY OF THE UNDERSIGNED AND EVERY OBLIGATION OF THE UNDERSIGNED HEREUNDER SHALL BE BINDING UPON THE HEIRS, PERSONAL REPRESENTATIVES, SUCCESSORS AND ASSIGNS OF THE UNDERSIGNED.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600" w:type="dxa"/>
        <w:tblCellMar>
          <w:top w:w="0" w:type="dxa"/>
          <w:left w:w="0" w:type="dxa"/>
          <w:bottom w:w="0" w:type="dxa"/>
          <w:right w:w="0" w:type="dxa"/>
        </w:tblCellMar>
      </w:tblPr>
      <w:tr>
        <w:trPr>
          <w:trHeight w:val="228"/>
        </w:trPr>
        <w:tc>
          <w:tcPr>
            <w:tcW w:w="2600" w:type="dxa"/>
            <w:vAlign w:val="bottom"/>
          </w:tcPr>
          <w:p>
            <w:pPr>
              <w:spacing w:after="0"/>
              <w:rPr>
                <w:sz w:val="20"/>
                <w:szCs w:val="20"/>
                <w:color w:val="auto"/>
              </w:rPr>
            </w:pPr>
            <w:r>
              <w:rPr>
                <w:rFonts w:ascii="Arial" w:cs="Arial" w:eastAsia="Arial" w:hAnsi="Arial"/>
                <w:sz w:val="18"/>
                <w:szCs w:val="18"/>
                <w:b w:val="1"/>
                <w:bCs w:val="1"/>
                <w:color w:val="auto"/>
              </w:rPr>
              <w:t>PLEASE SIGN HERE</w:t>
            </w: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839"/>
        </w:trPr>
        <w:tc>
          <w:tcPr>
            <w:tcW w:w="2600" w:type="dxa"/>
            <w:vAlign w:val="bottom"/>
          </w:tcPr>
          <w:p>
            <w:pPr>
              <w:ind w:left="100"/>
              <w:spacing w:after="0"/>
              <w:rPr>
                <w:sz w:val="20"/>
                <w:szCs w:val="20"/>
                <w:color w:val="auto"/>
              </w:rPr>
            </w:pPr>
            <w:r>
              <w:rPr>
                <w:rFonts w:ascii="Arial" w:cs="Arial" w:eastAsia="Arial" w:hAnsi="Arial"/>
                <w:sz w:val="18"/>
                <w:szCs w:val="18"/>
                <w:color w:val="auto"/>
              </w:rPr>
              <w:t>X</w:t>
            </w:r>
          </w:p>
        </w:tc>
        <w:tc>
          <w:tcPr>
            <w:tcW w:w="1120" w:type="dxa"/>
            <w:vAlign w:val="bottom"/>
            <w:gridSpan w:val="2"/>
          </w:tcPr>
          <w:p>
            <w:pPr>
              <w:spacing w:after="0"/>
              <w:rPr>
                <w:sz w:val="20"/>
                <w:szCs w:val="20"/>
                <w:color w:val="auto"/>
              </w:rPr>
            </w:pPr>
            <w:r>
              <w:rPr>
                <w:rFonts w:ascii="Arial" w:cs="Arial" w:eastAsia="Arial" w:hAnsi="Arial"/>
                <w:sz w:val="18"/>
                <w:szCs w:val="18"/>
                <w:color w:val="auto"/>
              </w:rPr>
              <w:t>Date</w:t>
            </w:r>
          </w:p>
        </w:tc>
      </w:tr>
      <w:tr>
        <w:trPr>
          <w:trHeight w:val="20"/>
        </w:trPr>
        <w:tc>
          <w:tcPr>
            <w:tcW w:w="2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439"/>
        </w:trPr>
        <w:tc>
          <w:tcPr>
            <w:tcW w:w="2600" w:type="dxa"/>
            <w:vAlign w:val="bottom"/>
          </w:tcPr>
          <w:p>
            <w:pPr>
              <w:ind w:left="100"/>
              <w:spacing w:after="0"/>
              <w:rPr>
                <w:sz w:val="20"/>
                <w:szCs w:val="20"/>
                <w:color w:val="auto"/>
              </w:rPr>
            </w:pPr>
            <w:r>
              <w:rPr>
                <w:rFonts w:ascii="Arial" w:cs="Arial" w:eastAsia="Arial" w:hAnsi="Arial"/>
                <w:sz w:val="18"/>
                <w:szCs w:val="18"/>
                <w:color w:val="auto"/>
              </w:rPr>
              <w:t>X</w:t>
            </w:r>
          </w:p>
        </w:tc>
        <w:tc>
          <w:tcPr>
            <w:tcW w:w="1120" w:type="dxa"/>
            <w:vAlign w:val="bottom"/>
            <w:gridSpan w:val="2"/>
          </w:tcPr>
          <w:p>
            <w:pPr>
              <w:spacing w:after="0"/>
              <w:rPr>
                <w:sz w:val="20"/>
                <w:szCs w:val="20"/>
                <w:color w:val="auto"/>
              </w:rPr>
            </w:pPr>
            <w:r>
              <w:rPr>
                <w:rFonts w:ascii="Arial" w:cs="Arial" w:eastAsia="Arial" w:hAnsi="Arial"/>
                <w:sz w:val="18"/>
                <w:szCs w:val="18"/>
                <w:color w:val="auto"/>
              </w:rPr>
              <w:t>Date</w:t>
            </w:r>
          </w:p>
        </w:tc>
      </w:tr>
      <w:tr>
        <w:trPr>
          <w:trHeight w:val="228"/>
        </w:trPr>
        <w:tc>
          <w:tcPr>
            <w:tcW w:w="26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Signature(s) of Owner(s)</w:t>
            </w:r>
          </w:p>
        </w:tc>
        <w:tc>
          <w:tcPr>
            <w:tcW w:w="32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r>
      <w:tr>
        <w:trPr>
          <w:trHeight w:val="222"/>
        </w:trPr>
        <w:tc>
          <w:tcPr>
            <w:tcW w:w="2600" w:type="dxa"/>
            <w:vAlign w:val="bottom"/>
          </w:tcPr>
          <w:p>
            <w:pPr>
              <w:ind w:left="100"/>
              <w:spacing w:after="0"/>
              <w:rPr>
                <w:sz w:val="20"/>
                <w:szCs w:val="20"/>
                <w:color w:val="auto"/>
              </w:rPr>
            </w:pPr>
            <w:r>
              <w:rPr>
                <w:rFonts w:ascii="Arial" w:cs="Arial" w:eastAsia="Arial" w:hAnsi="Arial"/>
                <w:sz w:val="18"/>
                <w:szCs w:val="18"/>
                <w:color w:val="auto"/>
              </w:rPr>
              <w:t>or Authorized Signatory</w:t>
            </w: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-1361440</wp:posOffset>
            </wp:positionV>
            <wp:extent cx="7289165" cy="599440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289165" cy="599440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Area Code and Telephone Number</w:t>
      </w:r>
    </w:p>
    <w:p>
      <w:pPr>
        <w:spacing w:after="0" w:line="90" w:lineRule="exact"/>
        <w:rPr>
          <w:sz w:val="20"/>
          <w:szCs w:val="20"/>
          <w:color w:val="auto"/>
        </w:rPr>
      </w:pPr>
    </w:p>
    <w:p>
      <w:pPr>
        <w:ind w:left="600"/>
        <w:spacing w:after="0" w:line="286" w:lineRule="auto"/>
        <w:rPr>
          <w:sz w:val="20"/>
          <w:szCs w:val="20"/>
          <w:color w:val="auto"/>
        </w:rPr>
      </w:pPr>
      <w:r>
        <w:rPr>
          <w:rFonts w:ascii="Arial" w:cs="Arial" w:eastAsia="Arial" w:hAnsi="Arial"/>
          <w:sz w:val="16"/>
          <w:szCs w:val="16"/>
          <w:color w:val="auto"/>
        </w:rPr>
        <w:t>The Notice of Guaranteed Delivery must be signed by the registered holder(s) of the Old 2020 Notes certificate(s), or if signed by a person other than the registered holder(s) of any certificate(s), such certificate(s) must be endorsed or accompanied by appropriate bond powers, in either case, signed exactly as its (their) name(s) appear(s) on certificate(s) or on a security position listing, and such certificate(s) must be guaranteed by an Eligible Institution. If signature is by a trustee, executor, administrator, guardian, attorney-in-fact, officer of a corporation or other person acting in a fiduciary or representative capacity, such person must set forth his or her full title below and, unless waived by the Issuers, submit proper evidence satisfactory to the Issuers of such person’s authority to so act. Please print name(s) and address(es).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Name(s)</w:t>
      </w:r>
    </w:p>
    <w:p>
      <w:pPr>
        <w:spacing w:after="0" w:line="200" w:lineRule="exact"/>
        <w:rPr>
          <w:sz w:val="20"/>
          <w:szCs w:val="20"/>
          <w:color w:val="auto"/>
        </w:rPr>
      </w:pPr>
    </w:p>
    <w:p>
      <w:pPr>
        <w:spacing w:after="0" w:line="28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Capacity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Address(es)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ectPr>
          <w:pgSz w:w="11900" w:h="16838" w:orient="portrait"/>
          <w:cols w:equalWidth="0" w:num="2">
            <w:col w:w="5000" w:space="560"/>
            <w:col w:w="5580"/>
          </w:cols>
          <w:pgMar w:left="360" w:top="287" w:right="399" w:bottom="1440" w:gutter="0" w:footer="0" w:header="0"/>
        </w:sectPr>
      </w:pPr>
    </w:p>
    <w:bookmarkStart w:id="364" w:name="page365"/>
    <w:bookmarkEnd w:id="36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GUARANTEE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 to be Used for Signature Guarantees)</w:t>
      </w:r>
    </w:p>
    <w:p>
      <w:pPr>
        <w:spacing w:after="0" w:line="165"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undersigned, a financial institution (including most banks, savings and loan associations and brokerage houses) that is a participant in the Securities Transfer Agents Medallion Program, the New York Stock Exchange Medallion Signature Program or the Stock Exchange Medallion Program, hereby guarantees that the certificates representing the principal amount of Old Notes tendered hereby in proper form for transfer, or timely confirmation of the book-entry transfer of such Old Notes into the Exchange Agent’s account at The Depository Trust Company pursuant to the procedures set forth in “The Exchange Offer— Guaranteed Delivery Procedures” section of the Prospectus, together with one or more properly and duly executed Letters of Transmittal, or facsimile thereof or Agent’s Message in lieu thereof, and any required signature guarantee and any other documents required by the Letter of Transmittal, will be received by the Exchange Agent at the address set forth above, no later than three New York Stock Exchange trading days after the Expiration Date.</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680" w:type="dxa"/>
            <w:vAlign w:val="bottom"/>
            <w:tcBorders>
              <w:top w:val="single" w:sz="8" w:color="auto"/>
            </w:tcBorders>
          </w:tcPr>
          <w:p>
            <w:pPr>
              <w:spacing w:after="0"/>
              <w:rPr>
                <w:sz w:val="20"/>
                <w:szCs w:val="20"/>
                <w:color w:val="auto"/>
              </w:rPr>
            </w:pPr>
          </w:p>
        </w:tc>
        <w:tc>
          <w:tcPr>
            <w:tcW w:w="4140" w:type="dxa"/>
            <w:vAlign w:val="bottom"/>
            <w:tcBorders>
              <w:top w:val="single" w:sz="8" w:color="auto"/>
            </w:tcBorders>
            <w:gridSpan w:val="2"/>
          </w:tcPr>
          <w:p>
            <w:pPr>
              <w:jc w:val="center"/>
              <w:ind w:right="1660"/>
              <w:spacing w:after="0"/>
              <w:rPr>
                <w:sz w:val="20"/>
                <w:szCs w:val="20"/>
                <w:color w:val="auto"/>
              </w:rPr>
            </w:pPr>
            <w:r>
              <w:rPr>
                <w:rFonts w:ascii="Arial" w:cs="Arial" w:eastAsia="Arial" w:hAnsi="Arial"/>
                <w:sz w:val="18"/>
                <w:szCs w:val="18"/>
                <w:color w:val="auto"/>
                <w:w w:val="91"/>
              </w:rPr>
              <w:t>Name of Firm</w:t>
            </w:r>
          </w:p>
        </w:tc>
        <w:tc>
          <w:tcPr>
            <w:tcW w:w="24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4900" w:type="dxa"/>
            <w:vAlign w:val="bottom"/>
            <w:tcBorders>
              <w:top w:val="single" w:sz="8" w:color="auto"/>
            </w:tcBorders>
            <w:gridSpan w:val="2"/>
          </w:tcPr>
          <w:p>
            <w:pPr>
              <w:jc w:val="center"/>
              <w:ind w:right="460"/>
              <w:spacing w:after="0"/>
              <w:rPr>
                <w:sz w:val="20"/>
                <w:szCs w:val="20"/>
                <w:color w:val="auto"/>
              </w:rPr>
            </w:pPr>
            <w:r>
              <w:rPr>
                <w:rFonts w:ascii="Arial" w:cs="Arial" w:eastAsia="Arial" w:hAnsi="Arial"/>
                <w:sz w:val="18"/>
                <w:szCs w:val="18"/>
                <w:color w:val="auto"/>
                <w:w w:val="90"/>
              </w:rPr>
              <w:t>Authorized Signature</w:t>
            </w:r>
          </w:p>
        </w:tc>
        <w:tc>
          <w:tcPr>
            <w:tcW w:w="0" w:type="dxa"/>
            <w:vAlign w:val="bottom"/>
          </w:tcPr>
          <w:p>
            <w:pPr>
              <w:spacing w:after="0"/>
              <w:rPr>
                <w:sz w:val="1"/>
                <w:szCs w:val="1"/>
                <w:color w:val="auto"/>
              </w:rPr>
            </w:pPr>
          </w:p>
        </w:tc>
      </w:tr>
      <w:tr>
        <w:trPr>
          <w:trHeight w:val="439"/>
        </w:trPr>
        <w:tc>
          <w:tcPr>
            <w:tcW w:w="16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4140" w:type="dxa"/>
            <w:vAlign w:val="bottom"/>
            <w:gridSpan w:val="2"/>
          </w:tcPr>
          <w:p>
            <w:pPr>
              <w:jc w:val="center"/>
              <w:ind w:right="1660"/>
              <w:spacing w:after="0"/>
              <w:rPr>
                <w:sz w:val="20"/>
                <w:szCs w:val="20"/>
                <w:color w:val="auto"/>
              </w:rPr>
            </w:pPr>
            <w:r>
              <w:rPr>
                <w:rFonts w:ascii="Arial" w:cs="Arial" w:eastAsia="Arial" w:hAnsi="Arial"/>
                <w:sz w:val="18"/>
                <w:szCs w:val="18"/>
                <w:color w:val="auto"/>
                <w:w w:val="84"/>
              </w:rPr>
              <w:t>Address</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900" w:type="dxa"/>
            <w:vAlign w:val="bottom"/>
            <w:gridSpan w:val="2"/>
          </w:tcPr>
          <w:p>
            <w:pPr>
              <w:jc w:val="center"/>
              <w:ind w:right="460"/>
              <w:spacing w:after="0"/>
              <w:rPr>
                <w:sz w:val="20"/>
                <w:szCs w:val="20"/>
                <w:color w:val="auto"/>
              </w:rPr>
            </w:pPr>
            <w:r>
              <w:rPr>
                <w:rFonts w:ascii="Arial" w:cs="Arial" w:eastAsia="Arial" w:hAnsi="Arial"/>
                <w:sz w:val="18"/>
                <w:szCs w:val="18"/>
                <w:color w:val="auto"/>
                <w:w w:val="93"/>
              </w:rPr>
              <w:t>Title</w:t>
            </w:r>
          </w:p>
        </w:tc>
        <w:tc>
          <w:tcPr>
            <w:tcW w:w="0" w:type="dxa"/>
            <w:vAlign w:val="bottom"/>
          </w:tcPr>
          <w:p>
            <w:pPr>
              <w:spacing w:after="0"/>
              <w:rPr>
                <w:sz w:val="1"/>
                <w:szCs w:val="1"/>
                <w:color w:val="auto"/>
              </w:rPr>
            </w:pPr>
          </w:p>
        </w:tc>
      </w:tr>
      <w:tr>
        <w:trPr>
          <w:trHeight w:val="412"/>
        </w:trPr>
        <w:tc>
          <w:tcPr>
            <w:tcW w:w="16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gridSpan w:val="3"/>
          </w:tcPr>
          <w:p>
            <w:pPr>
              <w:spacing w:after="0"/>
              <w:rPr>
                <w:sz w:val="20"/>
                <w:szCs w:val="20"/>
                <w:color w:val="auto"/>
              </w:rPr>
            </w:pPr>
            <w:r>
              <w:rPr>
                <w:rFonts w:ascii="Arial" w:cs="Arial" w:eastAsia="Arial" w:hAnsi="Arial"/>
                <w:sz w:val="18"/>
                <w:szCs w:val="18"/>
                <w:color w:val="auto"/>
              </w:rPr>
              <w:t>Name:</w:t>
            </w:r>
          </w:p>
        </w:tc>
        <w:tc>
          <w:tcPr>
            <w:tcW w:w="0" w:type="dxa"/>
            <w:vAlign w:val="bottom"/>
          </w:tcPr>
          <w:p>
            <w:pPr>
              <w:spacing w:after="0"/>
              <w:rPr>
                <w:sz w:val="1"/>
                <w:szCs w:val="1"/>
                <w:color w:val="auto"/>
              </w:rPr>
            </w:pPr>
          </w:p>
        </w:tc>
      </w:tr>
      <w:tr>
        <w:trPr>
          <w:trHeight w:val="20"/>
        </w:trPr>
        <w:tc>
          <w:tcPr>
            <w:tcW w:w="168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80" w:type="dxa"/>
            <w:vAlign w:val="bottom"/>
            <w:tcBorders>
              <w:top w:val="single" w:sz="8" w:color="auto"/>
              <w:bottom w:val="single" w:sz="8" w:color="auto"/>
            </w:tcBorders>
            <w:vMerge w:val="restart"/>
          </w:tcPr>
          <w:p>
            <w:pPr>
              <w:jc w:val="center"/>
              <w:ind w:left="272"/>
              <w:spacing w:after="0"/>
              <w:rPr>
                <w:sz w:val="20"/>
                <w:szCs w:val="20"/>
                <w:color w:val="auto"/>
              </w:rPr>
            </w:pPr>
            <w:r>
              <w:rPr>
                <w:rFonts w:ascii="Arial" w:cs="Arial" w:eastAsia="Arial" w:hAnsi="Arial"/>
                <w:sz w:val="18"/>
                <w:szCs w:val="18"/>
                <w:color w:val="auto"/>
                <w:w w:val="87"/>
              </w:rPr>
              <w:t>(Please Type of Print)</w:t>
            </w:r>
          </w:p>
        </w:tc>
        <w:tc>
          <w:tcPr>
            <w:tcW w:w="8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680" w:type="dxa"/>
            <w:vAlign w:val="bottom"/>
          </w:tcPr>
          <w:p>
            <w:pPr>
              <w:spacing w:after="0"/>
              <w:rPr>
                <w:sz w:val="17"/>
                <w:szCs w:val="17"/>
                <w:color w:val="auto"/>
              </w:rPr>
            </w:pPr>
          </w:p>
        </w:tc>
        <w:tc>
          <w:tcPr>
            <w:tcW w:w="4140" w:type="dxa"/>
            <w:vAlign w:val="bottom"/>
            <w:gridSpan w:val="2"/>
          </w:tcPr>
          <w:p>
            <w:pPr>
              <w:jc w:val="center"/>
              <w:ind w:right="1680"/>
              <w:spacing w:after="0" w:line="203" w:lineRule="exact"/>
              <w:rPr>
                <w:sz w:val="20"/>
                <w:szCs w:val="20"/>
                <w:color w:val="auto"/>
              </w:rPr>
            </w:pPr>
            <w:r>
              <w:rPr>
                <w:rFonts w:ascii="Arial" w:cs="Arial" w:eastAsia="Arial" w:hAnsi="Arial"/>
                <w:sz w:val="18"/>
                <w:szCs w:val="18"/>
                <w:color w:val="auto"/>
                <w:w w:val="90"/>
              </w:rPr>
              <w:t>Zip Code</w:t>
            </w: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8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1680" w:type="dxa"/>
            <w:vAlign w:val="bottom"/>
          </w:tcPr>
          <w:p>
            <w:pPr>
              <w:spacing w:after="0"/>
              <w:rPr>
                <w:sz w:val="20"/>
                <w:szCs w:val="20"/>
                <w:color w:val="auto"/>
              </w:rPr>
            </w:pPr>
            <w:r>
              <w:rPr>
                <w:rFonts w:ascii="Arial" w:cs="Arial" w:eastAsia="Arial" w:hAnsi="Arial"/>
                <w:sz w:val="18"/>
                <w:szCs w:val="18"/>
                <w:color w:val="auto"/>
                <w:w w:val="87"/>
              </w:rPr>
              <w:t>Area Code and Tel. No:</w:t>
            </w:r>
          </w:p>
        </w:tc>
        <w:tc>
          <w:tcPr>
            <w:tcW w:w="28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gridSpan w:val="3"/>
          </w:tcPr>
          <w:p>
            <w:pPr>
              <w:spacing w:after="0"/>
              <w:rPr>
                <w:sz w:val="20"/>
                <w:szCs w:val="20"/>
                <w:color w:val="auto"/>
              </w:rPr>
            </w:pPr>
            <w:r>
              <w:rPr>
                <w:rFonts w:ascii="Arial" w:cs="Arial" w:eastAsia="Arial" w:hAnsi="Arial"/>
                <w:sz w:val="18"/>
                <w:szCs w:val="18"/>
                <w:color w:val="auto"/>
              </w:rPr>
              <w:t>Dated:</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920" w:right="840" w:hanging="919"/>
        <w:spacing w:after="0" w:line="262" w:lineRule="auto"/>
        <w:tabs>
          <w:tab w:leader="none" w:pos="900" w:val="left"/>
        </w:tabs>
        <w:rPr>
          <w:sz w:val="20"/>
          <w:szCs w:val="20"/>
          <w:color w:val="auto"/>
        </w:rPr>
      </w:pPr>
      <w:r>
        <w:rPr>
          <w:rFonts w:ascii="Arial" w:cs="Arial" w:eastAsia="Arial" w:hAnsi="Arial"/>
          <w:sz w:val="18"/>
          <w:szCs w:val="18"/>
          <w:b w:val="1"/>
          <w:bCs w:val="1"/>
          <w:color w:val="auto"/>
        </w:rPr>
        <w:t>NOTE:</w:t>
      </w:r>
      <w:r>
        <w:rPr>
          <w:sz w:val="20"/>
          <w:szCs w:val="20"/>
          <w:color w:val="auto"/>
        </w:rPr>
        <w:tab/>
      </w:r>
      <w:r>
        <w:rPr>
          <w:rFonts w:ascii="Arial" w:cs="Arial" w:eastAsia="Arial" w:hAnsi="Arial"/>
          <w:sz w:val="18"/>
          <w:szCs w:val="18"/>
          <w:b w:val="1"/>
          <w:bCs w:val="1"/>
          <w:color w:val="auto"/>
        </w:rPr>
        <w:t>DO NOT SEND THE PHYSICAL CERTIFICATES REPRESENTING OLD NOTES WITH THIS NOTICE. SUCH PHYSICAL CERTIFICATES SHOULD BE SENT TO THE EXCHANGE AGENT, TOGETHER WITH A COPY OF YOUR PREVIOUSLY EXECUTED LETTER OF TRANSMITTAL.</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365" w:name="page366"/>
    <w:bookmarkEnd w:id="365"/>
    <w:p>
      <w:pPr>
        <w:jc w:val="right"/>
        <w:spacing w:after="0"/>
        <w:rPr>
          <w:sz w:val="20"/>
          <w:szCs w:val="20"/>
          <w:color w:val="auto"/>
        </w:rPr>
      </w:pPr>
      <w:r>
        <w:rPr>
          <w:rFonts w:ascii="Arial" w:cs="Arial" w:eastAsia="Arial" w:hAnsi="Arial"/>
          <w:sz w:val="18"/>
          <w:szCs w:val="18"/>
          <w:b w:val="1"/>
          <w:bCs w:val="1"/>
          <w:color w:val="auto"/>
        </w:rPr>
        <w:t>Exhibit 99.3</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WYNN LAS VEGAS, LLC</w:t>
      </w:r>
    </w:p>
    <w:p>
      <w:pPr>
        <w:jc w:val="center"/>
        <w:spacing w:after="0"/>
        <w:rPr>
          <w:sz w:val="20"/>
          <w:szCs w:val="20"/>
          <w:color w:val="auto"/>
        </w:rPr>
      </w:pPr>
      <w:r>
        <w:rPr>
          <w:rFonts w:ascii="Arial" w:cs="Arial" w:eastAsia="Arial" w:hAnsi="Arial"/>
          <w:sz w:val="32"/>
          <w:szCs w:val="32"/>
          <w:b w:val="1"/>
          <w:bCs w:val="1"/>
          <w:color w:val="auto"/>
        </w:rPr>
        <w:t>WYNN LAS VEGAS CAPITAL CORP.</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Offer to Exchange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$500,000,000 of their outstanding</w:t>
      </w:r>
    </w:p>
    <w:p>
      <w:pPr>
        <w:spacing w:after="0" w:line="9" w:lineRule="exact"/>
        <w:rPr>
          <w:sz w:val="20"/>
          <w:szCs w:val="20"/>
          <w:color w:val="auto"/>
        </w:rPr>
      </w:pPr>
    </w:p>
    <w:p>
      <w:pPr>
        <w:ind w:left="4700" w:right="4280" w:hanging="410"/>
        <w:spacing w:after="0" w:line="273" w:lineRule="auto"/>
        <w:tabs>
          <w:tab w:leader="none" w:pos="4431" w:val="left"/>
        </w:tabs>
        <w:numPr>
          <w:ilvl w:val="0"/>
          <w:numId w:val="413"/>
        </w:numPr>
        <w:rPr>
          <w:rFonts w:ascii="Arial" w:cs="Arial" w:eastAsia="Arial" w:hAnsi="Arial"/>
          <w:sz w:val="17"/>
          <w:szCs w:val="17"/>
          <w:b w:val="1"/>
          <w:bCs w:val="1"/>
          <w:color w:val="auto"/>
        </w:rPr>
      </w:pPr>
      <w:r>
        <w:rPr>
          <w:rFonts w:ascii="Arial" w:cs="Arial" w:eastAsia="Arial" w:hAnsi="Arial"/>
          <w:sz w:val="11"/>
          <w:szCs w:val="11"/>
          <w:b w:val="1"/>
          <w:bCs w:val="1"/>
          <w:color w:val="auto"/>
        </w:rPr>
        <w:t>7</w:t>
      </w:r>
      <w:r>
        <w:rPr>
          <w:rFonts w:ascii="Arial" w:cs="Arial" w:eastAsia="Arial" w:hAnsi="Arial"/>
          <w:sz w:val="16"/>
          <w:szCs w:val="16"/>
          <w:b w:val="1"/>
          <w:bCs w:val="1"/>
          <w:color w:val="auto"/>
        </w:rPr>
        <w:t>/</w:t>
      </w:r>
      <w:r>
        <w:rPr>
          <w:rFonts w:ascii="Arial" w:cs="Arial" w:eastAsia="Arial" w:hAnsi="Arial"/>
          <w:sz w:val="12"/>
          <w:szCs w:val="12"/>
          <w:b w:val="1"/>
          <w:bCs w:val="1"/>
          <w:color w:val="auto"/>
        </w:rPr>
        <w:t>8</w:t>
      </w:r>
      <w:r>
        <w:rPr>
          <w:rFonts w:ascii="Arial" w:cs="Arial" w:eastAsia="Arial" w:hAnsi="Arial"/>
          <w:sz w:val="16"/>
          <w:szCs w:val="16"/>
          <w:b w:val="1"/>
          <w:bCs w:val="1"/>
          <w:color w:val="auto"/>
        </w:rPr>
        <w:t>% First Mortgage Notes due 2017</w:t>
      </w:r>
      <w:r>
        <w:rPr>
          <w:rFonts w:ascii="Arial" w:cs="Arial" w:eastAsia="Arial" w:hAnsi="Arial"/>
          <w:sz w:val="11"/>
          <w:szCs w:val="11"/>
          <w:b w:val="1"/>
          <w:bCs w:val="1"/>
          <w:color w:val="auto"/>
        </w:rPr>
        <w:t xml:space="preserve"> </w:t>
      </w:r>
      <w:r>
        <w:rPr>
          <w:rFonts w:ascii="Arial" w:cs="Arial" w:eastAsia="Arial" w:hAnsi="Arial"/>
          <w:sz w:val="16"/>
          <w:szCs w:val="16"/>
          <w:b w:val="1"/>
          <w:bCs w:val="1"/>
          <w:color w:val="auto"/>
        </w:rPr>
        <w:t>Issued on October 19, 2009</w:t>
      </w:r>
    </w:p>
    <w:p>
      <w:pPr>
        <w:ind w:left="560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for</w:t>
      </w:r>
    </w:p>
    <w:p>
      <w:pPr>
        <w:spacing w:after="0" w:line="9" w:lineRule="exact"/>
        <w:rPr>
          <w:rFonts w:ascii="Arial" w:cs="Arial" w:eastAsia="Arial" w:hAnsi="Arial"/>
          <w:sz w:val="17"/>
          <w:szCs w:val="17"/>
          <w:b w:val="1"/>
          <w:bCs w:val="1"/>
          <w:color w:val="auto"/>
        </w:rPr>
      </w:pPr>
    </w:p>
    <w:p>
      <w:pPr>
        <w:ind w:left="4420" w:right="4280" w:hanging="130"/>
        <w:spacing w:after="0" w:line="273" w:lineRule="auto"/>
        <w:tabs>
          <w:tab w:leader="none" w:pos="4426" w:val="left"/>
        </w:tabs>
        <w:numPr>
          <w:ilvl w:val="0"/>
          <w:numId w:val="413"/>
        </w:numPr>
        <w:rPr>
          <w:rFonts w:ascii="Arial" w:cs="Arial" w:eastAsia="Arial" w:hAnsi="Arial"/>
          <w:sz w:val="17"/>
          <w:szCs w:val="17"/>
          <w:b w:val="1"/>
          <w:bCs w:val="1"/>
          <w:color w:val="auto"/>
        </w:rPr>
      </w:pPr>
      <w:r>
        <w:rPr>
          <w:rFonts w:ascii="Arial" w:cs="Arial" w:eastAsia="Arial" w:hAnsi="Arial"/>
          <w:sz w:val="11"/>
          <w:szCs w:val="11"/>
          <w:b w:val="1"/>
          <w:bCs w:val="1"/>
          <w:color w:val="auto"/>
        </w:rPr>
        <w:t>7</w:t>
      </w:r>
      <w:r>
        <w:rPr>
          <w:rFonts w:ascii="Arial" w:cs="Arial" w:eastAsia="Arial" w:hAnsi="Arial"/>
          <w:sz w:val="16"/>
          <w:szCs w:val="16"/>
          <w:b w:val="1"/>
          <w:bCs w:val="1"/>
          <w:color w:val="auto"/>
        </w:rPr>
        <w:t>/</w:t>
      </w:r>
      <w:r>
        <w:rPr>
          <w:rFonts w:ascii="Arial" w:cs="Arial" w:eastAsia="Arial" w:hAnsi="Arial"/>
          <w:sz w:val="12"/>
          <w:szCs w:val="12"/>
          <w:b w:val="1"/>
          <w:bCs w:val="1"/>
          <w:color w:val="auto"/>
        </w:rPr>
        <w:t>8</w:t>
      </w:r>
      <w:r>
        <w:rPr>
          <w:rFonts w:ascii="Arial" w:cs="Arial" w:eastAsia="Arial" w:hAnsi="Arial"/>
          <w:sz w:val="16"/>
          <w:szCs w:val="16"/>
          <w:b w:val="1"/>
          <w:bCs w:val="1"/>
          <w:color w:val="auto"/>
        </w:rPr>
        <w:t>% First Mortgage Notes due 2017</w:t>
      </w:r>
      <w:r>
        <w:rPr>
          <w:rFonts w:ascii="Arial" w:cs="Arial" w:eastAsia="Arial" w:hAnsi="Arial"/>
          <w:sz w:val="11"/>
          <w:szCs w:val="11"/>
          <w:b w:val="1"/>
          <w:bCs w:val="1"/>
          <w:color w:val="auto"/>
        </w:rPr>
        <w:t xml:space="preserve"> </w:t>
      </w:r>
      <w:r>
        <w:rPr>
          <w:rFonts w:ascii="Arial" w:cs="Arial" w:eastAsia="Arial" w:hAnsi="Arial"/>
          <w:sz w:val="16"/>
          <w:szCs w:val="16"/>
          <w:b w:val="1"/>
          <w:bCs w:val="1"/>
          <w:color w:val="auto"/>
        </w:rPr>
        <w:t>That Have Been Registered Under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 as Amended,</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ectPr>
          <w:pgSz w:w="11900" w:h="16838" w:orient="portrait"/>
          <w:cols w:equalWidth="0" w:num="1">
            <w:col w:w="11420"/>
          </w:cols>
          <w:pgMar w:left="240" w:top="125" w:right="239" w:bottom="1440" w:gutter="0" w:footer="0" w:header="0"/>
        </w:sectPr>
      </w:pPr>
    </w:p>
    <w:p>
      <w:pPr>
        <w:spacing w:after="0" w:line="171" w:lineRule="exact"/>
        <w:rPr>
          <w:sz w:val="20"/>
          <w:szCs w:val="20"/>
          <w:color w:val="auto"/>
        </w:rPr>
      </w:pPr>
    </w:p>
    <w:p>
      <w:pPr>
        <w:ind w:left="4460"/>
        <w:spacing w:after="0"/>
        <w:rPr>
          <w:sz w:val="20"/>
          <w:szCs w:val="20"/>
          <w:color w:val="auto"/>
        </w:rPr>
      </w:pPr>
      <w:r>
        <w:rPr>
          <w:rFonts w:ascii="Arial" w:cs="Arial" w:eastAsia="Arial" w:hAnsi="Arial"/>
          <w:sz w:val="16"/>
          <w:szCs w:val="16"/>
          <w:b w:val="1"/>
          <w:bCs w:val="1"/>
          <w:color w:val="auto"/>
        </w:rPr>
        <w:t>$382,010,000 of their outstanding</w:t>
      </w:r>
    </w:p>
    <w:p>
      <w:pPr>
        <w:spacing w:after="0" w:line="44" w:lineRule="exact"/>
        <w:rPr>
          <w:sz w:val="20"/>
          <w:szCs w:val="20"/>
          <w:color w:val="auto"/>
        </w:rPr>
      </w:pPr>
    </w:p>
    <w:p>
      <w:pPr>
        <w:ind w:left="4300"/>
        <w:spacing w:after="0"/>
        <w:rPr>
          <w:sz w:val="20"/>
          <w:szCs w:val="20"/>
          <w:color w:val="auto"/>
        </w:rPr>
      </w:pPr>
      <w:r>
        <w:rPr>
          <w:rFonts w:ascii="Arial" w:cs="Arial" w:eastAsia="Arial" w:hAnsi="Arial"/>
          <w:sz w:val="16"/>
          <w:szCs w:val="16"/>
          <w:b w:val="1"/>
          <w:bCs w:val="1"/>
          <w:color w:val="auto"/>
        </w:rPr>
        <w:t xml:space="preserve">7 </w:t>
      </w:r>
      <w:r>
        <w:rPr>
          <w:rFonts w:ascii="Arial" w:cs="Arial" w:eastAsia="Arial" w:hAnsi="Arial"/>
          <w:sz w:val="10"/>
          <w:szCs w:val="10"/>
          <w:b w:val="1"/>
          <w:bCs w:val="1"/>
          <w:color w:val="auto"/>
        </w:rPr>
        <w:t>7</w:t>
      </w:r>
      <w:r>
        <w:rPr>
          <w:rFonts w:ascii="Arial" w:cs="Arial" w:eastAsia="Arial" w:hAnsi="Arial"/>
          <w:sz w:val="16"/>
          <w:szCs w:val="16"/>
          <w:b w:val="1"/>
          <w:bCs w:val="1"/>
          <w:color w:val="auto"/>
        </w:rPr>
        <w:t>/</w:t>
      </w:r>
      <w:r>
        <w:rPr>
          <w:rFonts w:ascii="Arial" w:cs="Arial" w:eastAsia="Arial" w:hAnsi="Arial"/>
          <w:sz w:val="12"/>
          <w:szCs w:val="12"/>
          <w:b w:val="1"/>
          <w:bCs w:val="1"/>
          <w:color w:val="auto"/>
        </w:rPr>
        <w:t>8</w:t>
      </w:r>
      <w:r>
        <w:rPr>
          <w:rFonts w:ascii="Arial" w:cs="Arial" w:eastAsia="Arial" w:hAnsi="Arial"/>
          <w:sz w:val="16"/>
          <w:szCs w:val="16"/>
          <w:b w:val="1"/>
          <w:bCs w:val="1"/>
          <w:color w:val="auto"/>
        </w:rPr>
        <w:t>% First Mortgage Notes due 2020</w:t>
      </w:r>
    </w:p>
    <w:p>
      <w:pPr>
        <w:spacing w:after="0" w:line="32"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Issued on April 28, 2010</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6"/>
          <w:szCs w:val="16"/>
          <w:b w:val="1"/>
          <w:bCs w:val="1"/>
          <w:color w:val="auto"/>
        </w:rPr>
        <w:t xml:space="preserve">7 </w:t>
      </w:r>
      <w:r>
        <w:rPr>
          <w:rFonts w:ascii="Arial" w:cs="Arial" w:eastAsia="Arial" w:hAnsi="Arial"/>
          <w:sz w:val="10"/>
          <w:szCs w:val="10"/>
          <w:b w:val="1"/>
          <w:bCs w:val="1"/>
          <w:color w:val="auto"/>
        </w:rPr>
        <w:t>7</w:t>
      </w:r>
      <w:r>
        <w:rPr>
          <w:rFonts w:ascii="Arial" w:cs="Arial" w:eastAsia="Arial" w:hAnsi="Arial"/>
          <w:sz w:val="16"/>
          <w:szCs w:val="16"/>
          <w:b w:val="1"/>
          <w:bCs w:val="1"/>
          <w:color w:val="auto"/>
        </w:rPr>
        <w:t>/</w:t>
      </w:r>
      <w:r>
        <w:rPr>
          <w:rFonts w:ascii="Arial" w:cs="Arial" w:eastAsia="Arial" w:hAnsi="Arial"/>
          <w:sz w:val="12"/>
          <w:szCs w:val="12"/>
          <w:b w:val="1"/>
          <w:bCs w:val="1"/>
          <w:color w:val="auto"/>
        </w:rPr>
        <w:t>8</w:t>
      </w:r>
      <w:r>
        <w:rPr>
          <w:rFonts w:ascii="Arial" w:cs="Arial" w:eastAsia="Arial" w:hAnsi="Arial"/>
          <w:sz w:val="16"/>
          <w:szCs w:val="16"/>
          <w:b w:val="1"/>
          <w:bCs w:val="1"/>
          <w:color w:val="auto"/>
        </w:rPr>
        <w:t>% First Mortgage Notes due 2020</w:t>
      </w:r>
    </w:p>
    <w:p>
      <w:pPr>
        <w:spacing w:after="0" w:line="32" w:lineRule="exact"/>
        <w:rPr>
          <w:sz w:val="20"/>
          <w:szCs w:val="20"/>
          <w:color w:val="auto"/>
        </w:rPr>
      </w:pPr>
    </w:p>
    <w:p>
      <w:pPr>
        <w:ind w:left="4420"/>
        <w:spacing w:after="0"/>
        <w:rPr>
          <w:sz w:val="20"/>
          <w:szCs w:val="20"/>
          <w:color w:val="auto"/>
        </w:rPr>
      </w:pPr>
      <w:r>
        <w:rPr>
          <w:rFonts w:ascii="Arial" w:cs="Arial" w:eastAsia="Arial" w:hAnsi="Arial"/>
          <w:sz w:val="16"/>
          <w:szCs w:val="16"/>
          <w:b w:val="1"/>
          <w:bCs w:val="1"/>
          <w:color w:val="auto"/>
        </w:rPr>
        <w:t>That Have Been Registered Under</w:t>
      </w:r>
    </w:p>
    <w:p>
      <w:pPr>
        <w:spacing w:after="0" w:line="32" w:lineRule="exact"/>
        <w:rPr>
          <w:sz w:val="20"/>
          <w:szCs w:val="20"/>
          <w:color w:val="auto"/>
        </w:rPr>
      </w:pPr>
    </w:p>
    <w:p>
      <w:pPr>
        <w:ind w:left="4240"/>
        <w:spacing w:after="0"/>
        <w:rPr>
          <w:sz w:val="20"/>
          <w:szCs w:val="20"/>
          <w:color w:val="auto"/>
        </w:rPr>
      </w:pPr>
      <w:r>
        <w:rPr>
          <w:rFonts w:ascii="Arial" w:cs="Arial" w:eastAsia="Arial" w:hAnsi="Arial"/>
          <w:sz w:val="15"/>
          <w:szCs w:val="15"/>
          <w:b w:val="1"/>
          <w:bCs w:val="1"/>
          <w:color w:val="auto"/>
        </w:rPr>
        <w:t>the Securities Act of 1933, as Amended,</w:t>
      </w:r>
    </w:p>
    <w:p>
      <w:pPr>
        <w:spacing w:after="0" w:line="44"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Pursuant to the Prospectus, 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2010</w:t>
      </w:r>
    </w:p>
    <w:p>
      <w:pPr>
        <w:spacing w:after="0" w:line="205" w:lineRule="exact"/>
        <w:rPr>
          <w:sz w:val="20"/>
          <w:szCs w:val="20"/>
          <w:color w:val="auto"/>
        </w:rPr>
      </w:pPr>
    </w:p>
    <w:p>
      <w:pPr>
        <w:sectPr>
          <w:pgSz w:w="11900" w:h="16838" w:orient="portrait"/>
          <w:cols w:equalWidth="0" w:num="2">
            <w:col w:w="7200" w:space="20"/>
            <w:col w:w="4200"/>
          </w:cols>
          <w:pgMar w:left="240" w:top="125"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To Our Clients:</w:t>
      </w:r>
    </w:p>
    <w:p>
      <w:pPr>
        <w:spacing w:after="0" w:line="96" w:lineRule="exact"/>
        <w:rPr>
          <w:sz w:val="20"/>
          <w:szCs w:val="20"/>
          <w:color w:val="auto"/>
        </w:rPr>
      </w:pPr>
    </w:p>
    <w:p>
      <w:pPr>
        <w:ind w:left="460"/>
        <w:spacing w:after="0"/>
        <w:tabs>
          <w:tab w:leader="none" w:pos="5160" w:val="left"/>
        </w:tabs>
        <w:rPr>
          <w:sz w:val="20"/>
          <w:szCs w:val="20"/>
          <w:color w:val="auto"/>
        </w:rPr>
      </w:pPr>
      <w:r>
        <w:rPr>
          <w:rFonts w:ascii="Arial" w:cs="Arial" w:eastAsia="Arial" w:hAnsi="Arial"/>
          <w:sz w:val="18"/>
          <w:szCs w:val="18"/>
          <w:color w:val="auto"/>
        </w:rPr>
        <w:t>Enclosed for your consideration is a Prospectus, dated</w:t>
      </w:r>
      <w:r>
        <w:rPr>
          <w:sz w:val="20"/>
          <w:szCs w:val="20"/>
          <w:color w:val="auto"/>
        </w:rPr>
        <w:tab/>
      </w:r>
      <w:r>
        <w:rPr>
          <w:rFonts w:ascii="Arial" w:cs="Arial" w:eastAsia="Arial" w:hAnsi="Arial"/>
          <w:sz w:val="16"/>
          <w:szCs w:val="16"/>
          <w:color w:val="auto"/>
        </w:rPr>
        <w:t>, 2010 (the “Prospectus”), and the related Letter of Transmittal (the “Letter of</w:t>
      </w:r>
    </w:p>
    <w:p>
      <w:pPr>
        <w:sectPr>
          <w:pgSz w:w="11900" w:h="16838" w:orient="portrait"/>
          <w:cols w:equalWidth="0" w:num="1">
            <w:col w:w="11420"/>
          </w:cols>
          <w:pgMar w:left="240" w:top="125" w:right="239" w:bottom="1440" w:gutter="0" w:footer="0" w:header="0"/>
          <w:type w:val="continuous"/>
        </w:sectPr>
      </w:pPr>
    </w:p>
    <w:p>
      <w:pPr>
        <w:spacing w:after="0" w:line="1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 xml:space="preserve">Transmittal”), relating to the offer (the “Exchange Offer”) of Wynn Las Vegas, LLC and Wynn Las Vegas Capital Corp. (together, the “Issuers”) to exchange an aggregate principal amount of up to $500,000,000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 First Mortgage Notes due 2017 of the Issuers issued on October 19, 2009 (the “Old 2017 Notes”) for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due 2017 of the Issuers that have been registered under the Securities Act of 1933, as amended (the “New 2017 Notes”), and to exchange an aggregate principal amount of up to $382,010,000 of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 First Mortgage Notes due 2020 of the Issuers issued on April 28, 2010 (the “Old 2020 Notes,” and together with the Old 2017 Notes, the “Old Notes”) for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due 2020 of the Issuers that have been registered under the Securities Act of 1933, as amended (the “New 2020 Notes,” and together with the New 2017 Notes, the “New Notes”), upon the terms and subject to the conditions set forth in the Prospectus and the Letter of Transmittal. The Exchange Offer is being made to satisfy certain obligations of the Issuers contained in the Registration Rights Agreement, dated October 19, 2009, by and among the Issuers, the guarantors referred to therein and the initial purchasers referred to therein and in the Registration Rights Agreement, dated April 28, 2010, by and among the Issuers, the guarantors referred to therein and the dealer managers referred to therein.</w:t>
      </w:r>
    </w:p>
    <w:p>
      <w:pPr>
        <w:spacing w:after="0" w:line="124"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This material is being forwarded to you as the beneficial owner of the Old Notes held by us for your account but not registered in your name. A TENDER OF SUCH OLD NOTES MAY ONLY BE MADE BY US AS THE HOLDER OF RECORD AND PURSUANT TO YOUR INSTRUCTIONS.</w:t>
      </w:r>
    </w:p>
    <w:p>
      <w:pPr>
        <w:spacing w:after="0" w:line="8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Accordingly, we request instructions as to whether you wish us to tender on your behalf the Old Notes held by us for your account, pursuant to the terms and conditions set forth in the enclosed Prospectus and Letter of Transmittal.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type w:val="continuous"/>
        </w:sectPr>
      </w:pPr>
    </w:p>
    <w:bookmarkStart w:id="366" w:name="page367"/>
    <w:bookmarkEnd w:id="366"/>
    <w:p>
      <w:pPr>
        <w:jc w:val="both"/>
        <w:ind w:right="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Your instructions should be forwarded to us as promptly as possible in order to permit us to tender the Old Notes on your behalf in accordance with the provisions of the Exchange Offer. The Exchange Offer will expire at 5:00 p.m., New York City time, on , 2010, unless extended by the Issuers. Any Old Notes tendered pursuant to the Exchange Offer may be withdrawn at any time before the Expiration Date.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Your attention is directed to the following:</w:t>
      </w:r>
    </w:p>
    <w:p>
      <w:pPr>
        <w:spacing w:after="0" w:line="90" w:lineRule="exact"/>
        <w:rPr>
          <w:sz w:val="20"/>
          <w:szCs w:val="20"/>
          <w:color w:val="auto"/>
        </w:rPr>
      </w:pPr>
    </w:p>
    <w:p>
      <w:pPr>
        <w:ind w:left="1080" w:hanging="177"/>
        <w:spacing w:after="0"/>
        <w:tabs>
          <w:tab w:leader="none" w:pos="108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The Exchange Offer is for any and all Old Notes.</w:t>
      </w:r>
    </w:p>
    <w:p>
      <w:pPr>
        <w:spacing w:after="0" w:line="90" w:lineRule="exact"/>
        <w:rPr>
          <w:rFonts w:ascii="Arial" w:cs="Arial" w:eastAsia="Arial" w:hAnsi="Arial"/>
          <w:sz w:val="18"/>
          <w:szCs w:val="18"/>
          <w:color w:val="auto"/>
        </w:rPr>
      </w:pPr>
    </w:p>
    <w:p>
      <w:pPr>
        <w:ind w:left="460" w:right="40" w:firstLine="443"/>
        <w:spacing w:after="0" w:line="268" w:lineRule="auto"/>
        <w:tabs>
          <w:tab w:leader="none" w:pos="1074" w:val="left"/>
        </w:tabs>
        <w:numPr>
          <w:ilvl w:val="0"/>
          <w:numId w:val="414"/>
        </w:numPr>
        <w:rPr>
          <w:rFonts w:ascii="Arial" w:cs="Arial" w:eastAsia="Arial" w:hAnsi="Arial"/>
          <w:sz w:val="18"/>
          <w:szCs w:val="18"/>
          <w:color w:val="auto"/>
        </w:rPr>
      </w:pPr>
      <w:r>
        <w:rPr>
          <w:rFonts w:ascii="Arial" w:cs="Arial" w:eastAsia="Arial" w:hAnsi="Arial"/>
          <w:sz w:val="18"/>
          <w:szCs w:val="18"/>
          <w:color w:val="auto"/>
        </w:rPr>
        <w:t>The Exchange Offer is subject to certain conditions set forth in the Prospectus in the section captioned “The Exchange Offer—Conditions to the Exchange Offer.”</w:t>
      </w:r>
    </w:p>
    <w:p>
      <w:pPr>
        <w:spacing w:after="0" w:line="50" w:lineRule="exact"/>
        <w:rPr>
          <w:rFonts w:ascii="Arial" w:cs="Arial" w:eastAsia="Arial" w:hAnsi="Arial"/>
          <w:sz w:val="18"/>
          <w:szCs w:val="18"/>
          <w:color w:val="auto"/>
        </w:rPr>
      </w:pPr>
    </w:p>
    <w:p>
      <w:pPr>
        <w:ind w:left="460" w:firstLine="443"/>
        <w:spacing w:after="0" w:line="268" w:lineRule="auto"/>
        <w:tabs>
          <w:tab w:leader="none" w:pos="1074" w:val="left"/>
        </w:tabs>
        <w:numPr>
          <w:ilvl w:val="0"/>
          <w:numId w:val="414"/>
        </w:numPr>
        <w:rPr>
          <w:rFonts w:ascii="Arial" w:cs="Arial" w:eastAsia="Arial" w:hAnsi="Arial"/>
          <w:sz w:val="18"/>
          <w:szCs w:val="18"/>
          <w:color w:val="auto"/>
        </w:rPr>
      </w:pPr>
      <w:r>
        <w:rPr>
          <w:rFonts w:ascii="Arial" w:cs="Arial" w:eastAsia="Arial" w:hAnsi="Arial"/>
          <w:sz w:val="18"/>
          <w:szCs w:val="18"/>
          <w:color w:val="auto"/>
        </w:rPr>
        <w:t>Any transfer taxes incident to the transfer of Old Notes from the holder to the Issuers will be paid by the Issuers, except as otherwise provided in the Instructions in the Letter of Transmittal.</w:t>
      </w:r>
    </w:p>
    <w:p>
      <w:pPr>
        <w:spacing w:after="0" w:line="51" w:lineRule="exact"/>
        <w:rPr>
          <w:sz w:val="20"/>
          <w:szCs w:val="20"/>
          <w:color w:val="auto"/>
        </w:rPr>
      </w:pPr>
    </w:p>
    <w:p>
      <w:pPr>
        <w:ind w:left="900"/>
        <w:spacing w:after="0"/>
        <w:tabs>
          <w:tab w:leader="none" w:pos="6620" w:val="left"/>
        </w:tabs>
        <w:rPr>
          <w:sz w:val="20"/>
          <w:szCs w:val="20"/>
          <w:color w:val="auto"/>
        </w:rPr>
      </w:pPr>
      <w:r>
        <w:rPr>
          <w:rFonts w:ascii="Arial" w:cs="Arial" w:eastAsia="Arial" w:hAnsi="Arial"/>
          <w:sz w:val="18"/>
          <w:szCs w:val="18"/>
          <w:color w:val="auto"/>
        </w:rPr>
        <w:t>4. The Exchange Offer expires at 5:00 p.m., New York City time, on</w:t>
      </w:r>
      <w:r>
        <w:rPr>
          <w:sz w:val="20"/>
          <w:szCs w:val="20"/>
          <w:color w:val="auto"/>
        </w:rPr>
        <w:tab/>
      </w:r>
      <w:r>
        <w:rPr>
          <w:rFonts w:ascii="Arial" w:cs="Arial" w:eastAsia="Arial" w:hAnsi="Arial"/>
          <w:sz w:val="15"/>
          <w:szCs w:val="15"/>
          <w:color w:val="auto"/>
        </w:rPr>
        <w:t>, 2010, unless extended by the Issuers.</w:t>
      </w:r>
    </w:p>
    <w:p>
      <w:pPr>
        <w:spacing w:after="0" w:line="171"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If you wish to have us tender your Old Notes, please so instruct us by completing, executing and returning to us the instruction form on the back of this letter. THE LETTER OF TRANSMITTAL IS FURNISHED TO YOU FOR INFORMATION ONLY AND MAY NOT BE USED DIRECTLY BY YOU TO TENDER OLD NOTES.</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240" w:top="279" w:right="419" w:bottom="1440" w:gutter="0" w:footer="0" w:header="0"/>
        </w:sectPr>
      </w:pPr>
    </w:p>
    <w:bookmarkStart w:id="367" w:name="page368"/>
    <w:bookmarkEnd w:id="36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INSTRUCTIONS WITH RESPECT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EXCHANGE OFFER</w:t>
      </w:r>
    </w:p>
    <w:p>
      <w:pPr>
        <w:spacing w:after="0" w:line="165"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undersigned acknowledge(s) receipt of your letter and the enclosed material referred to therein relating to the Exchange Offer made by Wynn Las Vegas, LLC and Wynn Las Vegas Capital Corp. with respect to the Old Notes.</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This will instruct you to tender the Old Notes held by you for the account of the undersigned, upon the terms and subject to the conditions set forth in the Prospectus and the related Letter of Transmittal.</w:t>
      </w:r>
    </w:p>
    <w:p>
      <w:pPr>
        <w:spacing w:after="0" w:line="132" w:lineRule="exact"/>
        <w:rPr>
          <w:sz w:val="20"/>
          <w:szCs w:val="20"/>
          <w:color w:val="auto"/>
        </w:rPr>
      </w:pPr>
    </w:p>
    <w:p>
      <w:pPr>
        <w:ind w:right="420" w:firstLine="456"/>
        <w:spacing w:after="0" w:line="256" w:lineRule="auto"/>
        <w:rPr>
          <w:sz w:val="20"/>
          <w:szCs w:val="20"/>
          <w:color w:val="auto"/>
        </w:rPr>
      </w:pPr>
      <w:r>
        <w:rPr>
          <w:rFonts w:ascii="Arial" w:cs="Arial" w:eastAsia="Arial" w:hAnsi="Arial"/>
          <w:sz w:val="18"/>
          <w:szCs w:val="18"/>
          <w:color w:val="auto"/>
        </w:rPr>
        <w:t>The undersigned hereby represents and warrants that the undersigned has full power and authority to tender, sell, assign and transfer all right, title and interest in the Old Notes and to acquire the New Notes, issuable upon the exchange of such Old Notes, and that, when such validly tendered Old Notes are accepted by the Issuers for exchange, the Issuers will acquire good and unencumbered title thereto, free and clear of all liens, restrictions, charges and encumbrances and not subject to any adverse claim.</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By completing, executing and delivering these Instructions, the undersigned hereby (i) makes the acknowledgments, representations and warranties referred to above, (ii) instructs you to tender the Old Notes held by you for the account of the undersigned, upon the terms and subject to the conditions set forth in the Prospectus and Letter of Transmittal and (iii) expressly agrees to be bound by the Letter of Transmittal and that such Letter of Transmittal may be enforced against the undersigned.</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Please tender the </w:t>
      </w:r>
      <w:r>
        <w:rPr>
          <w:rFonts w:ascii="Arial" w:cs="Arial" w:eastAsia="Arial" w:hAnsi="Arial"/>
          <w:sz w:val="18"/>
          <w:szCs w:val="18"/>
          <w:b w:val="1"/>
          <w:bCs w:val="1"/>
          <w:u w:val="single" w:color="auto"/>
          <w:color w:val="auto"/>
        </w:rPr>
        <w:t>Old 2017 Notes</w:t>
      </w:r>
      <w:r>
        <w:rPr>
          <w:rFonts w:ascii="Arial" w:cs="Arial" w:eastAsia="Arial" w:hAnsi="Arial"/>
          <w:sz w:val="18"/>
          <w:szCs w:val="18"/>
          <w:color w:val="auto"/>
        </w:rPr>
        <w:t xml:space="preserve"> held by you for my account as indicated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250430" cy="150304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250430" cy="150304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7 </w:t>
      </w:r>
      <w:r>
        <w:rPr>
          <w:rFonts w:ascii="Arial" w:cs="Arial" w:eastAsia="Arial" w:hAnsi="Arial"/>
          <w:sz w:val="11"/>
          <w:szCs w:val="11"/>
          <w:b w:val="1"/>
          <w:bCs w:val="1"/>
          <w:color w:val="auto"/>
        </w:rPr>
        <w:t>7</w:t>
      </w:r>
      <w:r>
        <w:rPr>
          <w:rFonts w:ascii="Arial" w:cs="Arial" w:eastAsia="Arial" w:hAnsi="Arial"/>
          <w:sz w:val="18"/>
          <w:szCs w:val="18"/>
          <w:b w:val="1"/>
          <w:bCs w:val="1"/>
          <w:color w:val="auto"/>
        </w:rPr>
        <w:t xml:space="preserve"> /</w:t>
      </w:r>
      <w:r>
        <w:rPr>
          <w:rFonts w:ascii="Arial" w:cs="Arial" w:eastAsia="Arial" w:hAnsi="Arial"/>
          <w:sz w:val="13"/>
          <w:szCs w:val="13"/>
          <w:b w:val="1"/>
          <w:bCs w:val="1"/>
          <w:color w:val="auto"/>
        </w:rPr>
        <w:t>8</w:t>
      </w:r>
      <w:r>
        <w:rPr>
          <w:rFonts w:ascii="Arial" w:cs="Arial" w:eastAsia="Arial" w:hAnsi="Arial"/>
          <w:sz w:val="18"/>
          <w:szCs w:val="18"/>
          <w:b w:val="1"/>
          <w:bCs w:val="1"/>
          <w:color w:val="auto"/>
        </w:rPr>
        <w:t>% FIRST MORTGAGE NOTES DUE 2017</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3680" w:type="dxa"/>
            <w:vAlign w:val="bottom"/>
            <w:tcBorders>
              <w:top w:val="single" w:sz="8" w:color="auto"/>
              <w:right w:val="single" w:sz="8" w:color="auto"/>
            </w:tcBorders>
          </w:tcPr>
          <w:p>
            <w:pPr>
              <w:ind w:left="1260"/>
              <w:spacing w:after="0" w:line="133" w:lineRule="exact"/>
              <w:rPr>
                <w:sz w:val="20"/>
                <w:szCs w:val="20"/>
                <w:color w:val="auto"/>
              </w:rPr>
            </w:pPr>
            <w:r>
              <w:rPr>
                <w:rFonts w:ascii="Arial" w:cs="Arial" w:eastAsia="Arial" w:hAnsi="Arial"/>
                <w:sz w:val="14"/>
                <w:szCs w:val="14"/>
                <w:b w:val="1"/>
                <w:bCs w:val="1"/>
                <w:color w:val="auto"/>
              </w:rPr>
              <w:t>Certificate Numbers*</w:t>
            </w:r>
          </w:p>
        </w:tc>
        <w:tc>
          <w:tcPr>
            <w:tcW w:w="3880" w:type="dxa"/>
            <w:vAlign w:val="bottom"/>
            <w:tcBorders>
              <w:top w:val="single" w:sz="8" w:color="auto"/>
              <w:right w:val="single" w:sz="8" w:color="auto"/>
            </w:tcBorders>
          </w:tcPr>
          <w:p>
            <w:pPr>
              <w:ind w:left="1460"/>
              <w:spacing w:after="0" w:line="133" w:lineRule="exact"/>
              <w:rPr>
                <w:sz w:val="20"/>
                <w:szCs w:val="20"/>
                <w:color w:val="auto"/>
              </w:rPr>
            </w:pPr>
            <w:r>
              <w:rPr>
                <w:rFonts w:ascii="Arial" w:cs="Arial" w:eastAsia="Arial" w:hAnsi="Arial"/>
                <w:sz w:val="14"/>
                <w:szCs w:val="14"/>
                <w:b w:val="1"/>
                <w:bCs w:val="1"/>
                <w:color w:val="auto"/>
              </w:rPr>
              <w:t>Principal Amount**</w:t>
            </w:r>
          </w:p>
        </w:tc>
        <w:tc>
          <w:tcPr>
            <w:tcW w:w="3860" w:type="dxa"/>
            <w:vAlign w:val="bottom"/>
            <w:tcBorders>
              <w:top w:val="single" w:sz="8" w:color="auto"/>
            </w:tcBorders>
          </w:tcPr>
          <w:p>
            <w:pPr>
              <w:jc w:val="center"/>
              <w:ind w:left="12"/>
              <w:spacing w:after="0" w:line="133" w:lineRule="exact"/>
              <w:rPr>
                <w:sz w:val="20"/>
                <w:szCs w:val="20"/>
                <w:color w:val="auto"/>
              </w:rPr>
            </w:pPr>
            <w:r>
              <w:rPr>
                <w:rFonts w:ascii="Arial" w:cs="Arial" w:eastAsia="Arial" w:hAnsi="Arial"/>
                <w:sz w:val="14"/>
                <w:szCs w:val="14"/>
                <w:b w:val="1"/>
                <w:bCs w:val="1"/>
                <w:color w:val="auto"/>
                <w:w w:val="87"/>
              </w:rPr>
              <w:t>Old 2017 Notes are</w:t>
            </w:r>
          </w:p>
        </w:tc>
      </w:tr>
      <w:tr>
        <w:trPr>
          <w:trHeight w:val="149"/>
        </w:trPr>
        <w:tc>
          <w:tcPr>
            <w:tcW w:w="3680" w:type="dxa"/>
            <w:vAlign w:val="bottom"/>
            <w:tcBorders>
              <w:right w:val="single" w:sz="8" w:color="auto"/>
            </w:tcBorders>
          </w:tcPr>
          <w:p>
            <w:pPr>
              <w:spacing w:after="0"/>
              <w:rPr>
                <w:sz w:val="12"/>
                <w:szCs w:val="12"/>
                <w:color w:val="auto"/>
              </w:rPr>
            </w:pPr>
          </w:p>
        </w:tc>
        <w:tc>
          <w:tcPr>
            <w:tcW w:w="3880" w:type="dxa"/>
            <w:vAlign w:val="bottom"/>
            <w:tcBorders>
              <w:right w:val="single" w:sz="8" w:color="auto"/>
            </w:tcBorders>
          </w:tcPr>
          <w:p>
            <w:pPr>
              <w:spacing w:after="0"/>
              <w:rPr>
                <w:sz w:val="12"/>
                <w:szCs w:val="12"/>
                <w:color w:val="auto"/>
              </w:rPr>
            </w:pPr>
          </w:p>
        </w:tc>
        <w:tc>
          <w:tcPr>
            <w:tcW w:w="3860" w:type="dxa"/>
            <w:vAlign w:val="bottom"/>
          </w:tcPr>
          <w:p>
            <w:pPr>
              <w:jc w:val="center"/>
              <w:ind w:left="12"/>
              <w:spacing w:after="0" w:line="149" w:lineRule="exact"/>
              <w:rPr>
                <w:sz w:val="20"/>
                <w:szCs w:val="20"/>
                <w:color w:val="auto"/>
              </w:rPr>
            </w:pPr>
            <w:r>
              <w:rPr>
                <w:rFonts w:ascii="Arial" w:cs="Arial" w:eastAsia="Arial" w:hAnsi="Arial"/>
                <w:sz w:val="14"/>
                <w:szCs w:val="14"/>
                <w:b w:val="1"/>
                <w:bCs w:val="1"/>
                <w:color w:val="auto"/>
                <w:w w:val="85"/>
              </w:rPr>
              <w:t>to be Tendered</w:t>
            </w:r>
          </w:p>
        </w:tc>
      </w:tr>
      <w:tr>
        <w:trPr>
          <w:trHeight w:val="175"/>
        </w:trPr>
        <w:tc>
          <w:tcPr>
            <w:tcW w:w="3680" w:type="dxa"/>
            <w:vAlign w:val="bottom"/>
            <w:tcBorders>
              <w:bottom w:val="single" w:sz="8" w:color="auto"/>
              <w:right w:val="single" w:sz="8" w:color="auto"/>
            </w:tcBorders>
          </w:tcPr>
          <w:p>
            <w:pPr>
              <w:spacing w:after="0"/>
              <w:rPr>
                <w:sz w:val="15"/>
                <w:szCs w:val="15"/>
                <w:color w:val="auto"/>
              </w:rPr>
            </w:pPr>
          </w:p>
        </w:tc>
        <w:tc>
          <w:tcPr>
            <w:tcW w:w="3880" w:type="dxa"/>
            <w:vAlign w:val="bottom"/>
            <w:tcBorders>
              <w:bottom w:val="single" w:sz="8" w:color="auto"/>
              <w:right w:val="single" w:sz="8" w:color="auto"/>
            </w:tcBorders>
          </w:tcPr>
          <w:p>
            <w:pPr>
              <w:spacing w:after="0"/>
              <w:rPr>
                <w:sz w:val="15"/>
                <w:szCs w:val="15"/>
                <w:color w:val="auto"/>
              </w:rPr>
            </w:pPr>
          </w:p>
        </w:tc>
        <w:tc>
          <w:tcPr>
            <w:tcW w:w="3860" w:type="dxa"/>
            <w:vAlign w:val="bottom"/>
            <w:tcBorders>
              <w:bottom w:val="single" w:sz="8" w:color="auto"/>
            </w:tcBorders>
          </w:tcPr>
          <w:p>
            <w:pPr>
              <w:jc w:val="center"/>
              <w:ind w:left="32"/>
              <w:spacing w:after="0"/>
              <w:rPr>
                <w:sz w:val="20"/>
                <w:szCs w:val="20"/>
                <w:color w:val="auto"/>
              </w:rPr>
            </w:pPr>
            <w:r>
              <w:rPr>
                <w:rFonts w:ascii="Arial" w:cs="Arial" w:eastAsia="Arial" w:hAnsi="Arial"/>
                <w:sz w:val="14"/>
                <w:szCs w:val="14"/>
                <w:b w:val="1"/>
                <w:bCs w:val="1"/>
                <w:color w:val="auto"/>
                <w:w w:val="94"/>
              </w:rPr>
              <w:t>(“Yes” or “No”)***</w:t>
            </w:r>
          </w:p>
        </w:tc>
      </w:tr>
      <w:tr>
        <w:trPr>
          <w:trHeight w:val="250"/>
        </w:trPr>
        <w:tc>
          <w:tcPr>
            <w:tcW w:w="3680" w:type="dxa"/>
            <w:vAlign w:val="bottom"/>
            <w:tcBorders>
              <w:bottom w:val="single" w:sz="8" w:color="auto"/>
              <w:right w:val="single" w:sz="8" w:color="auto"/>
            </w:tcBorders>
          </w:tcPr>
          <w:p>
            <w:pPr>
              <w:spacing w:after="0"/>
              <w:rPr>
                <w:sz w:val="21"/>
                <w:szCs w:val="21"/>
                <w:color w:val="auto"/>
              </w:rPr>
            </w:pPr>
          </w:p>
        </w:tc>
        <w:tc>
          <w:tcPr>
            <w:tcW w:w="3880" w:type="dxa"/>
            <w:vAlign w:val="bottom"/>
            <w:tcBorders>
              <w:bottom w:val="single" w:sz="8" w:color="auto"/>
              <w:right w:val="single" w:sz="8" w:color="auto"/>
            </w:tcBorders>
          </w:tcPr>
          <w:p>
            <w:pPr>
              <w:spacing w:after="0"/>
              <w:rPr>
                <w:sz w:val="21"/>
                <w:szCs w:val="21"/>
                <w:color w:val="auto"/>
              </w:rPr>
            </w:pPr>
          </w:p>
        </w:tc>
        <w:tc>
          <w:tcPr>
            <w:tcW w:w="3860" w:type="dxa"/>
            <w:vAlign w:val="bottom"/>
            <w:tcBorders>
              <w:bottom w:val="single" w:sz="8" w:color="auto"/>
            </w:tcBorders>
          </w:tcPr>
          <w:p>
            <w:pPr>
              <w:spacing w:after="0"/>
              <w:rPr>
                <w:sz w:val="21"/>
                <w:szCs w:val="21"/>
                <w:color w:val="auto"/>
              </w:rPr>
            </w:pPr>
          </w:p>
        </w:tc>
      </w:tr>
      <w:tr>
        <w:trPr>
          <w:trHeight w:val="250"/>
        </w:trPr>
        <w:tc>
          <w:tcPr>
            <w:tcW w:w="3680" w:type="dxa"/>
            <w:vAlign w:val="bottom"/>
            <w:tcBorders>
              <w:bottom w:val="single" w:sz="8" w:color="auto"/>
              <w:right w:val="single" w:sz="8" w:color="auto"/>
            </w:tcBorders>
          </w:tcPr>
          <w:p>
            <w:pPr>
              <w:spacing w:after="0"/>
              <w:rPr>
                <w:sz w:val="21"/>
                <w:szCs w:val="21"/>
                <w:color w:val="auto"/>
              </w:rPr>
            </w:pPr>
          </w:p>
        </w:tc>
        <w:tc>
          <w:tcPr>
            <w:tcW w:w="3880" w:type="dxa"/>
            <w:vAlign w:val="bottom"/>
            <w:tcBorders>
              <w:bottom w:val="single" w:sz="8" w:color="auto"/>
              <w:right w:val="single" w:sz="8" w:color="auto"/>
            </w:tcBorders>
          </w:tcPr>
          <w:p>
            <w:pPr>
              <w:spacing w:after="0"/>
              <w:rPr>
                <w:sz w:val="21"/>
                <w:szCs w:val="21"/>
                <w:color w:val="auto"/>
              </w:rPr>
            </w:pPr>
          </w:p>
        </w:tc>
        <w:tc>
          <w:tcPr>
            <w:tcW w:w="3860" w:type="dxa"/>
            <w:vAlign w:val="bottom"/>
            <w:tcBorders>
              <w:bottom w:val="single" w:sz="8" w:color="auto"/>
            </w:tcBorders>
          </w:tcPr>
          <w:p>
            <w:pPr>
              <w:spacing w:after="0"/>
              <w:rPr>
                <w:sz w:val="21"/>
                <w:szCs w:val="21"/>
                <w:color w:val="auto"/>
              </w:rPr>
            </w:pPr>
          </w:p>
        </w:tc>
      </w:tr>
    </w:tbl>
    <w:p>
      <w:pPr>
        <w:ind w:left="520" w:hanging="390"/>
        <w:spacing w:after="0"/>
        <w:tabs>
          <w:tab w:leader="none" w:pos="52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Need not be completed if Old 2017 Notes are being tendered by book-entry transfer.</w:t>
      </w:r>
    </w:p>
    <w:p>
      <w:pPr>
        <w:spacing w:after="0" w:line="7" w:lineRule="exact"/>
        <w:rPr>
          <w:sz w:val="20"/>
          <w:szCs w:val="20"/>
          <w:color w:val="auto"/>
        </w:rPr>
      </w:pPr>
    </w:p>
    <w:p>
      <w:pPr>
        <w:ind w:left="560" w:right="260" w:hanging="430"/>
        <w:spacing w:after="0" w:line="281" w:lineRule="auto"/>
        <w:tabs>
          <w:tab w:leader="none" w:pos="523" w:val="left"/>
        </w:tabs>
        <w:numPr>
          <w:ilvl w:val="0"/>
          <w:numId w:val="416"/>
        </w:numPr>
        <w:rPr>
          <w:rFonts w:ascii="Arial" w:cs="Arial" w:eastAsia="Arial" w:hAnsi="Arial"/>
          <w:sz w:val="16"/>
          <w:szCs w:val="16"/>
          <w:color w:val="auto"/>
        </w:rPr>
      </w:pPr>
      <w:r>
        <w:rPr>
          <w:rFonts w:ascii="Arial" w:cs="Arial" w:eastAsia="Arial" w:hAnsi="Arial"/>
          <w:sz w:val="16"/>
          <w:szCs w:val="16"/>
          <w:color w:val="auto"/>
        </w:rPr>
        <w:t>Unless otherwise indicated in this column, a holder will be deemed to have tendered ALL of the Old 2017 Notes represented by the Old 2017 Notes indicated in column 2. See Instruction 2 of the Letter of Transmittal. Old 2017 Notes tendered hereby must be in denominations of principal amount of $2,000 and integral multiples of $1,000 in excess of $2,000. See Instruction 1 of the Letter of Transmittal.</w:t>
      </w:r>
    </w:p>
    <w:p>
      <w:pPr>
        <w:spacing w:after="0" w:line="2" w:lineRule="exact"/>
        <w:rPr>
          <w:rFonts w:ascii="Arial" w:cs="Arial" w:eastAsia="Arial" w:hAnsi="Arial"/>
          <w:sz w:val="16"/>
          <w:szCs w:val="16"/>
          <w:color w:val="auto"/>
        </w:rPr>
      </w:pPr>
    </w:p>
    <w:p>
      <w:pPr>
        <w:ind w:left="480" w:hanging="350"/>
        <w:spacing w:after="0"/>
        <w:tabs>
          <w:tab w:leader="none" w:pos="48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Unless otherwise indicated, “yes” will be assumed.</w:t>
      </w:r>
    </w:p>
    <w:p>
      <w:pPr>
        <w:spacing w:after="0" w:line="232" w:lineRule="exact"/>
        <w:rPr>
          <w:sz w:val="20"/>
          <w:szCs w:val="20"/>
          <w:color w:val="auto"/>
        </w:rPr>
      </w:pPr>
    </w:p>
    <w:p>
      <w:pPr>
        <w:ind w:left="1480" w:hanging="567"/>
        <w:spacing w:after="0"/>
        <w:tabs>
          <w:tab w:leader="none" w:pos="1480" w:val="left"/>
        </w:tabs>
        <w:numPr>
          <w:ilvl w:val="0"/>
          <w:numId w:val="418"/>
        </w:numPr>
        <w:rPr>
          <w:rFonts w:ascii="MS PGothic" w:cs="MS PGothic" w:eastAsia="MS PGothic" w:hAnsi="MS PGothic"/>
          <w:sz w:val="18"/>
          <w:szCs w:val="18"/>
          <w:color w:val="auto"/>
        </w:rPr>
      </w:pPr>
      <w:r>
        <w:rPr>
          <w:rFonts w:ascii="Arial" w:cs="Arial" w:eastAsia="Arial" w:hAnsi="Arial"/>
          <w:sz w:val="18"/>
          <w:szCs w:val="18"/>
          <w:color w:val="auto"/>
        </w:rPr>
        <w:t>Please do not tender any Old 2017 Notes held by you for my account.</w:t>
      </w:r>
    </w:p>
    <w:p>
      <w:pPr>
        <w:spacing w:after="0" w:line="171" w:lineRule="exact"/>
        <w:rPr>
          <w:rFonts w:ascii="MS PGothic" w:cs="MS PGothic" w:eastAsia="MS PGothic" w:hAnsi="MS PGothic"/>
          <w:sz w:val="18"/>
          <w:szCs w:val="18"/>
          <w:color w:val="auto"/>
        </w:rPr>
      </w:pPr>
    </w:p>
    <w:p>
      <w:pPr>
        <w:spacing w:after="0"/>
        <w:rPr>
          <w:rFonts w:ascii="MS PGothic" w:cs="MS PGothic" w:eastAsia="MS PGothic" w:hAnsi="MS PGothic"/>
          <w:sz w:val="18"/>
          <w:szCs w:val="18"/>
          <w:color w:val="auto"/>
        </w:rPr>
      </w:pPr>
      <w:r>
        <w:rPr>
          <w:rFonts w:ascii="Arial" w:cs="Arial" w:eastAsia="Arial" w:hAnsi="Arial"/>
          <w:sz w:val="18"/>
          <w:szCs w:val="18"/>
          <w:color w:val="auto"/>
        </w:rPr>
        <w:t>Signature(s):</w:t>
      </w:r>
    </w:p>
    <w:p>
      <w:pPr>
        <w:spacing w:after="0" w:line="171" w:lineRule="exact"/>
        <w:rPr>
          <w:rFonts w:ascii="MS PGothic" w:cs="MS PGothic" w:eastAsia="MS PGothic" w:hAnsi="MS PGothic"/>
          <w:sz w:val="18"/>
          <w:szCs w:val="18"/>
          <w:color w:val="auto"/>
        </w:rPr>
      </w:pPr>
    </w:p>
    <w:p>
      <w:pPr>
        <w:ind w:right="10020"/>
        <w:spacing w:after="0" w:line="493" w:lineRule="auto"/>
        <w:rPr>
          <w:rFonts w:ascii="MS PGothic" w:cs="MS PGothic" w:eastAsia="MS PGothic" w:hAnsi="MS PGothic"/>
          <w:sz w:val="18"/>
          <w:szCs w:val="18"/>
          <w:color w:val="auto"/>
        </w:rPr>
      </w:pPr>
      <w:r>
        <w:rPr>
          <w:rFonts w:ascii="Arial" w:cs="Arial" w:eastAsia="Arial" w:hAnsi="Arial"/>
          <w:sz w:val="16"/>
          <w:szCs w:val="16"/>
          <w:color w:val="auto"/>
        </w:rPr>
        <w:t>Print Name(s) here: Print Address(es):</w:t>
      </w:r>
    </w:p>
    <w:p>
      <w:pPr>
        <w:spacing w:after="0"/>
        <w:rPr>
          <w:rFonts w:ascii="MS PGothic" w:cs="MS PGothic" w:eastAsia="MS PGothic" w:hAnsi="MS PGothic"/>
          <w:sz w:val="18"/>
          <w:szCs w:val="18"/>
          <w:color w:val="auto"/>
        </w:rPr>
      </w:pPr>
      <w:r>
        <w:rPr>
          <w:rFonts w:ascii="Arial" w:cs="Arial" w:eastAsia="Arial" w:hAnsi="Arial"/>
          <w:sz w:val="18"/>
          <w:szCs w:val="18"/>
          <w:color w:val="auto"/>
        </w:rPr>
        <w:t>Area Code and Telephone Number(s):</w:t>
      </w:r>
    </w:p>
    <w:p>
      <w:pPr>
        <w:spacing w:after="0" w:line="171" w:lineRule="exact"/>
        <w:rPr>
          <w:rFonts w:ascii="MS PGothic" w:cs="MS PGothic" w:eastAsia="MS PGothic" w:hAnsi="MS PGothic"/>
          <w:sz w:val="18"/>
          <w:szCs w:val="18"/>
          <w:color w:val="auto"/>
        </w:rPr>
      </w:pPr>
    </w:p>
    <w:p>
      <w:pPr>
        <w:ind w:right="8000"/>
        <w:spacing w:after="0" w:line="438" w:lineRule="auto"/>
        <w:rPr>
          <w:rFonts w:ascii="MS PGothic" w:cs="MS PGothic" w:eastAsia="MS PGothic" w:hAnsi="MS PGothic"/>
          <w:sz w:val="18"/>
          <w:szCs w:val="18"/>
          <w:color w:val="auto"/>
        </w:rPr>
      </w:pPr>
      <w:r>
        <w:rPr>
          <w:rFonts w:ascii="Arial" w:cs="Arial" w:eastAsia="Arial" w:hAnsi="Arial"/>
          <w:sz w:val="18"/>
          <w:szCs w:val="18"/>
          <w:color w:val="auto"/>
        </w:rPr>
        <w:t>Tax Identification or Social Security Number(s): My Account Number With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608965</wp:posOffset>
            </wp:positionH>
            <wp:positionV relativeFrom="paragraph">
              <wp:posOffset>-1322705</wp:posOffset>
            </wp:positionV>
            <wp:extent cx="5434965"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5434965" cy="8890"/>
                    </a:xfrm>
                    <a:prstGeom prst="rect">
                      <a:avLst/>
                    </a:prstGeom>
                    <a:noFill/>
                  </pic:spPr>
                </pic:pic>
              </a:graphicData>
            </a:graphic>
          </wp:anchor>
        </w:drawing>
        <w:drawing>
          <wp:anchor simplePos="0" relativeHeight="251657728" behindDoc="1" locked="0" layoutInCell="0" allowOverlap="1">
            <wp:simplePos x="0" y="0"/>
            <wp:positionH relativeFrom="column">
              <wp:posOffset>911860</wp:posOffset>
            </wp:positionH>
            <wp:positionV relativeFrom="paragraph">
              <wp:posOffset>-1082675</wp:posOffset>
            </wp:positionV>
            <wp:extent cx="507238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5072380" cy="8890"/>
                    </a:xfrm>
                    <a:prstGeom prst="rect">
                      <a:avLst/>
                    </a:prstGeom>
                    <a:noFill/>
                  </pic:spPr>
                </pic:pic>
              </a:graphicData>
            </a:graphic>
          </wp:anchor>
        </w:drawing>
        <w:drawing>
          <wp:anchor simplePos="0" relativeHeight="251657728" behindDoc="1" locked="0" layoutInCell="0" allowOverlap="1">
            <wp:simplePos x="0" y="0"/>
            <wp:positionH relativeFrom="column">
              <wp:posOffset>841375</wp:posOffset>
            </wp:positionH>
            <wp:positionV relativeFrom="paragraph">
              <wp:posOffset>-842645</wp:posOffset>
            </wp:positionV>
            <wp:extent cx="515620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5156200" cy="889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-602615</wp:posOffset>
            </wp:positionV>
            <wp:extent cx="406908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4069080" cy="8890"/>
                    </a:xfrm>
                    <a:prstGeom prst="rect">
                      <a:avLst/>
                    </a:prstGeom>
                    <a:noFill/>
                  </pic:spPr>
                </pic:pic>
              </a:graphicData>
            </a:graphic>
          </wp:anchor>
        </w:drawing>
        <w:drawing>
          <wp:anchor simplePos="0" relativeHeight="251657728" behindDoc="1" locked="0" layoutInCell="0" allowOverlap="1">
            <wp:simplePos x="0" y="0"/>
            <wp:positionH relativeFrom="column">
              <wp:posOffset>2195195</wp:posOffset>
            </wp:positionH>
            <wp:positionV relativeFrom="paragraph">
              <wp:posOffset>-362585</wp:posOffset>
            </wp:positionV>
            <wp:extent cx="348361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3483610" cy="8890"/>
                    </a:xfrm>
                    <a:prstGeom prst="rect">
                      <a:avLst/>
                    </a:prstGeom>
                    <a:noFill/>
                  </pic:spPr>
                </pic:pic>
              </a:graphicData>
            </a:graphic>
          </wp:anchor>
        </w:drawing>
        <w:drawing>
          <wp:anchor simplePos="0" relativeHeight="251657728" behindDoc="1" locked="0" layoutInCell="0" allowOverlap="1">
            <wp:simplePos x="0" y="0"/>
            <wp:positionH relativeFrom="column">
              <wp:posOffset>1472565</wp:posOffset>
            </wp:positionH>
            <wp:positionV relativeFrom="paragraph">
              <wp:posOffset>-121920</wp:posOffset>
            </wp:positionV>
            <wp:extent cx="4375785"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4375785" cy="8890"/>
                    </a:xfrm>
                    <a:prstGeom prst="rect">
                      <a:avLst/>
                    </a:prstGeom>
                    <a:noFill/>
                  </pic:spPr>
                </pic:pic>
              </a:graphicData>
            </a:graphic>
          </wp:anchor>
        </w:drawing>
      </w:r>
    </w:p>
    <w:p>
      <w:pPr>
        <w:spacing w:after="0"/>
        <w:tabs>
          <w:tab w:leader="none" w:pos="13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-13970</wp:posOffset>
            </wp:positionV>
            <wp:extent cx="55753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68" w:name="page369"/>
    <w:bookmarkEnd w:id="368"/>
    <w:p>
      <w:pPr>
        <w:ind w:right="1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(Must be signed by the registered holder(s) of the Old 2017 Notes, or if signed by a person other than the registered holder(s) of any certificate(s), such certificate(s) must be endorsed or accompanied by appropriate bond powers, in either case, signed exactly as its (their) name(s) appear(s) on certificate(s) or on a security position listing, and such certificate(s) must be guaranteed by an Eligible Institution (as defined in the Letter of Transmittal). If signature is by a trustee, executor, administrator, guardian, attorney-in-fact, officer of a corporation or other person acting in a fiduciary or representative capacity, such person must set forth his or her full title next to his or her name above and, unless waived by the Issuers, submit proper evidence satisfactory to the Issuers of such person’s authority to so act. See Instruction 3 to the Letter of Transmittal.)</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Please tender the </w:t>
      </w:r>
      <w:r>
        <w:rPr>
          <w:rFonts w:ascii="Arial" w:cs="Arial" w:eastAsia="Arial" w:hAnsi="Arial"/>
          <w:sz w:val="18"/>
          <w:szCs w:val="18"/>
          <w:b w:val="1"/>
          <w:bCs w:val="1"/>
          <w:u w:val="single" w:color="auto"/>
          <w:color w:val="auto"/>
        </w:rPr>
        <w:t>Old 2020 Notes</w:t>
      </w:r>
      <w:r>
        <w:rPr>
          <w:rFonts w:ascii="Arial" w:cs="Arial" w:eastAsia="Arial" w:hAnsi="Arial"/>
          <w:sz w:val="18"/>
          <w:szCs w:val="18"/>
          <w:color w:val="auto"/>
        </w:rPr>
        <w:t xml:space="preserve"> held by you for my account as indicated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250430" cy="150304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250430" cy="150304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7 </w:t>
      </w:r>
      <w:r>
        <w:rPr>
          <w:rFonts w:ascii="Arial" w:cs="Arial" w:eastAsia="Arial" w:hAnsi="Arial"/>
          <w:sz w:val="11"/>
          <w:szCs w:val="11"/>
          <w:b w:val="1"/>
          <w:bCs w:val="1"/>
          <w:color w:val="auto"/>
        </w:rPr>
        <w:t>7</w:t>
      </w:r>
      <w:r>
        <w:rPr>
          <w:rFonts w:ascii="Arial" w:cs="Arial" w:eastAsia="Arial" w:hAnsi="Arial"/>
          <w:sz w:val="18"/>
          <w:szCs w:val="18"/>
          <w:b w:val="1"/>
          <w:bCs w:val="1"/>
          <w:color w:val="auto"/>
        </w:rPr>
        <w:t xml:space="preserve"> /</w:t>
      </w:r>
      <w:r>
        <w:rPr>
          <w:rFonts w:ascii="Arial" w:cs="Arial" w:eastAsia="Arial" w:hAnsi="Arial"/>
          <w:sz w:val="13"/>
          <w:szCs w:val="13"/>
          <w:b w:val="1"/>
          <w:bCs w:val="1"/>
          <w:color w:val="auto"/>
        </w:rPr>
        <w:t>8</w:t>
      </w:r>
      <w:r>
        <w:rPr>
          <w:rFonts w:ascii="Arial" w:cs="Arial" w:eastAsia="Arial" w:hAnsi="Arial"/>
          <w:sz w:val="18"/>
          <w:szCs w:val="18"/>
          <w:b w:val="1"/>
          <w:bCs w:val="1"/>
          <w:color w:val="auto"/>
        </w:rPr>
        <w:t>% FIRST MORTGAGE NOTES DUE 2020</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3680" w:type="dxa"/>
            <w:vAlign w:val="bottom"/>
            <w:tcBorders>
              <w:top w:val="single" w:sz="8" w:color="auto"/>
              <w:right w:val="single" w:sz="8" w:color="auto"/>
            </w:tcBorders>
          </w:tcPr>
          <w:p>
            <w:pPr>
              <w:ind w:left="1260"/>
              <w:spacing w:after="0" w:line="133" w:lineRule="exact"/>
              <w:rPr>
                <w:sz w:val="20"/>
                <w:szCs w:val="20"/>
                <w:color w:val="auto"/>
              </w:rPr>
            </w:pPr>
            <w:r>
              <w:rPr>
                <w:rFonts w:ascii="Arial" w:cs="Arial" w:eastAsia="Arial" w:hAnsi="Arial"/>
                <w:sz w:val="14"/>
                <w:szCs w:val="14"/>
                <w:b w:val="1"/>
                <w:bCs w:val="1"/>
                <w:color w:val="auto"/>
              </w:rPr>
              <w:t>Certificate Numbers*</w:t>
            </w:r>
          </w:p>
        </w:tc>
        <w:tc>
          <w:tcPr>
            <w:tcW w:w="3880" w:type="dxa"/>
            <w:vAlign w:val="bottom"/>
            <w:tcBorders>
              <w:top w:val="single" w:sz="8" w:color="auto"/>
              <w:right w:val="single" w:sz="8" w:color="auto"/>
            </w:tcBorders>
          </w:tcPr>
          <w:p>
            <w:pPr>
              <w:ind w:left="1460"/>
              <w:spacing w:after="0" w:line="133" w:lineRule="exact"/>
              <w:rPr>
                <w:sz w:val="20"/>
                <w:szCs w:val="20"/>
                <w:color w:val="auto"/>
              </w:rPr>
            </w:pPr>
            <w:r>
              <w:rPr>
                <w:rFonts w:ascii="Arial" w:cs="Arial" w:eastAsia="Arial" w:hAnsi="Arial"/>
                <w:sz w:val="14"/>
                <w:szCs w:val="14"/>
                <w:b w:val="1"/>
                <w:bCs w:val="1"/>
                <w:color w:val="auto"/>
              </w:rPr>
              <w:t>Principal Amount**</w:t>
            </w:r>
          </w:p>
        </w:tc>
        <w:tc>
          <w:tcPr>
            <w:tcW w:w="3860" w:type="dxa"/>
            <w:vAlign w:val="bottom"/>
            <w:tcBorders>
              <w:top w:val="single" w:sz="8" w:color="auto"/>
            </w:tcBorders>
          </w:tcPr>
          <w:p>
            <w:pPr>
              <w:jc w:val="center"/>
              <w:ind w:left="12"/>
              <w:spacing w:after="0" w:line="133" w:lineRule="exact"/>
              <w:rPr>
                <w:sz w:val="20"/>
                <w:szCs w:val="20"/>
                <w:color w:val="auto"/>
              </w:rPr>
            </w:pPr>
            <w:r>
              <w:rPr>
                <w:rFonts w:ascii="Arial" w:cs="Arial" w:eastAsia="Arial" w:hAnsi="Arial"/>
                <w:sz w:val="14"/>
                <w:szCs w:val="14"/>
                <w:b w:val="1"/>
                <w:bCs w:val="1"/>
                <w:color w:val="auto"/>
                <w:w w:val="87"/>
              </w:rPr>
              <w:t>Old 2020 Notes are</w:t>
            </w:r>
          </w:p>
        </w:tc>
      </w:tr>
      <w:tr>
        <w:trPr>
          <w:trHeight w:val="149"/>
        </w:trPr>
        <w:tc>
          <w:tcPr>
            <w:tcW w:w="3680" w:type="dxa"/>
            <w:vAlign w:val="bottom"/>
            <w:tcBorders>
              <w:right w:val="single" w:sz="8" w:color="auto"/>
            </w:tcBorders>
          </w:tcPr>
          <w:p>
            <w:pPr>
              <w:spacing w:after="0"/>
              <w:rPr>
                <w:sz w:val="12"/>
                <w:szCs w:val="12"/>
                <w:color w:val="auto"/>
              </w:rPr>
            </w:pPr>
          </w:p>
        </w:tc>
        <w:tc>
          <w:tcPr>
            <w:tcW w:w="3880" w:type="dxa"/>
            <w:vAlign w:val="bottom"/>
            <w:tcBorders>
              <w:right w:val="single" w:sz="8" w:color="auto"/>
            </w:tcBorders>
          </w:tcPr>
          <w:p>
            <w:pPr>
              <w:spacing w:after="0"/>
              <w:rPr>
                <w:sz w:val="12"/>
                <w:szCs w:val="12"/>
                <w:color w:val="auto"/>
              </w:rPr>
            </w:pPr>
          </w:p>
        </w:tc>
        <w:tc>
          <w:tcPr>
            <w:tcW w:w="3860" w:type="dxa"/>
            <w:vAlign w:val="bottom"/>
          </w:tcPr>
          <w:p>
            <w:pPr>
              <w:jc w:val="center"/>
              <w:ind w:left="12"/>
              <w:spacing w:after="0" w:line="149" w:lineRule="exact"/>
              <w:rPr>
                <w:sz w:val="20"/>
                <w:szCs w:val="20"/>
                <w:color w:val="auto"/>
              </w:rPr>
            </w:pPr>
            <w:r>
              <w:rPr>
                <w:rFonts w:ascii="Arial" w:cs="Arial" w:eastAsia="Arial" w:hAnsi="Arial"/>
                <w:sz w:val="14"/>
                <w:szCs w:val="14"/>
                <w:b w:val="1"/>
                <w:bCs w:val="1"/>
                <w:color w:val="auto"/>
                <w:w w:val="85"/>
              </w:rPr>
              <w:t>to be Tendered</w:t>
            </w:r>
          </w:p>
        </w:tc>
      </w:tr>
      <w:tr>
        <w:trPr>
          <w:trHeight w:val="175"/>
        </w:trPr>
        <w:tc>
          <w:tcPr>
            <w:tcW w:w="3680" w:type="dxa"/>
            <w:vAlign w:val="bottom"/>
            <w:tcBorders>
              <w:bottom w:val="single" w:sz="8" w:color="auto"/>
              <w:right w:val="single" w:sz="8" w:color="auto"/>
            </w:tcBorders>
          </w:tcPr>
          <w:p>
            <w:pPr>
              <w:spacing w:after="0"/>
              <w:rPr>
                <w:sz w:val="15"/>
                <w:szCs w:val="15"/>
                <w:color w:val="auto"/>
              </w:rPr>
            </w:pPr>
          </w:p>
        </w:tc>
        <w:tc>
          <w:tcPr>
            <w:tcW w:w="3880" w:type="dxa"/>
            <w:vAlign w:val="bottom"/>
            <w:tcBorders>
              <w:bottom w:val="single" w:sz="8" w:color="auto"/>
              <w:right w:val="single" w:sz="8" w:color="auto"/>
            </w:tcBorders>
          </w:tcPr>
          <w:p>
            <w:pPr>
              <w:spacing w:after="0"/>
              <w:rPr>
                <w:sz w:val="15"/>
                <w:szCs w:val="15"/>
                <w:color w:val="auto"/>
              </w:rPr>
            </w:pPr>
          </w:p>
        </w:tc>
        <w:tc>
          <w:tcPr>
            <w:tcW w:w="3860" w:type="dxa"/>
            <w:vAlign w:val="bottom"/>
            <w:tcBorders>
              <w:bottom w:val="single" w:sz="8" w:color="auto"/>
            </w:tcBorders>
          </w:tcPr>
          <w:p>
            <w:pPr>
              <w:jc w:val="center"/>
              <w:ind w:left="32"/>
              <w:spacing w:after="0"/>
              <w:rPr>
                <w:sz w:val="20"/>
                <w:szCs w:val="20"/>
                <w:color w:val="auto"/>
              </w:rPr>
            </w:pPr>
            <w:r>
              <w:rPr>
                <w:rFonts w:ascii="Arial" w:cs="Arial" w:eastAsia="Arial" w:hAnsi="Arial"/>
                <w:sz w:val="14"/>
                <w:szCs w:val="14"/>
                <w:b w:val="1"/>
                <w:bCs w:val="1"/>
                <w:color w:val="auto"/>
                <w:w w:val="94"/>
              </w:rPr>
              <w:t>(“Yes” or “No”)***</w:t>
            </w:r>
          </w:p>
        </w:tc>
      </w:tr>
      <w:tr>
        <w:trPr>
          <w:trHeight w:val="250"/>
        </w:trPr>
        <w:tc>
          <w:tcPr>
            <w:tcW w:w="3680" w:type="dxa"/>
            <w:vAlign w:val="bottom"/>
            <w:tcBorders>
              <w:bottom w:val="single" w:sz="8" w:color="auto"/>
              <w:right w:val="single" w:sz="8" w:color="auto"/>
            </w:tcBorders>
          </w:tcPr>
          <w:p>
            <w:pPr>
              <w:spacing w:after="0"/>
              <w:rPr>
                <w:sz w:val="21"/>
                <w:szCs w:val="21"/>
                <w:color w:val="auto"/>
              </w:rPr>
            </w:pPr>
          </w:p>
        </w:tc>
        <w:tc>
          <w:tcPr>
            <w:tcW w:w="3880" w:type="dxa"/>
            <w:vAlign w:val="bottom"/>
            <w:tcBorders>
              <w:bottom w:val="single" w:sz="8" w:color="auto"/>
              <w:right w:val="single" w:sz="8" w:color="auto"/>
            </w:tcBorders>
          </w:tcPr>
          <w:p>
            <w:pPr>
              <w:spacing w:after="0"/>
              <w:rPr>
                <w:sz w:val="21"/>
                <w:szCs w:val="21"/>
                <w:color w:val="auto"/>
              </w:rPr>
            </w:pPr>
          </w:p>
        </w:tc>
        <w:tc>
          <w:tcPr>
            <w:tcW w:w="3860" w:type="dxa"/>
            <w:vAlign w:val="bottom"/>
            <w:tcBorders>
              <w:bottom w:val="single" w:sz="8" w:color="auto"/>
            </w:tcBorders>
          </w:tcPr>
          <w:p>
            <w:pPr>
              <w:spacing w:after="0"/>
              <w:rPr>
                <w:sz w:val="21"/>
                <w:szCs w:val="21"/>
                <w:color w:val="auto"/>
              </w:rPr>
            </w:pPr>
          </w:p>
        </w:tc>
      </w:tr>
      <w:tr>
        <w:trPr>
          <w:trHeight w:val="250"/>
        </w:trPr>
        <w:tc>
          <w:tcPr>
            <w:tcW w:w="3680" w:type="dxa"/>
            <w:vAlign w:val="bottom"/>
            <w:tcBorders>
              <w:bottom w:val="single" w:sz="8" w:color="auto"/>
              <w:right w:val="single" w:sz="8" w:color="auto"/>
            </w:tcBorders>
          </w:tcPr>
          <w:p>
            <w:pPr>
              <w:spacing w:after="0"/>
              <w:rPr>
                <w:sz w:val="21"/>
                <w:szCs w:val="21"/>
                <w:color w:val="auto"/>
              </w:rPr>
            </w:pPr>
          </w:p>
        </w:tc>
        <w:tc>
          <w:tcPr>
            <w:tcW w:w="3880" w:type="dxa"/>
            <w:vAlign w:val="bottom"/>
            <w:tcBorders>
              <w:bottom w:val="single" w:sz="8" w:color="auto"/>
              <w:right w:val="single" w:sz="8" w:color="auto"/>
            </w:tcBorders>
          </w:tcPr>
          <w:p>
            <w:pPr>
              <w:spacing w:after="0"/>
              <w:rPr>
                <w:sz w:val="21"/>
                <w:szCs w:val="21"/>
                <w:color w:val="auto"/>
              </w:rPr>
            </w:pPr>
          </w:p>
        </w:tc>
        <w:tc>
          <w:tcPr>
            <w:tcW w:w="3860" w:type="dxa"/>
            <w:vAlign w:val="bottom"/>
            <w:tcBorders>
              <w:bottom w:val="single" w:sz="8" w:color="auto"/>
            </w:tcBorders>
          </w:tcPr>
          <w:p>
            <w:pPr>
              <w:spacing w:after="0"/>
              <w:rPr>
                <w:sz w:val="21"/>
                <w:szCs w:val="21"/>
                <w:color w:val="auto"/>
              </w:rPr>
            </w:pPr>
          </w:p>
        </w:tc>
      </w:tr>
    </w:tbl>
    <w:p>
      <w:pPr>
        <w:ind w:left="520" w:hanging="390"/>
        <w:spacing w:after="0"/>
        <w:tabs>
          <w:tab w:leader="none" w:pos="52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Need not be completed if Old 2020 Notes are being tendered by book-entry transfer.</w:t>
      </w:r>
    </w:p>
    <w:p>
      <w:pPr>
        <w:spacing w:after="0" w:line="7" w:lineRule="exact"/>
        <w:rPr>
          <w:sz w:val="20"/>
          <w:szCs w:val="20"/>
          <w:color w:val="auto"/>
        </w:rPr>
      </w:pPr>
    </w:p>
    <w:p>
      <w:pPr>
        <w:ind w:left="560" w:right="260" w:hanging="430"/>
        <w:spacing w:after="0" w:line="281" w:lineRule="auto"/>
        <w:tabs>
          <w:tab w:leader="none" w:pos="523" w:val="left"/>
        </w:tabs>
        <w:numPr>
          <w:ilvl w:val="0"/>
          <w:numId w:val="420"/>
        </w:numPr>
        <w:rPr>
          <w:rFonts w:ascii="Arial" w:cs="Arial" w:eastAsia="Arial" w:hAnsi="Arial"/>
          <w:sz w:val="16"/>
          <w:szCs w:val="16"/>
          <w:color w:val="auto"/>
        </w:rPr>
      </w:pPr>
      <w:r>
        <w:rPr>
          <w:rFonts w:ascii="Arial" w:cs="Arial" w:eastAsia="Arial" w:hAnsi="Arial"/>
          <w:sz w:val="16"/>
          <w:szCs w:val="16"/>
          <w:color w:val="auto"/>
        </w:rPr>
        <w:t>Unless otherwise indicated in this column, a holder will be deemed to have tendered ALL of the Old 2020 Notes represented by the Old 2020 Notes indicated in column 2. See Instruction 2 of the Letter of Transmittal. Old 2020 Notes tendered hereby must be in denominations of principal amount of $2,000 and integral multiples of $1,000 in excess of $2,000. See Instruction 1 of the Letter of Transmittal.</w:t>
      </w:r>
    </w:p>
    <w:p>
      <w:pPr>
        <w:spacing w:after="0" w:line="2" w:lineRule="exact"/>
        <w:rPr>
          <w:rFonts w:ascii="Arial" w:cs="Arial" w:eastAsia="Arial" w:hAnsi="Arial"/>
          <w:sz w:val="16"/>
          <w:szCs w:val="16"/>
          <w:color w:val="auto"/>
        </w:rPr>
      </w:pPr>
    </w:p>
    <w:p>
      <w:pPr>
        <w:ind w:left="480" w:hanging="350"/>
        <w:spacing w:after="0"/>
        <w:tabs>
          <w:tab w:leader="none" w:pos="48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Unless otherwise indicated, “yes” will be assumed.</w:t>
      </w:r>
    </w:p>
    <w:p>
      <w:pPr>
        <w:spacing w:after="0" w:line="232" w:lineRule="exact"/>
        <w:rPr>
          <w:sz w:val="20"/>
          <w:szCs w:val="20"/>
          <w:color w:val="auto"/>
        </w:rPr>
      </w:pPr>
    </w:p>
    <w:p>
      <w:pPr>
        <w:ind w:left="1480" w:hanging="567"/>
        <w:spacing w:after="0"/>
        <w:tabs>
          <w:tab w:leader="none" w:pos="1480" w:val="left"/>
        </w:tabs>
        <w:numPr>
          <w:ilvl w:val="0"/>
          <w:numId w:val="422"/>
        </w:numPr>
        <w:rPr>
          <w:rFonts w:ascii="MS PGothic" w:cs="MS PGothic" w:eastAsia="MS PGothic" w:hAnsi="MS PGothic"/>
          <w:sz w:val="18"/>
          <w:szCs w:val="18"/>
          <w:color w:val="auto"/>
        </w:rPr>
      </w:pPr>
      <w:r>
        <w:rPr>
          <w:rFonts w:ascii="Arial" w:cs="Arial" w:eastAsia="Arial" w:hAnsi="Arial"/>
          <w:sz w:val="18"/>
          <w:szCs w:val="18"/>
          <w:color w:val="auto"/>
        </w:rPr>
        <w:t>Please do not tender any Old 2020 Notes held by you for my account.</w:t>
      </w:r>
    </w:p>
    <w:p>
      <w:pPr>
        <w:spacing w:after="0" w:line="171" w:lineRule="exact"/>
        <w:rPr>
          <w:rFonts w:ascii="MS PGothic" w:cs="MS PGothic" w:eastAsia="MS PGothic" w:hAnsi="MS PGothic"/>
          <w:sz w:val="18"/>
          <w:szCs w:val="18"/>
          <w:color w:val="auto"/>
        </w:rPr>
      </w:pPr>
    </w:p>
    <w:p>
      <w:pPr>
        <w:spacing w:after="0"/>
        <w:rPr>
          <w:rFonts w:ascii="MS PGothic" w:cs="MS PGothic" w:eastAsia="MS PGothic" w:hAnsi="MS PGothic"/>
          <w:sz w:val="18"/>
          <w:szCs w:val="18"/>
          <w:color w:val="auto"/>
        </w:rPr>
      </w:pPr>
      <w:r>
        <w:rPr>
          <w:rFonts w:ascii="Arial" w:cs="Arial" w:eastAsia="Arial" w:hAnsi="Arial"/>
          <w:sz w:val="18"/>
          <w:szCs w:val="18"/>
          <w:color w:val="auto"/>
        </w:rPr>
        <w:t>Signature(s):</w:t>
      </w:r>
    </w:p>
    <w:p>
      <w:pPr>
        <w:spacing w:after="0" w:line="171" w:lineRule="exact"/>
        <w:rPr>
          <w:rFonts w:ascii="MS PGothic" w:cs="MS PGothic" w:eastAsia="MS PGothic" w:hAnsi="MS PGothic"/>
          <w:sz w:val="18"/>
          <w:szCs w:val="18"/>
          <w:color w:val="auto"/>
        </w:rPr>
      </w:pPr>
    </w:p>
    <w:p>
      <w:pPr>
        <w:ind w:right="10020"/>
        <w:spacing w:after="0" w:line="493" w:lineRule="auto"/>
        <w:rPr>
          <w:rFonts w:ascii="MS PGothic" w:cs="MS PGothic" w:eastAsia="MS PGothic" w:hAnsi="MS PGothic"/>
          <w:sz w:val="18"/>
          <w:szCs w:val="18"/>
          <w:color w:val="auto"/>
        </w:rPr>
      </w:pPr>
      <w:r>
        <w:rPr>
          <w:rFonts w:ascii="Arial" w:cs="Arial" w:eastAsia="Arial" w:hAnsi="Arial"/>
          <w:sz w:val="16"/>
          <w:szCs w:val="16"/>
          <w:color w:val="auto"/>
        </w:rPr>
        <w:t>Print Name(s) here: Print Address(es):</w:t>
      </w:r>
    </w:p>
    <w:p>
      <w:pPr>
        <w:spacing w:after="0"/>
        <w:rPr>
          <w:rFonts w:ascii="MS PGothic" w:cs="MS PGothic" w:eastAsia="MS PGothic" w:hAnsi="MS PGothic"/>
          <w:sz w:val="18"/>
          <w:szCs w:val="18"/>
          <w:color w:val="auto"/>
        </w:rPr>
      </w:pPr>
      <w:r>
        <w:rPr>
          <w:rFonts w:ascii="Arial" w:cs="Arial" w:eastAsia="Arial" w:hAnsi="Arial"/>
          <w:sz w:val="18"/>
          <w:szCs w:val="18"/>
          <w:color w:val="auto"/>
        </w:rPr>
        <w:t>Area Code and Telephone Number(s):</w:t>
      </w:r>
    </w:p>
    <w:p>
      <w:pPr>
        <w:spacing w:after="0" w:line="171" w:lineRule="exact"/>
        <w:rPr>
          <w:rFonts w:ascii="MS PGothic" w:cs="MS PGothic" w:eastAsia="MS PGothic" w:hAnsi="MS PGothic"/>
          <w:sz w:val="18"/>
          <w:szCs w:val="18"/>
          <w:color w:val="auto"/>
        </w:rPr>
      </w:pPr>
    </w:p>
    <w:p>
      <w:pPr>
        <w:ind w:right="8000"/>
        <w:spacing w:after="0" w:line="438" w:lineRule="auto"/>
        <w:rPr>
          <w:rFonts w:ascii="MS PGothic" w:cs="MS PGothic" w:eastAsia="MS PGothic" w:hAnsi="MS PGothic"/>
          <w:sz w:val="18"/>
          <w:szCs w:val="18"/>
          <w:color w:val="auto"/>
        </w:rPr>
      </w:pPr>
      <w:r>
        <w:rPr>
          <w:rFonts w:ascii="Arial" w:cs="Arial" w:eastAsia="Arial" w:hAnsi="Arial"/>
          <w:sz w:val="18"/>
          <w:szCs w:val="18"/>
          <w:color w:val="auto"/>
        </w:rPr>
        <w:t>Tax Identification or Social Security Number(s): My Account Number With You:</w:t>
      </w:r>
    </w:p>
    <w:p>
      <w:pPr>
        <w:spacing w:after="0"/>
        <w:rPr>
          <w:rFonts w:ascii="MS PGothic" w:cs="MS PGothic" w:eastAsia="MS PGothic" w:hAnsi="MS PGothic"/>
          <w:sz w:val="18"/>
          <w:szCs w:val="18"/>
          <w:color w:val="auto"/>
        </w:rPr>
      </w:pPr>
      <w:r>
        <w:rPr>
          <w:rFonts w:ascii="Arial" w:cs="Arial" w:eastAsia="Arial" w:hAnsi="Arial"/>
          <w:sz w:val="18"/>
          <w:szCs w:val="18"/>
          <w:color w:val="auto"/>
        </w:rPr>
        <w:t>Dated:</w:t>
      </w:r>
      <w:r>
        <w:rPr>
          <w:rFonts w:ascii="Arial" w:cs="Arial" w:eastAsia="Arial" w:hAnsi="Arial"/>
          <w:sz w:val="15"/>
          <w:szCs w:val="15"/>
          <w:color w:val="auto"/>
        </w:rPr>
        <w:t>,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608965</wp:posOffset>
            </wp:positionH>
            <wp:positionV relativeFrom="paragraph">
              <wp:posOffset>-1454785</wp:posOffset>
            </wp:positionV>
            <wp:extent cx="5434965"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5434965" cy="8890"/>
                    </a:xfrm>
                    <a:prstGeom prst="rect">
                      <a:avLst/>
                    </a:prstGeom>
                    <a:noFill/>
                  </pic:spPr>
                </pic:pic>
              </a:graphicData>
            </a:graphic>
          </wp:anchor>
        </w:drawing>
        <w:drawing>
          <wp:anchor simplePos="0" relativeHeight="251657728" behindDoc="1" locked="0" layoutInCell="0" allowOverlap="1">
            <wp:simplePos x="0" y="0"/>
            <wp:positionH relativeFrom="column">
              <wp:posOffset>911860</wp:posOffset>
            </wp:positionH>
            <wp:positionV relativeFrom="paragraph">
              <wp:posOffset>-1214755</wp:posOffset>
            </wp:positionV>
            <wp:extent cx="507238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5072380" cy="8890"/>
                    </a:xfrm>
                    <a:prstGeom prst="rect">
                      <a:avLst/>
                    </a:prstGeom>
                    <a:noFill/>
                  </pic:spPr>
                </pic:pic>
              </a:graphicData>
            </a:graphic>
          </wp:anchor>
        </w:drawing>
        <w:drawing>
          <wp:anchor simplePos="0" relativeHeight="251657728" behindDoc="1" locked="0" layoutInCell="0" allowOverlap="1">
            <wp:simplePos x="0" y="0"/>
            <wp:positionH relativeFrom="column">
              <wp:posOffset>841375</wp:posOffset>
            </wp:positionH>
            <wp:positionV relativeFrom="paragraph">
              <wp:posOffset>-974725</wp:posOffset>
            </wp:positionV>
            <wp:extent cx="515620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5156200" cy="889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-734060</wp:posOffset>
            </wp:positionV>
            <wp:extent cx="406908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4069080" cy="8890"/>
                    </a:xfrm>
                    <a:prstGeom prst="rect">
                      <a:avLst/>
                    </a:prstGeom>
                    <a:noFill/>
                  </pic:spPr>
                </pic:pic>
              </a:graphicData>
            </a:graphic>
          </wp:anchor>
        </w:drawing>
        <w:drawing>
          <wp:anchor simplePos="0" relativeHeight="251657728" behindDoc="1" locked="0" layoutInCell="0" allowOverlap="1">
            <wp:simplePos x="0" y="0"/>
            <wp:positionH relativeFrom="column">
              <wp:posOffset>2195195</wp:posOffset>
            </wp:positionH>
            <wp:positionV relativeFrom="paragraph">
              <wp:posOffset>-494030</wp:posOffset>
            </wp:positionV>
            <wp:extent cx="351155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3511550" cy="8890"/>
                    </a:xfrm>
                    <a:prstGeom prst="rect">
                      <a:avLst/>
                    </a:prstGeom>
                    <a:noFill/>
                  </pic:spPr>
                </pic:pic>
              </a:graphicData>
            </a:graphic>
          </wp:anchor>
        </w:drawing>
        <w:drawing>
          <wp:anchor simplePos="0" relativeHeight="251657728" behindDoc="1" locked="0" layoutInCell="0" allowOverlap="1">
            <wp:simplePos x="0" y="0"/>
            <wp:positionH relativeFrom="column">
              <wp:posOffset>1472565</wp:posOffset>
            </wp:positionH>
            <wp:positionV relativeFrom="paragraph">
              <wp:posOffset>-254000</wp:posOffset>
            </wp:positionV>
            <wp:extent cx="4375785"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4375785" cy="8890"/>
                    </a:xfrm>
                    <a:prstGeom prst="rect">
                      <a:avLst/>
                    </a:prstGeom>
                    <a:noFill/>
                  </pic:spPr>
                </pic:pic>
              </a:graphicData>
            </a:graphic>
          </wp:anchor>
        </w:drawing>
        <w:drawing>
          <wp:anchor simplePos="0" relativeHeight="251657728" behindDoc="1" locked="0" layoutInCell="0" allowOverlap="1">
            <wp:simplePos x="0" y="0"/>
            <wp:positionH relativeFrom="column">
              <wp:posOffset>330200</wp:posOffset>
            </wp:positionH>
            <wp:positionV relativeFrom="paragraph">
              <wp:posOffset>-13970</wp:posOffset>
            </wp:positionV>
            <wp:extent cx="557530"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5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(Must be signed by the registered holder(s) of the Old 2020 Notes, or if signed by a person other than the registered holder(s) of any certificate(s), such certificate(s) must be endorsed or accompanied by appropriate bond powers, in either case, signed exactly as its (their) name(s) appear(s) on certificate(s) or on a security position listing, and such certificate(s) must be guaranteed by an Eligible Institution (as defined in the Letter of Transmittal). If signature is by a trustee, executor, administrator, guardian, attorney-in-fact, officer of a corporation or other person acting in a fiduciary or representative capacity, such person must set forth his or her full title next to his or her name above and, unless waived by the Issuers, submit proper evidence satisfactory to the Issuers of such person’s authority to so act. See Instruction 3 to the Letter of Transmittal.)</w:t>
      </w:r>
    </w:p>
    <w:p>
      <w:pPr>
        <w:spacing w:after="0" w:line="120" w:lineRule="exact"/>
        <w:rPr>
          <w:sz w:val="20"/>
          <w:szCs w:val="20"/>
          <w:color w:val="auto"/>
        </w:rPr>
      </w:pPr>
    </w:p>
    <w:p>
      <w:pPr>
        <w:jc w:val="both"/>
        <w:ind w:right="320" w:firstLine="456"/>
        <w:spacing w:after="0" w:line="370" w:lineRule="auto"/>
        <w:rPr>
          <w:sz w:val="20"/>
          <w:szCs w:val="20"/>
          <w:color w:val="auto"/>
        </w:rPr>
      </w:pPr>
      <w:r>
        <w:rPr>
          <w:rFonts w:ascii="Arial" w:cs="Arial" w:eastAsia="Arial" w:hAnsi="Arial"/>
          <w:sz w:val="15"/>
          <w:szCs w:val="15"/>
          <w:color w:val="auto"/>
        </w:rPr>
        <w:t>None of the Old Notes held by us for your account will be tendered unless we receive written instructions from you to do so. Unless a specific contrary instruction is given in the space provided, your signature(s) hereon shall constitute an instruction to us to tender all the Old Notes held by us for your account.</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369" w:name="page370"/>
    <w:bookmarkEnd w:id="369"/>
    <w:p>
      <w:pPr>
        <w:jc w:val="right"/>
        <w:ind w:right="40"/>
        <w:spacing w:after="0"/>
        <w:rPr>
          <w:sz w:val="20"/>
          <w:szCs w:val="20"/>
          <w:color w:val="auto"/>
        </w:rPr>
      </w:pPr>
      <w:r>
        <w:rPr>
          <w:rFonts w:ascii="Arial" w:cs="Arial" w:eastAsia="Arial" w:hAnsi="Arial"/>
          <w:sz w:val="18"/>
          <w:szCs w:val="18"/>
          <w:b w:val="1"/>
          <w:bCs w:val="1"/>
          <w:color w:val="auto"/>
        </w:rPr>
        <w:t>Exhibit 99.4</w:t>
      </w:r>
    </w:p>
    <w:p>
      <w:pPr>
        <w:spacing w:after="0" w:line="198" w:lineRule="exact"/>
        <w:rPr>
          <w:sz w:val="20"/>
          <w:szCs w:val="20"/>
          <w:color w:val="auto"/>
        </w:rPr>
      </w:pPr>
    </w:p>
    <w:p>
      <w:pPr>
        <w:jc w:val="center"/>
        <w:ind w:right="40"/>
        <w:spacing w:after="0"/>
        <w:rPr>
          <w:sz w:val="20"/>
          <w:szCs w:val="20"/>
          <w:color w:val="auto"/>
        </w:rPr>
      </w:pPr>
      <w:r>
        <w:rPr>
          <w:rFonts w:ascii="Arial" w:cs="Arial" w:eastAsia="Arial" w:hAnsi="Arial"/>
          <w:sz w:val="32"/>
          <w:szCs w:val="32"/>
          <w:b w:val="1"/>
          <w:bCs w:val="1"/>
          <w:color w:val="auto"/>
        </w:rPr>
        <w:t>WYNN LAS VEGAS, LLC</w:t>
      </w:r>
    </w:p>
    <w:p>
      <w:pPr>
        <w:spacing w:after="0" w:line="78" w:lineRule="exact"/>
        <w:rPr>
          <w:sz w:val="20"/>
          <w:szCs w:val="20"/>
          <w:color w:val="auto"/>
        </w:rPr>
      </w:pPr>
    </w:p>
    <w:p>
      <w:pPr>
        <w:jc w:val="center"/>
        <w:ind w:right="40"/>
        <w:spacing w:after="0"/>
        <w:rPr>
          <w:sz w:val="20"/>
          <w:szCs w:val="20"/>
          <w:color w:val="auto"/>
        </w:rPr>
      </w:pPr>
      <w:r>
        <w:rPr>
          <w:rFonts w:ascii="Arial" w:cs="Arial" w:eastAsia="Arial" w:hAnsi="Arial"/>
          <w:sz w:val="32"/>
          <w:szCs w:val="32"/>
          <w:b w:val="1"/>
          <w:bCs w:val="1"/>
          <w:color w:val="auto"/>
        </w:rPr>
        <w:t>WYNN LAS VEGAS CAPITAL CORP.</w:t>
      </w:r>
    </w:p>
    <w:p>
      <w:pPr>
        <w:spacing w:after="0" w:line="18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Offer to Exchange</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$500,000,000 of their outstanding</w:t>
      </w:r>
    </w:p>
    <w:p>
      <w:pPr>
        <w:spacing w:after="0" w:line="9" w:lineRule="exact"/>
        <w:rPr>
          <w:sz w:val="20"/>
          <w:szCs w:val="20"/>
          <w:color w:val="auto"/>
        </w:rPr>
      </w:pPr>
    </w:p>
    <w:p>
      <w:pPr>
        <w:ind w:left="4700" w:right="4320" w:hanging="410"/>
        <w:spacing w:after="0" w:line="273" w:lineRule="auto"/>
        <w:tabs>
          <w:tab w:leader="none" w:pos="4431" w:val="left"/>
        </w:tabs>
        <w:numPr>
          <w:ilvl w:val="0"/>
          <w:numId w:val="423"/>
        </w:numPr>
        <w:rPr>
          <w:rFonts w:ascii="Arial" w:cs="Arial" w:eastAsia="Arial" w:hAnsi="Arial"/>
          <w:sz w:val="17"/>
          <w:szCs w:val="17"/>
          <w:b w:val="1"/>
          <w:bCs w:val="1"/>
          <w:color w:val="auto"/>
        </w:rPr>
      </w:pPr>
      <w:r>
        <w:rPr>
          <w:rFonts w:ascii="Arial" w:cs="Arial" w:eastAsia="Arial" w:hAnsi="Arial"/>
          <w:sz w:val="11"/>
          <w:szCs w:val="11"/>
          <w:b w:val="1"/>
          <w:bCs w:val="1"/>
          <w:color w:val="auto"/>
        </w:rPr>
        <w:t>7</w:t>
      </w:r>
      <w:r>
        <w:rPr>
          <w:rFonts w:ascii="Arial" w:cs="Arial" w:eastAsia="Arial" w:hAnsi="Arial"/>
          <w:sz w:val="16"/>
          <w:szCs w:val="16"/>
          <w:b w:val="1"/>
          <w:bCs w:val="1"/>
          <w:color w:val="auto"/>
        </w:rPr>
        <w:t>/</w:t>
      </w:r>
      <w:r>
        <w:rPr>
          <w:rFonts w:ascii="Arial" w:cs="Arial" w:eastAsia="Arial" w:hAnsi="Arial"/>
          <w:sz w:val="12"/>
          <w:szCs w:val="12"/>
          <w:b w:val="1"/>
          <w:bCs w:val="1"/>
          <w:color w:val="auto"/>
        </w:rPr>
        <w:t>8</w:t>
      </w:r>
      <w:r>
        <w:rPr>
          <w:rFonts w:ascii="Arial" w:cs="Arial" w:eastAsia="Arial" w:hAnsi="Arial"/>
          <w:sz w:val="16"/>
          <w:szCs w:val="16"/>
          <w:b w:val="1"/>
          <w:bCs w:val="1"/>
          <w:color w:val="auto"/>
        </w:rPr>
        <w:t>% First Mortgage Notes due 2017</w:t>
      </w:r>
      <w:r>
        <w:rPr>
          <w:rFonts w:ascii="Arial" w:cs="Arial" w:eastAsia="Arial" w:hAnsi="Arial"/>
          <w:sz w:val="11"/>
          <w:szCs w:val="11"/>
          <w:b w:val="1"/>
          <w:bCs w:val="1"/>
          <w:color w:val="auto"/>
        </w:rPr>
        <w:t xml:space="preserve"> </w:t>
      </w:r>
      <w:r>
        <w:rPr>
          <w:rFonts w:ascii="Arial" w:cs="Arial" w:eastAsia="Arial" w:hAnsi="Arial"/>
          <w:sz w:val="16"/>
          <w:szCs w:val="16"/>
          <w:b w:val="1"/>
          <w:bCs w:val="1"/>
          <w:color w:val="auto"/>
        </w:rPr>
        <w:t>Issued on October 19, 2009</w:t>
      </w:r>
    </w:p>
    <w:p>
      <w:pPr>
        <w:ind w:left="560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for</w:t>
      </w:r>
    </w:p>
    <w:p>
      <w:pPr>
        <w:spacing w:after="0" w:line="9" w:lineRule="exact"/>
        <w:rPr>
          <w:rFonts w:ascii="Arial" w:cs="Arial" w:eastAsia="Arial" w:hAnsi="Arial"/>
          <w:sz w:val="17"/>
          <w:szCs w:val="17"/>
          <w:b w:val="1"/>
          <w:bCs w:val="1"/>
          <w:color w:val="auto"/>
        </w:rPr>
      </w:pPr>
    </w:p>
    <w:p>
      <w:pPr>
        <w:ind w:left="4420" w:right="4320" w:hanging="130"/>
        <w:spacing w:after="0" w:line="273" w:lineRule="auto"/>
        <w:tabs>
          <w:tab w:leader="none" w:pos="4426" w:val="left"/>
        </w:tabs>
        <w:numPr>
          <w:ilvl w:val="0"/>
          <w:numId w:val="423"/>
        </w:numPr>
        <w:rPr>
          <w:rFonts w:ascii="Arial" w:cs="Arial" w:eastAsia="Arial" w:hAnsi="Arial"/>
          <w:sz w:val="17"/>
          <w:szCs w:val="17"/>
          <w:b w:val="1"/>
          <w:bCs w:val="1"/>
          <w:color w:val="auto"/>
        </w:rPr>
      </w:pPr>
      <w:r>
        <w:rPr>
          <w:rFonts w:ascii="Arial" w:cs="Arial" w:eastAsia="Arial" w:hAnsi="Arial"/>
          <w:sz w:val="11"/>
          <w:szCs w:val="11"/>
          <w:b w:val="1"/>
          <w:bCs w:val="1"/>
          <w:color w:val="auto"/>
        </w:rPr>
        <w:t>7</w:t>
      </w:r>
      <w:r>
        <w:rPr>
          <w:rFonts w:ascii="Arial" w:cs="Arial" w:eastAsia="Arial" w:hAnsi="Arial"/>
          <w:sz w:val="16"/>
          <w:szCs w:val="16"/>
          <w:b w:val="1"/>
          <w:bCs w:val="1"/>
          <w:color w:val="auto"/>
        </w:rPr>
        <w:t>/</w:t>
      </w:r>
      <w:r>
        <w:rPr>
          <w:rFonts w:ascii="Arial" w:cs="Arial" w:eastAsia="Arial" w:hAnsi="Arial"/>
          <w:sz w:val="12"/>
          <w:szCs w:val="12"/>
          <w:b w:val="1"/>
          <w:bCs w:val="1"/>
          <w:color w:val="auto"/>
        </w:rPr>
        <w:t>8</w:t>
      </w:r>
      <w:r>
        <w:rPr>
          <w:rFonts w:ascii="Arial" w:cs="Arial" w:eastAsia="Arial" w:hAnsi="Arial"/>
          <w:sz w:val="16"/>
          <w:szCs w:val="16"/>
          <w:b w:val="1"/>
          <w:bCs w:val="1"/>
          <w:color w:val="auto"/>
        </w:rPr>
        <w:t>% First Mortgage Notes due 2017</w:t>
      </w:r>
      <w:r>
        <w:rPr>
          <w:rFonts w:ascii="Arial" w:cs="Arial" w:eastAsia="Arial" w:hAnsi="Arial"/>
          <w:sz w:val="11"/>
          <w:szCs w:val="11"/>
          <w:b w:val="1"/>
          <w:bCs w:val="1"/>
          <w:color w:val="auto"/>
        </w:rPr>
        <w:t xml:space="preserve"> </w:t>
      </w:r>
      <w:r>
        <w:rPr>
          <w:rFonts w:ascii="Arial" w:cs="Arial" w:eastAsia="Arial" w:hAnsi="Arial"/>
          <w:sz w:val="16"/>
          <w:szCs w:val="16"/>
          <w:b w:val="1"/>
          <w:bCs w:val="1"/>
          <w:color w:val="auto"/>
        </w:rPr>
        <w:t>That Have Been Registered Under</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Securities Act of 1933, as Amended,</w:t>
      </w:r>
    </w:p>
    <w:p>
      <w:pPr>
        <w:spacing w:after="0" w:line="7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$382,010,000 of their outstanding</w:t>
      </w:r>
    </w:p>
    <w:p>
      <w:pPr>
        <w:spacing w:after="0" w:line="21" w:lineRule="exact"/>
        <w:rPr>
          <w:sz w:val="20"/>
          <w:szCs w:val="20"/>
          <w:color w:val="auto"/>
        </w:rPr>
      </w:pPr>
    </w:p>
    <w:p>
      <w:pPr>
        <w:ind w:left="4800" w:right="4320" w:hanging="510"/>
        <w:spacing w:after="0" w:line="273" w:lineRule="auto"/>
        <w:tabs>
          <w:tab w:leader="none" w:pos="4425" w:val="left"/>
        </w:tabs>
        <w:numPr>
          <w:ilvl w:val="0"/>
          <w:numId w:val="424"/>
        </w:numPr>
        <w:rPr>
          <w:rFonts w:ascii="Arial" w:cs="Arial" w:eastAsia="Arial" w:hAnsi="Arial"/>
          <w:sz w:val="17"/>
          <w:szCs w:val="17"/>
          <w:b w:val="1"/>
          <w:bCs w:val="1"/>
          <w:color w:val="auto"/>
        </w:rPr>
      </w:pPr>
      <w:r>
        <w:rPr>
          <w:rFonts w:ascii="Arial" w:cs="Arial" w:eastAsia="Arial" w:hAnsi="Arial"/>
          <w:sz w:val="11"/>
          <w:szCs w:val="11"/>
          <w:b w:val="1"/>
          <w:bCs w:val="1"/>
          <w:color w:val="auto"/>
        </w:rPr>
        <w:t>7</w:t>
      </w:r>
      <w:r>
        <w:rPr>
          <w:rFonts w:ascii="Arial" w:cs="Arial" w:eastAsia="Arial" w:hAnsi="Arial"/>
          <w:sz w:val="16"/>
          <w:szCs w:val="16"/>
          <w:b w:val="1"/>
          <w:bCs w:val="1"/>
          <w:color w:val="auto"/>
        </w:rPr>
        <w:t>/</w:t>
      </w:r>
      <w:r>
        <w:rPr>
          <w:rFonts w:ascii="Arial" w:cs="Arial" w:eastAsia="Arial" w:hAnsi="Arial"/>
          <w:sz w:val="12"/>
          <w:szCs w:val="12"/>
          <w:b w:val="1"/>
          <w:bCs w:val="1"/>
          <w:color w:val="auto"/>
        </w:rPr>
        <w:t>8</w:t>
      </w:r>
      <w:r>
        <w:rPr>
          <w:rFonts w:ascii="Arial" w:cs="Arial" w:eastAsia="Arial" w:hAnsi="Arial"/>
          <w:sz w:val="16"/>
          <w:szCs w:val="16"/>
          <w:b w:val="1"/>
          <w:bCs w:val="1"/>
          <w:color w:val="auto"/>
        </w:rPr>
        <w:t>% First Mortgage Notes due 2020</w:t>
      </w:r>
      <w:r>
        <w:rPr>
          <w:rFonts w:ascii="Arial" w:cs="Arial" w:eastAsia="Arial" w:hAnsi="Arial"/>
          <w:sz w:val="11"/>
          <w:szCs w:val="11"/>
          <w:b w:val="1"/>
          <w:bCs w:val="1"/>
          <w:color w:val="auto"/>
        </w:rPr>
        <w:t xml:space="preserve"> </w:t>
      </w:r>
      <w:r>
        <w:rPr>
          <w:rFonts w:ascii="Arial" w:cs="Arial" w:eastAsia="Arial" w:hAnsi="Arial"/>
          <w:sz w:val="16"/>
          <w:szCs w:val="16"/>
          <w:b w:val="1"/>
          <w:bCs w:val="1"/>
          <w:color w:val="auto"/>
        </w:rPr>
        <w:t>Issued on April 28, 2010</w:t>
      </w:r>
    </w:p>
    <w:p>
      <w:pPr>
        <w:ind w:left="560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for</w:t>
      </w:r>
    </w:p>
    <w:p>
      <w:pPr>
        <w:spacing w:after="0" w:line="9" w:lineRule="exact"/>
        <w:rPr>
          <w:rFonts w:ascii="Arial" w:cs="Arial" w:eastAsia="Arial" w:hAnsi="Arial"/>
          <w:sz w:val="17"/>
          <w:szCs w:val="17"/>
          <w:b w:val="1"/>
          <w:bCs w:val="1"/>
          <w:color w:val="auto"/>
        </w:rPr>
      </w:pPr>
    </w:p>
    <w:p>
      <w:pPr>
        <w:ind w:left="4420" w:right="4320" w:hanging="130"/>
        <w:spacing w:after="0" w:line="273" w:lineRule="auto"/>
        <w:tabs>
          <w:tab w:leader="none" w:pos="4426" w:val="left"/>
        </w:tabs>
        <w:numPr>
          <w:ilvl w:val="0"/>
          <w:numId w:val="424"/>
        </w:numPr>
        <w:rPr>
          <w:rFonts w:ascii="Arial" w:cs="Arial" w:eastAsia="Arial" w:hAnsi="Arial"/>
          <w:sz w:val="17"/>
          <w:szCs w:val="17"/>
          <w:b w:val="1"/>
          <w:bCs w:val="1"/>
          <w:color w:val="auto"/>
        </w:rPr>
      </w:pPr>
      <w:r>
        <w:rPr>
          <w:rFonts w:ascii="Arial" w:cs="Arial" w:eastAsia="Arial" w:hAnsi="Arial"/>
          <w:sz w:val="11"/>
          <w:szCs w:val="11"/>
          <w:b w:val="1"/>
          <w:bCs w:val="1"/>
          <w:color w:val="auto"/>
        </w:rPr>
        <w:t>7</w:t>
      </w:r>
      <w:r>
        <w:rPr>
          <w:rFonts w:ascii="Arial" w:cs="Arial" w:eastAsia="Arial" w:hAnsi="Arial"/>
          <w:sz w:val="16"/>
          <w:szCs w:val="16"/>
          <w:b w:val="1"/>
          <w:bCs w:val="1"/>
          <w:color w:val="auto"/>
        </w:rPr>
        <w:t>/</w:t>
      </w:r>
      <w:r>
        <w:rPr>
          <w:rFonts w:ascii="Arial" w:cs="Arial" w:eastAsia="Arial" w:hAnsi="Arial"/>
          <w:sz w:val="12"/>
          <w:szCs w:val="12"/>
          <w:b w:val="1"/>
          <w:bCs w:val="1"/>
          <w:color w:val="auto"/>
        </w:rPr>
        <w:t>8</w:t>
      </w:r>
      <w:r>
        <w:rPr>
          <w:rFonts w:ascii="Arial" w:cs="Arial" w:eastAsia="Arial" w:hAnsi="Arial"/>
          <w:sz w:val="16"/>
          <w:szCs w:val="16"/>
          <w:b w:val="1"/>
          <w:bCs w:val="1"/>
          <w:color w:val="auto"/>
        </w:rPr>
        <w:t>% First Mortgage Notes due 2020</w:t>
      </w:r>
      <w:r>
        <w:rPr>
          <w:rFonts w:ascii="Arial" w:cs="Arial" w:eastAsia="Arial" w:hAnsi="Arial"/>
          <w:sz w:val="11"/>
          <w:szCs w:val="11"/>
          <w:b w:val="1"/>
          <w:bCs w:val="1"/>
          <w:color w:val="auto"/>
        </w:rPr>
        <w:t xml:space="preserve"> </w:t>
      </w:r>
      <w:r>
        <w:rPr>
          <w:rFonts w:ascii="Arial" w:cs="Arial" w:eastAsia="Arial" w:hAnsi="Arial"/>
          <w:sz w:val="16"/>
          <w:szCs w:val="16"/>
          <w:b w:val="1"/>
          <w:bCs w:val="1"/>
          <w:color w:val="auto"/>
        </w:rPr>
        <w:t>That Have Been Registered Under</w:t>
      </w:r>
    </w:p>
    <w:tbl>
      <w:tblPr>
        <w:tblLayout w:type="fixed"/>
        <w:tblInd w:w="10" w:type="dxa"/>
        <w:tblCellMar>
          <w:top w:w="0" w:type="dxa"/>
          <w:left w:w="0" w:type="dxa"/>
          <w:bottom w:w="0" w:type="dxa"/>
          <w:right w:w="0" w:type="dxa"/>
        </w:tblCellMar>
      </w:tblPr>
      <w:tr>
        <w:trPr>
          <w:trHeight w:val="204"/>
        </w:trPr>
        <w:tc>
          <w:tcPr>
            <w:tcW w:w="7200" w:type="dxa"/>
            <w:vAlign w:val="bottom"/>
            <w:gridSpan w:val="2"/>
          </w:tcPr>
          <w:p>
            <w:pPr>
              <w:ind w:left="4240"/>
              <w:spacing w:after="0" w:line="204" w:lineRule="exact"/>
              <w:rPr>
                <w:sz w:val="20"/>
                <w:szCs w:val="20"/>
                <w:color w:val="auto"/>
              </w:rPr>
            </w:pPr>
            <w:r>
              <w:rPr>
                <w:rFonts w:ascii="Arial" w:cs="Arial" w:eastAsia="Arial" w:hAnsi="Arial"/>
                <w:sz w:val="18"/>
                <w:szCs w:val="18"/>
                <w:b w:val="1"/>
                <w:bCs w:val="1"/>
                <w:color w:val="auto"/>
                <w:w w:val="86"/>
              </w:rPr>
              <w:t>the Securities Act of 1933, as Amended,</w:t>
            </w:r>
          </w:p>
        </w:tc>
        <w:tc>
          <w:tcPr>
            <w:tcW w:w="4260" w:type="dxa"/>
            <w:vAlign w:val="bottom"/>
          </w:tcPr>
          <w:p>
            <w:pPr>
              <w:spacing w:after="0"/>
              <w:rPr>
                <w:sz w:val="17"/>
                <w:szCs w:val="17"/>
                <w:color w:val="auto"/>
              </w:rPr>
            </w:pPr>
          </w:p>
        </w:tc>
      </w:tr>
      <w:tr>
        <w:trPr>
          <w:trHeight w:val="228"/>
        </w:trPr>
        <w:tc>
          <w:tcPr>
            <w:tcW w:w="7200" w:type="dxa"/>
            <w:vAlign w:val="bottom"/>
            <w:gridSpan w:val="2"/>
          </w:tcPr>
          <w:p>
            <w:pPr>
              <w:ind w:left="3760"/>
              <w:spacing w:after="0"/>
              <w:rPr>
                <w:sz w:val="20"/>
                <w:szCs w:val="20"/>
                <w:color w:val="auto"/>
              </w:rPr>
            </w:pPr>
            <w:r>
              <w:rPr>
                <w:rFonts w:ascii="Arial" w:cs="Arial" w:eastAsia="Arial" w:hAnsi="Arial"/>
                <w:sz w:val="18"/>
                <w:szCs w:val="18"/>
                <w:b w:val="1"/>
                <w:bCs w:val="1"/>
                <w:color w:val="auto"/>
              </w:rPr>
              <w:t>Pursuant to the Prospectus, dated</w:t>
            </w:r>
          </w:p>
        </w:tc>
        <w:tc>
          <w:tcPr>
            <w:tcW w:w="4260" w:type="dxa"/>
            <w:vAlign w:val="bottom"/>
          </w:tcPr>
          <w:p>
            <w:pPr>
              <w:jc w:val="right"/>
              <w:ind w:right="3712"/>
              <w:spacing w:after="0"/>
              <w:rPr>
                <w:sz w:val="20"/>
                <w:szCs w:val="20"/>
                <w:color w:val="auto"/>
              </w:rPr>
            </w:pPr>
            <w:r>
              <w:rPr>
                <w:rFonts w:ascii="Arial" w:cs="Arial" w:eastAsia="Arial" w:hAnsi="Arial"/>
                <w:sz w:val="18"/>
                <w:szCs w:val="18"/>
                <w:b w:val="1"/>
                <w:bCs w:val="1"/>
                <w:color w:val="auto"/>
                <w:w w:val="87"/>
              </w:rPr>
              <w:t>, 2010</w:t>
            </w:r>
          </w:p>
        </w:tc>
      </w:tr>
      <w:tr>
        <w:trPr>
          <w:trHeight w:val="201"/>
        </w:trPr>
        <w:tc>
          <w:tcPr>
            <w:tcW w:w="5660" w:type="dxa"/>
            <w:vAlign w:val="bottom"/>
            <w:tcBorders>
              <w:bottom w:val="single" w:sz="8" w:color="auto"/>
            </w:tcBorders>
          </w:tcPr>
          <w:p>
            <w:pPr>
              <w:spacing w:after="0"/>
              <w:rPr>
                <w:sz w:val="17"/>
                <w:szCs w:val="17"/>
                <w:color w:val="auto"/>
              </w:rPr>
            </w:pPr>
          </w:p>
        </w:tc>
        <w:tc>
          <w:tcPr>
            <w:tcW w:w="5800" w:type="dxa"/>
            <w:vAlign w:val="bottom"/>
            <w:tcBorders>
              <w:bottom w:val="single" w:sz="8" w:color="auto"/>
            </w:tcBorders>
            <w:gridSpan w:val="2"/>
          </w:tcPr>
          <w:p>
            <w:pPr>
              <w:spacing w:after="0"/>
              <w:rPr>
                <w:sz w:val="17"/>
                <w:szCs w:val="17"/>
                <w:color w:val="auto"/>
              </w:rPr>
            </w:pPr>
          </w:p>
        </w:tc>
      </w:tr>
      <w:tr>
        <w:trPr>
          <w:trHeight w:val="160"/>
        </w:trPr>
        <w:tc>
          <w:tcPr>
            <w:tcW w:w="5660" w:type="dxa"/>
            <w:vAlign w:val="bottom"/>
            <w:tcBorders>
              <w:left w:val="single" w:sz="8" w:color="auto"/>
            </w:tcBorders>
          </w:tcPr>
          <w:p>
            <w:pPr>
              <w:ind w:left="140"/>
              <w:spacing w:after="0" w:line="159" w:lineRule="exact"/>
              <w:rPr>
                <w:sz w:val="20"/>
                <w:szCs w:val="20"/>
                <w:color w:val="auto"/>
              </w:rPr>
            </w:pPr>
            <w:r>
              <w:rPr>
                <w:rFonts w:ascii="Arial" w:cs="Arial" w:eastAsia="Arial" w:hAnsi="Arial"/>
                <w:sz w:val="14"/>
                <w:szCs w:val="14"/>
                <w:b w:val="1"/>
                <w:bCs w:val="1"/>
                <w:color w:val="auto"/>
              </w:rPr>
              <w:t>THE EXCHANGE OFFER WILL EXPIRE AT 5:00 P.M. NEW YORK CITY TIME, ON</w:t>
            </w:r>
          </w:p>
        </w:tc>
        <w:tc>
          <w:tcPr>
            <w:tcW w:w="5800" w:type="dxa"/>
            <w:vAlign w:val="bottom"/>
            <w:tcBorders>
              <w:right w:val="single" w:sz="8" w:color="auto"/>
            </w:tcBorders>
            <w:gridSpan w:val="2"/>
          </w:tcPr>
          <w:p>
            <w:pPr>
              <w:jc w:val="right"/>
              <w:spacing w:after="0" w:line="159" w:lineRule="exact"/>
              <w:rPr>
                <w:sz w:val="20"/>
                <w:szCs w:val="20"/>
                <w:color w:val="auto"/>
              </w:rPr>
            </w:pPr>
            <w:r>
              <w:rPr>
                <w:rFonts w:ascii="Arial" w:cs="Arial" w:eastAsia="Arial" w:hAnsi="Arial"/>
                <w:sz w:val="14"/>
                <w:szCs w:val="14"/>
                <w:b w:val="1"/>
                <w:bCs w:val="1"/>
                <w:color w:val="auto"/>
              </w:rPr>
              <w:t>, 2010, UNLESS EXTENDED BY THE ISSUERS (THE “EXPIRATION DATE”). TENDERS</w:t>
            </w:r>
          </w:p>
        </w:tc>
      </w:tr>
      <w:tr>
        <w:trPr>
          <w:trHeight w:val="174"/>
        </w:trPr>
        <w:tc>
          <w:tcPr>
            <w:tcW w:w="7200" w:type="dxa"/>
            <w:vAlign w:val="bottom"/>
            <w:tcBorders>
              <w:left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MAY BE WITHDRAWN PRIOR TO 5:00 P.M., NEW YORK CITY TIME, ON THE EXPIRATION DATE.</w:t>
            </w:r>
          </w:p>
        </w:tc>
        <w:tc>
          <w:tcPr>
            <w:tcW w:w="4260" w:type="dxa"/>
            <w:vAlign w:val="bottom"/>
            <w:tcBorders>
              <w:right w:val="single" w:sz="8" w:color="auto"/>
            </w:tcBorders>
          </w:tcPr>
          <w:p>
            <w:pPr>
              <w:spacing w:after="0"/>
              <w:rPr>
                <w:sz w:val="15"/>
                <w:szCs w:val="15"/>
                <w:color w:val="auto"/>
              </w:rPr>
            </w:pPr>
          </w:p>
        </w:tc>
      </w:tr>
      <w:tr>
        <w:trPr>
          <w:trHeight w:val="38"/>
        </w:trPr>
        <w:tc>
          <w:tcPr>
            <w:tcW w:w="7200" w:type="dxa"/>
            <w:vAlign w:val="bottom"/>
            <w:tcBorders>
              <w:left w:val="single" w:sz="8" w:color="auto"/>
              <w:bottom w:val="single" w:sz="8" w:color="auto"/>
            </w:tcBorders>
            <w:gridSpan w:val="2"/>
          </w:tcPr>
          <w:p>
            <w:pPr>
              <w:spacing w:after="0"/>
              <w:rPr>
                <w:sz w:val="3"/>
                <w:szCs w:val="3"/>
                <w:color w:val="auto"/>
              </w:rPr>
            </w:pPr>
          </w:p>
        </w:tc>
        <w:tc>
          <w:tcPr>
            <w:tcW w:w="4260" w:type="dxa"/>
            <w:vAlign w:val="bottom"/>
            <w:tcBorders>
              <w:bottom w:val="single" w:sz="8" w:color="auto"/>
              <w:right w:val="single" w:sz="8" w:color="auto"/>
            </w:tcBorders>
          </w:tcPr>
          <w:p>
            <w:pPr>
              <w:spacing w:after="0"/>
              <w:rPr>
                <w:sz w:val="3"/>
                <w:szCs w:val="3"/>
                <w:color w:val="auto"/>
              </w:rPr>
            </w:pPr>
          </w:p>
        </w:tc>
      </w:tr>
      <w:tr>
        <w:trPr>
          <w:trHeight w:val="361"/>
        </w:trPr>
        <w:tc>
          <w:tcPr>
            <w:tcW w:w="7200" w:type="dxa"/>
            <w:vAlign w:val="bottom"/>
            <w:gridSpan w:val="2"/>
          </w:tcPr>
          <w:p>
            <w:pPr>
              <w:spacing w:after="0"/>
              <w:rPr>
                <w:sz w:val="20"/>
                <w:szCs w:val="20"/>
                <w:color w:val="auto"/>
              </w:rPr>
            </w:pPr>
            <w:r>
              <w:rPr>
                <w:rFonts w:ascii="Arial" w:cs="Arial" w:eastAsia="Arial" w:hAnsi="Arial"/>
                <w:sz w:val="14"/>
                <w:szCs w:val="14"/>
                <w:color w:val="auto"/>
                <w:w w:val="92"/>
              </w:rPr>
              <w:t>To:BROKERS, DEALERS, COMMERCIAL BANKS, TRUST COMPANIES AND OTHER NOMINEES:</w:t>
            </w:r>
          </w:p>
        </w:tc>
        <w:tc>
          <w:tcPr>
            <w:tcW w:w="4260" w:type="dxa"/>
            <w:vAlign w:val="bottom"/>
          </w:tcPr>
          <w:p>
            <w:pPr>
              <w:spacing w:after="0"/>
              <w:rPr>
                <w:sz w:val="24"/>
                <w:szCs w:val="24"/>
                <w:color w:val="auto"/>
              </w:rPr>
            </w:pPr>
          </w:p>
        </w:tc>
      </w:tr>
    </w:tbl>
    <w:p>
      <w:pPr>
        <w:spacing w:after="0" w:line="39" w:lineRule="exact"/>
        <w:rPr>
          <w:sz w:val="20"/>
          <w:szCs w:val="20"/>
          <w:color w:val="auto"/>
        </w:rPr>
      </w:pPr>
    </w:p>
    <w:p>
      <w:pPr>
        <w:ind w:right="100" w:firstLine="342"/>
        <w:spacing w:after="0" w:line="186" w:lineRule="auto"/>
        <w:rPr>
          <w:sz w:val="20"/>
          <w:szCs w:val="20"/>
          <w:color w:val="auto"/>
        </w:rPr>
      </w:pPr>
      <w:r>
        <w:rPr>
          <w:rFonts w:ascii="Arial" w:cs="Arial" w:eastAsia="Arial" w:hAnsi="Arial"/>
          <w:sz w:val="11"/>
          <w:szCs w:val="11"/>
          <w:color w:val="auto"/>
        </w:rPr>
        <w:t xml:space="preserve">Wynn Las Vegas, LLC and Wynn Las Vegas Capital Corp. (together, the “Issuers”) are offering to exchange an aggregate principal amount of up to $500,000,000 7 </w:t>
      </w:r>
      <w:r>
        <w:rPr>
          <w:rFonts w:ascii="Arial" w:cs="Arial" w:eastAsia="Arial" w:hAnsi="Arial"/>
          <w:sz w:val="17"/>
          <w:szCs w:val="17"/>
          <w:color w:val="auto"/>
          <w:vertAlign w:val="superscript"/>
        </w:rPr>
        <w:t>7</w:t>
      </w:r>
      <w:r>
        <w:rPr>
          <w:rFonts w:ascii="Arial" w:cs="Arial" w:eastAsia="Arial" w:hAnsi="Arial"/>
          <w:sz w:val="11"/>
          <w:szCs w:val="11"/>
          <w:color w:val="auto"/>
        </w:rPr>
        <w:t xml:space="preserve">/8% First Mortgage Notes due 2017 of the Issuers issued on October 19, 2009 (the “Old 2017 Notes”) for 7 </w:t>
      </w:r>
      <w:r>
        <w:rPr>
          <w:rFonts w:ascii="Arial" w:cs="Arial" w:eastAsia="Arial" w:hAnsi="Arial"/>
          <w:sz w:val="17"/>
          <w:szCs w:val="17"/>
          <w:color w:val="auto"/>
          <w:vertAlign w:val="superscript"/>
        </w:rPr>
        <w:t>7</w:t>
      </w:r>
      <w:r>
        <w:rPr>
          <w:rFonts w:ascii="Arial" w:cs="Arial" w:eastAsia="Arial" w:hAnsi="Arial"/>
          <w:sz w:val="11"/>
          <w:szCs w:val="11"/>
          <w:color w:val="auto"/>
        </w:rPr>
        <w:t xml:space="preserve">/8% First Mortgage Notes due 2017 of the Issuers that have been registered under the Securities Act of 1933, as amended (the “New 2017 Notes”), and to exchange an aggregate principal amount of up to $382,010,000 of 7 </w:t>
      </w:r>
      <w:r>
        <w:rPr>
          <w:rFonts w:ascii="Arial" w:cs="Arial" w:eastAsia="Arial" w:hAnsi="Arial"/>
          <w:sz w:val="17"/>
          <w:szCs w:val="17"/>
          <w:color w:val="auto"/>
          <w:vertAlign w:val="superscript"/>
        </w:rPr>
        <w:t>7</w:t>
      </w:r>
      <w:r>
        <w:rPr>
          <w:rFonts w:ascii="Arial" w:cs="Arial" w:eastAsia="Arial" w:hAnsi="Arial"/>
          <w:sz w:val="11"/>
          <w:szCs w:val="11"/>
          <w:color w:val="auto"/>
        </w:rPr>
        <w:t>/8% First Mortgage Notes due 2020 of the Issuers issued on April 28, 2010 (the “Old 2020 Notes,” and together with the Old</w:t>
      </w:r>
    </w:p>
    <w:tbl>
      <w:tblPr>
        <w:tblLayout w:type="fixed"/>
        <w:tblInd w:w="0" w:type="dxa"/>
        <w:tblCellMar>
          <w:top w:w="0" w:type="dxa"/>
          <w:left w:w="0" w:type="dxa"/>
          <w:bottom w:w="0" w:type="dxa"/>
          <w:right w:w="0" w:type="dxa"/>
        </w:tblCellMar>
      </w:tblPr>
      <w:tr>
        <w:trPr>
          <w:trHeight w:val="158"/>
        </w:trPr>
        <w:tc>
          <w:tcPr>
            <w:tcW w:w="300" w:type="dxa"/>
            <w:vAlign w:val="bottom"/>
          </w:tcPr>
          <w:p>
            <w:pPr>
              <w:jc w:val="right"/>
              <w:spacing w:after="0" w:line="158" w:lineRule="exact"/>
              <w:rPr>
                <w:sz w:val="20"/>
                <w:szCs w:val="20"/>
                <w:color w:val="auto"/>
              </w:rPr>
            </w:pPr>
            <w:r>
              <w:rPr>
                <w:rFonts w:ascii="Arial" w:cs="Arial" w:eastAsia="Arial" w:hAnsi="Arial"/>
                <w:sz w:val="14"/>
                <w:szCs w:val="14"/>
                <w:color w:val="auto"/>
                <w:w w:val="83"/>
              </w:rPr>
              <w:t>2017</w:t>
            </w:r>
          </w:p>
        </w:tc>
        <w:tc>
          <w:tcPr>
            <w:tcW w:w="11060" w:type="dxa"/>
            <w:vAlign w:val="bottom"/>
            <w:gridSpan w:val="2"/>
          </w:tcPr>
          <w:p>
            <w:pPr>
              <w:ind w:left="20"/>
              <w:spacing w:after="0" w:line="158" w:lineRule="exact"/>
              <w:rPr>
                <w:sz w:val="20"/>
                <w:szCs w:val="20"/>
                <w:color w:val="auto"/>
              </w:rPr>
            </w:pPr>
            <w:r>
              <w:rPr>
                <w:rFonts w:ascii="Arial" w:cs="Arial" w:eastAsia="Arial" w:hAnsi="Arial"/>
                <w:sz w:val="12"/>
                <w:szCs w:val="12"/>
                <w:color w:val="auto"/>
              </w:rPr>
              <w:t xml:space="preserve">Notes, the “Old Notes”) for 7 </w:t>
            </w:r>
            <w:r>
              <w:rPr>
                <w:rFonts w:ascii="Arial" w:cs="Arial" w:eastAsia="Arial" w:hAnsi="Arial"/>
                <w:sz w:val="18"/>
                <w:szCs w:val="18"/>
                <w:color w:val="auto"/>
                <w:vertAlign w:val="superscript"/>
              </w:rPr>
              <w:t>7</w:t>
            </w:r>
            <w:r>
              <w:rPr>
                <w:rFonts w:ascii="Arial" w:cs="Arial" w:eastAsia="Arial" w:hAnsi="Arial"/>
                <w:sz w:val="12"/>
                <w:szCs w:val="12"/>
                <w:color w:val="auto"/>
              </w:rPr>
              <w:t>/8% First Mortgage Notes due 2020 of the Issuers that have been registered under the Securities Act of 1933, as amended (the “New 2020 Notes,” and together with the New</w:t>
            </w:r>
          </w:p>
        </w:tc>
      </w:tr>
      <w:tr>
        <w:trPr>
          <w:trHeight w:val="161"/>
        </w:trPr>
        <w:tc>
          <w:tcPr>
            <w:tcW w:w="300" w:type="dxa"/>
            <w:vAlign w:val="bottom"/>
          </w:tcPr>
          <w:p>
            <w:pPr>
              <w:jc w:val="right"/>
              <w:spacing w:after="0"/>
              <w:rPr>
                <w:sz w:val="20"/>
                <w:szCs w:val="20"/>
                <w:color w:val="auto"/>
              </w:rPr>
            </w:pPr>
            <w:r>
              <w:rPr>
                <w:rFonts w:ascii="Arial" w:cs="Arial" w:eastAsia="Arial" w:hAnsi="Arial"/>
                <w:sz w:val="14"/>
                <w:szCs w:val="14"/>
                <w:color w:val="auto"/>
                <w:w w:val="83"/>
              </w:rPr>
              <w:t>2017</w:t>
            </w:r>
          </w:p>
        </w:tc>
        <w:tc>
          <w:tcPr>
            <w:tcW w:w="5960" w:type="dxa"/>
            <w:vAlign w:val="bottom"/>
          </w:tcPr>
          <w:p>
            <w:pPr>
              <w:ind w:left="20"/>
              <w:spacing w:after="0"/>
              <w:rPr>
                <w:sz w:val="20"/>
                <w:szCs w:val="20"/>
                <w:color w:val="auto"/>
              </w:rPr>
            </w:pPr>
            <w:r>
              <w:rPr>
                <w:rFonts w:ascii="Arial" w:cs="Arial" w:eastAsia="Arial" w:hAnsi="Arial"/>
                <w:sz w:val="14"/>
                <w:szCs w:val="14"/>
                <w:color w:val="auto"/>
                <w:w w:val="92"/>
              </w:rPr>
              <w:t>Notes, the “New Notes”), upon the terms and subject to the conditions set forth in the Prospectus, dated</w:t>
            </w:r>
          </w:p>
        </w:tc>
        <w:tc>
          <w:tcPr>
            <w:tcW w:w="5100" w:type="dxa"/>
            <w:vAlign w:val="bottom"/>
          </w:tcPr>
          <w:p>
            <w:pPr>
              <w:ind w:left="360"/>
              <w:spacing w:after="0"/>
              <w:rPr>
                <w:sz w:val="20"/>
                <w:szCs w:val="20"/>
                <w:color w:val="auto"/>
              </w:rPr>
            </w:pPr>
            <w:r>
              <w:rPr>
                <w:rFonts w:ascii="Arial" w:cs="Arial" w:eastAsia="Arial" w:hAnsi="Arial"/>
                <w:sz w:val="14"/>
                <w:szCs w:val="14"/>
                <w:color w:val="auto"/>
                <w:w w:val="97"/>
              </w:rPr>
              <w:t>, 2010 (the “Prospectus”) and the enclosed Letter of Transmittal (the “Letter of</w:t>
            </w:r>
          </w:p>
        </w:tc>
      </w:tr>
    </w:tbl>
    <w:p>
      <w:pPr>
        <w:ind w:right="240"/>
        <w:spacing w:after="0" w:line="227" w:lineRule="auto"/>
        <w:rPr>
          <w:sz w:val="20"/>
          <w:szCs w:val="20"/>
          <w:color w:val="auto"/>
        </w:rPr>
      </w:pPr>
      <w:r>
        <w:rPr>
          <w:rFonts w:ascii="Arial" w:cs="Arial" w:eastAsia="Arial" w:hAnsi="Arial"/>
          <w:sz w:val="14"/>
          <w:szCs w:val="14"/>
          <w:color w:val="auto"/>
        </w:rPr>
        <w:t>Transmittal”). The Exchange Offer is being made to satisfy certain obligations of the Issuers contained in the Registration Rights Agreement, dated October 19, 2009, by and among the Issuers, the guarantors referred to therein and the initial purchasers referred to therein and in the Registration Rights Agreement, dated April 28, 2010, by and among the Issuers, the guarantors referred to therein and the dealer managers referred to therein.</w:t>
      </w:r>
    </w:p>
    <w:p>
      <w:pPr>
        <w:spacing w:after="0" w:line="139" w:lineRule="exact"/>
        <w:rPr>
          <w:sz w:val="20"/>
          <w:szCs w:val="20"/>
          <w:color w:val="auto"/>
        </w:rPr>
      </w:pPr>
    </w:p>
    <w:p>
      <w:pPr>
        <w:ind w:right="560" w:firstLine="342"/>
        <w:spacing w:after="0" w:line="318" w:lineRule="auto"/>
        <w:rPr>
          <w:sz w:val="20"/>
          <w:szCs w:val="20"/>
          <w:color w:val="auto"/>
        </w:rPr>
      </w:pPr>
      <w:r>
        <w:rPr>
          <w:rFonts w:ascii="Arial" w:cs="Arial" w:eastAsia="Arial" w:hAnsi="Arial"/>
          <w:sz w:val="12"/>
          <w:szCs w:val="12"/>
          <w:color w:val="auto"/>
        </w:rPr>
        <w:t>We are requesting that you contact your clients for whom you hold Old Notes regarding the Exchange Offer. For your information and for forwarding to your clients for whom you hold Old Notes registered in your name or in the name of your nominee, or who hold Old Notes registered in their own names, we are enclosing the following documents:</w:t>
      </w:r>
    </w:p>
    <w:p>
      <w:pPr>
        <w:spacing w:after="0" w:line="12" w:lineRule="exact"/>
        <w:rPr>
          <w:sz w:val="20"/>
          <w:szCs w:val="20"/>
          <w:color w:val="auto"/>
        </w:rPr>
      </w:pPr>
    </w:p>
    <w:tbl>
      <w:tblPr>
        <w:tblLayout w:type="fixed"/>
        <w:tblInd w:w="680" w:type="dxa"/>
        <w:tblCellMar>
          <w:top w:w="0" w:type="dxa"/>
          <w:left w:w="0" w:type="dxa"/>
          <w:bottom w:w="0" w:type="dxa"/>
          <w:right w:w="0" w:type="dxa"/>
        </w:tblCellMar>
      </w:tblPr>
      <w:tr>
        <w:trPr>
          <w:trHeight w:val="172"/>
        </w:trPr>
        <w:tc>
          <w:tcPr>
            <w:tcW w:w="1400" w:type="dxa"/>
            <w:vAlign w:val="bottom"/>
          </w:tcPr>
          <w:p>
            <w:pPr>
              <w:spacing w:after="0"/>
              <w:rPr>
                <w:sz w:val="20"/>
                <w:szCs w:val="20"/>
                <w:color w:val="auto"/>
              </w:rPr>
            </w:pPr>
            <w:r>
              <w:rPr>
                <w:rFonts w:ascii="Arial" w:cs="Arial" w:eastAsia="Arial" w:hAnsi="Arial"/>
                <w:sz w:val="14"/>
                <w:szCs w:val="14"/>
                <w:color w:val="auto"/>
              </w:rPr>
              <w:t>1. Prospectus dated</w:t>
            </w:r>
          </w:p>
        </w:tc>
        <w:tc>
          <w:tcPr>
            <w:tcW w:w="740" w:type="dxa"/>
            <w:vAlign w:val="bottom"/>
          </w:tcPr>
          <w:p>
            <w:pPr>
              <w:jc w:val="right"/>
              <w:spacing w:after="0"/>
              <w:rPr>
                <w:sz w:val="20"/>
                <w:szCs w:val="20"/>
                <w:color w:val="auto"/>
              </w:rPr>
            </w:pPr>
            <w:r>
              <w:rPr>
                <w:rFonts w:ascii="Arial" w:cs="Arial" w:eastAsia="Arial" w:hAnsi="Arial"/>
                <w:sz w:val="14"/>
                <w:szCs w:val="14"/>
                <w:color w:val="auto"/>
              </w:rPr>
              <w:t>, 2010;</w:t>
            </w:r>
          </w:p>
        </w:tc>
      </w:tr>
    </w:tbl>
    <w:p>
      <w:pPr>
        <w:spacing w:after="0" w:line="57" w:lineRule="exact"/>
        <w:rPr>
          <w:sz w:val="20"/>
          <w:szCs w:val="20"/>
          <w:color w:val="auto"/>
        </w:rPr>
      </w:pPr>
    </w:p>
    <w:p>
      <w:pPr>
        <w:ind w:left="820" w:hanging="138"/>
        <w:spacing w:after="0"/>
        <w:tabs>
          <w:tab w:leader="none" w:pos="820" w:val="left"/>
        </w:tabs>
        <w:numPr>
          <w:ilvl w:val="0"/>
          <w:numId w:val="425"/>
        </w:numPr>
        <w:rPr>
          <w:rFonts w:ascii="Arial" w:cs="Arial" w:eastAsia="Arial" w:hAnsi="Arial"/>
          <w:sz w:val="14"/>
          <w:szCs w:val="14"/>
          <w:color w:val="auto"/>
        </w:rPr>
      </w:pPr>
      <w:r>
        <w:rPr>
          <w:rFonts w:ascii="Arial" w:cs="Arial" w:eastAsia="Arial" w:hAnsi="Arial"/>
          <w:sz w:val="14"/>
          <w:szCs w:val="14"/>
          <w:color w:val="auto"/>
        </w:rPr>
        <w:t>The Letter of Transmittal for your use and for the information of your clients;</w:t>
      </w:r>
    </w:p>
    <w:p>
      <w:pPr>
        <w:spacing w:after="0" w:line="68" w:lineRule="exact"/>
        <w:rPr>
          <w:rFonts w:ascii="Arial" w:cs="Arial" w:eastAsia="Arial" w:hAnsi="Arial"/>
          <w:sz w:val="14"/>
          <w:szCs w:val="14"/>
          <w:color w:val="auto"/>
        </w:rPr>
      </w:pPr>
    </w:p>
    <w:p>
      <w:pPr>
        <w:ind w:left="360" w:right="300" w:firstLine="322"/>
        <w:spacing w:after="0" w:line="239" w:lineRule="auto"/>
        <w:tabs>
          <w:tab w:leader="none" w:pos="827" w:val="left"/>
        </w:tabs>
        <w:numPr>
          <w:ilvl w:val="0"/>
          <w:numId w:val="425"/>
        </w:numPr>
        <w:rPr>
          <w:rFonts w:ascii="Arial" w:cs="Arial" w:eastAsia="Arial" w:hAnsi="Arial"/>
          <w:sz w:val="14"/>
          <w:szCs w:val="14"/>
          <w:color w:val="auto"/>
        </w:rPr>
      </w:pPr>
      <w:r>
        <w:rPr>
          <w:rFonts w:ascii="Arial" w:cs="Arial" w:eastAsia="Arial" w:hAnsi="Arial"/>
          <w:sz w:val="14"/>
          <w:szCs w:val="14"/>
          <w:color w:val="auto"/>
        </w:rPr>
        <w:t>A Notice of Guaranteed Delivery to be used to accept the Exchange Offer if certificates for Old Notes are not immediately available or time will not permit all required documents to reach the Exchange Agent prior to the Expiration Date or if the procedure for book-entry transfer cannot be completed on a timely basis;</w:t>
      </w:r>
    </w:p>
    <w:p>
      <w:pPr>
        <w:spacing w:after="0" w:line="57" w:lineRule="exact"/>
        <w:rPr>
          <w:rFonts w:ascii="Arial" w:cs="Arial" w:eastAsia="Arial" w:hAnsi="Arial"/>
          <w:sz w:val="14"/>
          <w:szCs w:val="14"/>
          <w:color w:val="auto"/>
        </w:rPr>
      </w:pPr>
    </w:p>
    <w:p>
      <w:pPr>
        <w:ind w:left="360" w:right="300" w:firstLine="322"/>
        <w:spacing w:after="0" w:line="239" w:lineRule="auto"/>
        <w:tabs>
          <w:tab w:leader="none" w:pos="827" w:val="left"/>
        </w:tabs>
        <w:numPr>
          <w:ilvl w:val="0"/>
          <w:numId w:val="425"/>
        </w:numPr>
        <w:rPr>
          <w:rFonts w:ascii="Arial" w:cs="Arial" w:eastAsia="Arial" w:hAnsi="Arial"/>
          <w:sz w:val="14"/>
          <w:szCs w:val="14"/>
          <w:color w:val="auto"/>
        </w:rPr>
      </w:pPr>
      <w:r>
        <w:rPr>
          <w:rFonts w:ascii="Arial" w:cs="Arial" w:eastAsia="Arial" w:hAnsi="Arial"/>
          <w:sz w:val="14"/>
          <w:szCs w:val="14"/>
          <w:color w:val="auto"/>
        </w:rPr>
        <w:t>A form of letter which may be sent to your clients for whose account you hold Old Notes registered in your name or the name of your nominee, with space provided for obtaining such clients’ instructions with regard to the Exchange Offer;</w:t>
      </w:r>
    </w:p>
    <w:p>
      <w:pPr>
        <w:spacing w:after="0" w:line="57" w:lineRule="exact"/>
        <w:rPr>
          <w:rFonts w:ascii="Arial" w:cs="Arial" w:eastAsia="Arial" w:hAnsi="Arial"/>
          <w:sz w:val="14"/>
          <w:szCs w:val="14"/>
          <w:color w:val="auto"/>
        </w:rPr>
      </w:pPr>
    </w:p>
    <w:p>
      <w:pPr>
        <w:ind w:left="820" w:hanging="138"/>
        <w:spacing w:after="0"/>
        <w:tabs>
          <w:tab w:leader="none" w:pos="820" w:val="left"/>
        </w:tabs>
        <w:numPr>
          <w:ilvl w:val="0"/>
          <w:numId w:val="425"/>
        </w:numPr>
        <w:rPr>
          <w:rFonts w:ascii="Arial" w:cs="Arial" w:eastAsia="Arial" w:hAnsi="Arial"/>
          <w:sz w:val="14"/>
          <w:szCs w:val="14"/>
          <w:color w:val="auto"/>
        </w:rPr>
      </w:pPr>
      <w:r>
        <w:rPr>
          <w:rFonts w:ascii="Arial" w:cs="Arial" w:eastAsia="Arial" w:hAnsi="Arial"/>
          <w:sz w:val="14"/>
          <w:szCs w:val="14"/>
          <w:color w:val="auto"/>
        </w:rPr>
        <w:t>Guidelines for Certification of Taxpayer Identification Number on Substitute Form W-9; and</w:t>
      </w:r>
    </w:p>
    <w:p>
      <w:pPr>
        <w:spacing w:after="0" w:line="68" w:lineRule="exact"/>
        <w:rPr>
          <w:rFonts w:ascii="Arial" w:cs="Arial" w:eastAsia="Arial" w:hAnsi="Arial"/>
          <w:sz w:val="14"/>
          <w:szCs w:val="14"/>
          <w:color w:val="auto"/>
        </w:rPr>
      </w:pPr>
    </w:p>
    <w:p>
      <w:pPr>
        <w:ind w:left="820" w:hanging="138"/>
        <w:spacing w:after="0"/>
        <w:tabs>
          <w:tab w:leader="none" w:pos="820" w:val="left"/>
        </w:tabs>
        <w:numPr>
          <w:ilvl w:val="0"/>
          <w:numId w:val="425"/>
        </w:numPr>
        <w:rPr>
          <w:rFonts w:ascii="Arial" w:cs="Arial" w:eastAsia="Arial" w:hAnsi="Arial"/>
          <w:sz w:val="14"/>
          <w:szCs w:val="14"/>
          <w:color w:val="auto"/>
        </w:rPr>
      </w:pPr>
      <w:r>
        <w:rPr>
          <w:rFonts w:ascii="Arial" w:cs="Arial" w:eastAsia="Arial" w:hAnsi="Arial"/>
          <w:sz w:val="14"/>
          <w:szCs w:val="14"/>
          <w:color w:val="auto"/>
        </w:rPr>
        <w:t>Return envelopes addressed to U.S. Bank National Association, the Exchange Agent for the Exchange Offer.</w:t>
      </w:r>
    </w:p>
    <w:p>
      <w:pPr>
        <w:spacing w:after="0" w:line="148" w:lineRule="exact"/>
        <w:rPr>
          <w:sz w:val="20"/>
          <w:szCs w:val="20"/>
          <w:color w:val="auto"/>
        </w:rPr>
      </w:pPr>
    </w:p>
    <w:p>
      <w:pPr>
        <w:ind w:right="260" w:firstLine="342"/>
        <w:spacing w:after="0" w:line="241" w:lineRule="auto"/>
        <w:rPr>
          <w:sz w:val="20"/>
          <w:szCs w:val="20"/>
          <w:color w:val="auto"/>
        </w:rPr>
      </w:pPr>
      <w:r>
        <w:rPr>
          <w:rFonts w:ascii="Arial" w:cs="Arial" w:eastAsia="Arial" w:hAnsi="Arial"/>
          <w:sz w:val="14"/>
          <w:szCs w:val="14"/>
          <w:b w:val="1"/>
          <w:bCs w:val="1"/>
          <w:color w:val="auto"/>
        </w:rPr>
        <w:t>YOUR PROMPT ACTION IS REQUESTED. THE EXCHANGE OFFER WILL EXPIRE AT 5:00 P.M., NEW YORK CITY TIME, ON , 2010, UNLESS EXTENDED BY THE ISSUERS. OLD NOTES TENDERED PURSUANT TO THE EXCHANGE OFFER MAY BE WITHDRAWN AT ANY TIME BEFORE THE EXPIRATION DATE.</w:t>
      </w:r>
    </w:p>
    <w:p>
      <w:pPr>
        <w:sectPr>
          <w:pgSz w:w="11900" w:h="16838" w:orient="portrait"/>
          <w:cols w:equalWidth="0" w:num="1">
            <w:col w:w="11460"/>
          </w:cols>
          <w:pgMar w:left="240" w:top="125" w:right="199" w:bottom="1440" w:gutter="0" w:footer="0" w:header="0"/>
        </w:sectPr>
      </w:pPr>
    </w:p>
    <w:bookmarkStart w:id="370" w:name="page371"/>
    <w:bookmarkEnd w:id="370"/>
    <w:p>
      <w:pPr>
        <w:ind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participate in the Exchange Offer, a duly executed and properly completed Letter of Transmittal (or facsimile thereof or Agent’s Message (as defined in the Letter of Transmittal) in lieu thereof), with any required signature guarantees and any other required documents, should be sent to the Exchange Agent and certificates representing the Old Notes should be delivered to the Exchange Agent, all in accordance with the instructions set forth in the Letter of Transmittal and the Prospectus.</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If a registered holder of Old Notes desires to tender Old Notes, but such Old Notes are not immediately available, or time will not permit such holder’s Old Notes or other required documents to reach the Exchange Agent before the Expiration Date, or the procedure for book-entry transfer cannot be completed on a timely basis, a tender may be effected by following the guaranteed delivery procedures described in the Prospectus under the caption “The Exchange Offer— Guaranteed Delivery Procedures.”</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Issuers will, upon request, reimburse brokers, dealers, commercial banks and trust companies for reasonable and necessary costs and expenses incurred by them in forwarding the Prospectus and the related documents to the beneficial owners of Old Notes held by them as nominee or in a fiduciary capacity. The Issuers will pay or cause to be paid all stock transfer taxes applicable to the exchange of Old Notes pursuant to the Exchange Offer, except as set forth in Instruction 6 of the Letter of Transmittal.</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Any inquiries you may have with respect to the procedure for tendering Old Notes pursuant to the Exchange Offer, or requests for additional copies of the enclosed materials, should be directed to U.S. Bank National Association, the Exchange Agent for the Exchange Offer, at its address and telephone number set forth on the front of the Letter of Transmittal.</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LAS VEGAS CAPITAL CORP.</w:t>
      </w:r>
    </w:p>
    <w:p>
      <w:pPr>
        <w:spacing w:after="0" w:line="16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NOTHING HEREIN OR IN THE ENCLOSED DOCUMENTS SHALL CONSTITUTE YOU OR ANY PERSON AS AN AGENT OF THE ISSUERS OR THE EXCHANGE AGENT, OR AUTHORIZE YOU OR ANY OTHER PERSON TO USE ANY DOCUMENT OR MAKE ANY STATEMENTS ON BEHALF OF ANY OF THEM WITH RESPECT TO THE EXCHANGE OFFER, EXCEPT FOR STATEMENTS EXPRESSLY MADE IN THE PROSPECTUS OR THE LETTER OF TRANSMITTAL.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Enclosures</w:t>
      </w:r>
    </w:p>
    <w:sectPr>
      <w:pgSz w:w="11900" w:h="16838" w:orient="portrait"/>
      <w:cols w:equalWidth="0" w:num="1">
        <w:col w:w="11400"/>
      </w:cols>
      <w:pgMar w:left="240" w:top="279"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6B674E"/>
    <w:multiLevelType w:val="hybridMultilevel"/>
    <w:lvl w:ilvl="0">
      <w:lvlJc w:val="left"/>
      <w:lvlText w:val="(%1)"/>
      <w:numFmt w:val="decimal"/>
      <w:start w:val="213"/>
    </w:lvl>
  </w:abstractNum>
  <w:abstractNum w:abstractNumId="1">
    <w:nsid w:val="2C106A57"/>
    <w:multiLevelType w:val="hybridMultilevel"/>
    <w:lvl w:ilvl="0">
      <w:lvlJc w:val="left"/>
      <w:lvlText w:val="(%1)"/>
      <w:numFmt w:val="decimal"/>
      <w:start w:val="1"/>
    </w:lvl>
  </w:abstractNum>
  <w:abstractNum w:abstractNumId="2">
    <w:nsid w:val="684EED59"/>
    <w:multiLevelType w:val="hybridMultilevel"/>
    <w:lvl w:ilvl="0">
      <w:lvlJc w:val="left"/>
      <w:lvlText w:val="*"/>
      <w:numFmt w:val="bullet"/>
      <w:start w:val="1"/>
    </w:lvl>
  </w:abstractNum>
  <w:abstractNum w:abstractNumId="3">
    <w:nsid w:val="545EE5D3"/>
    <w:multiLevelType w:val="hybridMultilevel"/>
    <w:lvl w:ilvl="0">
      <w:lvlJc w:val="left"/>
      <w:lvlText w:val="7"/>
      <w:numFmt w:val="bullet"/>
      <w:start w:val="1"/>
    </w:lvl>
  </w:abstractNum>
  <w:abstractNum w:abstractNumId="4">
    <w:nsid w:val="4A66051"/>
    <w:multiLevelType w:val="hybridMultilevel"/>
    <w:lvl w:ilvl="0">
      <w:lvlJc w:val="left"/>
      <w:lvlText w:val="7"/>
      <w:numFmt w:val="bullet"/>
      <w:start w:val="1"/>
    </w:lvl>
  </w:abstractNum>
  <w:abstractNum w:abstractNumId="5">
    <w:nsid w:val="20F4BDAD"/>
    <w:multiLevelType w:val="hybridMultilevel"/>
    <w:lvl w:ilvl="0">
      <w:lvlJc w:val="left"/>
      <w:lvlText w:val="•"/>
      <w:numFmt w:val="bullet"/>
      <w:start w:val="1"/>
    </w:lvl>
  </w:abstractNum>
  <w:abstractNum w:abstractNumId="6">
    <w:nsid w:val="639DEFAC"/>
    <w:multiLevelType w:val="hybridMultilevel"/>
    <w:lvl w:ilvl="0">
      <w:lvlJc w:val="left"/>
      <w:lvlText w:val="•"/>
      <w:numFmt w:val="bullet"/>
      <w:start w:val="1"/>
    </w:lvl>
  </w:abstractNum>
  <w:abstractNum w:abstractNumId="7">
    <w:nsid w:val="501F9786"/>
    <w:multiLevelType w:val="hybridMultilevel"/>
    <w:lvl w:ilvl="0">
      <w:lvlJc w:val="left"/>
      <w:lvlText w:val="•"/>
      <w:numFmt w:val="bullet"/>
      <w:start w:val="1"/>
    </w:lvl>
  </w:abstractNum>
  <w:abstractNum w:abstractNumId="8">
    <w:nsid w:val="6B057295"/>
    <w:multiLevelType w:val="hybridMultilevel"/>
    <w:lvl w:ilvl="0">
      <w:lvlJc w:val="left"/>
      <w:lvlText w:val="•"/>
      <w:numFmt w:val="bullet"/>
      <w:start w:val="1"/>
    </w:lvl>
  </w:abstractNum>
  <w:abstractNum w:abstractNumId="9">
    <w:nsid w:val="2771AC80"/>
    <w:multiLevelType w:val="hybridMultilevel"/>
    <w:lvl w:ilvl="0">
      <w:lvlJc w:val="left"/>
      <w:lvlText w:val="•"/>
      <w:numFmt w:val="bullet"/>
      <w:start w:val="1"/>
    </w:lvl>
  </w:abstractNum>
  <w:abstractNum w:abstractNumId="10">
    <w:nsid w:val="1C4A08EC"/>
    <w:multiLevelType w:val="hybridMultilevel"/>
    <w:lvl w:ilvl="0">
      <w:lvlJc w:val="left"/>
      <w:lvlText w:val="•"/>
      <w:numFmt w:val="bullet"/>
      <w:start w:val="1"/>
    </w:lvl>
  </w:abstractNum>
  <w:abstractNum w:abstractNumId="11">
    <w:nsid w:val="1958BD17"/>
    <w:multiLevelType w:val="hybridMultilevel"/>
    <w:lvl w:ilvl="0">
      <w:lvlJc w:val="left"/>
      <w:lvlText w:val="•"/>
      <w:numFmt w:val="bullet"/>
      <w:start w:val="1"/>
    </w:lvl>
  </w:abstractNum>
  <w:abstractNum w:abstractNumId="12">
    <w:nsid w:val="4E647FE4"/>
    <w:multiLevelType w:val="hybridMultilevel"/>
    <w:lvl w:ilvl="0">
      <w:lvlJc w:val="left"/>
      <w:lvlText w:val="•"/>
      <w:numFmt w:val="bullet"/>
      <w:start w:val="1"/>
    </w:lvl>
  </w:abstractNum>
  <w:abstractNum w:abstractNumId="13">
    <w:nsid w:val="E0BB885"/>
    <w:multiLevelType w:val="hybridMultilevel"/>
    <w:lvl w:ilvl="0">
      <w:lvlJc w:val="left"/>
      <w:lvlText w:val="•"/>
      <w:numFmt w:val="bullet"/>
      <w:start w:val="1"/>
    </w:lvl>
  </w:abstractNum>
  <w:abstractNum w:abstractNumId="14">
    <w:nsid w:val="565976F1"/>
    <w:multiLevelType w:val="hybridMultilevel"/>
    <w:lvl w:ilvl="0">
      <w:lvlJc w:val="left"/>
      <w:lvlText w:val="•"/>
      <w:numFmt w:val="bullet"/>
      <w:start w:val="1"/>
    </w:lvl>
  </w:abstractNum>
  <w:abstractNum w:abstractNumId="15">
    <w:nsid w:val="64212B8C"/>
    <w:multiLevelType w:val="hybridMultilevel"/>
    <w:lvl w:ilvl="0">
      <w:lvlJc w:val="left"/>
      <w:lvlText w:val="•"/>
      <w:numFmt w:val="bullet"/>
      <w:start w:val="1"/>
    </w:lvl>
  </w:abstractNum>
  <w:abstractNum w:abstractNumId="16">
    <w:nsid w:val="5C17530C"/>
    <w:multiLevelType w:val="hybridMultilevel"/>
    <w:lvl w:ilvl="0">
      <w:lvlJc w:val="left"/>
      <w:lvlText w:val="•"/>
      <w:numFmt w:val="bullet"/>
      <w:start w:val="1"/>
    </w:lvl>
  </w:abstractNum>
  <w:abstractNum w:abstractNumId="17">
    <w:nsid w:val="19A52566"/>
    <w:multiLevelType w:val="hybridMultilevel"/>
    <w:lvl w:ilvl="0">
      <w:lvlJc w:val="left"/>
      <w:lvlText w:val="•"/>
      <w:numFmt w:val="bullet"/>
      <w:start w:val="1"/>
    </w:lvl>
  </w:abstractNum>
  <w:abstractNum w:abstractNumId="18">
    <w:nsid w:val="335A1DF1"/>
    <w:multiLevelType w:val="hybridMultilevel"/>
    <w:lvl w:ilvl="0">
      <w:lvlJc w:val="left"/>
      <w:lvlText w:val="•"/>
      <w:numFmt w:val="bullet"/>
      <w:start w:val="1"/>
    </w:lvl>
    <w:lvl w:ilvl="1">
      <w:lvlJc w:val="left"/>
      <w:lvlText w:val="•"/>
      <w:numFmt w:val="bullet"/>
      <w:start w:val="1"/>
    </w:lvl>
  </w:abstractNum>
  <w:abstractNum w:abstractNumId="19">
    <w:nsid w:val="28677B7C"/>
    <w:multiLevelType w:val="hybridMultilevel"/>
    <w:lvl w:ilvl="0">
      <w:lvlJc w:val="left"/>
      <w:lvlText w:val="•"/>
      <w:numFmt w:val="bullet"/>
      <w:start w:val="1"/>
    </w:lvl>
  </w:abstractNum>
  <w:abstractNum w:abstractNumId="20">
    <w:nsid w:val="378D97C0"/>
    <w:multiLevelType w:val="hybridMultilevel"/>
    <w:lvl w:ilvl="0">
      <w:lvlJc w:val="left"/>
      <w:lvlText w:val="•"/>
      <w:numFmt w:val="bullet"/>
      <w:start w:val="1"/>
    </w:lvl>
  </w:abstractNum>
  <w:abstractNum w:abstractNumId="21">
    <w:nsid w:val="1D91467C"/>
    <w:multiLevelType w:val="hybridMultilevel"/>
    <w:lvl w:ilvl="0">
      <w:lvlJc w:val="left"/>
      <w:lvlText w:val="(%1)"/>
      <w:numFmt w:val="lowerRoman"/>
      <w:start w:val="2"/>
    </w:lvl>
  </w:abstractNum>
  <w:abstractNum w:abstractNumId="22">
    <w:nsid w:val="316032BB"/>
    <w:multiLevelType w:val="hybridMultilevel"/>
    <w:lvl w:ilvl="0">
      <w:lvlJc w:val="left"/>
      <w:lvlText w:val="•"/>
      <w:numFmt w:val="bullet"/>
      <w:start w:val="1"/>
    </w:lvl>
  </w:abstractNum>
  <w:abstractNum w:abstractNumId="23">
    <w:nsid w:val="44344C22"/>
    <w:multiLevelType w:val="hybridMultilevel"/>
    <w:lvl w:ilvl="0">
      <w:lvlJc w:val="left"/>
      <w:lvlText w:val="•"/>
      <w:numFmt w:val="bullet"/>
      <w:start w:val="1"/>
    </w:lvl>
    <w:lvl w:ilvl="1">
      <w:lvlJc w:val="left"/>
      <w:lvlText w:val="•"/>
      <w:numFmt w:val="bullet"/>
      <w:start w:val="1"/>
    </w:lvl>
  </w:abstractNum>
  <w:abstractNum w:abstractNumId="24">
    <w:nsid w:val="13CDFCFC"/>
    <w:multiLevelType w:val="hybridMultilevel"/>
    <w:lvl w:ilvl="0">
      <w:lvlJc w:val="left"/>
      <w:lvlText w:val="•"/>
      <w:numFmt w:val="bullet"/>
      <w:start w:val="1"/>
    </w:lvl>
  </w:abstractNum>
  <w:abstractNum w:abstractNumId="25">
    <w:nsid w:val="471745E4"/>
    <w:multiLevelType w:val="hybridMultilevel"/>
    <w:lvl w:ilvl="0">
      <w:lvlJc w:val="left"/>
      <w:lvlText w:val="•"/>
      <w:numFmt w:val="bullet"/>
      <w:start w:val="1"/>
    </w:lvl>
  </w:abstractNum>
  <w:abstractNum w:abstractNumId="26">
    <w:nsid w:val="1DDBC66"/>
    <w:multiLevelType w:val="hybridMultilevel"/>
    <w:lvl w:ilvl="0">
      <w:lvlJc w:val="left"/>
      <w:lvlText w:val="•"/>
      <w:numFmt w:val="bullet"/>
      <w:start w:val="1"/>
    </w:lvl>
  </w:abstractNum>
  <w:abstractNum w:abstractNumId="27">
    <w:nsid w:val="30AADFDA"/>
    <w:multiLevelType w:val="hybridMultilevel"/>
    <w:lvl w:ilvl="0">
      <w:lvlJc w:val="left"/>
      <w:lvlText w:val="•"/>
      <w:numFmt w:val="bullet"/>
      <w:start w:val="1"/>
    </w:lvl>
    <w:lvl w:ilvl="1">
      <w:lvlJc w:val="left"/>
      <w:lvlText w:val="•"/>
      <w:numFmt w:val="bullet"/>
      <w:start w:val="1"/>
    </w:lvl>
  </w:abstractNum>
  <w:abstractNum w:abstractNumId="28">
    <w:nsid w:val="30EADA61"/>
    <w:multiLevelType w:val="hybridMultilevel"/>
    <w:lvl w:ilvl="0">
      <w:lvlJc w:val="left"/>
      <w:lvlText w:val="•"/>
      <w:numFmt w:val="bullet"/>
      <w:start w:val="1"/>
    </w:lvl>
  </w:abstractNum>
  <w:abstractNum w:abstractNumId="29">
    <w:nsid w:val="27179C0B"/>
    <w:multiLevelType w:val="hybridMultilevel"/>
    <w:lvl w:ilvl="0">
      <w:lvlJc w:val="left"/>
      <w:lvlText w:val="•"/>
      <w:numFmt w:val="bullet"/>
      <w:start w:val="1"/>
    </w:lvl>
  </w:abstractNum>
  <w:abstractNum w:abstractNumId="30">
    <w:nsid w:val="5E636063"/>
    <w:multiLevelType w:val="hybridMultilevel"/>
    <w:lvl w:ilvl="0">
      <w:lvlJc w:val="left"/>
      <w:lvlText w:val="•"/>
      <w:numFmt w:val="bullet"/>
      <w:start w:val="1"/>
    </w:lvl>
  </w:abstractNum>
  <w:abstractNum w:abstractNumId="31">
    <w:nsid w:val="215641AF"/>
    <w:multiLevelType w:val="hybridMultilevel"/>
    <w:lvl w:ilvl="0">
      <w:lvlJc w:val="left"/>
      <w:lvlText w:val="(%1)"/>
      <w:numFmt w:val="decimal"/>
      <w:start w:val="1"/>
    </w:lvl>
  </w:abstractNum>
  <w:abstractNum w:abstractNumId="32">
    <w:nsid w:val="53280662"/>
    <w:multiLevelType w:val="hybridMultilevel"/>
    <w:lvl w:ilvl="0">
      <w:lvlJc w:val="left"/>
      <w:lvlText w:val="•"/>
      <w:numFmt w:val="bullet"/>
      <w:start w:val="1"/>
    </w:lvl>
  </w:abstractNum>
  <w:abstractNum w:abstractNumId="33">
    <w:nsid w:val="46B24DBC"/>
    <w:multiLevelType w:val="hybridMultilevel"/>
    <w:lvl w:ilvl="0">
      <w:lvlJc w:val="left"/>
      <w:lvlText w:val="(%1)"/>
      <w:numFmt w:val="decimal"/>
      <w:start w:val="1"/>
    </w:lvl>
  </w:abstractNum>
  <w:abstractNum w:abstractNumId="34">
    <w:nsid w:val="75B52783"/>
    <w:multiLevelType w:val="hybridMultilevel"/>
    <w:lvl w:ilvl="0">
      <w:lvlJc w:val="left"/>
      <w:lvlText w:val="(%1)"/>
      <w:numFmt w:val="decimal"/>
      <w:start w:val="1"/>
    </w:lvl>
  </w:abstractNum>
  <w:abstractNum w:abstractNumId="35">
    <w:nsid w:val="57CE66B4"/>
    <w:multiLevelType w:val="hybridMultilevel"/>
    <w:lvl w:ilvl="0">
      <w:lvlJc w:val="left"/>
      <w:lvlText w:val="•"/>
      <w:numFmt w:val="bullet"/>
      <w:start w:val="1"/>
    </w:lvl>
  </w:abstractNum>
  <w:abstractNum w:abstractNumId="36">
    <w:nsid w:val="67A70B69"/>
    <w:multiLevelType w:val="hybridMultilevel"/>
    <w:lvl w:ilvl="0">
      <w:lvlJc w:val="left"/>
      <w:lvlText w:val="•"/>
      <w:numFmt w:val="bullet"/>
      <w:start w:val="1"/>
    </w:lvl>
  </w:abstractNum>
  <w:abstractNum w:abstractNumId="37">
    <w:nsid w:val="5953172F"/>
    <w:multiLevelType w:val="hybridMultilevel"/>
    <w:lvl w:ilvl="0">
      <w:lvlJc w:val="left"/>
      <w:lvlText w:val="•"/>
      <w:numFmt w:val="bullet"/>
      <w:start w:val="1"/>
    </w:lvl>
  </w:abstractNum>
  <w:abstractNum w:abstractNumId="38">
    <w:nsid w:val="27EDFE3A"/>
    <w:multiLevelType w:val="hybridMultilevel"/>
    <w:lvl w:ilvl="0">
      <w:lvlJc w:val="left"/>
      <w:lvlText w:val="•"/>
      <w:numFmt w:val="bullet"/>
      <w:start w:val="1"/>
    </w:lvl>
  </w:abstractNum>
  <w:abstractNum w:abstractNumId="39">
    <w:nsid w:val="52AC7DFF"/>
    <w:multiLevelType w:val="hybridMultilevel"/>
    <w:lvl w:ilvl="0">
      <w:lvlJc w:val="left"/>
      <w:lvlText w:val="(%1)"/>
      <w:numFmt w:val="decimal"/>
      <w:start w:val="1"/>
    </w:lvl>
  </w:abstractNum>
  <w:abstractNum w:abstractNumId="40">
    <w:nsid w:val="C4C3AF"/>
    <w:multiLevelType w:val="hybridMultilevel"/>
    <w:lvl w:ilvl="0">
      <w:lvlJc w:val="left"/>
      <w:lvlText w:val="%1"/>
      <w:numFmt w:val="upperLetter"/>
      <w:start w:val="53"/>
    </w:lvl>
  </w:abstractNum>
  <w:abstractNum w:abstractNumId="41">
    <w:nsid w:val="44380727"/>
    <w:multiLevelType w:val="hybridMultilevel"/>
    <w:lvl w:ilvl="0">
      <w:lvlJc w:val="left"/>
      <w:lvlText w:val="•"/>
      <w:numFmt w:val="bullet"/>
      <w:start w:val="1"/>
    </w:lvl>
  </w:abstractNum>
  <w:abstractNum w:abstractNumId="42">
    <w:nsid w:val="6C053B16"/>
    <w:multiLevelType w:val="hybridMultilevel"/>
    <w:lvl w:ilvl="0">
      <w:lvlJc w:val="left"/>
      <w:lvlText w:val="•"/>
      <w:numFmt w:val="bullet"/>
      <w:start w:val="1"/>
    </w:lvl>
  </w:abstractNum>
  <w:abstractNum w:abstractNumId="43">
    <w:nsid w:val="4F294393"/>
    <w:multiLevelType w:val="hybridMultilevel"/>
    <w:lvl w:ilvl="0">
      <w:lvlJc w:val="left"/>
      <w:lvlText w:val="•"/>
      <w:numFmt w:val="bullet"/>
      <w:start w:val="1"/>
    </w:lvl>
  </w:abstractNum>
  <w:abstractNum w:abstractNumId="44">
    <w:nsid w:val="5243BFAC"/>
    <w:multiLevelType w:val="hybridMultilevel"/>
    <w:lvl w:ilvl="0">
      <w:lvlJc w:val="left"/>
      <w:lvlText w:val="•"/>
      <w:numFmt w:val="bullet"/>
      <w:start w:val="1"/>
    </w:lvl>
  </w:abstractNum>
  <w:abstractNum w:abstractNumId="45">
    <w:nsid w:val="425EB207"/>
    <w:multiLevelType w:val="hybridMultilevel"/>
    <w:lvl w:ilvl="0">
      <w:lvlJc w:val="left"/>
      <w:lvlText w:val="•"/>
      <w:numFmt w:val="bullet"/>
      <w:start w:val="1"/>
    </w:lvl>
  </w:abstractNum>
  <w:abstractNum w:abstractNumId="46">
    <w:nsid w:val="334A6F1F"/>
    <w:multiLevelType w:val="hybridMultilevel"/>
    <w:lvl w:ilvl="0">
      <w:lvlJc w:val="left"/>
      <w:lvlText w:val="•"/>
      <w:numFmt w:val="bullet"/>
      <w:start w:val="1"/>
    </w:lvl>
  </w:abstractNum>
  <w:abstractNum w:abstractNumId="47">
    <w:nsid w:val="2E5B12B8"/>
    <w:multiLevelType w:val="hybridMultilevel"/>
    <w:lvl w:ilvl="0">
      <w:lvlJc w:val="left"/>
      <w:lvlText w:val="•"/>
      <w:numFmt w:val="bullet"/>
      <w:start w:val="1"/>
    </w:lvl>
  </w:abstractNum>
  <w:abstractNum w:abstractNumId="48">
    <w:nsid w:val="5C03D76D"/>
    <w:multiLevelType w:val="hybridMultilevel"/>
    <w:lvl w:ilvl="0">
      <w:lvlJc w:val="left"/>
      <w:lvlText w:val="•"/>
      <w:numFmt w:val="bullet"/>
      <w:start w:val="1"/>
    </w:lvl>
  </w:abstractNum>
  <w:abstractNum w:abstractNumId="49">
    <w:nsid w:val="66A48D11"/>
    <w:multiLevelType w:val="hybridMultilevel"/>
    <w:lvl w:ilvl="0">
      <w:lvlJc w:val="left"/>
      <w:lvlText w:val="•"/>
      <w:numFmt w:val="bullet"/>
      <w:start w:val="1"/>
    </w:lvl>
  </w:abstractNum>
  <w:abstractNum w:abstractNumId="50">
    <w:nsid w:val="56C28E34"/>
    <w:multiLevelType w:val="hybridMultilevel"/>
    <w:lvl w:ilvl="0">
      <w:lvlJc w:val="left"/>
      <w:lvlText w:val="(%1)"/>
      <w:numFmt w:val="decimal"/>
      <w:start w:val="1"/>
    </w:lvl>
    <w:lvl w:ilvl="1">
      <w:lvlJc w:val="left"/>
      <w:lvlText w:val="(%2)"/>
      <w:numFmt w:val="lowerRoman"/>
      <w:start w:val="1"/>
    </w:lvl>
  </w:abstractNum>
  <w:abstractNum w:abstractNumId="51">
    <w:nsid w:val="13916F2D"/>
    <w:multiLevelType w:val="hybridMultilevel"/>
    <w:lvl w:ilvl="0">
      <w:lvlJc w:val="left"/>
      <w:lvlText w:val="(%1)"/>
      <w:numFmt w:val="decimal"/>
      <w:start w:val="4"/>
    </w:lvl>
  </w:abstractNum>
  <w:abstractNum w:abstractNumId="52">
    <w:nsid w:val="435D38D"/>
    <w:multiLevelType w:val="hybridMultilevel"/>
    <w:lvl w:ilvl="0">
      <w:lvlJc w:val="left"/>
      <w:lvlText w:val="(%1)"/>
      <w:numFmt w:val="decimal"/>
      <w:start w:val="1"/>
    </w:lvl>
    <w:lvl w:ilvl="1">
      <w:lvlJc w:val="left"/>
      <w:lvlText w:val="(%2)"/>
      <w:numFmt w:val="lowerRoman"/>
      <w:start w:val="1"/>
    </w:lvl>
  </w:abstractNum>
  <w:abstractNum w:abstractNumId="53">
    <w:nsid w:val="822C0EF"/>
    <w:multiLevelType w:val="hybridMultilevel"/>
    <w:lvl w:ilvl="0">
      <w:lvlJc w:val="left"/>
      <w:lvlText w:val="(%1)"/>
      <w:numFmt w:val="lowerRoman"/>
      <w:start w:val="1"/>
    </w:lvl>
  </w:abstractNum>
  <w:abstractNum w:abstractNumId="54">
    <w:nsid w:val="57C5BB4F"/>
    <w:multiLevelType w:val="hybridMultilevel"/>
    <w:lvl w:ilvl="0">
      <w:lvlJc w:val="left"/>
      <w:lvlText w:val="(%1)"/>
      <w:numFmt w:val="lowerRoman"/>
      <w:start w:val="1"/>
    </w:lvl>
  </w:abstractNum>
  <w:abstractNum w:abstractNumId="55">
    <w:nsid w:val="1803D089"/>
    <w:multiLevelType w:val="hybridMultilevel"/>
    <w:lvl w:ilvl="0">
      <w:lvlJc w:val="left"/>
      <w:lvlText w:val="(%1)"/>
      <w:numFmt w:val="lowerRoman"/>
      <w:start w:val="2"/>
    </w:lvl>
  </w:abstractNum>
  <w:abstractNum w:abstractNumId="56">
    <w:nsid w:val="4F3A06D4"/>
    <w:multiLevelType w:val="hybridMultilevel"/>
    <w:lvl w:ilvl="0">
      <w:lvlJc w:val="left"/>
      <w:lvlText w:val="(%1)"/>
      <w:numFmt w:val="lowerRoman"/>
      <w:start w:val="1"/>
    </w:lvl>
  </w:abstractNum>
  <w:abstractNum w:abstractNumId="57">
    <w:nsid w:val="59A377B6"/>
    <w:multiLevelType w:val="hybridMultilevel"/>
    <w:lvl w:ilvl="0">
      <w:lvlJc w:val="left"/>
      <w:lvlText w:val="(%1)"/>
      <w:numFmt w:val="lowerRoman"/>
      <w:start w:val="1"/>
    </w:lvl>
  </w:abstractNum>
  <w:abstractNum w:abstractNumId="58">
    <w:nsid w:val="48AEB063"/>
    <w:multiLevelType w:val="hybridMultilevel"/>
    <w:lvl w:ilvl="0">
      <w:lvlJc w:val="left"/>
      <w:lvlText w:val="(%1)"/>
      <w:numFmt w:val="decimal"/>
      <w:start w:val="1"/>
    </w:lvl>
  </w:abstractNum>
  <w:abstractNum w:abstractNumId="59">
    <w:nsid w:val="24E135"/>
    <w:multiLevelType w:val="hybridMultilevel"/>
    <w:lvl w:ilvl="0">
      <w:lvlJc w:val="left"/>
      <w:lvlText w:val="(%1)"/>
      <w:numFmt w:val="decimal"/>
      <w:start w:val="1"/>
    </w:lvl>
    <w:lvl w:ilvl="1">
      <w:lvlJc w:val="left"/>
      <w:lvlText w:val="%2."/>
      <w:numFmt w:val="lowerLetter"/>
      <w:start w:val="1"/>
    </w:lvl>
  </w:abstractNum>
  <w:abstractNum w:abstractNumId="60">
    <w:nsid w:val="BB13C1"/>
    <w:multiLevelType w:val="hybridMultilevel"/>
    <w:lvl w:ilvl="0">
      <w:lvlJc w:val="left"/>
      <w:lvlText w:val="(%1)"/>
      <w:numFmt w:val="decimal"/>
      <w:start w:val="3"/>
    </w:lvl>
    <w:lvl w:ilvl="1">
      <w:lvlJc w:val="left"/>
      <w:lvlText w:val="%2."/>
      <w:numFmt w:val="lowerLetter"/>
      <w:start w:val="1"/>
    </w:lvl>
  </w:abstractNum>
  <w:abstractNum w:abstractNumId="61">
    <w:nsid w:val="271210C7"/>
    <w:multiLevelType w:val="hybridMultilevel"/>
    <w:lvl w:ilvl="0">
      <w:lvlJc w:val="left"/>
      <w:lvlText w:val="(%1)"/>
      <w:numFmt w:val="lowerRoman"/>
      <w:start w:val="3"/>
    </w:lvl>
  </w:abstractNum>
  <w:abstractNum w:abstractNumId="62">
    <w:nsid w:val="217B22E4"/>
    <w:multiLevelType w:val="hybridMultilevel"/>
    <w:lvl w:ilvl="0">
      <w:lvlJc w:val="left"/>
      <w:lvlText w:val="(%1)"/>
      <w:numFmt w:val="decimal"/>
      <w:start w:val="1"/>
    </w:lvl>
  </w:abstractNum>
  <w:abstractNum w:abstractNumId="63">
    <w:nsid w:val="53E31A24"/>
    <w:multiLevelType w:val="hybridMultilevel"/>
    <w:lvl w:ilvl="0">
      <w:lvlJc w:val="left"/>
      <w:lvlText w:val="(%1)"/>
      <w:numFmt w:val="decimal"/>
      <w:start w:val="1"/>
    </w:lvl>
  </w:abstractNum>
  <w:abstractNum w:abstractNumId="64">
    <w:nsid w:val="6DC45E83"/>
    <w:multiLevelType w:val="hybridMultilevel"/>
    <w:lvl w:ilvl="0">
      <w:lvlJc w:val="left"/>
      <w:lvlText w:val="(%1)"/>
      <w:numFmt w:val="decimal"/>
      <w:start w:val="1"/>
    </w:lvl>
  </w:abstractNum>
  <w:abstractNum w:abstractNumId="65">
    <w:nsid w:val="17304A67"/>
    <w:multiLevelType w:val="hybridMultilevel"/>
    <w:lvl w:ilvl="0">
      <w:lvlJc w:val="left"/>
      <w:lvlText w:val="(%1)"/>
      <w:numFmt w:val="decimal"/>
      <w:start w:val="1"/>
    </w:lvl>
  </w:abstractNum>
  <w:abstractNum w:abstractNumId="66">
    <w:nsid w:val="2BB180D8"/>
    <w:multiLevelType w:val="hybridMultilevel"/>
    <w:lvl w:ilvl="0">
      <w:lvlJc w:val="left"/>
      <w:lvlText w:val="(%1)"/>
      <w:numFmt w:val="decimal"/>
      <w:start w:val="1"/>
    </w:lvl>
  </w:abstractNum>
  <w:abstractNum w:abstractNumId="67">
    <w:nsid w:val="556B69ED"/>
    <w:multiLevelType w:val="hybridMultilevel"/>
    <w:lvl w:ilvl="0">
      <w:lvlJc w:val="left"/>
      <w:lvlText w:val="(%1)"/>
      <w:numFmt w:val="decimal"/>
      <w:start w:val="1"/>
    </w:lvl>
  </w:abstractNum>
  <w:abstractNum w:abstractNumId="68">
    <w:nsid w:val="70836196"/>
    <w:multiLevelType w:val="hybridMultilevel"/>
    <w:lvl w:ilvl="0">
      <w:lvlJc w:val="left"/>
      <w:lvlText w:val="*"/>
      <w:numFmt w:val="bullet"/>
      <w:start w:val="1"/>
    </w:lvl>
  </w:abstractNum>
  <w:abstractNum w:abstractNumId="69">
    <w:nsid w:val="539F7F12"/>
    <w:multiLevelType w:val="hybridMultilevel"/>
    <w:lvl w:ilvl="0">
      <w:lvlJc w:val="left"/>
      <w:lvlText w:val="(%1)"/>
      <w:numFmt w:val="decimal"/>
      <w:start w:val="1"/>
    </w:lvl>
  </w:abstractNum>
  <w:abstractNum w:abstractNumId="70">
    <w:nsid w:val="2817E7EC"/>
    <w:multiLevelType w:val="hybridMultilevel"/>
    <w:lvl w:ilvl="0">
      <w:lvlJc w:val="left"/>
      <w:lvlText w:val="(%1)"/>
      <w:numFmt w:val="decimal"/>
      <w:start w:val="2"/>
    </w:lvl>
  </w:abstractNum>
  <w:abstractNum w:abstractNumId="71">
    <w:nsid w:val="71482545"/>
    <w:multiLevelType w:val="hybridMultilevel"/>
    <w:lvl w:ilvl="0">
      <w:lvlJc w:val="left"/>
      <w:lvlText w:val="(%1)"/>
      <w:numFmt w:val="decimal"/>
      <w:start w:val="14"/>
    </w:lvl>
  </w:abstractNum>
  <w:abstractNum w:abstractNumId="72">
    <w:nsid w:val="17D78639"/>
    <w:multiLevelType w:val="hybridMultilevel"/>
    <w:lvl w:ilvl="0">
      <w:lvlJc w:val="left"/>
      <w:lvlText w:val="(%1)"/>
      <w:numFmt w:val="lowerLetter"/>
      <w:start w:val="2"/>
    </w:lvl>
  </w:abstractNum>
  <w:abstractNum w:abstractNumId="73">
    <w:nsid w:val="141D2302"/>
    <w:multiLevelType w:val="hybridMultilevel"/>
    <w:lvl w:ilvl="0">
      <w:lvlJc w:val="left"/>
      <w:lvlText w:val="(%1)"/>
      <w:numFmt w:val="lowerLetter"/>
      <w:start w:val="2"/>
    </w:lvl>
  </w:abstractNum>
  <w:abstractNum w:abstractNumId="74">
    <w:nsid w:val="407168D8"/>
    <w:multiLevelType w:val="hybridMultilevel"/>
    <w:lvl w:ilvl="0">
      <w:lvlJc w:val="left"/>
      <w:lvlText w:val="•"/>
      <w:numFmt w:val="bullet"/>
      <w:start w:val="1"/>
    </w:lvl>
  </w:abstractNum>
  <w:abstractNum w:abstractNumId="75">
    <w:nsid w:val="6A1B45E5"/>
    <w:multiLevelType w:val="hybridMultilevel"/>
    <w:lvl w:ilvl="0">
      <w:lvlJc w:val="left"/>
      <w:lvlText w:val="•"/>
      <w:numFmt w:val="bullet"/>
      <w:start w:val="1"/>
    </w:lvl>
  </w:abstractNum>
  <w:abstractNum w:abstractNumId="76">
    <w:nsid w:val="567BD50A"/>
    <w:multiLevelType w:val="hybridMultilevel"/>
    <w:lvl w:ilvl="0">
      <w:lvlJc w:val="left"/>
      <w:lvlText w:val="•"/>
      <w:numFmt w:val="bullet"/>
      <w:start w:val="1"/>
    </w:lvl>
  </w:abstractNum>
  <w:abstractNum w:abstractNumId="77">
    <w:nsid w:val="73BBD7F8"/>
    <w:multiLevelType w:val="hybridMultilevel"/>
    <w:lvl w:ilvl="0">
      <w:lvlJc w:val="left"/>
      <w:lvlText w:val="•"/>
      <w:numFmt w:val="bullet"/>
      <w:start w:val="1"/>
    </w:lvl>
  </w:abstractNum>
  <w:abstractNum w:abstractNumId="78">
    <w:nsid w:val="1876589D"/>
    <w:multiLevelType w:val="hybridMultilevel"/>
    <w:lvl w:ilvl="0">
      <w:lvlJc w:val="left"/>
      <w:lvlText w:val="•"/>
      <w:numFmt w:val="bullet"/>
      <w:start w:val="1"/>
    </w:lvl>
  </w:abstractNum>
  <w:abstractNum w:abstractNumId="79">
    <w:nsid w:val="327FAC77"/>
    <w:multiLevelType w:val="hybridMultilevel"/>
    <w:lvl w:ilvl="0">
      <w:lvlJc w:val="left"/>
      <w:lvlText w:val="•"/>
      <w:numFmt w:val="bullet"/>
      <w:start w:val="1"/>
    </w:lvl>
  </w:abstractNum>
  <w:abstractNum w:abstractNumId="80">
    <w:nsid w:val="5A606509"/>
    <w:multiLevelType w:val="hybridMultilevel"/>
    <w:lvl w:ilvl="0">
      <w:lvlJc w:val="left"/>
      <w:lvlText w:val="•"/>
      <w:numFmt w:val="bullet"/>
      <w:start w:val="1"/>
    </w:lvl>
  </w:abstractNum>
  <w:abstractNum w:abstractNumId="81">
    <w:nsid w:val="6F38E6D1"/>
    <w:multiLevelType w:val="hybridMultilevel"/>
    <w:lvl w:ilvl="0">
      <w:lvlJc w:val="left"/>
      <w:lvlText w:val="•"/>
      <w:numFmt w:val="bullet"/>
      <w:start w:val="1"/>
    </w:lvl>
  </w:abstractNum>
  <w:abstractNum w:abstractNumId="82">
    <w:nsid w:val="46111BA5"/>
    <w:multiLevelType w:val="hybridMultilevel"/>
    <w:lvl w:ilvl="0">
      <w:lvlJc w:val="left"/>
      <w:lvlText w:val="•"/>
      <w:numFmt w:val="bullet"/>
      <w:start w:val="1"/>
    </w:lvl>
  </w:abstractNum>
  <w:abstractNum w:abstractNumId="83">
    <w:nsid w:val="5E963896"/>
    <w:multiLevelType w:val="hybridMultilevel"/>
    <w:lvl w:ilvl="0">
      <w:lvlJc w:val="left"/>
      <w:lvlText w:val="•"/>
      <w:numFmt w:val="bullet"/>
      <w:start w:val="1"/>
    </w:lvl>
  </w:abstractNum>
  <w:abstractNum w:abstractNumId="84">
    <w:nsid w:val="775BA7C1"/>
    <w:multiLevelType w:val="hybridMultilevel"/>
    <w:lvl w:ilvl="0">
      <w:lvlJc w:val="left"/>
      <w:lvlText w:val="•"/>
      <w:numFmt w:val="bullet"/>
      <w:start w:val="1"/>
    </w:lvl>
  </w:abstractNum>
  <w:abstractNum w:abstractNumId="85">
    <w:nsid w:val="1DD6D6F4"/>
    <w:multiLevelType w:val="hybridMultilevel"/>
    <w:lvl w:ilvl="0">
      <w:lvlJc w:val="left"/>
      <w:lvlText w:val="•"/>
      <w:numFmt w:val="bullet"/>
      <w:start w:val="1"/>
    </w:lvl>
  </w:abstractNum>
  <w:abstractNum w:abstractNumId="86">
    <w:nsid w:val="769A091F"/>
    <w:multiLevelType w:val="hybridMultilevel"/>
    <w:lvl w:ilvl="0">
      <w:lvlJc w:val="left"/>
      <w:lvlText w:val="•"/>
      <w:numFmt w:val="bullet"/>
      <w:start w:val="1"/>
    </w:lvl>
  </w:abstractNum>
  <w:abstractNum w:abstractNumId="87">
    <w:nsid w:val="4695AE95"/>
    <w:multiLevelType w:val="hybridMultilevel"/>
    <w:lvl w:ilvl="0">
      <w:lvlJc w:val="left"/>
      <w:lvlText w:val="•"/>
      <w:numFmt w:val="bullet"/>
      <w:start w:val="1"/>
    </w:lvl>
  </w:abstractNum>
  <w:abstractNum w:abstractNumId="88">
    <w:nsid w:val="777A4EAA"/>
    <w:multiLevelType w:val="hybridMultilevel"/>
    <w:lvl w:ilvl="0">
      <w:lvlJc w:val="left"/>
      <w:lvlText w:val="•"/>
      <w:numFmt w:val="bullet"/>
      <w:start w:val="1"/>
    </w:lvl>
  </w:abstractNum>
  <w:abstractNum w:abstractNumId="89">
    <w:nsid w:val="3F48B982"/>
    <w:multiLevelType w:val="hybridMultilevel"/>
    <w:lvl w:ilvl="0">
      <w:lvlJc w:val="left"/>
      <w:lvlText w:val="•"/>
      <w:numFmt w:val="bullet"/>
      <w:start w:val="1"/>
    </w:lvl>
  </w:abstractNum>
  <w:abstractNum w:abstractNumId="90">
    <w:nsid w:val="46BA8FCA"/>
    <w:multiLevelType w:val="hybridMultilevel"/>
    <w:lvl w:ilvl="0">
      <w:lvlJc w:val="left"/>
      <w:lvlText w:val="•"/>
      <w:numFmt w:val="bullet"/>
      <w:start w:val="1"/>
    </w:lvl>
  </w:abstractNum>
  <w:abstractNum w:abstractNumId="91">
    <w:nsid w:val="7835626C"/>
    <w:multiLevelType w:val="hybridMultilevel"/>
    <w:lvl w:ilvl="0">
      <w:lvlJc w:val="left"/>
      <w:lvlText w:val="(%1)"/>
      <w:numFmt w:val="decimal"/>
      <w:start w:val="1"/>
    </w:lvl>
    <w:lvl w:ilvl="1">
      <w:lvlJc w:val="left"/>
      <w:lvlText w:val="(%2)"/>
      <w:numFmt w:val="lowerLetter"/>
      <w:start w:val="1"/>
    </w:lvl>
  </w:abstractNum>
  <w:abstractNum w:abstractNumId="92">
    <w:nsid w:val="665ACA49"/>
    <w:multiLevelType w:val="hybridMultilevel"/>
    <w:lvl w:ilvl="0">
      <w:lvlJc w:val="left"/>
      <w:lvlText w:val="(%1)"/>
      <w:numFmt w:val="decimal"/>
      <w:start w:val="1"/>
    </w:lvl>
  </w:abstractNum>
  <w:abstractNum w:abstractNumId="93">
    <w:nsid w:val="6835B2AE"/>
    <w:multiLevelType w:val="hybridMultilevel"/>
    <w:lvl w:ilvl="0">
      <w:lvlJc w:val="left"/>
      <w:lvlText w:val="(%1)"/>
      <w:numFmt w:val="decimal"/>
      <w:start w:val="1"/>
    </w:lvl>
  </w:abstractNum>
  <w:abstractNum w:abstractNumId="94">
    <w:nsid w:val="4C187C90"/>
    <w:multiLevelType w:val="hybridMultilevel"/>
    <w:lvl w:ilvl="0">
      <w:lvlJc w:val="left"/>
      <w:lvlText w:val="(%1)"/>
      <w:numFmt w:val="decimal"/>
      <w:start w:val="2"/>
    </w:lvl>
  </w:abstractNum>
  <w:abstractNum w:abstractNumId="95">
    <w:nsid w:val="541F28CD"/>
    <w:multiLevelType w:val="hybridMultilevel"/>
    <w:lvl w:ilvl="0">
      <w:lvlJc w:val="left"/>
      <w:lvlText w:val="(%1)"/>
      <w:numFmt w:val="decimal"/>
      <w:start w:val="1"/>
    </w:lvl>
  </w:abstractNum>
  <w:abstractNum w:abstractNumId="96">
    <w:nsid w:val="7F65FD16"/>
    <w:multiLevelType w:val="hybridMultilevel"/>
    <w:lvl w:ilvl="0">
      <w:lvlJc w:val="left"/>
      <w:lvlText w:val="(%1)"/>
      <w:numFmt w:val="decimal"/>
      <w:start w:val="1"/>
    </w:lvl>
  </w:abstractNum>
  <w:abstractNum w:abstractNumId="97">
    <w:nsid w:val="77C9FD68"/>
    <w:multiLevelType w:val="hybridMultilevel"/>
    <w:lvl w:ilvl="0">
      <w:lvlJc w:val="left"/>
      <w:lvlText w:val="(%1)"/>
      <w:numFmt w:val="decimal"/>
      <w:start w:val="3"/>
    </w:lvl>
  </w:abstractNum>
  <w:abstractNum w:abstractNumId="98">
    <w:nsid w:val="298A92BA"/>
    <w:multiLevelType w:val="hybridMultilevel"/>
    <w:lvl w:ilvl="0">
      <w:lvlJc w:val="left"/>
      <w:lvlText w:val="(%1)"/>
      <w:numFmt w:val="decimal"/>
      <w:start w:val="1"/>
    </w:lvl>
  </w:abstractNum>
  <w:abstractNum w:abstractNumId="99">
    <w:nsid w:val="6FE95EAC"/>
    <w:multiLevelType w:val="hybridMultilevel"/>
    <w:lvl w:ilvl="0">
      <w:lvlJc w:val="left"/>
      <w:lvlText w:val="(%1)"/>
      <w:numFmt w:val="decimal"/>
      <w:start w:val="1"/>
    </w:lvl>
  </w:abstractNum>
  <w:abstractNum w:abstractNumId="100">
    <w:nsid w:val="4B697C7A"/>
    <w:multiLevelType w:val="hybridMultilevel"/>
    <w:lvl w:ilvl="0">
      <w:lvlJc w:val="left"/>
      <w:lvlText w:val="%1"/>
      <w:numFmt w:val="upperLetter"/>
      <w:start w:val="1"/>
    </w:lvl>
    <w:lvl w:ilvl="1">
      <w:lvlJc w:val="left"/>
      <w:lvlText w:val="(%2)"/>
      <w:numFmt w:val="decimal"/>
      <w:start w:val="6"/>
    </w:lvl>
  </w:abstractNum>
  <w:abstractNum w:abstractNumId="101">
    <w:nsid w:val="51A27AA6"/>
    <w:multiLevelType w:val="hybridMultilevel"/>
    <w:lvl w:ilvl="0">
      <w:lvlJc w:val="left"/>
      <w:lvlText w:val="(%1)"/>
      <w:numFmt w:val="upperLetter"/>
      <w:start w:val="1"/>
    </w:lvl>
    <w:lvl w:ilvl="1">
      <w:lvlJc w:val="left"/>
      <w:lvlText w:val="(%2)"/>
      <w:numFmt w:val="decimal"/>
      <w:start w:val="7"/>
    </w:lvl>
  </w:abstractNum>
  <w:abstractNum w:abstractNumId="102">
    <w:nsid w:val="613183F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03">
    <w:nsid w:val="634102B4"/>
    <w:multiLevelType w:val="hybridMultilevel"/>
    <w:lvl w:ilvl="0">
      <w:lvlJc w:val="left"/>
      <w:lvlText w:val="(%1)"/>
      <w:numFmt w:val="decimal"/>
      <w:start w:val="1"/>
    </w:lvl>
  </w:abstractNum>
  <w:abstractNum w:abstractNumId="104">
    <w:nsid w:val="65BF9DA8"/>
    <w:multiLevelType w:val="hybridMultilevel"/>
    <w:lvl w:ilvl="0">
      <w:lvlJc w:val="left"/>
      <w:lvlText w:val="(%1)"/>
      <w:numFmt w:val="decimal"/>
      <w:start w:val="1"/>
    </w:lvl>
  </w:abstractNum>
  <w:abstractNum w:abstractNumId="105">
    <w:nsid w:val="21A2ECCA"/>
    <w:multiLevelType w:val="hybridMultilevel"/>
    <w:lvl w:ilvl="0">
      <w:lvlJc w:val="left"/>
      <w:lvlText w:val="(%1)"/>
      <w:numFmt w:val="decimal"/>
      <w:start w:val="1"/>
    </w:lvl>
  </w:abstractNum>
  <w:abstractNum w:abstractNumId="106">
    <w:nsid w:val="4D5C4899"/>
    <w:multiLevelType w:val="hybridMultilevel"/>
    <w:lvl w:ilvl="0">
      <w:lvlJc w:val="left"/>
      <w:lvlText w:val="(%1)"/>
      <w:numFmt w:val="decimal"/>
      <w:start w:val="3"/>
    </w:lvl>
    <w:lvl w:ilvl="1">
      <w:lvlJc w:val="left"/>
      <w:lvlText w:val="(%2)"/>
      <w:numFmt w:val="lowerLetter"/>
      <w:start w:val="1"/>
    </w:lvl>
  </w:abstractNum>
  <w:abstractNum w:abstractNumId="107">
    <w:nsid w:val="3C3B72B2"/>
    <w:multiLevelType w:val="hybridMultilevel"/>
    <w:lvl w:ilvl="0">
      <w:lvlJc w:val="left"/>
      <w:lvlText w:val="(%1)"/>
      <w:numFmt w:val="decimal"/>
      <w:start w:val="1"/>
    </w:lvl>
  </w:abstractNum>
  <w:abstractNum w:abstractNumId="108">
    <w:nsid w:val="155EC4C2"/>
    <w:multiLevelType w:val="hybridMultilevel"/>
    <w:lvl w:ilvl="0">
      <w:lvlJc w:val="left"/>
      <w:lvlText w:val="(%1)"/>
      <w:numFmt w:val="decimal"/>
      <w:start w:val="1"/>
    </w:lvl>
  </w:abstractNum>
  <w:abstractNum w:abstractNumId="109">
    <w:nsid w:val="65D2A137"/>
    <w:multiLevelType w:val="hybridMultilevel"/>
    <w:lvl w:ilvl="0">
      <w:lvlJc w:val="left"/>
      <w:lvlText w:val="%1"/>
      <w:numFmt w:val="lowerLetter"/>
      <w:start w:val="1"/>
    </w:lvl>
    <w:lvl w:ilvl="1">
      <w:lvlJc w:val="left"/>
      <w:lvlText w:val="(%2)"/>
      <w:numFmt w:val="decimal"/>
      <w:start w:val="1"/>
    </w:lvl>
  </w:abstractNum>
  <w:abstractNum w:abstractNumId="110">
    <w:nsid w:val="6EBB1F2A"/>
    <w:multiLevelType w:val="hybridMultilevel"/>
    <w:lvl w:ilvl="0">
      <w:lvlJc w:val="left"/>
      <w:lvlText w:val="(%1)"/>
      <w:numFmt w:val="lowerLetter"/>
      <w:start w:val="2"/>
    </w:lvl>
    <w:lvl w:ilvl="1">
      <w:lvlJc w:val="left"/>
      <w:lvlText w:val="(%2)"/>
      <w:numFmt w:val="decimal"/>
      <w:start w:val="2"/>
    </w:lvl>
  </w:abstractNum>
  <w:abstractNum w:abstractNumId="111">
    <w:nsid w:val="6FBF29CB"/>
    <w:multiLevelType w:val="hybridMultilevel"/>
    <w:lvl w:ilvl="0">
      <w:lvlJc w:val="left"/>
      <w:lvlText w:val="(%1)"/>
      <w:numFmt w:val="decimal"/>
      <w:start w:val="3"/>
    </w:lvl>
  </w:abstractNum>
  <w:abstractNum w:abstractNumId="112">
    <w:nsid w:val="550B8808"/>
    <w:multiLevelType w:val="hybridMultilevel"/>
    <w:lvl w:ilvl="0">
      <w:lvlJc w:val="left"/>
      <w:lvlText w:val="(%1)"/>
      <w:numFmt w:val="decimal"/>
      <w:start w:val="1"/>
    </w:lvl>
  </w:abstractNum>
  <w:abstractNum w:abstractNumId="113">
    <w:nsid w:val="34CC3ACF"/>
    <w:multiLevelType w:val="hybridMultilevel"/>
    <w:lvl w:ilvl="0">
      <w:lvlJc w:val="left"/>
      <w:lvlText w:val="(%1)"/>
      <w:numFmt w:val="decimal"/>
      <w:start w:val="3"/>
    </w:lvl>
    <w:lvl w:ilvl="1">
      <w:lvlJc w:val="left"/>
      <w:lvlText w:val="(%2)"/>
      <w:numFmt w:val="lowerLetter"/>
      <w:start w:val="34"/>
    </w:lvl>
    <w:lvl w:ilvl="2">
      <w:lvlJc w:val="left"/>
      <w:lvlText w:val="(%3)"/>
      <w:numFmt w:val="lowerLetter"/>
      <w:start w:val="1"/>
    </w:lvl>
  </w:abstractNum>
  <w:abstractNum w:abstractNumId="114">
    <w:nsid w:val="4E556261"/>
    <w:multiLevelType w:val="hybridMultilevel"/>
    <w:lvl w:ilvl="0">
      <w:lvlJc w:val="left"/>
      <w:lvlText w:val="(%1)"/>
      <w:numFmt w:val="lowerLetter"/>
      <w:start w:val="25"/>
    </w:lvl>
    <w:lvl w:ilvl="1">
      <w:lvlJc w:val="left"/>
      <w:lvlText w:val="(%2)"/>
      <w:numFmt w:val="lowerLetter"/>
      <w:start w:val="4"/>
    </w:lvl>
  </w:abstractNum>
  <w:abstractNum w:abstractNumId="115">
    <w:nsid w:val="4C672FC9"/>
    <w:multiLevelType w:val="hybridMultilevel"/>
    <w:lvl w:ilvl="0">
      <w:lvlJc w:val="left"/>
      <w:lvlText w:val="(%1)"/>
      <w:numFmt w:val="lowerLetter"/>
      <w:start w:val="5"/>
    </w:lvl>
  </w:abstractNum>
  <w:abstractNum w:abstractNumId="116">
    <w:nsid w:val="52A311C3"/>
    <w:multiLevelType w:val="hybridMultilevel"/>
    <w:lvl w:ilvl="0">
      <w:lvlJc w:val="left"/>
      <w:lvlText w:val="(%1)"/>
      <w:numFmt w:val="decimal"/>
      <w:start w:val="1"/>
    </w:lvl>
  </w:abstractNum>
  <w:abstractNum w:abstractNumId="117">
    <w:nsid w:val="44EF6B80"/>
    <w:multiLevelType w:val="hybridMultilevel"/>
    <w:lvl w:ilvl="0">
      <w:lvlJc w:val="left"/>
      <w:lvlText w:val="(%1)"/>
      <w:numFmt w:val="decimal"/>
      <w:start w:val="7"/>
    </w:lvl>
  </w:abstractNum>
  <w:abstractNum w:abstractNumId="118">
    <w:nsid w:val="12FCDE5E"/>
    <w:multiLevelType w:val="hybridMultilevel"/>
    <w:lvl w:ilvl="0">
      <w:lvlJc w:val="left"/>
      <w:lvlText w:val="(%1)"/>
      <w:numFmt w:val="decimal"/>
      <w:start w:val="2"/>
    </w:lvl>
  </w:abstractNum>
  <w:abstractNum w:abstractNumId="119">
    <w:nsid w:val="4A1D606E"/>
    <w:multiLevelType w:val="hybridMultilevel"/>
    <w:lvl w:ilvl="0">
      <w:lvlJc w:val="left"/>
      <w:lvlText w:val="%1"/>
      <w:numFmt w:val="lowerRoman"/>
      <w:start w:val="1"/>
    </w:lvl>
    <w:lvl w:ilvl="1">
      <w:lvlJc w:val="left"/>
      <w:lvlText w:val="(%2)"/>
      <w:numFmt w:val="decimal"/>
      <w:start w:val="1"/>
    </w:lvl>
  </w:abstractNum>
  <w:abstractNum w:abstractNumId="120">
    <w:nsid w:val="4382503"/>
    <w:multiLevelType w:val="hybridMultilevel"/>
    <w:lvl w:ilvl="0">
      <w:lvlJc w:val="left"/>
      <w:lvlText w:val="(%1)"/>
      <w:numFmt w:val="lowerRoman"/>
      <w:start w:val="2"/>
    </w:lvl>
    <w:lvl w:ilvl="1">
      <w:lvlJc w:val="left"/>
      <w:lvlText w:val="(%2)"/>
      <w:numFmt w:val="decimal"/>
      <w:start w:val="2"/>
    </w:lvl>
  </w:abstractNum>
  <w:abstractNum w:abstractNumId="121">
    <w:nsid w:val="59B76E28"/>
    <w:multiLevelType w:val="hybridMultilevel"/>
    <w:lvl w:ilvl="0">
      <w:lvlJc w:val="left"/>
      <w:lvlText w:val="(%1)"/>
      <w:numFmt w:val="decimal"/>
      <w:start w:val="4"/>
    </w:lvl>
    <w:lvl w:ilvl="1">
      <w:lvlJc w:val="left"/>
      <w:lvlText w:val="(%2)"/>
      <w:numFmt w:val="lowerLetter"/>
      <w:start w:val="1"/>
    </w:lvl>
  </w:abstractNum>
  <w:abstractNum w:abstractNumId="122">
    <w:nsid w:val="4252C2DA"/>
    <w:multiLevelType w:val="hybridMultilevel"/>
    <w:lvl w:ilvl="0">
      <w:lvlJc w:val="left"/>
      <w:lvlText w:val="%1"/>
      <w:numFmt w:val="upperLetter"/>
      <w:start w:val="1"/>
    </w:lvl>
    <w:lvl w:ilvl="1">
      <w:lvlJc w:val="left"/>
      <w:lvlText w:val="(%2)"/>
      <w:numFmt w:val="decimal"/>
      <w:start w:val="5"/>
    </w:lvl>
    <w:lvl w:ilvl="2">
      <w:lvlJc w:val="left"/>
      <w:lvlText w:val="(%3)"/>
      <w:numFmt w:val="lowerLetter"/>
      <w:start w:val="1"/>
    </w:lvl>
  </w:abstractNum>
  <w:abstractNum w:abstractNumId="123">
    <w:nsid w:val="6A92EF4C"/>
    <w:multiLevelType w:val="hybridMultilevel"/>
    <w:lvl w:ilvl="0">
      <w:lvlJc w:val="left"/>
      <w:lvlText w:val="%1"/>
      <w:numFmt w:val="decimal"/>
      <w:start w:val="1"/>
    </w:lvl>
    <w:lvl w:ilvl="1">
      <w:lvlJc w:val="left"/>
      <w:lvlText w:val="(%2)"/>
      <w:numFmt w:val="lowerLetter"/>
      <w:start w:val="1"/>
    </w:lvl>
  </w:abstractNum>
  <w:abstractNum w:abstractNumId="124">
    <w:nsid w:val="41ED20D7"/>
    <w:multiLevelType w:val="hybridMultilevel"/>
    <w:lvl w:ilvl="0">
      <w:lvlJc w:val="left"/>
      <w:lvlText w:val="(%1)"/>
      <w:numFmt w:val="decimal"/>
      <w:start w:val="11"/>
    </w:lvl>
    <w:lvl w:ilvl="1">
      <w:lvlJc w:val="left"/>
      <w:lvlText w:val="%2"/>
      <w:numFmt w:val="lowerLetter"/>
      <w:start w:val="1"/>
    </w:lvl>
  </w:abstractNum>
  <w:abstractNum w:abstractNumId="125">
    <w:nsid w:val="E6B3F6A"/>
    <w:multiLevelType w:val="hybridMultilevel"/>
    <w:lvl w:ilvl="0">
      <w:lvlJc w:val="left"/>
      <w:lvlText w:val="(%1)"/>
      <w:numFmt w:val="decimal"/>
      <w:start w:val="1"/>
    </w:lvl>
    <w:lvl w:ilvl="1">
      <w:lvlJc w:val="left"/>
      <w:lvlText w:val="(%2)"/>
      <w:numFmt w:val="lowerLetter"/>
      <w:start w:val="1"/>
    </w:lvl>
  </w:abstractNum>
  <w:abstractNum w:abstractNumId="126">
    <w:nsid w:val="3EB21819"/>
    <w:multiLevelType w:val="hybridMultilevel"/>
    <w:lvl w:ilvl="0">
      <w:lvlJc w:val="left"/>
      <w:lvlText w:val="(%1)"/>
      <w:numFmt w:val="decimal"/>
      <w:start w:val="1"/>
    </w:lvl>
  </w:abstractNum>
  <w:abstractNum w:abstractNumId="127">
    <w:nsid w:val="41531DED"/>
    <w:multiLevelType w:val="hybridMultilevel"/>
    <w:lvl w:ilvl="0">
      <w:lvlJc w:val="left"/>
      <w:lvlText w:val="(%1)"/>
      <w:numFmt w:val="decimal"/>
      <w:start w:val="1"/>
    </w:lvl>
  </w:abstractNum>
  <w:abstractNum w:abstractNumId="128">
    <w:nsid w:val="6353CD2"/>
    <w:multiLevelType w:val="hybridMultilevel"/>
    <w:lvl w:ilvl="0">
      <w:lvlJc w:val="left"/>
      <w:lvlText w:val="(%1)"/>
      <w:numFmt w:val="decimal"/>
      <w:start w:val="6"/>
    </w:lvl>
  </w:abstractNum>
  <w:abstractNum w:abstractNumId="129">
    <w:nsid w:val="683CAAD3"/>
    <w:multiLevelType w:val="hybridMultilevel"/>
    <w:lvl w:ilvl="0">
      <w:lvlJc w:val="left"/>
      <w:lvlText w:val="(%1)"/>
      <w:numFmt w:val="decimal"/>
      <w:start w:val="1"/>
    </w:lvl>
    <w:lvl w:ilvl="1">
      <w:lvlJc w:val="left"/>
      <w:lvlText w:val="(%2)"/>
      <w:numFmt w:val="lowerLetter"/>
      <w:start w:val="1"/>
    </w:lvl>
  </w:abstractNum>
  <w:abstractNum w:abstractNumId="130">
    <w:nsid w:val="313C7C99"/>
    <w:multiLevelType w:val="hybridMultilevel"/>
    <w:lvl w:ilvl="0">
      <w:lvlJc w:val="left"/>
      <w:lvlText w:val="(%1)"/>
      <w:numFmt w:val="decimal"/>
      <w:start w:val="1"/>
    </w:lvl>
  </w:abstractNum>
  <w:abstractNum w:abstractNumId="131">
    <w:nsid w:val="519EB94C"/>
    <w:multiLevelType w:val="hybridMultilevel"/>
    <w:lvl w:ilvl="0">
      <w:lvlJc w:val="left"/>
      <w:lvlText w:val="(%1)"/>
      <w:numFmt w:val="decimal"/>
      <w:start w:val="2"/>
    </w:lvl>
    <w:lvl w:ilvl="1">
      <w:lvlJc w:val="left"/>
      <w:lvlText w:val="(%2)"/>
      <w:numFmt w:val="lowerLetter"/>
      <w:start w:val="1"/>
    </w:lvl>
  </w:abstractNum>
  <w:abstractNum w:abstractNumId="132">
    <w:nsid w:val="39DF2579"/>
    <w:multiLevelType w:val="hybridMultilevel"/>
    <w:lvl w:ilvl="0">
      <w:lvlJc w:val="left"/>
      <w:lvlText w:val="(%1)"/>
      <w:numFmt w:val="decimal"/>
      <w:start w:val="1"/>
    </w:lvl>
  </w:abstractNum>
  <w:abstractNum w:abstractNumId="133">
    <w:nsid w:val="126E008B"/>
    <w:multiLevelType w:val="hybridMultilevel"/>
    <w:lvl w:ilvl="0">
      <w:lvlJc w:val="left"/>
      <w:lvlText w:val="(%1)"/>
      <w:numFmt w:val="decimal"/>
      <w:start w:val="7"/>
    </w:lvl>
  </w:abstractNum>
  <w:abstractNum w:abstractNumId="134">
    <w:nsid w:val="34DFBC00"/>
    <w:multiLevelType w:val="hybridMultilevel"/>
    <w:lvl w:ilvl="0">
      <w:lvlJc w:val="left"/>
      <w:lvlText w:val="(%1)"/>
      <w:numFmt w:val="decimal"/>
      <w:start w:val="1"/>
    </w:lvl>
  </w:abstractNum>
  <w:abstractNum w:abstractNumId="135">
    <w:nsid w:val="1F9EC322"/>
    <w:multiLevelType w:val="hybridMultilevel"/>
    <w:lvl w:ilvl="0">
      <w:lvlJc w:val="left"/>
      <w:lvlText w:val="(%1)"/>
      <w:numFmt w:val="decimal"/>
      <w:start w:val="1"/>
    </w:lvl>
  </w:abstractNum>
  <w:abstractNum w:abstractNumId="136">
    <w:nsid w:val="3410ED56"/>
    <w:multiLevelType w:val="hybridMultilevel"/>
    <w:lvl w:ilvl="0">
      <w:lvlJc w:val="left"/>
      <w:lvlText w:val="(%1)"/>
      <w:numFmt w:val="decimal"/>
      <w:start w:val="3"/>
    </w:lvl>
  </w:abstractNum>
  <w:abstractNum w:abstractNumId="137">
    <w:nsid w:val="23C049A"/>
    <w:multiLevelType w:val="hybridMultilevel"/>
    <w:lvl w:ilvl="0">
      <w:lvlJc w:val="left"/>
      <w:lvlText w:val="(%1)"/>
      <w:numFmt w:val="decimal"/>
      <w:start w:val="1"/>
    </w:lvl>
  </w:abstractNum>
  <w:abstractNum w:abstractNumId="138">
    <w:nsid w:val="5BDA35D4"/>
    <w:multiLevelType w:val="hybridMultilevel"/>
    <w:lvl w:ilvl="0">
      <w:lvlJc w:val="left"/>
      <w:lvlText w:val="(%1)"/>
      <w:numFmt w:val="decimal"/>
      <w:start w:val="1"/>
    </w:lvl>
    <w:lvl w:ilvl="1">
      <w:lvlJc w:val="left"/>
      <w:lvlText w:val="(%2)"/>
      <w:numFmt w:val="lowerLetter"/>
      <w:start w:val="1"/>
    </w:lvl>
  </w:abstractNum>
  <w:abstractNum w:abstractNumId="139">
    <w:nsid w:val="496FB218"/>
    <w:multiLevelType w:val="hybridMultilevel"/>
    <w:lvl w:ilvl="0">
      <w:lvlJc w:val="left"/>
      <w:lvlText w:val="(%1)"/>
      <w:numFmt w:val="decimal"/>
      <w:start w:val="1"/>
    </w:lvl>
  </w:abstractNum>
  <w:abstractNum w:abstractNumId="140">
    <w:nsid w:val="680EA5D1"/>
    <w:multiLevelType w:val="hybridMultilevel"/>
    <w:lvl w:ilvl="0">
      <w:lvlJc w:val="left"/>
      <w:lvlText w:val="(%1)"/>
      <w:numFmt w:val="decimal"/>
      <w:start w:val="1"/>
    </w:lvl>
  </w:abstractNum>
  <w:abstractNum w:abstractNumId="141">
    <w:nsid w:val="4A9554FE"/>
    <w:multiLevelType w:val="hybridMultilevel"/>
    <w:lvl w:ilvl="0">
      <w:lvlJc w:val="left"/>
      <w:lvlText w:val="(%1)"/>
      <w:numFmt w:val="decimal"/>
      <w:start w:val="1"/>
    </w:lvl>
  </w:abstractNum>
  <w:abstractNum w:abstractNumId="142">
    <w:nsid w:val="392EDBE4"/>
    <w:multiLevelType w:val="hybridMultilevel"/>
    <w:lvl w:ilvl="0">
      <w:lvlJc w:val="left"/>
      <w:lvlText w:val="(%1)"/>
      <w:numFmt w:val="decimal"/>
      <w:start w:val="1"/>
    </w:lvl>
    <w:lvl w:ilvl="1">
      <w:lvlJc w:val="left"/>
      <w:lvlText w:val="(%2)"/>
      <w:numFmt w:val="lowerLetter"/>
      <w:start w:val="2"/>
    </w:lvl>
  </w:abstractNum>
  <w:abstractNum w:abstractNumId="143">
    <w:nsid w:val="3D1A2DD9"/>
    <w:multiLevelType w:val="hybridMultilevel"/>
    <w:lvl w:ilvl="0">
      <w:lvlJc w:val="left"/>
      <w:lvlText w:val="(%1)"/>
      <w:numFmt w:val="decimal"/>
      <w:start w:val="2"/>
    </w:lvl>
    <w:lvl w:ilvl="1">
      <w:lvlJc w:val="left"/>
      <w:lvlText w:val="(%2)"/>
      <w:numFmt w:val="lowerLetter"/>
      <w:start w:val="1"/>
    </w:lvl>
  </w:abstractNum>
  <w:abstractNum w:abstractNumId="144">
    <w:nsid w:val="7F618FCD"/>
    <w:multiLevelType w:val="hybridMultilevel"/>
    <w:lvl w:ilvl="0">
      <w:lvlJc w:val="left"/>
      <w:lvlText w:val="(%1)"/>
      <w:numFmt w:val="decimal"/>
      <w:start w:val="1"/>
    </w:lvl>
  </w:abstractNum>
  <w:abstractNum w:abstractNumId="145">
    <w:nsid w:val="7843E45"/>
    <w:multiLevelType w:val="hybridMultilevel"/>
    <w:lvl w:ilvl="0">
      <w:lvlJc w:val="left"/>
      <w:lvlText w:val="(%1)"/>
      <w:numFmt w:val="decimal"/>
      <w:start w:val="2"/>
    </w:lvl>
    <w:lvl w:ilvl="1">
      <w:lvlJc w:val="left"/>
      <w:lvlText w:val="(%2)"/>
      <w:numFmt w:val="lowerLetter"/>
      <w:start w:val="1"/>
    </w:lvl>
  </w:abstractNum>
  <w:abstractNum w:abstractNumId="146">
    <w:nsid w:val="9815DA3"/>
    <w:multiLevelType w:val="hybridMultilevel"/>
    <w:lvl w:ilvl="0">
      <w:lvlJc w:val="left"/>
      <w:lvlText w:val="(%1)"/>
      <w:numFmt w:val="decimal"/>
      <w:start w:val="1"/>
    </w:lvl>
  </w:abstractNum>
  <w:abstractNum w:abstractNumId="147">
    <w:nsid w:val="5204A191"/>
    <w:multiLevelType w:val="hybridMultilevel"/>
    <w:lvl w:ilvl="0">
      <w:lvlJc w:val="left"/>
      <w:lvlText w:val="(%1)"/>
      <w:numFmt w:val="decimal"/>
      <w:start w:val="1"/>
    </w:lvl>
  </w:abstractNum>
  <w:abstractNum w:abstractNumId="148">
    <w:nsid w:val="4C73A9C6"/>
    <w:multiLevelType w:val="hybridMultilevel"/>
    <w:lvl w:ilvl="0">
      <w:lvlJc w:val="left"/>
      <w:lvlText w:val="(%1)"/>
      <w:numFmt w:val="decimal"/>
      <w:start w:val="1"/>
    </w:lvl>
    <w:lvl w:ilvl="1">
      <w:lvlJc w:val="left"/>
      <w:lvlText w:val="(%2)"/>
      <w:numFmt w:val="lowerLetter"/>
      <w:start w:val="1"/>
    </w:lvl>
  </w:abstractNum>
  <w:abstractNum w:abstractNumId="149">
    <w:nsid w:val="1C7E3C01"/>
    <w:multiLevelType w:val="hybridMultilevel"/>
    <w:lvl w:ilvl="0">
      <w:lvlJc w:val="left"/>
      <w:lvlText w:val="%1"/>
      <w:numFmt w:val="decimal"/>
      <w:start w:val="1"/>
    </w:lvl>
    <w:lvl w:ilvl="1">
      <w:lvlJc w:val="left"/>
      <w:lvlText w:val="(%2)"/>
      <w:numFmt w:val="lowerLetter"/>
      <w:start w:val="2"/>
    </w:lvl>
  </w:abstractNum>
  <w:abstractNum w:abstractNumId="150">
    <w:nsid w:val="1C2201FF"/>
    <w:multiLevelType w:val="hybridMultilevel"/>
    <w:lvl w:ilvl="0">
      <w:lvlJc w:val="left"/>
      <w:lvlText w:val="(%1)"/>
      <w:numFmt w:val="decimal"/>
      <w:start w:val="4"/>
    </w:lvl>
    <w:lvl w:ilvl="1">
      <w:lvlJc w:val="left"/>
      <w:lvlText w:val="(%2)"/>
      <w:numFmt w:val="lowerLetter"/>
      <w:start w:val="1"/>
    </w:lvl>
  </w:abstractNum>
  <w:abstractNum w:abstractNumId="151">
    <w:nsid w:val="50ABCEC9"/>
    <w:multiLevelType w:val="hybridMultilevel"/>
    <w:lvl w:ilvl="0">
      <w:lvlJc w:val="left"/>
      <w:lvlText w:val="(%1)"/>
      <w:numFmt w:val="decimal"/>
      <w:start w:val="11"/>
    </w:lvl>
  </w:abstractNum>
  <w:abstractNum w:abstractNumId="152">
    <w:nsid w:val="7635AA2A"/>
    <w:multiLevelType w:val="hybridMultilevel"/>
    <w:lvl w:ilvl="0">
      <w:lvlJc w:val="left"/>
      <w:lvlText w:val="(%1)"/>
      <w:numFmt w:val="decimal"/>
      <w:start w:val="1"/>
    </w:lvl>
  </w:abstractNum>
  <w:abstractNum w:abstractNumId="153">
    <w:nsid w:val="5E74C4D9"/>
    <w:multiLevelType w:val="hybridMultilevel"/>
    <w:lvl w:ilvl="0">
      <w:lvlJc w:val="left"/>
      <w:lvlText w:val="(%1)"/>
      <w:numFmt w:val="decimal"/>
      <w:start w:val="1"/>
    </w:lvl>
  </w:abstractNum>
  <w:abstractNum w:abstractNumId="154">
    <w:nsid w:val="3B3EBE15"/>
    <w:multiLevelType w:val="hybridMultilevel"/>
    <w:lvl w:ilvl="0">
      <w:lvlJc w:val="left"/>
      <w:lvlText w:val="(%1)"/>
      <w:numFmt w:val="decimal"/>
      <w:start w:val="1"/>
    </w:lvl>
  </w:abstractNum>
  <w:abstractNum w:abstractNumId="155">
    <w:nsid w:val="3822CB01"/>
    <w:multiLevelType w:val="hybridMultilevel"/>
    <w:lvl w:ilvl="0">
      <w:lvlJc w:val="left"/>
      <w:lvlText w:val="%1"/>
      <w:numFmt w:val="lowerLetter"/>
      <w:start w:val="1"/>
    </w:lvl>
    <w:lvl w:ilvl="1">
      <w:lvlJc w:val="left"/>
      <w:lvlText w:val="(%2)"/>
      <w:numFmt w:val="decimal"/>
      <w:start w:val="1"/>
    </w:lvl>
  </w:abstractNum>
  <w:abstractNum w:abstractNumId="156">
    <w:nsid w:val="6CE00443"/>
    <w:multiLevelType w:val="hybridMultilevel"/>
    <w:lvl w:ilvl="0">
      <w:lvlJc w:val="left"/>
      <w:lvlText w:val="(%1)"/>
      <w:numFmt w:val="lowerLetter"/>
      <w:start w:val="1"/>
    </w:lvl>
    <w:lvl w:ilvl="1">
      <w:lvlJc w:val="left"/>
      <w:lvlText w:val="(%2)"/>
      <w:numFmt w:val="decimal"/>
      <w:start w:val="3"/>
    </w:lvl>
  </w:abstractNum>
  <w:abstractNum w:abstractNumId="157">
    <w:nsid w:val="79F0D62F"/>
    <w:multiLevelType w:val="hybridMultilevel"/>
    <w:lvl w:ilvl="0">
      <w:lvlJc w:val="left"/>
      <w:lvlText w:val="(%1)"/>
      <w:numFmt w:val="decimal"/>
      <w:start w:val="5"/>
    </w:lvl>
  </w:abstractNum>
  <w:abstractNum w:abstractNumId="158">
    <w:nsid w:val="7975E8EE"/>
    <w:multiLevelType w:val="hybridMultilevel"/>
    <w:lvl w:ilvl="0">
      <w:lvlJc w:val="left"/>
      <w:lvlText w:val="(%1)"/>
      <w:numFmt w:val="decimal"/>
      <w:start w:val="1"/>
    </w:lvl>
  </w:abstractNum>
  <w:abstractNum w:abstractNumId="159">
    <w:nsid w:val="73154115"/>
    <w:multiLevelType w:val="hybridMultilevel"/>
    <w:lvl w:ilvl="0">
      <w:lvlJc w:val="left"/>
      <w:lvlText w:val="(%1)"/>
      <w:numFmt w:val="decimal"/>
      <w:start w:val="5"/>
    </w:lvl>
  </w:abstractNum>
  <w:abstractNum w:abstractNumId="160">
    <w:nsid w:val="622D8102"/>
    <w:multiLevelType w:val="hybridMultilevel"/>
    <w:lvl w:ilvl="0">
      <w:lvlJc w:val="left"/>
      <w:lvlText w:val="%1"/>
      <w:numFmt w:val="lowerLetter"/>
      <w:start w:val="1"/>
    </w:lvl>
    <w:lvl w:ilvl="1">
      <w:lvlJc w:val="left"/>
      <w:lvlText w:val="(%2)"/>
      <w:numFmt w:val="decimal"/>
      <w:start w:val="1"/>
    </w:lvl>
  </w:abstractNum>
  <w:abstractNum w:abstractNumId="161">
    <w:nsid w:val="2AB26587"/>
    <w:multiLevelType w:val="hybridMultilevel"/>
    <w:lvl w:ilvl="0">
      <w:lvlJc w:val="left"/>
      <w:lvlText w:val="(%1)"/>
      <w:numFmt w:val="lowerLetter"/>
      <w:start w:val="1"/>
    </w:lvl>
    <w:lvl w:ilvl="1">
      <w:lvlJc w:val="left"/>
      <w:lvlText w:val="(%2)"/>
      <w:numFmt w:val="decimal"/>
      <w:start w:val="10"/>
    </w:lvl>
  </w:abstractNum>
  <w:abstractNum w:abstractNumId="162">
    <w:nsid w:val="44B3FA61"/>
    <w:multiLevelType w:val="hybridMultilevel"/>
    <w:lvl w:ilvl="0">
      <w:lvlJc w:val="left"/>
      <w:lvlText w:val="(%1)"/>
      <w:numFmt w:val="decimal"/>
      <w:start w:val="1"/>
    </w:lvl>
  </w:abstractNum>
  <w:abstractNum w:abstractNumId="163">
    <w:nsid w:val="1C0CA67C"/>
    <w:multiLevelType w:val="hybridMultilevel"/>
    <w:lvl w:ilvl="0">
      <w:lvlJc w:val="left"/>
      <w:lvlText w:val="(%1)"/>
      <w:numFmt w:val="decimal"/>
      <w:start w:val="7"/>
    </w:lvl>
  </w:abstractNum>
  <w:abstractNum w:abstractNumId="164">
    <w:nsid w:val="3D206613"/>
    <w:multiLevelType w:val="hybridMultilevel"/>
    <w:lvl w:ilvl="0">
      <w:lvlJc w:val="left"/>
      <w:lvlText w:val="(%1)"/>
      <w:numFmt w:val="decimal"/>
      <w:start w:val="1"/>
    </w:lvl>
    <w:lvl w:ilvl="1">
      <w:lvlJc w:val="left"/>
      <w:lvlText w:val="(%2)"/>
      <w:numFmt w:val="lowerLetter"/>
      <w:start w:val="1"/>
    </w:lvl>
  </w:abstractNum>
  <w:abstractNum w:abstractNumId="165">
    <w:nsid w:val="7993B662"/>
    <w:multiLevelType w:val="hybridMultilevel"/>
    <w:lvl w:ilvl="0">
      <w:lvlJc w:val="left"/>
      <w:lvlText w:val="(%1)"/>
      <w:numFmt w:val="decimal"/>
      <w:start w:val="1"/>
    </w:lvl>
  </w:abstractNum>
  <w:abstractNum w:abstractNumId="166">
    <w:nsid w:val="3BAB699E"/>
    <w:multiLevelType w:val="hybridMultilevel"/>
    <w:lvl w:ilvl="0">
      <w:lvlJc w:val="left"/>
      <w:lvlText w:val="(%1)"/>
      <w:numFmt w:val="decimal"/>
      <w:start w:val="1"/>
    </w:lvl>
  </w:abstractNum>
  <w:abstractNum w:abstractNumId="167">
    <w:nsid w:val="71315369"/>
    <w:multiLevelType w:val="hybridMultilevel"/>
    <w:lvl w:ilvl="0">
      <w:lvlJc w:val="left"/>
      <w:lvlText w:val="(%1)"/>
      <w:numFmt w:val="decimal"/>
      <w:start w:val="1"/>
    </w:lvl>
  </w:abstractNum>
  <w:abstractNum w:abstractNumId="168">
    <w:nsid w:val="7BCFBAFC"/>
    <w:multiLevelType w:val="hybridMultilevel"/>
    <w:lvl w:ilvl="0">
      <w:lvlJc w:val="left"/>
      <w:lvlText w:val="(%1)"/>
      <w:numFmt w:val="decimal"/>
      <w:start w:val="1"/>
    </w:lvl>
  </w:abstractNum>
  <w:abstractNum w:abstractNumId="169">
    <w:nsid w:val="17859F72"/>
    <w:multiLevelType w:val="hybridMultilevel"/>
    <w:lvl w:ilvl="0">
      <w:lvlJc w:val="left"/>
      <w:lvlText w:val="(%1)"/>
      <w:numFmt w:val="decimal"/>
      <w:start w:val="1"/>
    </w:lvl>
  </w:abstractNum>
  <w:abstractNum w:abstractNumId="170">
    <w:nsid w:val="3AA10581"/>
    <w:multiLevelType w:val="hybridMultilevel"/>
    <w:lvl w:ilvl="0">
      <w:lvlJc w:val="left"/>
      <w:lvlText w:val="(%1)"/>
      <w:numFmt w:val="decimal"/>
      <w:start w:val="1"/>
    </w:lvl>
  </w:abstractNum>
  <w:abstractNum w:abstractNumId="171">
    <w:nsid w:val="63DE60CD"/>
    <w:multiLevelType w:val="hybridMultilevel"/>
    <w:lvl w:ilvl="0">
      <w:lvlJc w:val="left"/>
      <w:lvlText w:val="(%1)"/>
      <w:numFmt w:val="decimal"/>
      <w:start w:val="2"/>
    </w:lvl>
  </w:abstractNum>
  <w:abstractNum w:abstractNumId="172">
    <w:nsid w:val="621AF47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73">
    <w:nsid w:val="73CFE165"/>
    <w:multiLevelType w:val="hybridMultilevel"/>
    <w:lvl w:ilvl="0">
      <w:lvlJc w:val="left"/>
      <w:lvlText w:val="(%1)"/>
      <w:numFmt w:val="lowerLetter"/>
      <w:start w:val="35"/>
    </w:lvl>
    <w:lvl w:ilvl="1">
      <w:lvlJc w:val="left"/>
      <w:lvlText w:val="(%2)"/>
      <w:numFmt w:val="decimal"/>
      <w:start w:val="12"/>
    </w:lvl>
    <w:lvl w:ilvl="2">
      <w:lvlJc w:val="left"/>
      <w:lvlText w:val="%3"/>
      <w:numFmt w:val="lowerLetter"/>
      <w:start w:val="1"/>
    </w:lvl>
  </w:abstractNum>
  <w:abstractNum w:abstractNumId="174">
    <w:nsid w:val="20F88EA6"/>
    <w:multiLevelType w:val="hybridMultilevel"/>
    <w:lvl w:ilvl="0">
      <w:lvlJc w:val="left"/>
      <w:lvlText w:val="(%1)"/>
      <w:numFmt w:val="decimal"/>
      <w:start w:val="14"/>
    </w:lvl>
  </w:abstractNum>
  <w:abstractNum w:abstractNumId="175">
    <w:nsid w:val="617C843E"/>
    <w:multiLevelType w:val="hybridMultilevel"/>
    <w:lvl w:ilvl="0">
      <w:lvlJc w:val="left"/>
      <w:lvlText w:val="(%1)"/>
      <w:numFmt w:val="decimal"/>
      <w:start w:val="1"/>
    </w:lvl>
  </w:abstractNum>
  <w:abstractNum w:abstractNumId="176">
    <w:nsid w:val="7B541FAB"/>
    <w:multiLevelType w:val="hybridMultilevel"/>
    <w:lvl w:ilvl="0">
      <w:lvlJc w:val="left"/>
      <w:lvlText w:val="(%1)"/>
      <w:numFmt w:val="decimal"/>
      <w:start w:val="1"/>
    </w:lvl>
  </w:abstractNum>
  <w:abstractNum w:abstractNumId="177">
    <w:nsid w:val="2A79EC49"/>
    <w:multiLevelType w:val="hybridMultilevel"/>
    <w:lvl w:ilvl="0">
      <w:lvlJc w:val="left"/>
      <w:lvlText w:val="(%1)"/>
      <w:numFmt w:val="decimal"/>
      <w:start w:val="3"/>
    </w:lvl>
  </w:abstractNum>
  <w:abstractNum w:abstractNumId="178">
    <w:nsid w:val="338125CF"/>
    <w:multiLevelType w:val="hybridMultilevel"/>
    <w:lvl w:ilvl="0">
      <w:lvlJc w:val="left"/>
      <w:lvlText w:val="(%1)"/>
      <w:numFmt w:val="decimal"/>
      <w:start w:val="1"/>
    </w:lvl>
  </w:abstractNum>
  <w:abstractNum w:abstractNumId="179">
    <w:nsid w:val="47C7C971"/>
    <w:multiLevelType w:val="hybridMultilevel"/>
    <w:lvl w:ilvl="0">
      <w:lvlJc w:val="left"/>
      <w:lvlText w:val="(%1)"/>
      <w:numFmt w:val="decimal"/>
      <w:start w:val="1"/>
    </w:lvl>
    <w:lvl w:ilvl="1">
      <w:lvlJc w:val="left"/>
      <w:lvlText w:val="(%2)"/>
      <w:numFmt w:val="lowerLetter"/>
      <w:start w:val="1"/>
    </w:lvl>
  </w:abstractNum>
  <w:abstractNum w:abstractNumId="180">
    <w:nsid w:val="46F8284B"/>
    <w:multiLevelType w:val="hybridMultilevel"/>
    <w:lvl w:ilvl="0">
      <w:lvlJc w:val="left"/>
      <w:lvlText w:val="(%1)"/>
      <w:numFmt w:val="decimal"/>
      <w:start w:val="4"/>
    </w:lvl>
  </w:abstractNum>
  <w:abstractNum w:abstractNumId="181">
    <w:nsid w:val="4FA327CE"/>
    <w:multiLevelType w:val="hybridMultilevel"/>
    <w:lvl w:ilvl="0">
      <w:lvlJc w:val="left"/>
      <w:lvlText w:val="(%1)"/>
      <w:numFmt w:val="decimal"/>
      <w:start w:val="1"/>
    </w:lvl>
  </w:abstractNum>
  <w:abstractNum w:abstractNumId="182">
    <w:nsid w:val="1873983A"/>
    <w:multiLevelType w:val="hybridMultilevel"/>
    <w:lvl w:ilvl="0">
      <w:lvlJc w:val="left"/>
      <w:lvlText w:val="(%1)"/>
      <w:numFmt w:val="decimal"/>
      <w:start w:val="1"/>
    </w:lvl>
  </w:abstractNum>
  <w:abstractNum w:abstractNumId="183">
    <w:nsid w:val="3D2DD275"/>
    <w:multiLevelType w:val="hybridMultilevel"/>
    <w:lvl w:ilvl="0">
      <w:lvlJc w:val="left"/>
      <w:lvlText w:val="(%1)"/>
      <w:numFmt w:val="lowerLetter"/>
      <w:start w:val="1"/>
    </w:lvl>
  </w:abstractNum>
  <w:abstractNum w:abstractNumId="184">
    <w:nsid w:val="2E17ECA7"/>
    <w:multiLevelType w:val="hybridMultilevel"/>
    <w:lvl w:ilvl="0">
      <w:lvlJc w:val="left"/>
      <w:lvlText w:val="(%1)"/>
      <w:numFmt w:val="decimal"/>
      <w:start w:val="1"/>
    </w:lvl>
  </w:abstractNum>
  <w:abstractNum w:abstractNumId="185">
    <w:nsid w:val="53B2564F"/>
    <w:multiLevelType w:val="hybridMultilevel"/>
    <w:lvl w:ilvl="0">
      <w:lvlJc w:val="left"/>
      <w:lvlText w:val="(%1)"/>
      <w:numFmt w:val="decimal"/>
      <w:start w:val="1"/>
    </w:lvl>
  </w:abstractNum>
  <w:abstractNum w:abstractNumId="186">
    <w:nsid w:val="75509D76"/>
    <w:multiLevelType w:val="hybridMultilevel"/>
    <w:lvl w:ilvl="0">
      <w:lvlJc w:val="left"/>
      <w:lvlText w:val="(%1)"/>
      <w:numFmt w:val="decimal"/>
      <w:start w:val="1"/>
    </w:lvl>
  </w:abstractNum>
  <w:abstractNum w:abstractNumId="187">
    <w:nsid w:val="1AF7F0EA"/>
    <w:multiLevelType w:val="hybridMultilevel"/>
    <w:lvl w:ilvl="0">
      <w:lvlJc w:val="left"/>
      <w:lvlText w:val="(%1)"/>
      <w:numFmt w:val="decimal"/>
      <w:start w:val="1"/>
    </w:lvl>
  </w:abstractNum>
  <w:abstractNum w:abstractNumId="188">
    <w:nsid w:val="4DA32C7E"/>
    <w:multiLevelType w:val="hybridMultilevel"/>
    <w:lvl w:ilvl="0">
      <w:lvlJc w:val="left"/>
      <w:lvlText w:val="(%1)"/>
      <w:numFmt w:val="decimal"/>
      <w:start w:val="2"/>
    </w:lvl>
  </w:abstractNum>
  <w:abstractNum w:abstractNumId="189">
    <w:nsid w:val="6EC68664"/>
    <w:multiLevelType w:val="hybridMultilevel"/>
    <w:lvl w:ilvl="0">
      <w:lvlJc w:val="left"/>
      <w:lvlText w:val="(%1)"/>
      <w:numFmt w:val="decimal"/>
      <w:start w:val="1"/>
    </w:lvl>
  </w:abstractNum>
  <w:abstractNum w:abstractNumId="190">
    <w:nsid w:val="E0D31FF"/>
    <w:multiLevelType w:val="hybridMultilevel"/>
    <w:lvl w:ilvl="0">
      <w:lvlJc w:val="left"/>
      <w:lvlText w:val="(%1)"/>
      <w:numFmt w:val="decimal"/>
      <w:start w:val="1"/>
    </w:lvl>
  </w:abstractNum>
  <w:abstractNum w:abstractNumId="191">
    <w:nsid w:val="2FD0AD81"/>
    <w:multiLevelType w:val="hybridMultilevel"/>
    <w:lvl w:ilvl="0">
      <w:lvlJc w:val="left"/>
      <w:lvlText w:val="(%1)"/>
      <w:numFmt w:val="decimal"/>
      <w:start w:val="1"/>
    </w:lvl>
  </w:abstractNum>
  <w:abstractNum w:abstractNumId="192">
    <w:nsid w:val="1978EBEB"/>
    <w:multiLevelType w:val="hybridMultilevel"/>
    <w:lvl w:ilvl="0">
      <w:lvlJc w:val="left"/>
      <w:lvlText w:val="(%1)"/>
      <w:numFmt w:val="decimal"/>
      <w:start w:val="1"/>
    </w:lvl>
  </w:abstractNum>
  <w:abstractNum w:abstractNumId="193">
    <w:nsid w:val="52C12C61"/>
    <w:multiLevelType w:val="hybridMultilevel"/>
    <w:lvl w:ilvl="0">
      <w:lvlJc w:val="left"/>
      <w:lvlText w:val="(%1)"/>
      <w:numFmt w:val="decimal"/>
      <w:start w:val="1"/>
    </w:lvl>
  </w:abstractNum>
  <w:abstractNum w:abstractNumId="194">
    <w:nsid w:val="4BDD53FD"/>
    <w:multiLevelType w:val="hybridMultilevel"/>
    <w:lvl w:ilvl="0">
      <w:lvlJc w:val="left"/>
      <w:lvlText w:val="(%1)"/>
      <w:numFmt w:val="decimal"/>
      <w:start w:val="1"/>
    </w:lvl>
  </w:abstractNum>
  <w:abstractNum w:abstractNumId="195">
    <w:nsid w:val="569951FE"/>
    <w:multiLevelType w:val="hybridMultilevel"/>
    <w:lvl w:ilvl="0">
      <w:lvlJc w:val="left"/>
      <w:lvlText w:val="(%1)"/>
      <w:numFmt w:val="decimal"/>
      <w:start w:val="1"/>
    </w:lvl>
  </w:abstractNum>
  <w:abstractNum w:abstractNumId="196">
    <w:nsid w:val="4C54E2C3"/>
    <w:multiLevelType w:val="hybridMultilevel"/>
    <w:lvl w:ilvl="0">
      <w:lvlJc w:val="left"/>
      <w:lvlText w:val="(%1)"/>
      <w:numFmt w:val="decimal"/>
      <w:start w:val="1"/>
    </w:lvl>
  </w:abstractNum>
  <w:abstractNum w:abstractNumId="197">
    <w:nsid w:val="788BD9B"/>
    <w:multiLevelType w:val="hybridMultilevel"/>
    <w:lvl w:ilvl="0">
      <w:lvlJc w:val="left"/>
      <w:lvlText w:val="(%1)"/>
      <w:numFmt w:val="decimal"/>
      <w:start w:val="3"/>
    </w:lvl>
    <w:lvl w:ilvl="1">
      <w:lvlJc w:val="left"/>
      <w:lvlText w:val="(%2)"/>
      <w:numFmt w:val="lowerLetter"/>
      <w:start w:val="1"/>
    </w:lvl>
  </w:abstractNum>
  <w:abstractNum w:abstractNumId="198">
    <w:nsid w:val="47CAA567"/>
    <w:multiLevelType w:val="hybridMultilevel"/>
    <w:lvl w:ilvl="0">
      <w:lvlJc w:val="left"/>
      <w:lvlText w:val="(%1)"/>
      <w:numFmt w:val="decimal"/>
      <w:start w:val="1"/>
    </w:lvl>
  </w:abstractNum>
  <w:abstractNum w:abstractNumId="199">
    <w:nsid w:val="48249DBF"/>
    <w:multiLevelType w:val="hybridMultilevel"/>
    <w:lvl w:ilvl="0">
      <w:lvlJc w:val="left"/>
      <w:lvlText w:val="(%1)"/>
      <w:numFmt w:val="decimal"/>
      <w:start w:val="1"/>
    </w:lvl>
  </w:abstractNum>
  <w:abstractNum w:abstractNumId="200">
    <w:nsid w:val="1F0E5D0D"/>
    <w:multiLevelType w:val="hybridMultilevel"/>
    <w:lvl w:ilvl="0">
      <w:lvlJc w:val="left"/>
      <w:lvlText w:val="(%1)"/>
      <w:numFmt w:val="decimal"/>
      <w:start w:val="1"/>
    </w:lvl>
  </w:abstractNum>
  <w:abstractNum w:abstractNumId="201">
    <w:nsid w:val="26BAAE9"/>
    <w:multiLevelType w:val="hybridMultilevel"/>
    <w:lvl w:ilvl="0">
      <w:lvlJc w:val="left"/>
      <w:lvlText w:val="(%1)"/>
      <w:numFmt w:val="decimal"/>
      <w:start w:val="1"/>
    </w:lvl>
  </w:abstractNum>
  <w:abstractNum w:abstractNumId="202">
    <w:nsid w:val="2C02FE8C"/>
    <w:multiLevelType w:val="hybridMultilevel"/>
    <w:lvl w:ilvl="0">
      <w:lvlJc w:val="left"/>
      <w:lvlText w:val="%1"/>
      <w:numFmt w:val="lowerRoman"/>
      <w:start w:val="1"/>
    </w:lvl>
    <w:lvl w:ilvl="1">
      <w:lvlJc w:val="left"/>
      <w:lvlText w:val="(%2)"/>
      <w:numFmt w:val="decimal"/>
      <w:start w:val="1"/>
    </w:lvl>
  </w:abstractNum>
  <w:abstractNum w:abstractNumId="203">
    <w:nsid w:val="129517E"/>
    <w:multiLevelType w:val="hybridMultilevel"/>
    <w:lvl w:ilvl="0">
      <w:lvlJc w:val="left"/>
      <w:lvlText w:val="(%1)"/>
      <w:numFmt w:val="lowerRoman"/>
      <w:start w:val="2"/>
    </w:lvl>
    <w:lvl w:ilvl="1">
      <w:lvlJc w:val="left"/>
      <w:lvlText w:val="(%2)"/>
      <w:numFmt w:val="decimal"/>
      <w:start w:val="4"/>
    </w:lvl>
  </w:abstractNum>
  <w:abstractNum w:abstractNumId="204">
    <w:nsid w:val="763B8C4E"/>
    <w:multiLevelType w:val="hybridMultilevel"/>
    <w:lvl w:ilvl="0">
      <w:lvlJc w:val="left"/>
      <w:lvlText w:val="%1"/>
      <w:numFmt w:val="lowerLetter"/>
      <w:start w:val="1"/>
    </w:lvl>
    <w:lvl w:ilvl="1">
      <w:lvlJc w:val="left"/>
      <w:lvlText w:val="(%2)"/>
      <w:numFmt w:val="decimal"/>
      <w:start w:val="1"/>
    </w:lvl>
  </w:abstractNum>
  <w:abstractNum w:abstractNumId="205">
    <w:nsid w:val="4CFB8D32"/>
    <w:multiLevelType w:val="hybridMultilevel"/>
    <w:lvl w:ilvl="0">
      <w:lvlJc w:val="left"/>
      <w:lvlText w:val="(%1)"/>
      <w:numFmt w:val="lowerLetter"/>
      <w:start w:val="1"/>
    </w:lvl>
    <w:lvl w:ilvl="1">
      <w:lvlJc w:val="left"/>
      <w:lvlText w:val="%2"/>
      <w:numFmt w:val="decimal"/>
      <w:start w:val="1"/>
    </w:lvl>
  </w:abstractNum>
  <w:abstractNum w:abstractNumId="206">
    <w:nsid w:val="62A5D5BD"/>
    <w:multiLevelType w:val="hybridMultilevel"/>
    <w:lvl w:ilvl="0">
      <w:lvlJc w:val="left"/>
      <w:lvlText w:val="(%1)"/>
      <w:numFmt w:val="decimal"/>
      <w:start w:val="3"/>
    </w:lvl>
  </w:abstractNum>
  <w:abstractNum w:abstractNumId="207">
    <w:nsid w:val="718FABF9"/>
    <w:multiLevelType w:val="hybridMultilevel"/>
    <w:lvl w:ilvl="0">
      <w:lvlJc w:val="left"/>
      <w:lvlText w:val="(%1)"/>
      <w:numFmt w:val="decimal"/>
      <w:start w:val="1"/>
    </w:lvl>
    <w:lvl w:ilvl="1">
      <w:lvlJc w:val="left"/>
      <w:lvlText w:val="(%2)"/>
      <w:numFmt w:val="lowerLetter"/>
      <w:start w:val="1"/>
    </w:lvl>
  </w:abstractNum>
  <w:abstractNum w:abstractNumId="208">
    <w:nsid w:val="7775797C"/>
    <w:multiLevelType w:val="hybridMultilevel"/>
    <w:lvl w:ilvl="0">
      <w:lvlJc w:val="left"/>
      <w:lvlText w:val="(%1)"/>
      <w:numFmt w:val="decimal"/>
      <w:start w:val="8"/>
    </w:lvl>
  </w:abstractNum>
  <w:abstractNum w:abstractNumId="209">
    <w:nsid w:val="1626FB8C"/>
    <w:multiLevelType w:val="hybridMultilevel"/>
    <w:lvl w:ilvl="0">
      <w:lvlJc w:val="left"/>
      <w:lvlText w:val="(%1)"/>
      <w:numFmt w:val="decimal"/>
      <w:start w:val="1"/>
    </w:lvl>
    <w:lvl w:ilvl="1">
      <w:lvlJc w:val="left"/>
      <w:lvlText w:val="(%2)"/>
      <w:numFmt w:val="lowerLetter"/>
      <w:start w:val="1"/>
    </w:lvl>
  </w:abstractNum>
  <w:abstractNum w:abstractNumId="210">
    <w:nsid w:val="3957756A"/>
    <w:multiLevelType w:val="hybridMultilevel"/>
    <w:lvl w:ilvl="0">
      <w:lvlJc w:val="left"/>
      <w:lvlText w:val="(%1)"/>
      <w:numFmt w:val="decimal"/>
      <w:start w:val="4"/>
    </w:lvl>
  </w:abstractNum>
  <w:abstractNum w:abstractNumId="211">
    <w:nsid w:val="3E6DA1C7"/>
    <w:multiLevelType w:val="hybridMultilevel"/>
    <w:lvl w:ilvl="0">
      <w:lvlJc w:val="left"/>
      <w:lvlText w:val="(%1)"/>
      <w:numFmt w:val="decimal"/>
      <w:start w:val="14"/>
    </w:lvl>
    <w:lvl w:ilvl="1">
      <w:lvlJc w:val="left"/>
      <w:lvlText w:val="(%2)"/>
      <w:numFmt w:val="lowerLetter"/>
      <w:start w:val="1"/>
    </w:lvl>
  </w:abstractNum>
  <w:abstractNum w:abstractNumId="212">
    <w:nsid w:val="65CA235B"/>
    <w:multiLevelType w:val="hybridMultilevel"/>
    <w:lvl w:ilvl="0">
      <w:lvlJc w:val="left"/>
      <w:lvlText w:val="%1"/>
      <w:numFmt w:val="decimal"/>
      <w:start w:val="1"/>
    </w:lvl>
    <w:lvl w:ilvl="1">
      <w:lvlJc w:val="left"/>
      <w:lvlText w:val="(%2)"/>
      <w:numFmt w:val="lowerLetter"/>
      <w:start w:val="1"/>
    </w:lvl>
  </w:abstractNum>
  <w:abstractNum w:abstractNumId="213">
    <w:nsid w:val="51CB0DA4"/>
    <w:multiLevelType w:val="hybridMultilevel"/>
    <w:lvl w:ilvl="0">
      <w:lvlJc w:val="left"/>
      <w:lvlText w:val="(%1)"/>
      <w:numFmt w:val="decimal"/>
      <w:start w:val="23"/>
    </w:lvl>
    <w:lvl w:ilvl="1">
      <w:lvlJc w:val="left"/>
      <w:lvlText w:val="%2"/>
      <w:numFmt w:val="lowerLetter"/>
      <w:start w:val="1"/>
    </w:lvl>
  </w:abstractNum>
  <w:abstractNum w:abstractNumId="214">
    <w:nsid w:val="7B9B743C"/>
    <w:multiLevelType w:val="hybridMultilevel"/>
    <w:lvl w:ilvl="0">
      <w:lvlJc w:val="left"/>
      <w:lvlText w:val="(%1)"/>
      <w:numFmt w:val="decimal"/>
      <w:start w:val="1"/>
    </w:lvl>
  </w:abstractNum>
  <w:abstractNum w:abstractNumId="215">
    <w:nsid w:val="13E21002"/>
    <w:multiLevelType w:val="hybridMultilevel"/>
    <w:lvl w:ilvl="0">
      <w:lvlJc w:val="left"/>
      <w:lvlText w:val="(%1)"/>
      <w:numFmt w:val="decimal"/>
      <w:start w:val="2"/>
    </w:lvl>
  </w:abstractNum>
  <w:abstractNum w:abstractNumId="216">
    <w:nsid w:val="257D63F4"/>
    <w:multiLevelType w:val="hybridMultilevel"/>
    <w:lvl w:ilvl="0">
      <w:lvlJc w:val="left"/>
      <w:lvlText w:val="(%1)"/>
      <w:numFmt w:val="decimal"/>
      <w:start w:val="1"/>
    </w:lvl>
  </w:abstractNum>
  <w:abstractNum w:abstractNumId="217">
    <w:nsid w:val="70EC11B2"/>
    <w:multiLevelType w:val="hybridMultilevel"/>
    <w:lvl w:ilvl="0">
      <w:lvlJc w:val="left"/>
      <w:lvlText w:val="(%1)"/>
      <w:numFmt w:val="decimal"/>
      <w:start w:val="1"/>
    </w:lvl>
  </w:abstractNum>
  <w:abstractNum w:abstractNumId="218">
    <w:nsid w:val="2EDA00ED"/>
    <w:multiLevelType w:val="hybridMultilevel"/>
    <w:lvl w:ilvl="0">
      <w:lvlJc w:val="left"/>
      <w:lvlText w:val="(%1)"/>
      <w:numFmt w:val="decimal"/>
      <w:start w:val="1"/>
    </w:lvl>
  </w:abstractNum>
  <w:abstractNum w:abstractNumId="219">
    <w:nsid w:val="73209072"/>
    <w:multiLevelType w:val="hybridMultilevel"/>
    <w:lvl w:ilvl="0">
      <w:lvlJc w:val="left"/>
      <w:lvlText w:val="(%1)"/>
      <w:numFmt w:val="decimal"/>
      <w:start w:val="1"/>
    </w:lvl>
  </w:abstractNum>
  <w:abstractNum w:abstractNumId="220">
    <w:nsid w:val="5FB29816"/>
    <w:multiLevelType w:val="hybridMultilevel"/>
    <w:lvl w:ilvl="0">
      <w:lvlJc w:val="left"/>
      <w:lvlText w:val="(%1)"/>
      <w:numFmt w:val="decimal"/>
      <w:start w:val="1"/>
    </w:lvl>
  </w:abstractNum>
  <w:abstractNum w:abstractNumId="221">
    <w:nsid w:val="3CE732EC"/>
    <w:multiLevelType w:val="hybridMultilevel"/>
    <w:lvl w:ilvl="0">
      <w:lvlJc w:val="left"/>
      <w:lvlText w:val="(%1)"/>
      <w:numFmt w:val="decimal"/>
      <w:start w:val="1"/>
    </w:lvl>
  </w:abstractNum>
  <w:abstractNum w:abstractNumId="222">
    <w:nsid w:val="22F13DF3"/>
    <w:multiLevelType w:val="hybridMultilevel"/>
    <w:lvl w:ilvl="0">
      <w:lvlJc w:val="left"/>
      <w:lvlText w:val="(%1)"/>
      <w:numFmt w:val="decimal"/>
      <w:start w:val="1"/>
    </w:lvl>
  </w:abstractNum>
  <w:abstractNum w:abstractNumId="223">
    <w:nsid w:val="792B8401"/>
    <w:multiLevelType w:val="hybridMultilevel"/>
    <w:lvl w:ilvl="0">
      <w:lvlJc w:val="left"/>
      <w:lvlText w:val="•"/>
      <w:numFmt w:val="bullet"/>
      <w:start w:val="1"/>
    </w:lvl>
  </w:abstractNum>
  <w:abstractNum w:abstractNumId="224">
    <w:nsid w:val="FA85F4D"/>
    <w:multiLevelType w:val="hybridMultilevel"/>
    <w:lvl w:ilvl="0">
      <w:lvlJc w:val="left"/>
      <w:lvlText w:val="•"/>
      <w:numFmt w:val="bullet"/>
      <w:start w:val="1"/>
    </w:lvl>
  </w:abstractNum>
  <w:abstractNum w:abstractNumId="225">
    <w:nsid w:val="6ECE91F0"/>
    <w:multiLevelType w:val="hybridMultilevel"/>
    <w:lvl w:ilvl="0">
      <w:lvlJc w:val="left"/>
      <w:lvlText w:val="•"/>
      <w:numFmt w:val="bullet"/>
      <w:start w:val="1"/>
    </w:lvl>
  </w:abstractNum>
  <w:abstractNum w:abstractNumId="226">
    <w:nsid w:val="4FC4D600"/>
    <w:multiLevelType w:val="hybridMultilevel"/>
    <w:lvl w:ilvl="0">
      <w:lvlJc w:val="left"/>
      <w:lvlText w:val="(%1)"/>
      <w:numFmt w:val="decimal"/>
      <w:start w:val="1"/>
    </w:lvl>
    <w:lvl w:ilvl="1">
      <w:lvlJc w:val="left"/>
      <w:lvlText w:val="(%2)"/>
      <w:numFmt w:val="lowerLetter"/>
      <w:start w:val="1"/>
    </w:lvl>
  </w:abstractNum>
  <w:abstractNum w:abstractNumId="227">
    <w:nsid w:val="5BFD4210"/>
    <w:multiLevelType w:val="hybridMultilevel"/>
    <w:lvl w:ilvl="0">
      <w:lvlJc w:val="left"/>
      <w:lvlText w:val="(%1)"/>
      <w:numFmt w:val="decimal"/>
      <w:start w:val="1"/>
    </w:lvl>
  </w:abstractNum>
  <w:abstractNum w:abstractNumId="228">
    <w:nsid w:val="76574F8B"/>
    <w:multiLevelType w:val="hybridMultilevel"/>
    <w:lvl w:ilvl="0">
      <w:lvlJc w:val="left"/>
      <w:lvlText w:val="(%1)"/>
      <w:numFmt w:val="decimal"/>
      <w:start w:val="3"/>
    </w:lvl>
  </w:abstractNum>
  <w:abstractNum w:abstractNumId="229">
    <w:nsid w:val="178F7B67"/>
    <w:multiLevelType w:val="hybridMultilevel"/>
    <w:lvl w:ilvl="0">
      <w:lvlJc w:val="left"/>
      <w:lvlText w:val="(%1)"/>
      <w:numFmt w:val="decimal"/>
      <w:start w:val="1"/>
    </w:lvl>
  </w:abstractNum>
  <w:abstractNum w:abstractNumId="230">
    <w:nsid w:val="2421DFCF"/>
    <w:multiLevelType w:val="hybridMultilevel"/>
    <w:lvl w:ilvl="0">
      <w:lvlJc w:val="left"/>
      <w:lvlText w:val="(%1)"/>
      <w:numFmt w:val="decimal"/>
      <w:start w:val="1"/>
    </w:lvl>
  </w:abstractNum>
  <w:abstractNum w:abstractNumId="231">
    <w:nsid w:val="1565AC99"/>
    <w:multiLevelType w:val="hybridMultilevel"/>
    <w:lvl w:ilvl="0">
      <w:lvlJc w:val="left"/>
      <w:lvlText w:val="(%1)"/>
      <w:numFmt w:val="decimal"/>
      <w:start w:val="1"/>
    </w:lvl>
  </w:abstractNum>
  <w:abstractNum w:abstractNumId="232">
    <w:nsid w:val="19FB2650"/>
    <w:multiLevelType w:val="hybridMultilevel"/>
    <w:lvl w:ilvl="0">
      <w:lvlJc w:val="left"/>
      <w:lvlText w:val="(%1)"/>
      <w:numFmt w:val="decimal"/>
      <w:start w:val="3"/>
    </w:lvl>
  </w:abstractNum>
  <w:abstractNum w:abstractNumId="233">
    <w:nsid w:val="5024DE5B"/>
    <w:multiLevelType w:val="hybridMultilevel"/>
    <w:lvl w:ilvl="0">
      <w:lvlJc w:val="left"/>
      <w:lvlText w:val="%1"/>
      <w:numFmt w:val="decimal"/>
      <w:start w:val="1"/>
    </w:lvl>
    <w:lvl w:ilvl="1">
      <w:lvlJc w:val="left"/>
      <w:lvlText w:val="(%2)"/>
      <w:numFmt w:val="decimal"/>
      <w:start w:val="1"/>
    </w:lvl>
  </w:abstractNum>
  <w:abstractNum w:abstractNumId="234">
    <w:nsid w:val="168EFE17"/>
    <w:multiLevelType w:val="hybridMultilevel"/>
    <w:lvl w:ilvl="0">
      <w:lvlJc w:val="left"/>
      <w:lvlText w:val="(%1)"/>
      <w:numFmt w:val="decimal"/>
      <w:start w:val="6"/>
    </w:lvl>
    <w:lvl w:ilvl="1">
      <w:lvlJc w:val="left"/>
      <w:lvlText w:val="(%2)"/>
      <w:numFmt w:val="decimal"/>
      <w:start w:val="8"/>
    </w:lvl>
  </w:abstractNum>
  <w:abstractNum w:abstractNumId="235">
    <w:nsid w:val="1036B29F"/>
    <w:multiLevelType w:val="hybridMultilevel"/>
    <w:lvl w:ilvl="0">
      <w:lvlJc w:val="left"/>
      <w:lvlText w:val="(%1)"/>
      <w:numFmt w:val="decimal"/>
      <w:start w:val="6"/>
    </w:lvl>
    <w:lvl w:ilvl="1">
      <w:lvlJc w:val="left"/>
      <w:lvlText w:val="%2"/>
      <w:numFmt w:val="decimal"/>
      <w:start w:val="1"/>
    </w:lvl>
  </w:abstractNum>
  <w:abstractNum w:abstractNumId="236">
    <w:nsid w:val="1D206B8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37">
    <w:nsid w:val="7934D3D4"/>
    <w:multiLevelType w:val="hybridMultilevel"/>
    <w:lvl w:ilvl="0">
      <w:lvlJc w:val="left"/>
      <w:lvlText w:val="(%1)"/>
      <w:numFmt w:val="decimal"/>
      <w:start w:val="1"/>
    </w:lvl>
  </w:abstractNum>
  <w:abstractNum w:abstractNumId="238">
    <w:nsid w:val="1C65E98"/>
    <w:multiLevelType w:val="hybridMultilevel"/>
    <w:lvl w:ilvl="0">
      <w:lvlJc w:val="left"/>
      <w:lvlText w:val="(%1)"/>
      <w:numFmt w:val="decimal"/>
      <w:start w:val="1"/>
    </w:lvl>
  </w:abstractNum>
  <w:abstractNum w:abstractNumId="239">
    <w:nsid w:val="1495E50A"/>
    <w:multiLevelType w:val="hybridMultilevel"/>
    <w:lvl w:ilvl="0">
      <w:lvlJc w:val="left"/>
      <w:lvlText w:val="(%1)"/>
      <w:numFmt w:val="decimal"/>
      <w:start w:val="1"/>
    </w:lvl>
    <w:lvl w:ilvl="1">
      <w:lvlJc w:val="left"/>
      <w:lvlText w:val="(%2)"/>
      <w:numFmt w:val="lowerLetter"/>
      <w:start w:val="1"/>
    </w:lvl>
  </w:abstractNum>
  <w:abstractNum w:abstractNumId="240">
    <w:nsid w:val="F5BCF61"/>
    <w:multiLevelType w:val="hybridMultilevel"/>
    <w:lvl w:ilvl="0">
      <w:lvlJc w:val="left"/>
      <w:lvlText w:val="(%1)"/>
      <w:numFmt w:val="decimal"/>
      <w:start w:val="1"/>
    </w:lvl>
  </w:abstractNum>
  <w:abstractNum w:abstractNumId="241">
    <w:nsid w:val="3B1DD403"/>
    <w:multiLevelType w:val="hybridMultilevel"/>
    <w:lvl w:ilvl="0">
      <w:lvlJc w:val="left"/>
      <w:lvlText w:val="(%1)"/>
      <w:numFmt w:val="decimal"/>
      <w:start w:val="3"/>
    </w:lvl>
  </w:abstractNum>
  <w:abstractNum w:abstractNumId="242">
    <w:nsid w:val="530386D1"/>
    <w:multiLevelType w:val="hybridMultilevel"/>
    <w:lvl w:ilvl="0">
      <w:lvlJc w:val="left"/>
      <w:lvlText w:val="(%1)"/>
      <w:numFmt w:val="decimal"/>
      <w:start w:val="2"/>
    </w:lvl>
  </w:abstractNum>
  <w:abstractNum w:abstractNumId="243">
    <w:nsid w:val="7525F2BC"/>
    <w:multiLevelType w:val="hybridMultilevel"/>
    <w:lvl w:ilvl="0">
      <w:lvlJc w:val="left"/>
      <w:lvlText w:val="(%1)"/>
      <w:numFmt w:val="decimal"/>
      <w:start w:val="1"/>
    </w:lvl>
  </w:abstractNum>
  <w:abstractNum w:abstractNumId="244">
    <w:nsid w:val="CE8E1A7"/>
    <w:multiLevelType w:val="hybridMultilevel"/>
    <w:lvl w:ilvl="0">
      <w:lvlJc w:val="left"/>
      <w:lvlText w:val="%1"/>
      <w:numFmt w:val="lowerLetter"/>
      <w:start w:val="1"/>
    </w:lvl>
    <w:lvl w:ilvl="1">
      <w:lvlJc w:val="left"/>
      <w:lvlText w:val="(%2)"/>
      <w:numFmt w:val="decimal"/>
      <w:start w:val="1"/>
    </w:lvl>
  </w:abstractNum>
  <w:abstractNum w:abstractNumId="245">
    <w:nsid w:val="4E9EFB0D"/>
    <w:multiLevelType w:val="hybridMultilevel"/>
    <w:lvl w:ilvl="0">
      <w:lvlJc w:val="left"/>
      <w:lvlText w:val="(%1)"/>
      <w:numFmt w:val="lowerLetter"/>
      <w:start w:val="2"/>
    </w:lvl>
    <w:lvl w:ilvl="1">
      <w:lvlJc w:val="left"/>
      <w:lvlText w:val="(%2)"/>
      <w:numFmt w:val="decimal"/>
      <w:start w:val="2"/>
    </w:lvl>
  </w:abstractNum>
  <w:abstractNum w:abstractNumId="246">
    <w:nsid w:val="90802BE"/>
    <w:multiLevelType w:val="hybridMultilevel"/>
    <w:lvl w:ilvl="0">
      <w:lvlJc w:val="left"/>
      <w:lvlText w:val="(%1)"/>
      <w:numFmt w:val="decimal"/>
      <w:start w:val="1"/>
    </w:lvl>
  </w:abstractNum>
  <w:abstractNum w:abstractNumId="247">
    <w:nsid w:val="3266459B"/>
    <w:multiLevelType w:val="hybridMultilevel"/>
    <w:lvl w:ilvl="0">
      <w:lvlJc w:val="left"/>
      <w:lvlText w:val="(%1)"/>
      <w:numFmt w:val="decimal"/>
      <w:start w:val="3"/>
    </w:lvl>
    <w:lvl w:ilvl="1">
      <w:lvlJc w:val="left"/>
      <w:lvlText w:val="(%2)"/>
      <w:numFmt w:val="lowerLetter"/>
      <w:start w:val="1"/>
    </w:lvl>
  </w:abstractNum>
  <w:abstractNum w:abstractNumId="248">
    <w:nsid w:val="3F8B0CBF"/>
    <w:multiLevelType w:val="hybridMultilevel"/>
    <w:lvl w:ilvl="0">
      <w:lvlJc w:val="left"/>
      <w:lvlText w:val="%1"/>
      <w:numFmt w:val="lowerLetter"/>
      <w:start w:val="1"/>
    </w:lvl>
    <w:lvl w:ilvl="1">
      <w:lvlJc w:val="left"/>
      <w:lvlText w:val="(%2)"/>
      <w:numFmt w:val="lowerLetter"/>
      <w:start w:val="2"/>
    </w:lvl>
  </w:abstractNum>
  <w:abstractNum w:abstractNumId="249">
    <w:nsid w:val="37E203AB"/>
    <w:multiLevelType w:val="hybridMultilevel"/>
    <w:lvl w:ilvl="0">
      <w:lvlJc w:val="left"/>
      <w:lvlText w:val="(%1)"/>
      <w:numFmt w:val="lowerLetter"/>
      <w:start w:val="35"/>
    </w:lvl>
    <w:lvl w:ilvl="1">
      <w:lvlJc w:val="left"/>
      <w:lvlText w:val="%2"/>
      <w:numFmt w:val="lowerLetter"/>
      <w:start w:val="1"/>
    </w:lvl>
  </w:abstractNum>
  <w:abstractNum w:abstractNumId="250">
    <w:nsid w:val="2586D60E"/>
    <w:multiLevelType w:val="hybridMultilevel"/>
    <w:lvl w:ilvl="0">
      <w:lvlJc w:val="left"/>
      <w:lvlText w:val="(%1)"/>
      <w:numFmt w:val="lowerLetter"/>
      <w:start w:val="4"/>
    </w:lvl>
  </w:abstractNum>
  <w:abstractNum w:abstractNumId="251">
    <w:nsid w:val="1F3DA4D5"/>
    <w:multiLevelType w:val="hybridMultilevel"/>
    <w:lvl w:ilvl="0">
      <w:lvlJc w:val="left"/>
      <w:lvlText w:val="(%1)"/>
      <w:numFmt w:val="decimal"/>
      <w:start w:val="1"/>
    </w:lvl>
  </w:abstractNum>
  <w:abstractNum w:abstractNumId="252">
    <w:nsid w:val="74C93698"/>
    <w:multiLevelType w:val="hybridMultilevel"/>
    <w:lvl w:ilvl="0">
      <w:lvlJc w:val="left"/>
      <w:lvlText w:val="(%1)"/>
      <w:numFmt w:val="decimal"/>
      <w:start w:val="4"/>
    </w:lvl>
  </w:abstractNum>
  <w:abstractNum w:abstractNumId="253">
    <w:nsid w:val="48781401"/>
    <w:multiLevelType w:val="hybridMultilevel"/>
    <w:lvl w:ilvl="0">
      <w:lvlJc w:val="left"/>
      <w:lvlText w:val="(%1)"/>
      <w:numFmt w:val="decimal"/>
      <w:start w:val="7"/>
    </w:lvl>
  </w:abstractNum>
  <w:abstractNum w:abstractNumId="254">
    <w:nsid w:val="186928D6"/>
    <w:multiLevelType w:val="hybridMultilevel"/>
    <w:lvl w:ilvl="0">
      <w:lvlJc w:val="left"/>
      <w:lvlText w:val="(%1)"/>
      <w:numFmt w:val="decimal"/>
      <w:start w:val="2"/>
    </w:lvl>
  </w:abstractNum>
  <w:abstractNum w:abstractNumId="255">
    <w:nsid w:val="47195E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56">
    <w:nsid w:val="3746A5F2"/>
    <w:multiLevelType w:val="hybridMultilevel"/>
    <w:lvl w:ilvl="0">
      <w:lvlJc w:val="left"/>
      <w:lvlText w:val="(%1)"/>
      <w:numFmt w:val="lowerLetter"/>
      <w:start w:val="35"/>
    </w:lvl>
    <w:lvl w:ilvl="1">
      <w:lvlJc w:val="left"/>
      <w:lvlText w:val="(%2)"/>
      <w:numFmt w:val="decimal"/>
      <w:start w:val="2"/>
    </w:lvl>
    <w:lvl w:ilvl="2">
      <w:lvlJc w:val="left"/>
      <w:lvlText w:val="(%3)"/>
      <w:numFmt w:val="lowerLetter"/>
      <w:start w:val="1"/>
    </w:lvl>
  </w:abstractNum>
  <w:abstractNum w:abstractNumId="257">
    <w:nsid w:val="682DFED6"/>
    <w:multiLevelType w:val="hybridMultilevel"/>
    <w:lvl w:ilvl="0">
      <w:lvlJc w:val="left"/>
      <w:lvlText w:val="(%1)"/>
      <w:numFmt w:val="decimal"/>
      <w:start w:val="5"/>
    </w:lvl>
  </w:abstractNum>
  <w:abstractNum w:abstractNumId="258">
    <w:nsid w:val="606ED7F6"/>
    <w:multiLevelType w:val="hybridMultilevel"/>
    <w:lvl w:ilvl="0">
      <w:lvlJc w:val="left"/>
      <w:lvlText w:val="%1"/>
      <w:numFmt w:val="upperLetter"/>
      <w:start w:val="1"/>
    </w:lvl>
    <w:lvl w:ilvl="1">
      <w:lvlJc w:val="left"/>
      <w:lvlText w:val="(%2)"/>
      <w:numFmt w:val="decimal"/>
      <w:start w:val="8"/>
    </w:lvl>
  </w:abstractNum>
  <w:abstractNum w:abstractNumId="259">
    <w:nsid w:val="2D9DF57D"/>
    <w:multiLevelType w:val="hybridMultilevel"/>
    <w:lvl w:ilvl="0">
      <w:lvlJc w:val="left"/>
      <w:lvlText w:val="(%1)"/>
      <w:numFmt w:val="decimal"/>
      <w:start w:val="1"/>
    </w:lvl>
    <w:lvl w:ilvl="1">
      <w:lvlJc w:val="left"/>
      <w:lvlText w:val="(%2)"/>
      <w:numFmt w:val="lowerLetter"/>
      <w:start w:val="1"/>
    </w:lvl>
  </w:abstractNum>
  <w:abstractNum w:abstractNumId="260">
    <w:nsid w:val="7FBD7A3E"/>
    <w:multiLevelType w:val="hybridMultilevel"/>
    <w:lvl w:ilvl="0">
      <w:lvlJc w:val="left"/>
      <w:lvlText w:val="(%1)"/>
      <w:numFmt w:val="decimal"/>
      <w:start w:val="1"/>
    </w:lvl>
  </w:abstractNum>
  <w:abstractNum w:abstractNumId="261">
    <w:nsid w:val="490B7C5"/>
    <w:multiLevelType w:val="hybridMultilevel"/>
    <w:lvl w:ilvl="0">
      <w:lvlJc w:val="left"/>
      <w:lvlText w:val="(%1)"/>
      <w:numFmt w:val="decimal"/>
      <w:start w:val="1"/>
    </w:lvl>
  </w:abstractNum>
  <w:abstractNum w:abstractNumId="262">
    <w:nsid w:val="4303A216"/>
    <w:multiLevelType w:val="hybridMultilevel"/>
    <w:lvl w:ilvl="0">
      <w:lvlJc w:val="left"/>
      <w:lvlText w:val="(%1)"/>
      <w:numFmt w:val="decimal"/>
      <w:start w:val="3"/>
    </w:lvl>
  </w:abstractNum>
  <w:abstractNum w:abstractNumId="263">
    <w:nsid w:val="19B8A08E"/>
    <w:multiLevelType w:val="hybridMultilevel"/>
    <w:lvl w:ilvl="0">
      <w:lvlJc w:val="left"/>
      <w:lvlText w:val="(%1)"/>
      <w:numFmt w:val="decimal"/>
      <w:start w:val="1"/>
    </w:lvl>
  </w:abstractNum>
  <w:abstractNum w:abstractNumId="264">
    <w:nsid w:val="54B59621"/>
    <w:multiLevelType w:val="hybridMultilevel"/>
    <w:lvl w:ilvl="0">
      <w:lvlJc w:val="left"/>
      <w:lvlText w:val="(%1)"/>
      <w:numFmt w:val="decimal"/>
      <w:start w:val="5"/>
    </w:lvl>
    <w:lvl w:ilvl="1">
      <w:lvlJc w:val="left"/>
      <w:lvlText w:val="(%2)"/>
      <w:numFmt w:val="lowerLetter"/>
      <w:start w:val="1"/>
    </w:lvl>
  </w:abstractNum>
  <w:abstractNum w:abstractNumId="265">
    <w:nsid w:val="5992A02E"/>
    <w:multiLevelType w:val="hybridMultilevel"/>
    <w:lvl w:ilvl="0">
      <w:lvlJc w:val="left"/>
      <w:lvlText w:val="(%1)"/>
      <w:numFmt w:val="decimal"/>
      <w:start w:val="1"/>
    </w:lvl>
    <w:lvl w:ilvl="1">
      <w:lvlJc w:val="left"/>
      <w:lvlText w:val="(%2)"/>
      <w:numFmt w:val="lowerLetter"/>
      <w:start w:val="1"/>
    </w:lvl>
  </w:abstractNum>
  <w:abstractNum w:abstractNumId="266">
    <w:nsid w:val="29EF532D"/>
    <w:multiLevelType w:val="hybridMultilevel"/>
    <w:lvl w:ilvl="0">
      <w:lvlJc w:val="left"/>
      <w:lvlText w:val="(%1)"/>
      <w:numFmt w:val="decimal"/>
      <w:start w:val="1"/>
    </w:lvl>
  </w:abstractNum>
  <w:abstractNum w:abstractNumId="267">
    <w:nsid w:val="71D601AF"/>
    <w:multiLevelType w:val="hybridMultilevel"/>
    <w:lvl w:ilvl="0">
      <w:lvlJc w:val="left"/>
      <w:lvlText w:val="(%1)"/>
      <w:numFmt w:val="decimal"/>
      <w:start w:val="7"/>
    </w:lvl>
  </w:abstractNum>
  <w:abstractNum w:abstractNumId="268">
    <w:nsid w:val="52C77402"/>
    <w:multiLevelType w:val="hybridMultilevel"/>
    <w:lvl w:ilvl="0">
      <w:lvlJc w:val="left"/>
      <w:lvlText w:val="(%1)"/>
      <w:numFmt w:val="decimal"/>
      <w:start w:val="1"/>
    </w:lvl>
  </w:abstractNum>
  <w:abstractNum w:abstractNumId="269">
    <w:nsid w:val="2BB5B1C6"/>
    <w:multiLevelType w:val="hybridMultilevel"/>
    <w:lvl w:ilvl="0">
      <w:lvlJc w:val="left"/>
      <w:lvlText w:val="(%1)"/>
      <w:numFmt w:val="decimal"/>
      <w:start w:val="1"/>
    </w:lvl>
    <w:lvl w:ilvl="1">
      <w:lvlJc w:val="left"/>
      <w:lvlText w:val="(%2)"/>
      <w:numFmt w:val="lowerLetter"/>
      <w:start w:val="1"/>
    </w:lvl>
  </w:abstractNum>
  <w:abstractNum w:abstractNumId="270">
    <w:nsid w:val="66BE6B9"/>
    <w:multiLevelType w:val="hybridMultilevel"/>
    <w:lvl w:ilvl="0">
      <w:lvlJc w:val="left"/>
      <w:lvlText w:val="(%1)"/>
      <w:numFmt w:val="decimal"/>
      <w:start w:val="1"/>
    </w:lvl>
  </w:abstractNum>
  <w:abstractNum w:abstractNumId="271">
    <w:nsid w:val="62234363"/>
    <w:multiLevelType w:val="hybridMultilevel"/>
    <w:lvl w:ilvl="0">
      <w:lvlJc w:val="left"/>
      <w:lvlText w:val="(%1)"/>
      <w:numFmt w:val="decimal"/>
      <w:start w:val="1"/>
    </w:lvl>
  </w:abstractNum>
  <w:abstractNum w:abstractNumId="272">
    <w:nsid w:val="66D385C9"/>
    <w:multiLevelType w:val="hybridMultilevel"/>
    <w:lvl w:ilvl="0">
      <w:lvlJc w:val="left"/>
      <w:lvlText w:val="(%1)"/>
      <w:numFmt w:val="decimal"/>
      <w:start w:val="1"/>
    </w:lvl>
  </w:abstractNum>
  <w:abstractNum w:abstractNumId="273">
    <w:nsid w:val="596F6D8A"/>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274">
    <w:nsid w:val="5749361F"/>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275">
    <w:nsid w:val="73BC6770"/>
    <w:multiLevelType w:val="hybridMultilevel"/>
    <w:lvl w:ilvl="0">
      <w:lvlJc w:val="left"/>
      <w:lvlText w:val="(%1)"/>
      <w:numFmt w:val="decimal"/>
      <w:start w:val="3"/>
    </w:lvl>
    <w:lvl w:ilvl="1">
      <w:lvlJc w:val="left"/>
      <w:lvlText w:val="%2"/>
      <w:numFmt w:val="decimal"/>
      <w:start w:val="1"/>
    </w:lvl>
    <w:lvl w:ilvl="2">
      <w:lvlJc w:val="left"/>
      <w:lvlText w:val="%3"/>
      <w:numFmt w:val="lowerLetter"/>
      <w:start w:val="1"/>
    </w:lvl>
  </w:abstractNum>
  <w:abstractNum w:abstractNumId="276">
    <w:nsid w:val="280E6897"/>
    <w:multiLevelType w:val="hybridMultilevel"/>
    <w:lvl w:ilvl="0">
      <w:lvlJc w:val="left"/>
      <w:lvlText w:val="(%1)"/>
      <w:numFmt w:val="lowerLetter"/>
      <w:start w:val="1"/>
    </w:lvl>
  </w:abstractNum>
  <w:abstractNum w:abstractNumId="277">
    <w:nsid w:val="605138DE"/>
    <w:multiLevelType w:val="hybridMultilevel"/>
    <w:lvl w:ilvl="0">
      <w:lvlJc w:val="left"/>
      <w:lvlText w:val="(%1)"/>
      <w:numFmt w:val="decimal"/>
      <w:start w:val="4"/>
    </w:lvl>
  </w:abstractNum>
  <w:abstractNum w:abstractNumId="278">
    <w:nsid w:val="2622AD0C"/>
    <w:multiLevelType w:val="hybridMultilevel"/>
    <w:lvl w:ilvl="0">
      <w:lvlJc w:val="left"/>
      <w:lvlText w:val="(%1)"/>
      <w:numFmt w:val="decimal"/>
      <w:start w:val="1"/>
    </w:lvl>
    <w:lvl w:ilvl="1">
      <w:lvlJc w:val="left"/>
      <w:lvlText w:val="(%2)"/>
      <w:numFmt w:val="lowerLetter"/>
      <w:start w:val="1"/>
    </w:lvl>
  </w:abstractNum>
  <w:abstractNum w:abstractNumId="279">
    <w:nsid w:val="67997556"/>
    <w:multiLevelType w:val="hybridMultilevel"/>
    <w:lvl w:ilvl="0">
      <w:lvlJc w:val="left"/>
      <w:lvlText w:val="(%1)"/>
      <w:numFmt w:val="decimal"/>
      <w:start w:val="1"/>
    </w:lvl>
  </w:abstractNum>
  <w:abstractNum w:abstractNumId="280">
    <w:nsid w:val="18333C89"/>
    <w:multiLevelType w:val="hybridMultilevel"/>
    <w:lvl w:ilvl="0">
      <w:lvlJc w:val="left"/>
      <w:lvlText w:val="(%1)"/>
      <w:numFmt w:val="decimal"/>
      <w:start w:val="2"/>
    </w:lvl>
  </w:abstractNum>
  <w:abstractNum w:abstractNumId="281">
    <w:nsid w:val="4BA9831A"/>
    <w:multiLevelType w:val="hybridMultilevel"/>
    <w:lvl w:ilvl="0">
      <w:lvlJc w:val="left"/>
      <w:lvlText w:val="(%1)"/>
      <w:numFmt w:val="decimal"/>
      <w:start w:val="1"/>
    </w:lvl>
  </w:abstractNum>
  <w:abstractNum w:abstractNumId="282">
    <w:nsid w:val="6D71A2B"/>
    <w:multiLevelType w:val="hybridMultilevel"/>
    <w:lvl w:ilvl="0">
      <w:lvlJc w:val="left"/>
      <w:lvlText w:val="(%1)"/>
      <w:numFmt w:val="decimal"/>
      <w:start w:val="1"/>
    </w:lvl>
    <w:lvl w:ilvl="1">
      <w:lvlJc w:val="left"/>
      <w:lvlText w:val="(%2)"/>
      <w:numFmt w:val="lowerLetter"/>
      <w:start w:val="1"/>
    </w:lvl>
  </w:abstractNum>
  <w:abstractNum w:abstractNumId="283">
    <w:nsid w:val="CFC7321"/>
    <w:multiLevelType w:val="hybridMultilevel"/>
    <w:lvl w:ilvl="0">
      <w:lvlJc w:val="left"/>
      <w:lvlText w:val="(%1)"/>
      <w:numFmt w:val="decimal"/>
      <w:start w:val="6"/>
    </w:lvl>
    <w:lvl w:ilvl="1">
      <w:lvlJc w:val="left"/>
      <w:lvlText w:val="(%2)"/>
      <w:numFmt w:val="lowerLetter"/>
      <w:start w:val="1"/>
    </w:lvl>
  </w:abstractNum>
  <w:abstractNum w:abstractNumId="284">
    <w:nsid w:val="1421971B"/>
    <w:multiLevelType w:val="hybridMultilevel"/>
    <w:lvl w:ilvl="0">
      <w:lvlJc w:val="left"/>
      <w:lvlText w:val="(%1)"/>
      <w:numFmt w:val="decimal"/>
      <w:start w:val="1"/>
    </w:lvl>
  </w:abstractNum>
  <w:abstractNum w:abstractNumId="285">
    <w:nsid w:val="1F404301"/>
    <w:multiLevelType w:val="hybridMultilevel"/>
    <w:lvl w:ilvl="0">
      <w:lvlJc w:val="left"/>
      <w:lvlText w:val="(%1)"/>
      <w:numFmt w:val="decimal"/>
      <w:start w:val="1"/>
    </w:lvl>
  </w:abstractNum>
  <w:abstractNum w:abstractNumId="286">
    <w:nsid w:val="116E0907"/>
    <w:multiLevelType w:val="hybridMultilevel"/>
    <w:lvl w:ilvl="0">
      <w:lvlJc w:val="left"/>
      <w:lvlText w:val="(%1)"/>
      <w:numFmt w:val="decimal"/>
      <w:start w:val="1"/>
    </w:lvl>
  </w:abstractNum>
  <w:abstractNum w:abstractNumId="287">
    <w:nsid w:val="4B683D0D"/>
    <w:multiLevelType w:val="hybridMultilevel"/>
    <w:lvl w:ilvl="0">
      <w:lvlJc w:val="left"/>
      <w:lvlText w:val="%1"/>
      <w:numFmt w:val="lowerLetter"/>
      <w:start w:val="1"/>
    </w:lvl>
    <w:lvl w:ilvl="1">
      <w:lvlJc w:val="left"/>
      <w:lvlText w:val="(%2)"/>
      <w:numFmt w:val="decimal"/>
      <w:start w:val="1"/>
    </w:lvl>
  </w:abstractNum>
  <w:abstractNum w:abstractNumId="288">
    <w:nsid w:val="76E41D8"/>
    <w:multiLevelType w:val="hybridMultilevel"/>
    <w:lvl w:ilvl="0">
      <w:lvlJc w:val="left"/>
      <w:lvlText w:val="(%1)"/>
      <w:numFmt w:val="lowerLetter"/>
      <w:start w:val="1"/>
    </w:lvl>
    <w:lvl w:ilvl="1">
      <w:lvlJc w:val="left"/>
      <w:lvlText w:val="(%2)"/>
      <w:numFmt w:val="decimal"/>
      <w:start w:val="3"/>
    </w:lvl>
  </w:abstractNum>
  <w:abstractNum w:abstractNumId="289">
    <w:nsid w:val="71DCE0FD"/>
    <w:multiLevelType w:val="hybridMultilevel"/>
    <w:lvl w:ilvl="0">
      <w:lvlJc w:val="left"/>
      <w:lvlText w:val="(%1)"/>
      <w:numFmt w:val="decimal"/>
      <w:start w:val="5"/>
    </w:lvl>
  </w:abstractNum>
  <w:abstractNum w:abstractNumId="290">
    <w:nsid w:val="7906328B"/>
    <w:multiLevelType w:val="hybridMultilevel"/>
    <w:lvl w:ilvl="0">
      <w:lvlJc w:val="left"/>
      <w:lvlText w:val="(%1)"/>
      <w:numFmt w:val="decimal"/>
      <w:start w:val="1"/>
    </w:lvl>
  </w:abstractNum>
  <w:abstractNum w:abstractNumId="291">
    <w:nsid w:val="72BBC16"/>
    <w:multiLevelType w:val="hybridMultilevel"/>
    <w:lvl w:ilvl="0">
      <w:lvlJc w:val="left"/>
      <w:lvlText w:val="(%1)"/>
      <w:numFmt w:val="decimal"/>
      <w:start w:val="5"/>
    </w:lvl>
  </w:abstractNum>
  <w:abstractNum w:abstractNumId="292">
    <w:nsid w:val="766D98C2"/>
    <w:multiLevelType w:val="hybridMultilevel"/>
    <w:lvl w:ilvl="0">
      <w:lvlJc w:val="left"/>
      <w:lvlText w:val="%1"/>
      <w:numFmt w:val="lowerLetter"/>
      <w:start w:val="1"/>
    </w:lvl>
    <w:lvl w:ilvl="1">
      <w:lvlJc w:val="left"/>
      <w:lvlText w:val="(%2)"/>
      <w:numFmt w:val="decimal"/>
      <w:start w:val="1"/>
    </w:lvl>
  </w:abstractNum>
  <w:abstractNum w:abstractNumId="293">
    <w:nsid w:val="3C09D4A1"/>
    <w:multiLevelType w:val="hybridMultilevel"/>
    <w:lvl w:ilvl="0">
      <w:lvlJc w:val="left"/>
      <w:lvlText w:val="(%1)"/>
      <w:numFmt w:val="lowerLetter"/>
      <w:start w:val="1"/>
    </w:lvl>
    <w:lvl w:ilvl="1">
      <w:lvlJc w:val="left"/>
      <w:lvlText w:val="(%2)"/>
      <w:numFmt w:val="decimal"/>
      <w:start w:val="10"/>
    </w:lvl>
  </w:abstractNum>
  <w:abstractNum w:abstractNumId="294">
    <w:nsid w:val="20E45CA4"/>
    <w:multiLevelType w:val="hybridMultilevel"/>
    <w:lvl w:ilvl="0">
      <w:lvlJc w:val="left"/>
      <w:lvlText w:val="(%1)"/>
      <w:numFmt w:val="decimal"/>
      <w:start w:val="1"/>
    </w:lvl>
  </w:abstractNum>
  <w:abstractNum w:abstractNumId="295">
    <w:nsid w:val="4B232EE3"/>
    <w:multiLevelType w:val="hybridMultilevel"/>
    <w:lvl w:ilvl="0">
      <w:lvlJc w:val="left"/>
      <w:lvlText w:val="(%1)"/>
      <w:numFmt w:val="decimal"/>
      <w:start w:val="5"/>
    </w:lvl>
  </w:abstractNum>
  <w:abstractNum w:abstractNumId="296">
    <w:nsid w:val="159C74CF"/>
    <w:multiLevelType w:val="hybridMultilevel"/>
    <w:lvl w:ilvl="0">
      <w:lvlJc w:val="left"/>
      <w:lvlText w:val="(%1)"/>
      <w:numFmt w:val="decimal"/>
      <w:start w:val="1"/>
    </w:lvl>
    <w:lvl w:ilvl="1">
      <w:lvlJc w:val="left"/>
      <w:lvlText w:val="(%2)"/>
      <w:numFmt w:val="lowerLetter"/>
      <w:start w:val="1"/>
    </w:lvl>
  </w:abstractNum>
  <w:abstractNum w:abstractNumId="297">
    <w:nsid w:val="4AD3AFD2"/>
    <w:multiLevelType w:val="hybridMultilevel"/>
    <w:lvl w:ilvl="0">
      <w:lvlJc w:val="left"/>
      <w:lvlText w:val="(%1)"/>
      <w:numFmt w:val="decimal"/>
      <w:start w:val="1"/>
    </w:lvl>
  </w:abstractNum>
  <w:abstractNum w:abstractNumId="298">
    <w:nsid w:val="3CF93092"/>
    <w:multiLevelType w:val="hybridMultilevel"/>
    <w:lvl w:ilvl="0">
      <w:lvlJc w:val="left"/>
      <w:lvlText w:val="(%1)"/>
      <w:numFmt w:val="decimal"/>
      <w:start w:val="1"/>
    </w:lvl>
  </w:abstractNum>
  <w:abstractNum w:abstractNumId="299">
    <w:nsid w:val="6863E8D2"/>
    <w:multiLevelType w:val="hybridMultilevel"/>
    <w:lvl w:ilvl="0">
      <w:lvlJc w:val="left"/>
      <w:lvlText w:val="(%1)"/>
      <w:numFmt w:val="decimal"/>
      <w:start w:val="1"/>
    </w:lvl>
  </w:abstractNum>
  <w:abstractNum w:abstractNumId="300">
    <w:nsid w:val="76896198"/>
    <w:multiLevelType w:val="hybridMultilevel"/>
    <w:lvl w:ilvl="0">
      <w:lvlJc w:val="left"/>
      <w:lvlText w:val="(%1)"/>
      <w:numFmt w:val="decimal"/>
      <w:start w:val="2"/>
    </w:lvl>
  </w:abstractNum>
  <w:abstractNum w:abstractNumId="301">
    <w:nsid w:val="4365174B"/>
    <w:multiLevelType w:val="hybridMultilevel"/>
    <w:lvl w:ilvl="0">
      <w:lvlJc w:val="left"/>
      <w:lvlText w:val="\ldblquote"/>
      <w:numFmt w:val="bullet"/>
      <w:start w:val="1"/>
    </w:lvl>
    <w:lvl w:ilvl="1">
      <w:lvlJc w:val="left"/>
      <w:lvlText w:val="(%2)"/>
      <w:numFmt w:val="decimal"/>
      <w:start w:val="1"/>
    </w:lvl>
  </w:abstractNum>
  <w:abstractNum w:abstractNumId="302">
    <w:nsid w:val="4A872C35"/>
    <w:multiLevelType w:val="hybridMultilevel"/>
    <w:lvl w:ilvl="0">
      <w:lvlJc w:val="left"/>
      <w:lvlText w:val="(%1)"/>
      <w:numFmt w:val="decimal"/>
      <w:start w:val="2"/>
    </w:lvl>
  </w:abstractNum>
  <w:abstractNum w:abstractNumId="303">
    <w:nsid w:val="5D5CE761"/>
    <w:multiLevelType w:val="hybridMultilevel"/>
    <w:lvl w:ilvl="0">
      <w:lvlJc w:val="left"/>
      <w:lvlText w:val="\ldblquote"/>
      <w:numFmt w:val="bullet"/>
      <w:start w:val="1"/>
    </w:lvl>
    <w:lvl w:ilvl="1">
      <w:lvlJc w:val="left"/>
      <w:lvlText w:val="(%2)"/>
      <w:numFmt w:val="decimal"/>
      <w:start w:val="1"/>
    </w:lvl>
  </w:abstractNum>
  <w:abstractNum w:abstractNumId="304">
    <w:nsid w:val="1CD484D5"/>
    <w:multiLevelType w:val="hybridMultilevel"/>
    <w:lvl w:ilvl="0">
      <w:lvlJc w:val="left"/>
      <w:lvlText w:val="(%1)"/>
      <w:numFmt w:val="decimal"/>
      <w:start w:val="1"/>
    </w:lvl>
  </w:abstractNum>
  <w:abstractNum w:abstractNumId="305">
    <w:nsid w:val="21D0625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306">
    <w:nsid w:val="51194ED1"/>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307">
    <w:nsid w:val="44E2ED6C"/>
    <w:multiLevelType w:val="hybridMultilevel"/>
    <w:lvl w:ilvl="0">
      <w:lvlJc w:val="left"/>
      <w:lvlText w:val="(%1)"/>
      <w:numFmt w:val="decimal"/>
      <w:start w:val="12"/>
    </w:lvl>
  </w:abstractNum>
  <w:abstractNum w:abstractNumId="308">
    <w:nsid w:val="2219B33"/>
    <w:multiLevelType w:val="hybridMultilevel"/>
    <w:lvl w:ilvl="0">
      <w:lvlJc w:val="left"/>
      <w:lvlText w:val="(%1)"/>
      <w:numFmt w:val="decimal"/>
      <w:start w:val="1"/>
    </w:lvl>
  </w:abstractNum>
  <w:abstractNum w:abstractNumId="309">
    <w:nsid w:val="773BFBDD"/>
    <w:multiLevelType w:val="hybridMultilevel"/>
    <w:lvl w:ilvl="0">
      <w:lvlJc w:val="left"/>
      <w:lvlText w:val="(%1)"/>
      <w:numFmt w:val="decimal"/>
      <w:start w:val="1"/>
    </w:lvl>
  </w:abstractNum>
  <w:abstractNum w:abstractNumId="310">
    <w:nsid w:val="2C7C62C2"/>
    <w:multiLevelType w:val="hybridMultilevel"/>
    <w:lvl w:ilvl="0">
      <w:lvlJc w:val="left"/>
      <w:lvlText w:val="(%1)"/>
      <w:numFmt w:val="decimal"/>
      <w:start w:val="1"/>
    </w:lvl>
  </w:abstractNum>
  <w:abstractNum w:abstractNumId="311">
    <w:nsid w:val="1A54D7BC"/>
    <w:multiLevelType w:val="hybridMultilevel"/>
    <w:lvl w:ilvl="0">
      <w:lvlJc w:val="left"/>
      <w:lvlText w:val="(%1)"/>
      <w:numFmt w:val="decimal"/>
      <w:start w:val="1"/>
    </w:lvl>
    <w:lvl w:ilvl="1">
      <w:lvlJc w:val="left"/>
      <w:lvlText w:val="(%2)"/>
      <w:numFmt w:val="lowerLetter"/>
      <w:start w:val="1"/>
    </w:lvl>
  </w:abstractNum>
  <w:abstractNum w:abstractNumId="312">
    <w:nsid w:val="42E57EF7"/>
    <w:multiLevelType w:val="hybridMultilevel"/>
    <w:lvl w:ilvl="0">
      <w:lvlJc w:val="left"/>
      <w:lvlText w:val="%1"/>
      <w:numFmt w:val="decimal"/>
      <w:start w:val="1"/>
    </w:lvl>
    <w:lvl w:ilvl="1">
      <w:lvlJc w:val="left"/>
      <w:lvlText w:val="(%2)"/>
      <w:numFmt w:val="lowerLetter"/>
      <w:start w:val="2"/>
    </w:lvl>
  </w:abstractNum>
  <w:abstractNum w:abstractNumId="313">
    <w:nsid w:val="33537CED"/>
    <w:multiLevelType w:val="hybridMultilevel"/>
    <w:lvl w:ilvl="0">
      <w:lvlJc w:val="left"/>
      <w:lvlText w:val="(%1)"/>
      <w:numFmt w:val="decimal"/>
      <w:start w:val="4"/>
    </w:lvl>
    <w:lvl w:ilvl="1">
      <w:lvlJc w:val="left"/>
      <w:lvlText w:val="%2"/>
      <w:numFmt w:val="lowerLetter"/>
      <w:start w:val="1"/>
    </w:lvl>
  </w:abstractNum>
  <w:abstractNum w:abstractNumId="314">
    <w:nsid w:val="27514ADE"/>
    <w:multiLevelType w:val="hybridMultilevel"/>
    <w:lvl w:ilvl="0">
      <w:lvlJc w:val="left"/>
      <w:lvlText w:val="(%1)"/>
      <w:numFmt w:val="decimal"/>
      <w:start w:val="1"/>
    </w:lvl>
  </w:abstractNum>
  <w:abstractNum w:abstractNumId="315">
    <w:nsid w:val="57071613"/>
    <w:multiLevelType w:val="hybridMultilevel"/>
    <w:lvl w:ilvl="0">
      <w:lvlJc w:val="left"/>
      <w:lvlText w:val="(%1)"/>
      <w:numFmt w:val="decimal"/>
      <w:start w:val="6"/>
    </w:lvl>
  </w:abstractNum>
  <w:abstractNum w:abstractNumId="316">
    <w:nsid w:val="5293BFEF"/>
    <w:multiLevelType w:val="hybridMultilevel"/>
    <w:lvl w:ilvl="0">
      <w:lvlJc w:val="left"/>
      <w:lvlText w:val="\ldblquote"/>
      <w:numFmt w:val="bullet"/>
      <w:start w:val="1"/>
    </w:lvl>
    <w:lvl w:ilvl="1">
      <w:lvlJc w:val="left"/>
      <w:lvlText w:val="(%2)"/>
      <w:numFmt w:val="decimal"/>
      <w:start w:val="1"/>
    </w:lvl>
  </w:abstractNum>
  <w:abstractNum w:abstractNumId="317">
    <w:nsid w:val="38BF53E5"/>
    <w:multiLevelType w:val="hybridMultilevel"/>
    <w:lvl w:ilvl="0">
      <w:lvlJc w:val="left"/>
      <w:lvlText w:val="(%1)"/>
      <w:numFmt w:val="lowerLetter"/>
      <w:start w:val="1"/>
    </w:lvl>
  </w:abstractNum>
  <w:abstractNum w:abstractNumId="318">
    <w:nsid w:val="226F5320"/>
    <w:multiLevelType w:val="hybridMultilevel"/>
    <w:lvl w:ilvl="0">
      <w:lvlJc w:val="left"/>
      <w:lvlText w:val="\ldblquote"/>
      <w:numFmt w:val="bullet"/>
      <w:start w:val="1"/>
    </w:lvl>
    <w:lvl w:ilvl="1">
      <w:lvlJc w:val="left"/>
      <w:lvlText w:val="(%2)"/>
      <w:numFmt w:val="decimal"/>
      <w:start w:val="1"/>
    </w:lvl>
  </w:abstractNum>
  <w:abstractNum w:abstractNumId="319">
    <w:nsid w:val="5A0201C7"/>
    <w:multiLevelType w:val="hybridMultilevel"/>
    <w:lvl w:ilvl="0">
      <w:lvlJc w:val="left"/>
      <w:lvlText w:val="(%1)"/>
      <w:numFmt w:val="decimal"/>
      <w:start w:val="1"/>
    </w:lvl>
  </w:abstractNum>
  <w:abstractNum w:abstractNumId="320">
    <w:nsid w:val="2A9C34E2"/>
    <w:multiLevelType w:val="hybridMultilevel"/>
    <w:lvl w:ilvl="0">
      <w:lvlJc w:val="left"/>
      <w:lvlText w:val="(%1)"/>
      <w:numFmt w:val="decimal"/>
      <w:start w:val="2"/>
    </w:lvl>
  </w:abstractNum>
  <w:abstractNum w:abstractNumId="321">
    <w:nsid w:val="1B7585AB"/>
    <w:multiLevelType w:val="hybridMultilevel"/>
    <w:lvl w:ilvl="0">
      <w:lvlJc w:val="left"/>
      <w:lvlText w:val="(%1)"/>
      <w:numFmt w:val="decimal"/>
      <w:start w:val="1"/>
    </w:lvl>
  </w:abstractNum>
  <w:abstractNum w:abstractNumId="322">
    <w:nsid w:val="612DBDDD"/>
    <w:multiLevelType w:val="hybridMultilevel"/>
    <w:lvl w:ilvl="0">
      <w:lvlJc w:val="left"/>
      <w:lvlText w:val="(%1)"/>
      <w:numFmt w:val="decimal"/>
      <w:start w:val="1"/>
    </w:lvl>
  </w:abstractNum>
  <w:abstractNum w:abstractNumId="323">
    <w:nsid w:val="2109CDA4"/>
    <w:multiLevelType w:val="hybridMultilevel"/>
    <w:lvl w:ilvl="0">
      <w:lvlJc w:val="left"/>
      <w:lvlText w:val="(%1)"/>
      <w:numFmt w:val="decimal"/>
      <w:start w:val="2"/>
    </w:lvl>
  </w:abstractNum>
  <w:abstractNum w:abstractNumId="324">
    <w:nsid w:val="577F5A4D"/>
    <w:multiLevelType w:val="hybridMultilevel"/>
    <w:lvl w:ilvl="0">
      <w:lvlJc w:val="left"/>
      <w:lvlText w:val="(%1)"/>
      <w:numFmt w:val="decimal"/>
      <w:start w:val="1"/>
    </w:lvl>
  </w:abstractNum>
  <w:abstractNum w:abstractNumId="325">
    <w:nsid w:val="2121A81"/>
    <w:multiLevelType w:val="hybridMultilevel"/>
    <w:lvl w:ilvl="0">
      <w:lvlJc w:val="left"/>
      <w:lvlText w:val="(%1)"/>
      <w:numFmt w:val="decimal"/>
      <w:start w:val="1"/>
    </w:lvl>
  </w:abstractNum>
  <w:abstractNum w:abstractNumId="326">
    <w:nsid w:val="6C2CFC88"/>
    <w:multiLevelType w:val="hybridMultilevel"/>
    <w:lvl w:ilvl="0">
      <w:lvlJc w:val="left"/>
      <w:lvlText w:val="(%1)"/>
      <w:numFmt w:val="decimal"/>
      <w:start w:val="1"/>
    </w:lvl>
  </w:abstractNum>
  <w:abstractNum w:abstractNumId="327">
    <w:nsid w:val="6D1BCF1C"/>
    <w:multiLevelType w:val="hybridMultilevel"/>
    <w:lvl w:ilvl="0">
      <w:lvlJc w:val="left"/>
      <w:lvlText w:val="(%1)"/>
      <w:numFmt w:val="decimal"/>
      <w:start w:val="1"/>
    </w:lvl>
  </w:abstractNum>
  <w:abstractNum w:abstractNumId="328">
    <w:nsid w:val="4CE5CA53"/>
    <w:multiLevelType w:val="hybridMultilevel"/>
    <w:lvl w:ilvl="0">
      <w:lvlJc w:val="left"/>
      <w:lvlText w:val="(%1)"/>
      <w:numFmt w:val="decimal"/>
      <w:start w:val="1"/>
    </w:lvl>
  </w:abstractNum>
  <w:abstractNum w:abstractNumId="329">
    <w:nsid w:val="29262D1A"/>
    <w:multiLevelType w:val="hybridMultilevel"/>
    <w:lvl w:ilvl="0">
      <w:lvlJc w:val="left"/>
      <w:lvlText w:val="(%1)"/>
      <w:numFmt w:val="decimal"/>
      <w:start w:val="1"/>
    </w:lvl>
  </w:abstractNum>
  <w:abstractNum w:abstractNumId="330">
    <w:nsid w:val="557FB7EE"/>
    <w:multiLevelType w:val="hybridMultilevel"/>
    <w:lvl w:ilvl="0">
      <w:lvlJc w:val="left"/>
      <w:lvlText w:val="(%1)"/>
      <w:numFmt w:val="decimal"/>
      <w:start w:val="1"/>
    </w:lvl>
  </w:abstractNum>
  <w:abstractNum w:abstractNumId="331">
    <w:nsid w:val="436F2BEB"/>
    <w:multiLevelType w:val="hybridMultilevel"/>
    <w:lvl w:ilvl="0">
      <w:lvlJc w:val="left"/>
      <w:lvlText w:val="(%1)"/>
      <w:numFmt w:val="decimal"/>
      <w:start w:val="1"/>
    </w:lvl>
  </w:abstractNum>
  <w:abstractNum w:abstractNumId="332">
    <w:nsid w:val="6C8B4466"/>
    <w:multiLevelType w:val="hybridMultilevel"/>
    <w:lvl w:ilvl="0">
      <w:lvlJc w:val="left"/>
      <w:lvlText w:val="(%1)"/>
      <w:numFmt w:val="decimal"/>
      <w:start w:val="3"/>
    </w:lvl>
    <w:lvl w:ilvl="1">
      <w:lvlJc w:val="left"/>
      <w:lvlText w:val="(%2)"/>
      <w:numFmt w:val="lowerLetter"/>
      <w:start w:val="1"/>
    </w:lvl>
  </w:abstractNum>
  <w:abstractNum w:abstractNumId="333">
    <w:nsid w:val="2006E424"/>
    <w:multiLevelType w:val="hybridMultilevel"/>
    <w:lvl w:ilvl="0">
      <w:lvlJc w:val="left"/>
      <w:lvlText w:val="(%1)"/>
      <w:numFmt w:val="decimal"/>
      <w:start w:val="1"/>
    </w:lvl>
  </w:abstractNum>
  <w:abstractNum w:abstractNumId="334">
    <w:nsid w:val="20CC134C"/>
    <w:multiLevelType w:val="hybridMultilevel"/>
    <w:lvl w:ilvl="0">
      <w:lvlJc w:val="left"/>
      <w:lvlText w:val="(%1)"/>
      <w:numFmt w:val="decimal"/>
      <w:start w:val="1"/>
    </w:lvl>
  </w:abstractNum>
  <w:abstractNum w:abstractNumId="335">
    <w:nsid w:val="95FC93B"/>
    <w:multiLevelType w:val="hybridMultilevel"/>
    <w:lvl w:ilvl="0">
      <w:lvlJc w:val="left"/>
      <w:lvlText w:val="(%1)"/>
      <w:numFmt w:val="decimal"/>
      <w:start w:val="1"/>
    </w:lvl>
  </w:abstractNum>
  <w:abstractNum w:abstractNumId="336">
    <w:nsid w:val="41D74679"/>
    <w:multiLevelType w:val="hybridMultilevel"/>
    <w:lvl w:ilvl="0">
      <w:lvlJc w:val="left"/>
      <w:lvlText w:val="(%1)"/>
      <w:numFmt w:val="decimal"/>
      <w:start w:val="1"/>
    </w:lvl>
  </w:abstractNum>
  <w:abstractNum w:abstractNumId="337">
    <w:nsid w:val="71E5621E"/>
    <w:multiLevelType w:val="hybridMultilevel"/>
    <w:lvl w:ilvl="0">
      <w:lvlJc w:val="left"/>
      <w:lvlText w:val="%1"/>
      <w:numFmt w:val="lowerRoman"/>
      <w:start w:val="1"/>
    </w:lvl>
    <w:lvl w:ilvl="1">
      <w:lvlJc w:val="left"/>
      <w:lvlText w:val="(%2)"/>
      <w:numFmt w:val="decimal"/>
      <w:start w:val="1"/>
    </w:lvl>
  </w:abstractNum>
  <w:abstractNum w:abstractNumId="338">
    <w:nsid w:val="4E42B6A8"/>
    <w:multiLevelType w:val="hybridMultilevel"/>
    <w:lvl w:ilvl="0">
      <w:lvlJc w:val="left"/>
      <w:lvlText w:val="(%1)"/>
      <w:numFmt w:val="lowerRoman"/>
      <w:start w:val="2"/>
    </w:lvl>
    <w:lvl w:ilvl="1">
      <w:lvlJc w:val="left"/>
      <w:lvlText w:val="(%2)"/>
      <w:numFmt w:val="decimal"/>
      <w:start w:val="4"/>
    </w:lvl>
  </w:abstractNum>
  <w:abstractNum w:abstractNumId="339">
    <w:nsid w:val="43F8E1AC"/>
    <w:multiLevelType w:val="hybridMultilevel"/>
    <w:lvl w:ilvl="0">
      <w:lvlJc w:val="left"/>
      <w:lvlText w:val="%1"/>
      <w:numFmt w:val="lowerLetter"/>
      <w:start w:val="1"/>
    </w:lvl>
    <w:lvl w:ilvl="1">
      <w:lvlJc w:val="left"/>
      <w:lvlText w:val="(%2)"/>
      <w:numFmt w:val="decimal"/>
      <w:start w:val="1"/>
    </w:lvl>
  </w:abstractNum>
  <w:abstractNum w:abstractNumId="340">
    <w:nsid w:val="69215DFB"/>
    <w:multiLevelType w:val="hybridMultilevel"/>
    <w:lvl w:ilvl="0">
      <w:lvlJc w:val="left"/>
      <w:lvlText w:val="(%1)"/>
      <w:numFmt w:val="lowerLetter"/>
      <w:start w:val="1"/>
    </w:lvl>
    <w:lvl w:ilvl="1">
      <w:lvlJc w:val="left"/>
      <w:lvlText w:val="(%2)"/>
      <w:numFmt w:val="decimal"/>
      <w:start w:val="3"/>
    </w:lvl>
  </w:abstractNum>
  <w:abstractNum w:abstractNumId="341">
    <w:nsid w:val="7ABF196A"/>
    <w:multiLevelType w:val="hybridMultilevel"/>
    <w:lvl w:ilvl="0">
      <w:lvlJc w:val="left"/>
      <w:lvlText w:val="(%1)"/>
      <w:numFmt w:val="decimal"/>
      <w:start w:val="5"/>
    </w:lvl>
  </w:abstractNum>
  <w:abstractNum w:abstractNumId="342">
    <w:nsid w:val="5E4DB968"/>
    <w:multiLevelType w:val="hybridMultilevel"/>
    <w:lvl w:ilvl="0">
      <w:lvlJc w:val="left"/>
      <w:lvlText w:val="(%1)"/>
      <w:numFmt w:val="decimal"/>
      <w:start w:val="1"/>
    </w:lvl>
    <w:lvl w:ilvl="1">
      <w:lvlJc w:val="left"/>
      <w:lvlText w:val="(%2)"/>
      <w:numFmt w:val="lowerLetter"/>
      <w:start w:val="1"/>
    </w:lvl>
  </w:abstractNum>
  <w:abstractNum w:abstractNumId="343">
    <w:nsid w:val="2C06DCF3"/>
    <w:multiLevelType w:val="hybridMultilevel"/>
    <w:lvl w:ilvl="0">
      <w:lvlJc w:val="left"/>
      <w:lvlText w:val="(%1)"/>
      <w:numFmt w:val="decimal"/>
      <w:start w:val="11"/>
    </w:lvl>
  </w:abstractNum>
  <w:abstractNum w:abstractNumId="344">
    <w:nsid w:val="2E129658"/>
    <w:multiLevelType w:val="hybridMultilevel"/>
    <w:lvl w:ilvl="0">
      <w:lvlJc w:val="left"/>
      <w:lvlText w:val="(%1)"/>
      <w:numFmt w:val="decimal"/>
      <w:start w:val="1"/>
    </w:lvl>
    <w:lvl w:ilvl="1">
      <w:lvlJc w:val="left"/>
      <w:lvlText w:val="(%2)"/>
      <w:numFmt w:val="lowerLetter"/>
      <w:start w:val="1"/>
    </w:lvl>
  </w:abstractNum>
  <w:abstractNum w:abstractNumId="345">
    <w:nsid w:val="59F0446"/>
    <w:multiLevelType w:val="hybridMultilevel"/>
    <w:lvl w:ilvl="0">
      <w:lvlJc w:val="left"/>
      <w:lvlText w:val="(%1)"/>
      <w:numFmt w:val="decimal"/>
      <w:start w:val="7"/>
    </w:lvl>
    <w:lvl w:ilvl="1">
      <w:lvlJc w:val="left"/>
      <w:lvlText w:val="(%2)"/>
      <w:numFmt w:val="lowerLetter"/>
      <w:start w:val="1"/>
    </w:lvl>
  </w:abstractNum>
  <w:abstractNum w:abstractNumId="346">
    <w:nsid w:val="30DF306"/>
    <w:multiLevelType w:val="hybridMultilevel"/>
    <w:lvl w:ilvl="0">
      <w:lvlJc w:val="left"/>
      <w:lvlText w:val="%1"/>
      <w:numFmt w:val="decimal"/>
      <w:start w:val="1"/>
    </w:lvl>
    <w:lvl w:ilvl="1">
      <w:lvlJc w:val="left"/>
      <w:lvlText w:val="(%2)"/>
      <w:numFmt w:val="lowerLetter"/>
      <w:start w:val="2"/>
    </w:lvl>
  </w:abstractNum>
  <w:abstractNum w:abstractNumId="347">
    <w:nsid w:val="A65647"/>
    <w:multiLevelType w:val="hybridMultilevel"/>
    <w:lvl w:ilvl="0">
      <w:lvlJc w:val="left"/>
      <w:lvlText w:val="(%1)"/>
      <w:numFmt w:val="decimal"/>
      <w:start w:val="16"/>
    </w:lvl>
    <w:lvl w:ilvl="1">
      <w:lvlJc w:val="left"/>
      <w:lvlText w:val="(%2)"/>
      <w:numFmt w:val="lowerLetter"/>
      <w:start w:val="1"/>
    </w:lvl>
  </w:abstractNum>
  <w:abstractNum w:abstractNumId="348">
    <w:nsid w:val="3E5E582B"/>
    <w:multiLevelType w:val="hybridMultilevel"/>
    <w:lvl w:ilvl="0">
      <w:lvlJc w:val="left"/>
      <w:lvlText w:val="(%1)"/>
      <w:numFmt w:val="decimal"/>
      <w:start w:val="24"/>
    </w:lvl>
  </w:abstractNum>
  <w:abstractNum w:abstractNumId="349">
    <w:nsid w:val="257D4626"/>
    <w:multiLevelType w:val="hybridMultilevel"/>
    <w:lvl w:ilvl="0">
      <w:lvlJc w:val="left"/>
      <w:lvlText w:val="(%1)"/>
      <w:numFmt w:val="decimal"/>
      <w:start w:val="1"/>
    </w:lvl>
  </w:abstractNum>
  <w:abstractNum w:abstractNumId="350">
    <w:nsid w:val="5AA8580E"/>
    <w:multiLevelType w:val="hybridMultilevel"/>
    <w:lvl w:ilvl="0">
      <w:lvlJc w:val="left"/>
      <w:lvlText w:val="(%1)"/>
      <w:numFmt w:val="decimal"/>
      <w:start w:val="1"/>
    </w:lvl>
  </w:abstractNum>
  <w:abstractNum w:abstractNumId="351">
    <w:nsid w:val="68FA8D0D"/>
    <w:multiLevelType w:val="hybridMultilevel"/>
    <w:lvl w:ilvl="0">
      <w:lvlJc w:val="left"/>
      <w:lvlText w:val="(%1)"/>
      <w:numFmt w:val="decimal"/>
      <w:start w:val="1"/>
    </w:lvl>
  </w:abstractNum>
  <w:abstractNum w:abstractNumId="352">
    <w:nsid w:val="40F2CBD2"/>
    <w:multiLevelType w:val="hybridMultilevel"/>
    <w:lvl w:ilvl="0">
      <w:lvlJc w:val="left"/>
      <w:lvlText w:val="(%1)"/>
      <w:numFmt w:val="decimal"/>
      <w:start w:val="1"/>
    </w:lvl>
  </w:abstractNum>
  <w:abstractNum w:abstractNumId="353">
    <w:nsid w:val="3BD615EB"/>
    <w:multiLevelType w:val="hybridMultilevel"/>
    <w:lvl w:ilvl="0">
      <w:lvlJc w:val="left"/>
      <w:lvlText w:val="(%1)"/>
      <w:numFmt w:val="decimal"/>
      <w:start w:val="1"/>
    </w:lvl>
  </w:abstractNum>
  <w:abstractNum w:abstractNumId="354">
    <w:nsid w:val="A045AB2"/>
    <w:multiLevelType w:val="hybridMultilevel"/>
    <w:lvl w:ilvl="0">
      <w:lvlJc w:val="left"/>
      <w:lvlText w:val="(%1)"/>
      <w:numFmt w:val="decimal"/>
      <w:start w:val="1"/>
    </w:lvl>
  </w:abstractNum>
  <w:abstractNum w:abstractNumId="355">
    <w:nsid w:val="1872261F"/>
    <w:multiLevelType w:val="hybridMultilevel"/>
    <w:lvl w:ilvl="0">
      <w:lvlJc w:val="left"/>
      <w:lvlText w:val="(%1)"/>
      <w:numFmt w:val="decimal"/>
      <w:start w:val="1"/>
    </w:lvl>
  </w:abstractNum>
  <w:abstractNum w:abstractNumId="356">
    <w:nsid w:val="3DE8306C"/>
    <w:multiLevelType w:val="hybridMultilevel"/>
    <w:lvl w:ilvl="0">
      <w:lvlJc w:val="left"/>
      <w:lvlText w:val="(%1)"/>
      <w:numFmt w:val="decimal"/>
      <w:start w:val="1"/>
    </w:lvl>
  </w:abstractNum>
  <w:abstractNum w:abstractNumId="357">
    <w:nsid w:val="7631573A"/>
    <w:multiLevelType w:val="hybridMultilevel"/>
    <w:lvl w:ilvl="0">
      <w:lvlJc w:val="left"/>
      <w:lvlText w:val="•"/>
      <w:numFmt w:val="bullet"/>
      <w:start w:val="1"/>
    </w:lvl>
  </w:abstractNum>
  <w:abstractNum w:abstractNumId="358">
    <w:nsid w:val="58DF53B"/>
    <w:multiLevelType w:val="hybridMultilevel"/>
    <w:lvl w:ilvl="0">
      <w:lvlJc w:val="left"/>
      <w:lvlText w:val="•"/>
      <w:numFmt w:val="bullet"/>
      <w:start w:val="1"/>
    </w:lvl>
    <w:lvl w:ilvl="1">
      <w:lvlJc w:val="left"/>
      <w:lvlText w:val="•"/>
      <w:numFmt w:val="bullet"/>
      <w:start w:val="1"/>
    </w:lvl>
  </w:abstractNum>
  <w:abstractNum w:abstractNumId="359">
    <w:nsid w:val="ACDFAC0"/>
    <w:multiLevelType w:val="hybridMultilevel"/>
    <w:lvl w:ilvl="0">
      <w:lvlJc w:val="left"/>
      <w:lvlText w:val="•"/>
      <w:numFmt w:val="bullet"/>
      <w:start w:val="1"/>
    </w:lvl>
    <w:lvl w:ilvl="1">
      <w:lvlJc w:val="left"/>
      <w:lvlText w:val="(%2)"/>
      <w:numFmt w:val="lowerRoman"/>
      <w:start w:val="2"/>
    </w:lvl>
  </w:abstractNum>
  <w:abstractNum w:abstractNumId="360">
    <w:nsid w:val="1F578454"/>
    <w:multiLevelType w:val="hybridMultilevel"/>
    <w:lvl w:ilvl="0">
      <w:lvlJc w:val="left"/>
      <w:lvlText w:val="•"/>
      <w:numFmt w:val="bullet"/>
      <w:start w:val="1"/>
    </w:lvl>
  </w:abstractNum>
  <w:abstractNum w:abstractNumId="361">
    <w:nsid w:val="5B0DAD2A"/>
    <w:multiLevelType w:val="hybridMultilevel"/>
    <w:lvl w:ilvl="0">
      <w:lvlJc w:val="left"/>
      <w:lvlText w:val="•"/>
      <w:numFmt w:val="bullet"/>
      <w:start w:val="1"/>
    </w:lvl>
  </w:abstractNum>
  <w:abstractNum w:abstractNumId="362">
    <w:nsid w:val="4E3D26AB"/>
    <w:multiLevelType w:val="hybridMultilevel"/>
    <w:lvl w:ilvl="0">
      <w:lvlJc w:val="left"/>
      <w:lvlText w:val="•"/>
      <w:numFmt w:val="bullet"/>
      <w:start w:val="1"/>
    </w:lvl>
  </w:abstractNum>
  <w:abstractNum w:abstractNumId="363">
    <w:nsid w:val="BE2C8BA"/>
    <w:multiLevelType w:val="hybridMultilevel"/>
    <w:lvl w:ilvl="0">
      <w:lvlJc w:val="left"/>
      <w:lvlText w:val="•"/>
      <w:numFmt w:val="bullet"/>
      <w:start w:val="1"/>
    </w:lvl>
  </w:abstractNum>
  <w:abstractNum w:abstractNumId="364">
    <w:nsid w:val="7B14914E"/>
    <w:multiLevelType w:val="hybridMultilevel"/>
    <w:lvl w:ilvl="0">
      <w:lvlJc w:val="left"/>
      <w:lvlText w:val="•"/>
      <w:numFmt w:val="bullet"/>
      <w:start w:val="1"/>
    </w:lvl>
  </w:abstractNum>
  <w:abstractNum w:abstractNumId="365">
    <w:nsid w:val="6F0939F8"/>
    <w:multiLevelType w:val="hybridMultilevel"/>
    <w:lvl w:ilvl="0">
      <w:lvlJc w:val="left"/>
      <w:lvlText w:val="•"/>
      <w:numFmt w:val="bullet"/>
      <w:start w:val="1"/>
    </w:lvl>
    <w:lvl w:ilvl="1">
      <w:lvlJc w:val="left"/>
      <w:lvlText w:val="•"/>
      <w:numFmt w:val="bullet"/>
      <w:start w:val="1"/>
    </w:lvl>
  </w:abstractNum>
  <w:abstractNum w:abstractNumId="366">
    <w:nsid w:val="154291F6"/>
    <w:multiLevelType w:val="hybridMultilevel"/>
    <w:lvl w:ilvl="0">
      <w:lvlJc w:val="left"/>
      <w:lvlText w:val="•"/>
      <w:numFmt w:val="bullet"/>
      <w:start w:val="1"/>
    </w:lvl>
    <w:lvl w:ilvl="1">
      <w:lvlJc w:val="left"/>
      <w:lvlText w:val="•"/>
      <w:numFmt w:val="bullet"/>
      <w:start w:val="1"/>
    </w:lvl>
  </w:abstractNum>
  <w:abstractNum w:abstractNumId="367">
    <w:nsid w:val="3CEBD7C7"/>
    <w:multiLevelType w:val="hybridMultilevel"/>
    <w:lvl w:ilvl="0">
      <w:lvlJc w:val="left"/>
      <w:lvlText w:val="•"/>
      <w:numFmt w:val="bullet"/>
      <w:start w:val="1"/>
    </w:lvl>
  </w:abstractNum>
  <w:abstractNum w:abstractNumId="368">
    <w:nsid w:val="60EE9C16"/>
    <w:multiLevelType w:val="hybridMultilevel"/>
    <w:lvl w:ilvl="0">
      <w:lvlJc w:val="left"/>
      <w:lvlText w:val="•"/>
      <w:numFmt w:val="bullet"/>
      <w:start w:val="1"/>
    </w:lvl>
  </w:abstractNum>
  <w:abstractNum w:abstractNumId="369">
    <w:nsid w:val="6385489E"/>
    <w:multiLevelType w:val="hybridMultilevel"/>
    <w:lvl w:ilvl="0">
      <w:lvlJc w:val="left"/>
      <w:lvlText w:val="*"/>
      <w:numFmt w:val="bullet"/>
      <w:start w:val="1"/>
    </w:lvl>
  </w:abstractNum>
  <w:abstractNum w:abstractNumId="370">
    <w:nsid w:val="E4B973"/>
    <w:multiLevelType w:val="hybridMultilevel"/>
    <w:lvl w:ilvl="0">
      <w:lvlJc w:val="left"/>
      <w:lvlText w:val="%1."/>
      <w:numFmt w:val="decimal"/>
      <w:start w:val="2"/>
    </w:lvl>
  </w:abstractNum>
  <w:abstractNum w:abstractNumId="371">
    <w:nsid w:val="4A0FFA11"/>
    <w:multiLevelType w:val="hybridMultilevel"/>
    <w:lvl w:ilvl="0">
      <w:lvlJc w:val="left"/>
      <w:lvlText w:val="(%1)"/>
      <w:numFmt w:val="lowerLetter"/>
      <w:start w:val="4"/>
    </w:lvl>
  </w:abstractNum>
  <w:abstractNum w:abstractNumId="372">
    <w:nsid w:val="5E446208"/>
    <w:multiLevelType w:val="hybridMultilevel"/>
    <w:lvl w:ilvl="0">
      <w:lvlJc w:val="left"/>
      <w:lvlText w:val="(%1)"/>
      <w:numFmt w:val="lowerRoman"/>
      <w:start w:val="3"/>
    </w:lvl>
  </w:abstractNum>
  <w:abstractNum w:abstractNumId="373">
    <w:nsid w:val="5F3272DB"/>
    <w:multiLevelType w:val="hybridMultilevel"/>
    <w:lvl w:ilvl="0">
      <w:lvlJc w:val="left"/>
      <w:lvlText w:val="%1."/>
      <w:numFmt w:val="decimal"/>
      <w:start w:val="9"/>
    </w:lvl>
  </w:abstractNum>
  <w:abstractNum w:abstractNumId="374">
    <w:nsid w:val="7616D704"/>
    <w:multiLevelType w:val="hybridMultilevel"/>
    <w:lvl w:ilvl="0">
      <w:lvlJc w:val="left"/>
      <w:lvlText w:val="%1."/>
      <w:numFmt w:val="decimal"/>
      <w:start w:val="11"/>
    </w:lvl>
  </w:abstractNum>
  <w:abstractNum w:abstractNumId="375">
    <w:nsid w:val="C56F860"/>
    <w:multiLevelType w:val="hybridMultilevel"/>
    <w:lvl w:ilvl="0">
      <w:lvlJc w:val="left"/>
      <w:lvlText w:val="%1."/>
      <w:numFmt w:val="decimal"/>
      <w:start w:val="12"/>
    </w:lvl>
  </w:abstractNum>
  <w:abstractNum w:abstractNumId="376">
    <w:nsid w:val="64D17722"/>
    <w:multiLevelType w:val="hybridMultilevel"/>
    <w:lvl w:ilvl="0">
      <w:lvlJc w:val="left"/>
      <w:lvlText w:val="(%1)"/>
      <w:numFmt w:val="decimal"/>
      <w:start w:val="1"/>
    </w:lvl>
  </w:abstractNum>
  <w:abstractNum w:abstractNumId="377">
    <w:nsid w:val="7924CA0A"/>
    <w:multiLevelType w:val="hybridMultilevel"/>
    <w:lvl w:ilvl="0">
      <w:lvlJc w:val="left"/>
      <w:lvlText w:val="(%1)"/>
      <w:numFmt w:val="decimal"/>
      <w:start w:val="22"/>
    </w:lvl>
  </w:abstractNum>
  <w:abstractNum w:abstractNumId="378">
    <w:nsid w:val="CFD4EA7"/>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79">
    <w:nsid w:val="232FCF4D"/>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380">
    <w:nsid w:val="1EA21031"/>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381">
    <w:nsid w:val="67A5A6B5"/>
    <w:multiLevelType w:val="hybridMultilevel"/>
    <w:lvl w:ilvl="0">
      <w:lvlJc w:val="left"/>
      <w:lvlText w:val="(%1)"/>
      <w:numFmt w:val="decimal"/>
      <w:start w:val="1"/>
    </w:lvl>
  </w:abstractNum>
  <w:abstractNum w:abstractNumId="382">
    <w:nsid w:val="C2A5C5B"/>
    <w:multiLevelType w:val="hybridMultilevel"/>
    <w:lvl w:ilvl="0">
      <w:lvlJc w:val="left"/>
      <w:lvlText w:val="(%1)"/>
      <w:numFmt w:val="decimal"/>
      <w:start w:val="19"/>
    </w:lvl>
  </w:abstractNum>
  <w:abstractNum w:abstractNumId="383">
    <w:nsid w:val="5F94DC03"/>
    <w:multiLevelType w:val="hybridMultilevel"/>
    <w:lvl w:ilvl="0">
      <w:lvlJc w:val="left"/>
      <w:lvlText w:val="(%1)"/>
      <w:numFmt w:val="lowerRoman"/>
      <w:start w:val="1"/>
    </w:lvl>
  </w:abstractNum>
  <w:abstractNum w:abstractNumId="384">
    <w:nsid w:val="237BBCA0"/>
    <w:multiLevelType w:val="hybridMultilevel"/>
    <w:lvl w:ilvl="0">
      <w:lvlJc w:val="left"/>
      <w:lvlText w:val="(%1)"/>
      <w:numFmt w:val="lowerLetter"/>
      <w:start w:val="1"/>
    </w:lvl>
  </w:abstractNum>
  <w:abstractNum w:abstractNumId="385">
    <w:nsid w:val="162EB70D"/>
    <w:multiLevelType w:val="hybridMultilevel"/>
    <w:lvl w:ilvl="0">
      <w:lvlJc w:val="left"/>
      <w:lvlText w:val="(%1)"/>
      <w:numFmt w:val="lowerLetter"/>
      <w:start w:val="2"/>
    </w:lvl>
  </w:abstractNum>
  <w:abstractNum w:abstractNumId="386">
    <w:nsid w:val="78070222"/>
    <w:multiLevelType w:val="hybridMultilevel"/>
    <w:lvl w:ilvl="0">
      <w:lvlJc w:val="left"/>
      <w:lvlText w:val="(%1)"/>
      <w:numFmt w:val="lowerLetter"/>
      <w:start w:val="1"/>
    </w:lvl>
  </w:abstractNum>
  <w:abstractNum w:abstractNumId="387">
    <w:nsid w:val="6163ED0D"/>
    <w:multiLevelType w:val="hybridMultilevel"/>
    <w:lvl w:ilvl="0">
      <w:lvlJc w:val="left"/>
      <w:lvlText w:val="%1."/>
      <w:numFmt w:val="decimal"/>
      <w:start w:val="1"/>
    </w:lvl>
  </w:abstractNum>
  <w:abstractNum w:abstractNumId="388">
    <w:nsid w:val="C600E47"/>
    <w:multiLevelType w:val="hybridMultilevel"/>
    <w:lvl w:ilvl="0">
      <w:lvlJc w:val="left"/>
      <w:lvlText w:val="7"/>
      <w:numFmt w:val="bullet"/>
      <w:start w:val="1"/>
    </w:lvl>
  </w:abstractNum>
  <w:abstractNum w:abstractNumId="389">
    <w:nsid w:val="7D94F75D"/>
    <w:multiLevelType w:val="hybridMultilevel"/>
    <w:lvl w:ilvl="0">
      <w:lvlJc w:val="left"/>
      <w:lvlText w:val="%1)"/>
      <w:numFmt w:val="lowerLetter"/>
      <w:start w:val="1"/>
    </w:lvl>
  </w:abstractNum>
  <w:abstractNum w:abstractNumId="390">
    <w:nsid w:val="6C31E7CD"/>
    <w:multiLevelType w:val="hybridMultilevel"/>
    <w:lvl w:ilvl="0">
      <w:lvlJc w:val="left"/>
      <w:lvlText w:val="%1)"/>
      <w:numFmt w:val="lowerLetter"/>
      <w:start w:val="2"/>
    </w:lvl>
  </w:abstractNum>
  <w:abstractNum w:abstractNumId="391">
    <w:nsid w:val="2BB7929B"/>
    <w:multiLevelType w:val="hybridMultilevel"/>
    <w:lvl w:ilvl="0">
      <w:lvlJc w:val="left"/>
      <w:lvlText w:val="*"/>
      <w:numFmt w:val="bullet"/>
      <w:start w:val="1"/>
    </w:lvl>
    <w:lvl w:ilvl="1">
      <w:lvlJc w:val="left"/>
      <w:lvlText w:val="%2."/>
      <w:numFmt w:val="decimal"/>
      <w:start w:val="1"/>
    </w:lvl>
  </w:abstractNum>
  <w:abstractNum w:abstractNumId="392">
    <w:nsid w:val="58A2A487"/>
    <w:multiLevelType w:val="hybridMultilevel"/>
    <w:lvl w:ilvl="0">
      <w:lvlJc w:val="left"/>
      <w:lvlText w:val="**"/>
      <w:numFmt w:val="bullet"/>
      <w:start w:val="1"/>
    </w:lvl>
    <w:lvl w:ilvl="1">
      <w:lvlJc w:val="left"/>
      <w:lvlText w:val="%2"/>
      <w:numFmt w:val="decimal"/>
      <w:start w:val="1"/>
    </w:lvl>
  </w:abstractNum>
  <w:abstractNum w:abstractNumId="393">
    <w:nsid w:val="3A6F0E78"/>
    <w:multiLevelType w:val="hybridMultilevel"/>
    <w:lvl w:ilvl="0">
      <w:lvlJc w:val="left"/>
      <w:lvlText w:val="7"/>
      <w:numFmt w:val="bullet"/>
      <w:start w:val="1"/>
    </w:lvl>
  </w:abstractNum>
  <w:abstractNum w:abstractNumId="394">
    <w:nsid w:val="379A5B56"/>
    <w:multiLevelType w:val="hybridMultilevel"/>
    <w:lvl w:ilvl="0">
      <w:lvlJc w:val="left"/>
      <w:lvlText w:val="*"/>
      <w:numFmt w:val="bullet"/>
      <w:start w:val="1"/>
    </w:lvl>
  </w:abstractNum>
  <w:abstractNum w:abstractNumId="395">
    <w:nsid w:val="53B735D5"/>
    <w:multiLevelType w:val="hybridMultilevel"/>
    <w:lvl w:ilvl="0">
      <w:lvlJc w:val="left"/>
      <w:lvlText w:val="**"/>
      <w:numFmt w:val="bullet"/>
      <w:start w:val="1"/>
    </w:lvl>
  </w:abstractNum>
  <w:abstractNum w:abstractNumId="396">
    <w:nsid w:val="29784870"/>
    <w:multiLevelType w:val="hybridMultilevel"/>
    <w:lvl w:ilvl="0">
      <w:lvlJc w:val="left"/>
      <w:lvlText w:val="*"/>
      <w:numFmt w:val="bullet"/>
      <w:start w:val="1"/>
    </w:lvl>
  </w:abstractNum>
  <w:abstractNum w:abstractNumId="397">
    <w:nsid w:val="4CDCED4C"/>
    <w:multiLevelType w:val="hybridMultilevel"/>
    <w:lvl w:ilvl="0">
      <w:lvlJc w:val="left"/>
      <w:lvlText w:val="**"/>
      <w:numFmt w:val="bullet"/>
      <w:start w:val="1"/>
    </w:lvl>
  </w:abstractNum>
  <w:abstractNum w:abstractNumId="398">
    <w:nsid w:val="10A30D9C"/>
    <w:multiLevelType w:val="hybridMultilevel"/>
    <w:lvl w:ilvl="0">
      <w:lvlJc w:val="left"/>
      <w:lvlText w:val="☐"/>
      <w:numFmt w:val="bullet"/>
      <w:start w:val="1"/>
    </w:lvl>
  </w:abstractNum>
  <w:abstractNum w:abstractNumId="399">
    <w:nsid w:val="A66E486"/>
    <w:multiLevelType w:val="hybridMultilevel"/>
    <w:lvl w:ilvl="0">
      <w:lvlJc w:val="left"/>
      <w:lvlText w:val="☐"/>
      <w:numFmt w:val="bullet"/>
      <w:start w:val="1"/>
    </w:lvl>
  </w:abstractNum>
  <w:abstractNum w:abstractNumId="400">
    <w:nsid w:val="306235EA"/>
    <w:multiLevelType w:val="hybridMultilevel"/>
    <w:lvl w:ilvl="0">
      <w:lvlJc w:val="left"/>
      <w:lvlText w:val="(%1)"/>
      <w:numFmt w:val="lowerRoman"/>
      <w:start w:val="2"/>
    </w:lvl>
  </w:abstractNum>
  <w:abstractNum w:abstractNumId="401">
    <w:nsid w:val="1187C70F"/>
    <w:multiLevelType w:val="hybridMultilevel"/>
    <w:lvl w:ilvl="0">
      <w:lvlJc w:val="left"/>
      <w:lvlText w:val="☐"/>
      <w:numFmt w:val="bullet"/>
      <w:start w:val="1"/>
    </w:lvl>
  </w:abstractNum>
  <w:abstractNum w:abstractNumId="402">
    <w:nsid w:val="5476DE98"/>
    <w:multiLevelType w:val="hybridMultilevel"/>
    <w:lvl w:ilvl="0">
      <w:lvlJc w:val="left"/>
      <w:lvlText w:val="7"/>
      <w:numFmt w:val="bullet"/>
      <w:start w:val="1"/>
    </w:lvl>
  </w:abstractNum>
  <w:abstractNum w:abstractNumId="403">
    <w:nsid w:val="EA697F2"/>
    <w:multiLevelType w:val="hybridMultilevel"/>
    <w:lvl w:ilvl="0">
      <w:lvlJc w:val="left"/>
      <w:lvlText w:val="7"/>
      <w:numFmt w:val="bullet"/>
      <w:start w:val="1"/>
    </w:lvl>
  </w:abstractNum>
  <w:abstractNum w:abstractNumId="404">
    <w:nsid w:val="70BA39EB"/>
    <w:multiLevelType w:val="hybridMultilevel"/>
    <w:lvl w:ilvl="0">
      <w:lvlJc w:val="left"/>
      <w:lvlText w:val="(%1)"/>
      <w:numFmt w:val="decimal"/>
      <w:start w:val="1"/>
    </w:lvl>
  </w:abstractNum>
  <w:abstractNum w:abstractNumId="405">
    <w:nsid w:val="4A8DB59C"/>
    <w:multiLevelType w:val="hybridMultilevel"/>
    <w:lvl w:ilvl="0">
      <w:lvlJc w:val="left"/>
      <w:lvlText w:val="*"/>
      <w:numFmt w:val="bullet"/>
      <w:start w:val="1"/>
    </w:lvl>
  </w:abstractNum>
  <w:abstractNum w:abstractNumId="406">
    <w:nsid w:val="1AFD9053"/>
    <w:multiLevelType w:val="hybridMultilevel"/>
    <w:lvl w:ilvl="0">
      <w:lvlJc w:val="left"/>
      <w:lvlText w:val="(%1)"/>
      <w:numFmt w:val="decimal"/>
      <w:start w:val="1"/>
    </w:lvl>
  </w:abstractNum>
  <w:abstractNum w:abstractNumId="407">
    <w:nsid w:val="558BB10D"/>
    <w:multiLevelType w:val="hybridMultilevel"/>
    <w:lvl w:ilvl="0">
      <w:lvlJc w:val="left"/>
      <w:lvlText w:val="(%1)"/>
      <w:numFmt w:val="decimal"/>
      <w:start w:val="3"/>
    </w:lvl>
  </w:abstractNum>
  <w:abstractNum w:abstractNumId="408">
    <w:nsid w:val="43B27FA7"/>
    <w:multiLevelType w:val="hybridMultilevel"/>
    <w:lvl w:ilvl="0">
      <w:lvlJc w:val="left"/>
      <w:lvlText w:val="•"/>
      <w:numFmt w:val="bullet"/>
      <w:start w:val="1"/>
    </w:lvl>
  </w:abstractNum>
  <w:abstractNum w:abstractNumId="409">
    <w:nsid w:val="27FADEFA"/>
    <w:multiLevelType w:val="hybridMultilevel"/>
    <w:lvl w:ilvl="0">
      <w:lvlJc w:val="left"/>
      <w:lvlText w:val="(%1)"/>
      <w:numFmt w:val="decimal"/>
      <w:start w:val="1"/>
    </w:lvl>
  </w:abstractNum>
  <w:abstractNum w:abstractNumId="410">
    <w:nsid w:val="78BB805A"/>
    <w:multiLevelType w:val="hybridMultilevel"/>
    <w:lvl w:ilvl="0">
      <w:lvlJc w:val="left"/>
      <w:lvlText w:val="7"/>
      <w:numFmt w:val="bullet"/>
      <w:start w:val="1"/>
    </w:lvl>
  </w:abstractNum>
  <w:abstractNum w:abstractNumId="411">
    <w:nsid w:val="62548FD8"/>
    <w:multiLevelType w:val="hybridMultilevel"/>
    <w:lvl w:ilvl="0">
      <w:lvlJc w:val="left"/>
      <w:lvlText w:val=","/>
      <w:numFmt w:val="bullet"/>
      <w:start w:val="1"/>
    </w:lvl>
  </w:abstractNum>
  <w:abstractNum w:abstractNumId="412">
    <w:nsid w:val="FA085B0"/>
    <w:multiLevelType w:val="hybridMultilevel"/>
    <w:lvl w:ilvl="0">
      <w:lvlJc w:val="left"/>
      <w:lvlText w:val="7"/>
      <w:numFmt w:val="bullet"/>
      <w:start w:val="1"/>
    </w:lvl>
  </w:abstractNum>
  <w:abstractNum w:abstractNumId="413">
    <w:nsid w:val="4E5DCB5"/>
    <w:multiLevelType w:val="hybridMultilevel"/>
    <w:lvl w:ilvl="0">
      <w:lvlJc w:val="left"/>
      <w:lvlText w:val="%1."/>
      <w:numFmt w:val="decimal"/>
      <w:start w:val="1"/>
    </w:lvl>
  </w:abstractNum>
  <w:abstractNum w:abstractNumId="414">
    <w:nsid w:val="41E96BDB"/>
    <w:multiLevelType w:val="hybridMultilevel"/>
    <w:lvl w:ilvl="0">
      <w:lvlJc w:val="left"/>
      <w:lvlText w:val="*"/>
      <w:numFmt w:val="bullet"/>
      <w:start w:val="1"/>
    </w:lvl>
  </w:abstractNum>
  <w:abstractNum w:abstractNumId="415">
    <w:nsid w:val="331C4250"/>
    <w:multiLevelType w:val="hybridMultilevel"/>
    <w:lvl w:ilvl="0">
      <w:lvlJc w:val="left"/>
      <w:lvlText w:val="**"/>
      <w:numFmt w:val="bullet"/>
      <w:start w:val="1"/>
    </w:lvl>
  </w:abstractNum>
  <w:abstractNum w:abstractNumId="416">
    <w:nsid w:val="1B1493C2"/>
    <w:multiLevelType w:val="hybridMultilevel"/>
    <w:lvl w:ilvl="0">
      <w:lvlJc w:val="left"/>
      <w:lvlText w:val="***"/>
      <w:numFmt w:val="bullet"/>
      <w:start w:val="1"/>
    </w:lvl>
  </w:abstractNum>
  <w:abstractNum w:abstractNumId="417">
    <w:nsid w:val="39F06DFD"/>
    <w:multiLevelType w:val="hybridMultilevel"/>
    <w:lvl w:ilvl="0">
      <w:lvlJc w:val="left"/>
      <w:lvlText w:val="☐"/>
      <w:numFmt w:val="bullet"/>
      <w:start w:val="1"/>
    </w:lvl>
  </w:abstractNum>
  <w:abstractNum w:abstractNumId="418">
    <w:nsid w:val="14802F5D"/>
    <w:multiLevelType w:val="hybridMultilevel"/>
    <w:lvl w:ilvl="0">
      <w:lvlJc w:val="left"/>
      <w:lvlText w:val="*"/>
      <w:numFmt w:val="bullet"/>
      <w:start w:val="1"/>
    </w:lvl>
  </w:abstractNum>
  <w:abstractNum w:abstractNumId="419">
    <w:nsid w:val="2774A209"/>
    <w:multiLevelType w:val="hybridMultilevel"/>
    <w:lvl w:ilvl="0">
      <w:lvlJc w:val="left"/>
      <w:lvlText w:val="**"/>
      <w:numFmt w:val="bullet"/>
      <w:start w:val="1"/>
    </w:lvl>
  </w:abstractNum>
  <w:abstractNum w:abstractNumId="420">
    <w:nsid w:val="3785655A"/>
    <w:multiLevelType w:val="hybridMultilevel"/>
    <w:lvl w:ilvl="0">
      <w:lvlJc w:val="left"/>
      <w:lvlText w:val="***"/>
      <w:numFmt w:val="bullet"/>
      <w:start w:val="1"/>
    </w:lvl>
  </w:abstractNum>
  <w:abstractNum w:abstractNumId="421">
    <w:nsid w:val="B2172A"/>
    <w:multiLevelType w:val="hybridMultilevel"/>
    <w:lvl w:ilvl="0">
      <w:lvlJc w:val="left"/>
      <w:lvlText w:val="☐"/>
      <w:numFmt w:val="bullet"/>
      <w:start w:val="1"/>
    </w:lvl>
  </w:abstractNum>
  <w:abstractNum w:abstractNumId="422">
    <w:nsid w:val="532C34A5"/>
    <w:multiLevelType w:val="hybridMultilevel"/>
    <w:lvl w:ilvl="0">
      <w:lvlJc w:val="left"/>
      <w:lvlText w:val="7"/>
      <w:numFmt w:val="bullet"/>
      <w:start w:val="1"/>
    </w:lvl>
  </w:abstractNum>
  <w:abstractNum w:abstractNumId="423">
    <w:nsid w:val="102809E2"/>
    <w:multiLevelType w:val="hybridMultilevel"/>
    <w:lvl w:ilvl="0">
      <w:lvlJc w:val="left"/>
      <w:lvlText w:val="7"/>
      <w:numFmt w:val="bullet"/>
      <w:start w:val="1"/>
    </w:lvl>
  </w:abstractNum>
  <w:abstractNum w:abstractNumId="424">
    <w:nsid w:val="3B2125A3"/>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jpeg"/><Relationship Id="rId664" Type="http://schemas.openxmlformats.org/officeDocument/2006/relationships/image" Target="media/image657.jpe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2019-12-20T20:30:52Z</dcterms:created>
  <dcterms:modified xsi:type="dcterms:W3CDTF">2019-12-20T20:30:52Z</dcterms:modified>
</cp:coreProperties>
</file>