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Randt Clark T. Jr.</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1"/>
          </w:tcPr>
          <w:p>
            <w:pPr>
              <w:ind w:left="5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307</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8,132.791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Ambassador Randt voluntarily reduced a portion of his cash retainer compensation for the remainder of 2020 in exchange for a grant of an equivalent value of restricted shares of the Company's common stock. Such restricted stock will vest in full on December 31, 2020. Should Ambassador Randt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Clark T. Randt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5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52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6799"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2020-03-25T18:43:18Z</dcterms:created>
  <dcterms:modified xsi:type="dcterms:W3CDTF">2020-03-25T18:43:18Z</dcterms:modified>
</cp:coreProperties>
</file>