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17,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30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p>
      <w:pPr>
        <w:spacing w:after="0" w:line="273"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314"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540"/>
          </w:cols>
          <w:pgMar w:left="240" w:top="314" w:right="1059" w:bottom="1440" w:gutter="0" w:footer="0" w:header="0"/>
          <w:type w:val="continuous"/>
        </w:sectPr>
      </w:pPr>
    </w:p>
    <w:p>
      <w:pPr>
        <w:spacing w:after="0" w:line="2"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660" w:space="720"/>
            <w:col w:w="1220"/>
          </w:cols>
          <w:pgMar w:left="240" w:top="314" w:right="1059" w:bottom="1440" w:gutter="0" w:footer="0" w:header="0"/>
          <w:type w:val="continuous"/>
        </w:sectPr>
      </w:pPr>
    </w:p>
    <w:p>
      <w:pPr>
        <w:ind w:left="220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32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314"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July 17, 2012, Wynn Resorts, Limited issued a press release announcing its results of operations for the second quarter of 2012.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17, 2012, the Board of Directors of Wynn Resorts, Limited approved a quarterly cash dividend of $0.50 per share of its outstanding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cash dividend will be payable on August 14, 2012 to stockholders of record on July 31, 2012.</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4"/>
          <w:szCs w:val="14"/>
          <w:color w:val="auto"/>
        </w:rPr>
        <w:t>Exhibit</w:t>
      </w:r>
    </w:p>
    <w:p>
      <w:pPr>
        <w:ind w:left="940"/>
        <w:spacing w:after="0"/>
        <w:tabs>
          <w:tab w:leader="none" w:pos="184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92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17, 2012, of Wynn Resorts, Limited.</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Title:  Chief Financial Officer and Treasurer</w:t>
      </w:r>
    </w:p>
    <w:p>
      <w:pPr>
        <w:sectPr>
          <w:pgSz w:w="11900" w:h="16838" w:orient="portrait"/>
          <w:cols w:equalWidth="0" w:num="1">
            <w:col w:w="10540"/>
          </w:cols>
          <w:pgMar w:left="240" w:top="274" w:right="111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Chief Financial Officer and Treasurer</w:t>
      </w:r>
    </w:p>
    <w:p>
      <w:pPr>
        <w:sectPr>
          <w:pgSz w:w="11900" w:h="16838" w:orient="portrait"/>
          <w:cols w:equalWidth="0" w:num="1">
            <w:col w:w="10540"/>
          </w:cols>
          <w:pgMar w:left="240" w:top="274"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Second Quarter 2012</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LAS VEGAS, July 17, 2012 (BUSINESS WIRE) — Wynn Resorts, Limited (Nasdaq: WYNN) today reported financial results for the second quarter ended June 30, 2012.</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revenues for the second quarter of 2012 were $1,253.2 million, compared to $1,367.4 million in the second quarter of 2011. The revenue decline resulted from a 7.1% decrease in revenues from our Macau Operations and an 11.6% decline in our revenues in Las Vegas, as both properties were negatively impacted by lower hold in the 2012 quarter. Adjusted property EBITDA (1) was $384.1 million for the second quarter of 2012, compared to $447.0 million in the second quarter of 2011.</w:t>
      </w:r>
    </w:p>
    <w:p>
      <w:pPr>
        <w:spacing w:after="0" w:line="14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On a US GAAP basis, net income attributable to Wynn Resorts for the second quarter of 2012 was $138.1 million, or $1.37 per diluted share, compared to a net income attributable to Wynn Resorts of $122.0 million, or $0.97 per diluted share in the second quarter of 2011. Net income for the second quarter of 2011 included a $107.5 million charge representing the present value of a charitable contribution made by Wynn Macau.</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Adjusted net income (2) attributable to Wynn Resorts in the second quarter of 2012 was $139.0 million, or $1.38 per diluted share (adjusted EPS) compared to an adjusted net income attributable to Wynn Resorts of $200.8 million, or $1.60 per diluted share in the second quarter of 2011. In the second quarter of 2012, we had 101.0 million diluted shares outstanding compared to 125.7 million diluted shares outstanding in the second quarter of 2011, largely due to the redemption of Aruze USA’s 24.5 million shares on February 18, 2012.</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Wynn Resorts also announced today that the Company has approved a cash dividend for the quarter of $0.50 per common share. This dividend will be payable on August 14, 2012, to stockholders of record on July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9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the second quarter of 2012, net revenues were $907.6 million, a 7.1% decrease from the $976.5 million generated in the second quarter of 2011. Adjusted property EBITDA in the second quarter of 2012 was $302.2 million, down 3.9% from $314.3 million in the second quarter of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Table games turnover in the VIP segment was $30.3 billion for the second quarter of 2012, a 7.2% decline from $32.7 billion in the second quarter of 2011. VIP table games win as a percentage of turnover (calculated before discounts and commissions) for the quarter was 2.79%, which was at the lower end of the expected range of 2.7% to 3.0% and lower than the 2.89% experienced in the second quarter of 2011.</w:t>
      </w:r>
    </w:p>
    <w:p>
      <w:pPr>
        <w:spacing w:after="0" w:line="14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Despite a 10.0% decrease in the number of mass market table games, drop in the mass market segment was down only 2.7%, from $690.3 million in the second quarter of 2011 to $671.8 million in the June 2012 quarter. Mass market table games win percentage (calculated before discounts) of 29.8% was higher than our expected range of 26% to 28% and above the 27.8% generated in the 2011 quarter.</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Slot machine handle declined 22.1% to $1.2 billion as compared to the prior year quarter. Win per unit per day was 4.9% lower at $752, compared to $791 in the second quarter of 2011 as slot count went down by 114 machines.</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achieved an Average Daily Rate (ADR) of $317 for the second quarter of 2012, 1.0% above the $314 reported in the 2011 quarter. The property’s occupancy was 90.0%, compared to 90.5% during the prior year period, and revenue per available room (REVPAR) was $286 in the 2012 quarter, 0.4% above the $284 reported in the prior year quarter. Gross non-casino revenues increased 2.2% during the quarter to $96.7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currently have 504 tables (290 VIP tables, 203 mass market tables and 11 poker tables) and 939 slot machines.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May 2, 2012, Wynn Macau’s land concession contract was published in the official gazette of Macau. This concession contract has an initial term of 25 years with the right to renew it for additional successive periods, subject to government approval. The Company anticipates constructing a full scale integrated resort containing a casino, approximately 2,000 rooms and suites, convention, retail, entertainment and food and beverage offerings on this land. The Company currently estimates the project budget to be in the range of $3.5 billion to $4.0 billion.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the second quarter ended June 30, 2012, net revenues were $345.6 million, an 11.6% decline from the second quarter of 2011. Adjusted property EBITDA of $81.9 million was down 38.3% versus the $132.7 million generated in the comparable period in 2011. EBITDA margin on net revenues was 23.7% in the second quarter of 2012 compared to 34.0% in the second quarter of 2011.</w:t>
      </w:r>
    </w:p>
    <w:p>
      <w:pPr>
        <w:spacing w:after="0" w:line="14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Net casino revenues in the second quarter of 2012 were $98.6 million, down 37.7% from the second quarter of 2011. Table games drop of $575.6 million was up 7.6% compared to $534.7 million in the 2011 quarter and table games win percentage of 15.0% was significantly below the property’s expected range of 21% to 24% and the 27.6% reported in the 2011 quarter. Slot machine handle of $707.8 million was 3.2% above the $685.6 million in the comparable period of 2011 and net slot win was flat due to lower hold in the 2012 quarter.</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Gross non-casino revenues for the quarter were $290.7 million, 5.5% higher than in the second quarter of 2011 due to increases in the hotel and food and beverage segments, which were partially offset by lower retail and entertainment revenues.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Room revenues were up 5.6% to $96.2 million during the quarter, versus $91.1 million in the second quarter of 2011. Average Daily Rate (ADR) was up 5.6% to $254 while occupancy of 87.6% was below the 89.2% experienced in the second quarter of 2011. Revenue per available room (REVPAR) was $222 in the 2012 quarter, 3.8% above the $214 reported in the prior year quarter. During the second quarter of 2012, we had all rooms available for sale while 1.7% of the rooms in the second quarter of 2011 were out due to renovations.</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Food and beverage revenues increased 9.8% to $138.4 million primarily due to the strength in the nightclub business. Retail revenues were $21.0 million in the quarter, down 8.0% from last year as we reconfigured the Encore retail area and are in the process of rebranding several retail outlets. Entertainment revenues declined 4.9% to $18.1 million from the second quarter of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quarter ended June 30, 2012, the company recorded an adjustment to its reserve estimates for casino accounts receivable based on the results of historical collection patterns and current collection trends. This change in estimate was the primary factor that resulted in a $17.3 million credit to the provision for doubtful accounts for the quarter ended June 30, 2012.</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Total cash balance at June 30, 2012 was $1.9 billion. Total debt outstanding at the end of the quarter was $5.5 billion, including $3.1 billion of Wynn Las Vegas debt, $403.5 million of Wynn Macau debt and $1.96 billion at the parent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will hold a conference call to discuss its results on Tuesday, July 17, 2012 at 1:30 p.m. PT (4:30 p.m. ET). Interested parties are invited to join the call by accessing a live audio webcast at http://www.wynnresorts.com (Investor Relations).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2011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8"/>
        <w:spacing w:after="0" w:line="285"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26" w:lineRule="exact"/>
        <w:rPr>
          <w:rFonts w:ascii="Arial" w:cs="Arial" w:eastAsia="Arial" w:hAnsi="Arial"/>
          <w:sz w:val="16"/>
          <w:szCs w:val="16"/>
          <w:color w:val="auto"/>
        </w:rPr>
      </w:pPr>
    </w:p>
    <w:p>
      <w:pPr>
        <w:ind w:right="60" w:firstLine="8"/>
        <w:spacing w:after="0" w:line="253"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attributable to Wynn Resorts is net income before pre-opening costs, property charges and other, and other non-cash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14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Company has included schedules in the tables that accompany this release that reconcile (i) net income attributable to Wynn Resorts to adjusted net income attributable to Wynn Resorts, and (ii) operating income to adjusted property EBITDA and adjusted property EBITDA to net income attributable to Wynn Resorts.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Casino</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953,390</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1,082,043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2,002,669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2,088,348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296,277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207,311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2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1,340,809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1,452,244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2,748,640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2,801,748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(181,935)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(174,123)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2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1,253,207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1,367,353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2,566,705</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2,627,625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Casino</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645,688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684,505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1,320,344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154,918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205,727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102,052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185,868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989,084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1,154,320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2,042,483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2,134,036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493,589</w:t>
            </w: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(73,874)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(58,231)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(135,935)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(4,828)</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(131,377)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(104,586)</w:t>
            </w:r>
          </w:p>
        </w:tc>
        <w:tc>
          <w:tcPr>
            <w:tcW w:w="0" w:type="dxa"/>
            <w:vAlign w:val="bottom"/>
          </w:tcPr>
          <w:p>
            <w:pPr>
              <w:spacing w:after="0"/>
              <w:rPr>
                <w:sz w:val="1"/>
                <w:szCs w:val="1"/>
                <w:color w:val="auto"/>
              </w:rPr>
            </w:pPr>
          </w:p>
        </w:tc>
      </w:tr>
      <w:tr>
        <w:trPr>
          <w:trHeight w:val="221"/>
        </w:trPr>
        <w:tc>
          <w:tcPr>
            <w:tcW w:w="5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392,845</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(provision) for income taxes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21"/>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397,702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Net income attributable to noncontrolling interest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(119,074)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(85,831)</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Wynn Resorts, Limited</w:t>
            </w:r>
          </w:p>
        </w:tc>
        <w:tc>
          <w:tcPr>
            <w:tcW w:w="2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138,064</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122,031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278,628</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295,835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Net income attributable to Wynn Resorts, Limited:</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Diluted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Basic</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123,970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125,567</w:t>
            </w:r>
          </w:p>
        </w:tc>
        <w:tc>
          <w:tcPr>
            <w:tcW w:w="0" w:type="dxa"/>
            <w:vAlign w:val="bottom"/>
          </w:tcPr>
          <w:p>
            <w:pPr>
              <w:spacing w:after="0"/>
              <w:rPr>
                <w:sz w:val="1"/>
                <w:szCs w:val="1"/>
                <w:color w:val="auto"/>
              </w:rPr>
            </w:pPr>
          </w:p>
        </w:tc>
      </w:tr>
      <w:tr>
        <w:trPr>
          <w:trHeight w:val="322"/>
        </w:trPr>
        <w:tc>
          <w:tcPr>
            <w:tcW w:w="500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0" w:type="dxa"/>
            <w:vAlign w:val="bottom"/>
          </w:tcPr>
          <w:p>
            <w:pPr>
              <w:jc w:val="right"/>
              <w:ind w:right="135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Wynn Resorts, Limited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138,064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122,031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278,628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Increase in swap fair value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111,060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114,408</w:t>
            </w: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Loss on retirement of debt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noncontrolling interest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(29,204)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(28,769)</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Adjusted net income attributable to Wynn Resorts, Limited (2)</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138,954</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200,752</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290,893</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374,109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Adjusted net income attributable to Wynn Resorts, Limited per diluted share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363"/>
        </w:trPr>
        <w:tc>
          <w:tcPr>
            <w:tcW w:w="5520" w:type="dxa"/>
            <w:vAlign w:val="bottom"/>
          </w:tcPr>
          <w:p>
            <w:pPr>
              <w:spacing w:after="0"/>
              <w:rPr>
                <w:sz w:val="24"/>
                <w:szCs w:val="24"/>
                <w:color w:val="auto"/>
              </w:rPr>
            </w:pPr>
          </w:p>
        </w:tc>
        <w:tc>
          <w:tcPr>
            <w:tcW w:w="2120" w:type="dxa"/>
            <w:vAlign w:val="bottom"/>
          </w:tcPr>
          <w:p>
            <w:pPr>
              <w:jc w:val="right"/>
              <w:ind w:right="179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2"/>
              </w:rPr>
              <w:t>Three Months Ended June 30, 2012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Las Vegas</w:t>
            </w:r>
          </w:p>
        </w:tc>
        <w:tc>
          <w:tcPr>
            <w:tcW w:w="32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Macau</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Corporate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3"/>
              </w:rPr>
              <w:t>Operations</w:t>
            </w:r>
          </w:p>
        </w:tc>
        <w:tc>
          <w:tcPr>
            <w:tcW w:w="3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Operations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0"/>
              </w:rPr>
              <w:t>and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$225,548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$ 35,037</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$264,123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62,776</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29,985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240" w:type="dxa"/>
            <w:vAlign w:val="bottom"/>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93,463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Management and royalty fees</w:t>
            </w: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5,189</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36,374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(41,563)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1,328</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2,781</w:t>
            </w:r>
          </w:p>
        </w:tc>
        <w:tc>
          <w:tcPr>
            <w:tcW w:w="2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5,206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3380" w:type="dxa"/>
            <w:vAlign w:val="bottom"/>
            <w:gridSpan w:val="4"/>
          </w:tcPr>
          <w:p>
            <w:pPr>
              <w:jc w:val="right"/>
              <w:spacing w:after="0"/>
              <w:rPr>
                <w:sz w:val="20"/>
                <w:szCs w:val="20"/>
                <w:color w:val="auto"/>
              </w:rPr>
            </w:pPr>
            <w:r>
              <w:rPr>
                <w:rFonts w:ascii="Arial" w:cs="Arial" w:eastAsia="Arial" w:hAnsi="Arial"/>
                <w:sz w:val="18"/>
                <w:szCs w:val="18"/>
                <w:color w:val="auto"/>
              </w:rPr>
              <w:t>$ 81,919</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302,210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384,129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91"/>
              </w:rPr>
              <w:t>Three Months Ended June 30, 2011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Las Vegas</w:t>
            </w:r>
          </w:p>
        </w:tc>
        <w:tc>
          <w:tcPr>
            <w:tcW w:w="32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Macau</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Corporate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Operations</w:t>
            </w:r>
          </w:p>
        </w:tc>
        <w:tc>
          <w:tcPr>
            <w:tcW w:w="3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Operations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0"/>
              </w:rPr>
              <w:t>and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48,609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$123,737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$ 40,687</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$213,033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66,253</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35,101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102,052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111,060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Management and royalty fees</w:t>
            </w: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5,867</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39,280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(45,147)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1,559</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2,892</w:t>
            </w:r>
          </w:p>
        </w:tc>
        <w:tc>
          <w:tcPr>
            <w:tcW w:w="2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5,931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7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7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132,693</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314,348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447,041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3"/>
              </w:rPr>
              <w:t>2012</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$384,129</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$ 447,041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(93,463)</w:t>
            </w:r>
          </w:p>
        </w:tc>
        <w:tc>
          <w:tcPr>
            <w:tcW w:w="240" w:type="dxa"/>
            <w:vAlign w:val="bottom"/>
          </w:tcPr>
          <w:p>
            <w:pPr>
              <w:spacing w:after="0"/>
              <w:rPr>
                <w:sz w:val="24"/>
                <w:szCs w:val="24"/>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(102,052)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(3,540)</w:t>
            </w: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Corporate expenses and other</w:t>
            </w: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(17,541)</w:t>
            </w:r>
          </w:p>
        </w:tc>
        <w:tc>
          <w:tcPr>
            <w:tcW w:w="24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(5,206)</w:t>
            </w: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2,483</w:t>
            </w:r>
          </w:p>
        </w:tc>
        <w:tc>
          <w:tcPr>
            <w:tcW w:w="2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(73,874)</w:t>
            </w: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(58,231)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2,646</w:t>
            </w:r>
          </w:p>
        </w:tc>
        <w:tc>
          <w:tcPr>
            <w:tcW w:w="2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3,135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(1,081)</w:t>
            </w: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Benefit (provision) for income taxes</w:t>
            </w: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4,740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199,293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155,331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w:t>
            </w: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(61,229)</w:t>
            </w:r>
          </w:p>
        </w:tc>
        <w:tc>
          <w:tcPr>
            <w:tcW w:w="240" w:type="dxa"/>
            <w:vAlign w:val="bottom"/>
          </w:tcPr>
          <w:p>
            <w:pPr>
              <w:spacing w:after="0"/>
              <w:rPr>
                <w:sz w:val="19"/>
                <w:szCs w:val="19"/>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2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138,064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$ 122,031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700" w:type="dxa"/>
            <w:vAlign w:val="bottom"/>
            <w:vMerge w:val="restart"/>
          </w:tcPr>
          <w:p>
            <w:pPr>
              <w:jc w:val="right"/>
              <w:ind w:right="1852"/>
              <w:spacing w:after="0"/>
              <w:rPr>
                <w:sz w:val="20"/>
                <w:szCs w:val="20"/>
                <w:color w:val="auto"/>
              </w:rPr>
            </w:pPr>
            <w:r>
              <w:rPr>
                <w:rFonts w:ascii="Arial" w:cs="Arial" w:eastAsia="Arial" w:hAnsi="Arial"/>
                <w:sz w:val="18"/>
                <w:szCs w:val="18"/>
                <w:color w:val="auto"/>
              </w:rPr>
              <w:t>6</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0"/>
              </w:rPr>
              <w:t>Six Months Ended June 30, 2012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60" w:type="dxa"/>
            <w:vAlign w:val="bottom"/>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83"/>
              </w:rPr>
              <w:t>Las Vegas</w:t>
            </w:r>
          </w:p>
        </w:tc>
        <w:tc>
          <w:tcPr>
            <w:tcW w:w="220" w:type="dxa"/>
            <w:vAlign w:val="bottom"/>
          </w:tcPr>
          <w:p>
            <w:pPr>
              <w:spacing w:after="0"/>
              <w:rPr>
                <w:sz w:val="11"/>
                <w:szCs w:val="11"/>
                <w:color w:val="auto"/>
              </w:rPr>
            </w:pPr>
          </w:p>
        </w:tc>
        <w:tc>
          <w:tcPr>
            <w:tcW w:w="7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Macau</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Corporate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Operations</w:t>
            </w:r>
          </w:p>
        </w:tc>
        <w:tc>
          <w:tcPr>
            <w:tcW w:w="2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Operations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and 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7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23,964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$437,271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$ 62,987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$524,222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126,194</w:t>
            </w: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58,273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1,401</w:t>
            </w:r>
          </w:p>
        </w:tc>
        <w:tc>
          <w:tcPr>
            <w:tcW w:w="2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185,868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Management and royalty fees</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10,640</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74,433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(85,073)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 and other</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13,196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14,711</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5,471</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72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33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182,803</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591,983</w:t>
            </w:r>
          </w:p>
        </w:tc>
        <w:tc>
          <w:tcPr>
            <w:tcW w:w="1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774,786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0"/>
              </w:rPr>
              <w:t>Six Months Ended June 30, 2011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60" w:type="dxa"/>
            <w:vAlign w:val="bottom"/>
            <w:gridSpan w:val="4"/>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Las Vegas</w:t>
            </w:r>
          </w:p>
        </w:tc>
        <w:tc>
          <w:tcPr>
            <w:tcW w:w="22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Macau</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Corporate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Operations</w:t>
            </w: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Operations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and 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7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97,783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$318,139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$ 77,667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$493,589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132,049</w:t>
            </w:r>
          </w:p>
        </w:tc>
        <w:tc>
          <w:tcPr>
            <w:tcW w:w="10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70,034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203,399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109,818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Management and royalty fees</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11,795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73,774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(85,569)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 and other</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2,873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5,379</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33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264,820</w:t>
            </w:r>
          </w:p>
        </w:tc>
        <w:tc>
          <w:tcPr>
            <w:tcW w:w="10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587,179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851,999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7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$ 774,786</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$ 851,999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(185,868)</w:t>
            </w:r>
          </w:p>
        </w:tc>
        <w:tc>
          <w:tcPr>
            <w:tcW w:w="200" w:type="dxa"/>
            <w:vAlign w:val="bottom"/>
          </w:tcPr>
          <w:p>
            <w:pPr>
              <w:spacing w:after="0"/>
              <w:rPr>
                <w:sz w:val="24"/>
                <w:szCs w:val="24"/>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(203,399)</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(114,408)</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Corporate expenses and other</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(42,295)</w:t>
            </w:r>
          </w:p>
        </w:tc>
        <w:tc>
          <w:tcPr>
            <w:tcW w:w="20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(27,061)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(7,854)</w:t>
            </w: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(12,676)</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4,048</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 of capitalized interest</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(135,935)</w:t>
            </w: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(116,494)</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Increase in swap fair value</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4,930</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retirement of debt</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(4,828)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(provision) for income taxes</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397,702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381,666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Net income attributable to noncontrolling interest</w:t>
            </w:r>
          </w:p>
        </w:tc>
        <w:tc>
          <w:tcPr>
            <w:tcW w:w="2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(119,074)</w:t>
            </w: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(85,831)</w:t>
            </w:r>
          </w:p>
        </w:tc>
        <w:tc>
          <w:tcPr>
            <w:tcW w:w="0" w:type="dxa"/>
            <w:vAlign w:val="bottom"/>
          </w:tcPr>
          <w:p>
            <w:pPr>
              <w:spacing w:after="0"/>
              <w:rPr>
                <w:sz w:val="1"/>
                <w:szCs w:val="1"/>
                <w:color w:val="auto"/>
              </w:rPr>
            </w:pPr>
          </w:p>
        </w:tc>
      </w:tr>
      <w:tr>
        <w:trPr>
          <w:trHeight w:val="221"/>
        </w:trPr>
        <w:tc>
          <w:tcPr>
            <w:tcW w:w="5000" w:type="dxa"/>
            <w:vAlign w:val="bottom"/>
          </w:tcPr>
          <w:p>
            <w:pPr>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$ 278,628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$ 295,835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000" w:type="dxa"/>
            <w:vAlign w:val="bottom"/>
          </w:tcPr>
          <w:p>
            <w:pPr>
              <w:spacing w:after="0"/>
              <w:rPr>
                <w:sz w:val="24"/>
                <w:szCs w:val="24"/>
                <w:color w:val="auto"/>
              </w:rPr>
            </w:pPr>
          </w:p>
        </w:tc>
        <w:tc>
          <w:tcPr>
            <w:tcW w:w="2720" w:type="dxa"/>
            <w:vAlign w:val="bottom"/>
          </w:tcPr>
          <w:p>
            <w:pPr>
              <w:jc w:val="right"/>
              <w:ind w:right="187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Room Statistics for Las Vegas operations: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Occupancy %</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1"/>
                <w:szCs w:val="11"/>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Las Vegas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1"/>
                <w:szCs w:val="11"/>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4,384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7,062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5,923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Win %</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1"/>
                <w:szCs w:val="11"/>
                <w:color w:val="auto"/>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number of table games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Average number of slot machines</w:t>
            </w: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2,398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2,593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2,394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Macau:</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Occupancy %</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1"/>
                <w:szCs w:val="11"/>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Macau:</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1"/>
                <w:szCs w:val="11"/>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23,479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25,872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23,908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1"/>
                <w:szCs w:val="11"/>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Average number of table games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number of slot machines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REVPAR is Revenue per Available Room and is calculated by dividing total room revenue (less service charges, if any) by total rooms available.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2019-12-09T15:16:10Z</dcterms:created>
  <dcterms:modified xsi:type="dcterms:W3CDTF">2019-12-09T15:16:10Z</dcterms:modified>
</cp:coreProperties>
</file>