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0"/>
        <w:spacing w:after="0"/>
        <w:tabs>
          <w:tab w:leader="none" w:pos="7560" w:val="left"/>
        </w:tabs>
        <w:rPr>
          <w:sz w:val="20"/>
          <w:szCs w:val="20"/>
          <w:color w:val="auto"/>
        </w:rPr>
      </w:pPr>
      <w:r>
        <w:rPr>
          <w:rFonts w:ascii="Arial" w:cs="Arial" w:eastAsia="Arial" w:hAnsi="Arial"/>
          <w:sz w:val="14"/>
          <w:szCs w:val="14"/>
          <w:b w:val="1"/>
          <w:bCs w:val="1"/>
          <w:color w:val="auto"/>
        </w:rPr>
        <w:t>As filed with the Securities and Exchange Commission on November 4, 2022</w:t>
      </w:r>
      <w:r>
        <w:rPr>
          <w:sz w:val="20"/>
          <w:szCs w:val="20"/>
          <w:color w:val="auto"/>
        </w:rPr>
        <w:tab/>
      </w: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116205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117475</wp:posOffset>
            </wp:positionV>
            <wp:extent cx="216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WYNN RESORTS, LIMITED</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135255</wp:posOffset>
            </wp:positionV>
            <wp:extent cx="2168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540"/>
        <w:spacing w:after="0"/>
        <w:rPr>
          <w:sz w:val="20"/>
          <w:szCs w:val="20"/>
          <w:color w:val="auto"/>
        </w:rPr>
      </w:pPr>
      <w:r>
        <w:rPr>
          <w:rFonts w:ascii="Arial" w:cs="Arial" w:eastAsia="Arial" w:hAnsi="Arial"/>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46-0484987</w:t>
      </w:r>
    </w:p>
    <w:p>
      <w:pPr>
        <w:spacing w:after="0" w:line="53" w:lineRule="exact"/>
        <w:rPr>
          <w:sz w:val="24"/>
          <w:szCs w:val="24"/>
          <w:color w:val="auto"/>
        </w:rPr>
      </w:pPr>
    </w:p>
    <w:p>
      <w:pPr>
        <w:sectPr>
          <w:pgSz w:w="11900" w:h="16838" w:orient="portrait"/>
          <w:cols w:equalWidth="0" w:num="2">
            <w:col w:w="7480" w:space="720"/>
            <w:col w:w="3040"/>
          </w:cols>
          <w:pgMar w:left="320" w:top="994" w:right="33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980"/>
        <w:spacing w:after="0"/>
        <w:rPr>
          <w:sz w:val="20"/>
          <w:szCs w:val="20"/>
          <w:color w:val="auto"/>
        </w:rPr>
      </w:pPr>
      <w:r>
        <w:rPr>
          <w:rFonts w:ascii="Arial" w:cs="Arial" w:eastAsia="Arial" w:hAnsi="Arial"/>
          <w:sz w:val="13"/>
          <w:szCs w:val="13"/>
          <w:b w:val="1"/>
          <w:bCs w:val="1"/>
          <w:color w:val="auto"/>
        </w:rPr>
        <w:t>Identification Number)</w:t>
      </w:r>
    </w:p>
    <w:p>
      <w:pPr>
        <w:spacing w:after="0" w:line="105" w:lineRule="exact"/>
        <w:rPr>
          <w:sz w:val="24"/>
          <w:szCs w:val="24"/>
          <w:color w:val="auto"/>
        </w:rPr>
      </w:pPr>
    </w:p>
    <w:p>
      <w:pPr>
        <w:sectPr>
          <w:pgSz w:w="11900" w:h="16838" w:orient="portrait"/>
          <w:cols w:equalWidth="0" w:num="2">
            <w:col w:w="7120" w:space="720"/>
            <w:col w:w="3400"/>
          </w:cols>
          <w:pgMar w:left="320" w:top="994" w:right="3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3131 Las Vegas Boulevard South</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Las Vegas, Nevada 89109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(702) 770-7555</w:t>
      </w:r>
    </w:p>
    <w:p>
      <w:pPr>
        <w:sectPr>
          <w:pgSz w:w="11900" w:h="16838" w:orient="portrait"/>
          <w:cols w:equalWidth="0" w:num="1">
            <w:col w:w="11240"/>
          </w:cols>
          <w:pgMar w:left="320" w:top="994"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128270</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Ellen Whittemore</w:t>
      </w:r>
    </w:p>
    <w:p>
      <w:pPr>
        <w:spacing w:after="0" w:line="25"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Executive Vice President, General Counsel and Secretary</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Wynn Resorts, Limited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Las Vegas, Nevada 89109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(702) 770-7555</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120015</wp:posOffset>
            </wp:positionV>
            <wp:extent cx="2168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a copy 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Robert M. Hayward, P.C. and Michael P. Keeley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Kirkland &amp; Ellis LLP</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300 North LaSalle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Chicago, Illinois 60654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120015</wp:posOffset>
            </wp:positionV>
            <wp:extent cx="216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From time to time after this registration statement becomes effective.</w:t>
      </w:r>
    </w:p>
    <w:p>
      <w:pPr>
        <w:spacing w:after="0" w:line="25"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128270</wp:posOffset>
            </wp:positionV>
            <wp:extent cx="2168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firstLine="324"/>
        <w:spacing w:after="0" w:line="19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9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firstLine="324"/>
        <w:spacing w:after="0" w:line="194"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ectPr>
          <w:pgSz w:w="11900" w:h="16838" w:orient="portrait"/>
          <w:cols w:equalWidth="0" w:num="1">
            <w:col w:w="11240"/>
          </w:cols>
          <w:pgMar w:left="320" w:top="994" w:right="339" w:bottom="1440" w:gutter="0" w:footer="0" w:header="0"/>
          <w:type w:val="continuous"/>
        </w:sectPr>
      </w:pPr>
    </w:p>
    <w:bookmarkStart w:id="1" w:name="page2"/>
    <w:bookmarkEnd w:id="1"/>
    <w:p>
      <w:pPr>
        <w:ind w:firstLine="324"/>
        <w:spacing w:after="0" w:line="187"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9" w:lineRule="exact"/>
        <w:rPr>
          <w:sz w:val="20"/>
          <w:szCs w:val="20"/>
          <w:color w:val="auto"/>
        </w:rPr>
      </w:pPr>
    </w:p>
    <w:p>
      <w:pPr>
        <w:ind w:firstLine="324"/>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1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5" w:lineRule="exact"/>
        <w:rPr>
          <w:sz w:val="20"/>
          <w:szCs w:val="20"/>
          <w:color w:val="auto"/>
        </w:rPr>
      </w:pPr>
    </w:p>
    <w:p>
      <w:pPr>
        <w:ind w:right="240" w:firstLine="324"/>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171450</wp:posOffset>
            </wp:positionV>
            <wp:extent cx="2948940" cy="127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Wynn Resorts,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770-7555.</w:t>
      </w:r>
    </w:p>
    <w:p>
      <w:pPr>
        <w:spacing w:after="0" w:line="2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FF"/>
        </w:rPr>
        <w:t>Risk Factors</w:t>
      </w:r>
      <w:r>
        <w:rPr>
          <w:rFonts w:ascii="Arial" w:cs="Arial" w:eastAsia="Arial" w:hAnsi="Arial"/>
          <w:sz w:val="22"/>
          <w:szCs w:val="22"/>
          <w:b w:val="1"/>
          <w:bCs w:val="1"/>
          <w:color w:val="auto"/>
        </w:rPr>
        <w:t>" on page 1.</w:t>
      </w:r>
    </w:p>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November 4, 2022.</w:t>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40" w:type="dxa"/>
            <w:vAlign w:val="bottom"/>
            <w:gridSpan w:val="2"/>
          </w:tcPr>
          <w:p>
            <w:pPr>
              <w:jc w:val="right"/>
              <w:ind w:right="4530"/>
              <w:spacing w:after="0"/>
              <w:rPr>
                <w:sz w:val="20"/>
                <w:szCs w:val="20"/>
                <w:color w:val="auto"/>
              </w:rPr>
            </w:pPr>
            <w:r>
              <w:rPr>
                <w:rFonts w:ascii="Arial" w:cs="Arial" w:eastAsia="Arial" w:hAnsi="Arial"/>
                <w:sz w:val="18"/>
                <w:szCs w:val="18"/>
                <w:b w:val="1"/>
                <w:bCs w:val="1"/>
                <w:color w:val="auto"/>
              </w:rPr>
              <w:t>TABLE OF CONTENTS</w:t>
            </w:r>
          </w:p>
        </w:tc>
      </w:tr>
      <w:tr>
        <w:trPr>
          <w:trHeight w:val="837"/>
        </w:trPr>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ABOUT THIS PROSPECTUS</w:t>
            </w:r>
          </w:p>
        </w:tc>
        <w:tc>
          <w:tcPr>
            <w:tcW w:w="2000" w:type="dxa"/>
            <w:vAlign w:val="bottom"/>
            <w:gridSpan w:val="5"/>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10"/>
        </w:trPr>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RISK FACTORS</w:t>
            </w:r>
          </w:p>
        </w:tc>
        <w:tc>
          <w:tcPr>
            <w:tcW w:w="2980" w:type="dxa"/>
            <w:vAlign w:val="bottom"/>
            <w:gridSpan w:val="9"/>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09"/>
        </w:trPr>
        <w:tc>
          <w:tcPr>
            <w:tcW w:w="38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7"/>
              </w:rPr>
              <w:t>WHERE YOU CAN FIND MORE INFORMATION</w:t>
            </w:r>
          </w:p>
        </w:tc>
        <w:tc>
          <w:tcPr>
            <w:tcW w:w="4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09"/>
        </w:trPr>
        <w:tc>
          <w:tcPr>
            <w:tcW w:w="4240" w:type="dxa"/>
            <w:vAlign w:val="bottom"/>
            <w:gridSpan w:val="11"/>
          </w:tcPr>
          <w:p>
            <w:pPr>
              <w:spacing w:after="0"/>
              <w:rPr>
                <w:sz w:val="20"/>
                <w:szCs w:val="20"/>
                <w:color w:val="auto"/>
              </w:rPr>
            </w:pPr>
            <w:r>
              <w:rPr>
                <w:rFonts w:ascii="Arial" w:cs="Arial" w:eastAsia="Arial" w:hAnsi="Arial"/>
                <w:sz w:val="18"/>
                <w:szCs w:val="18"/>
                <w:color w:val="0000FF"/>
              </w:rPr>
              <w:t>INCORPORATION BY REFERENCE</w:t>
            </w:r>
          </w:p>
        </w:tc>
        <w:tc>
          <w:tcPr>
            <w:tcW w:w="6940" w:type="dxa"/>
            <w:vAlign w:val="bottom"/>
            <w:gridSpan w:val="2"/>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FORWARD-LOOKING STATEMENTS</w:t>
            </w:r>
          </w:p>
        </w:tc>
        <w:tc>
          <w:tcPr>
            <w:tcW w:w="1300" w:type="dxa"/>
            <w:vAlign w:val="bottom"/>
            <w:gridSpan w:val="2"/>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r>
      <w:tr>
        <w:trPr>
          <w:trHeight w:val="209"/>
        </w:trPr>
        <w:tc>
          <w:tcPr>
            <w:tcW w:w="4240" w:type="dxa"/>
            <w:vAlign w:val="bottom"/>
            <w:gridSpan w:val="11"/>
          </w:tcPr>
          <w:p>
            <w:pPr>
              <w:spacing w:after="0"/>
              <w:rPr>
                <w:sz w:val="20"/>
                <w:szCs w:val="20"/>
                <w:color w:val="auto"/>
              </w:rPr>
            </w:pPr>
            <w:r>
              <w:rPr>
                <w:rFonts w:ascii="Arial" w:cs="Arial" w:eastAsia="Arial" w:hAnsi="Arial"/>
                <w:sz w:val="18"/>
                <w:szCs w:val="18"/>
                <w:color w:val="0000FF"/>
              </w:rPr>
              <w:t>THE COMPANY</w:t>
            </w:r>
          </w:p>
        </w:tc>
        <w:tc>
          <w:tcPr>
            <w:tcW w:w="694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4240" w:type="dxa"/>
            <w:vAlign w:val="bottom"/>
            <w:gridSpan w:val="11"/>
          </w:tcPr>
          <w:p>
            <w:pPr>
              <w:spacing w:after="0"/>
              <w:rPr>
                <w:sz w:val="20"/>
                <w:szCs w:val="20"/>
                <w:color w:val="auto"/>
              </w:rPr>
            </w:pPr>
            <w:r>
              <w:rPr>
                <w:rFonts w:ascii="Arial" w:cs="Arial" w:eastAsia="Arial" w:hAnsi="Arial"/>
                <w:sz w:val="18"/>
                <w:szCs w:val="18"/>
                <w:color w:val="0000FF"/>
              </w:rPr>
              <w:t>USE OF PROCEEDS</w:t>
            </w:r>
          </w:p>
        </w:tc>
        <w:tc>
          <w:tcPr>
            <w:tcW w:w="694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4240" w:type="dxa"/>
            <w:vAlign w:val="bottom"/>
            <w:gridSpan w:val="11"/>
          </w:tcPr>
          <w:p>
            <w:pPr>
              <w:spacing w:after="0"/>
              <w:rPr>
                <w:sz w:val="20"/>
                <w:szCs w:val="20"/>
                <w:color w:val="auto"/>
              </w:rPr>
            </w:pPr>
            <w:r>
              <w:rPr>
                <w:rFonts w:ascii="Arial" w:cs="Arial" w:eastAsia="Arial" w:hAnsi="Arial"/>
                <w:sz w:val="18"/>
                <w:szCs w:val="18"/>
                <w:color w:val="0000FF"/>
              </w:rPr>
              <w:t>DESCRIPTION OF THE SECURITIES</w:t>
            </w:r>
          </w:p>
        </w:tc>
        <w:tc>
          <w:tcPr>
            <w:tcW w:w="694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9"/>
        </w:trPr>
        <w:tc>
          <w:tcPr>
            <w:tcW w:w="2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LEGAL MATTERS</w:t>
            </w:r>
          </w:p>
        </w:tc>
        <w:tc>
          <w:tcPr>
            <w:tcW w:w="1340" w:type="dxa"/>
            <w:vAlign w:val="bottom"/>
            <w:gridSpan w:val="3"/>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680" w:type="dxa"/>
            <w:vAlign w:val="bottom"/>
            <w:tcBorders>
              <w:top w:val="single" w:sz="8" w:color="0000FF"/>
            </w:tcBorders>
            <w:gridSpan w:val="3"/>
          </w:tcPr>
          <w:p>
            <w:pPr>
              <w:spacing w:after="0"/>
              <w:rPr>
                <w:sz w:val="18"/>
                <w:szCs w:val="18"/>
                <w:color w:val="auto"/>
              </w:rPr>
            </w:pPr>
          </w:p>
        </w:tc>
        <w:tc>
          <w:tcPr>
            <w:tcW w:w="2780" w:type="dxa"/>
            <w:vAlign w:val="bottom"/>
            <w:gridSpan w:val="7"/>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 Nevada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2021,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44" w:lineRule="exact"/>
        <w:rPr>
          <w:sz w:val="20"/>
          <w:szCs w:val="20"/>
          <w:color w:val="auto"/>
        </w:rPr>
      </w:pPr>
    </w:p>
    <w:p>
      <w:pPr>
        <w:ind w:left="660" w:right="2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2022 and June 30, 2022;</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8-K filed on January 14, 2022, January 25, 2022, February 15, 2022 (with respect to Item 1.01 only), April 18, 2022, May 11, 2022 and June 24, 2022 (with respect to Item 1.01 only);</w:t>
      </w:r>
    </w:p>
    <w:p>
      <w:pPr>
        <w:ind w:left="660" w:hanging="328"/>
        <w:spacing w:after="0" w:line="26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description of our common stock set forth in our Registration Statement on Form 8-A, filed on October 7, 2002 (File No. 000-50028), including any amendments or reports filed for the purpose of updating the description of our common stock contained therein; and</w:t>
      </w:r>
    </w:p>
    <w:p>
      <w:pPr>
        <w:ind w:left="660" w:hanging="328"/>
        <w:spacing w:after="0" w:line="290"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500" w:hanging="438"/>
        <w:spacing w:after="0"/>
        <w:tabs>
          <w:tab w:leader="none" w:pos="5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prospectus and the documents we incorporate by reference contain "forward-looking statements" within the meaning of Section 27A of the Securities Act of 1933, as amended (the "Securities Act") and Section 21E of the Exchange Act. From time to time, we may also provide oral or written forward-looking statements in other materials we release to the public. Without limiting the generality of the foregoing, in some cases you can identify forward-looking statements by terminology such as "may," "will," "should," "would," "could," "believe," "expect," "anticipate," "estimate," "intend," "plan," "continue" or the negative of these terms or similar expressions. In addition, statements that we make in this prospectus and the documents we incorporate herein by reference that are not statements of historical fact may also be forward-looking statements.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Forward-looking statements are based on expectations and assumptions that we believe to be reasonable when made, but that may not prove to be accurate. You should not place undue reliance on any forward-looking statements, which are based only on information currently available to us. These statements are not guarantees and are subject to risks, uncertainties and changes in circumstances that are difficult to predict. Many factors could cause actual results to differ materially and adversely from these forward-looking statements. Information concerning factors that could cause actual results to differ from those in our forward-looking statements is contained under "Risk-Factors" in our annual report on Form 10-K for the year ended December 31, 2021 and our other filings with the SEC. Any forward-looking statement speaks only as of the date on which it is made, and we assume no obligation to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preeminent designer, developer, and operator of integrated resorts featuring luxury hotel rooms, high-end retail space, an array of dinning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 Through our approximately 72% ownership of Wynn Macau, Limited, we operate two integrated resorts in the Macau Special Administrative Region of the People's Republic of China, Wynn Palace and Wynn Macau. In Las Vegas, Nevada, we operate and, with the exception of certain retail space, own 100% of Wynn Las Vegas and Encore at Wynn Las Vegas. In Everett, Massachusetts, we own and operate Encore Boston Harbor. In addition, we hold an approximately 85% interest in Wynn Interactive Ltd., which operates our digital sports betting and casino gaming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including, without limitation, repayment of debt, acquisitions, additions to working capital, capital expenditures, and/or investments in our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SECURITIES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Kirkland &amp; Ellis LLP, Chicago, Illinois, and, with respect to matters of Nevada law, by Brownstein Hyatt Farber Schreck, LLP, Las Vegas, Nevada. Any underwriters will be represented by their own legal counsel.</w:t>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and schedule of Wynn Resorts, Limited appearing in Wynn Resorts, Limited's Annual Report (Form 10-K) for the year ended December 31, 2021, and the effectiveness of Wynn Resorts, Limited's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2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are estimated.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0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0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Printing fees and expenses</w:t>
            </w:r>
          </w:p>
        </w:tc>
        <w:tc>
          <w:tcPr>
            <w:tcW w:w="10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w:t>
            </w: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48"/>
        </w:trPr>
        <w:tc>
          <w:tcPr>
            <w:tcW w:w="9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680" w:hanging="65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accordance with Rules 456(b) and 457(r), the registrant is deferring payment of the registration fee for the securities offered by this prospectus.</w:t>
      </w:r>
    </w:p>
    <w:p>
      <w:pPr>
        <w:spacing w:after="0" w:line="167" w:lineRule="exact"/>
        <w:rPr>
          <w:sz w:val="20"/>
          <w:szCs w:val="20"/>
          <w:color w:val="auto"/>
        </w:rPr>
      </w:pPr>
    </w:p>
    <w:p>
      <w:pPr>
        <w:jc w:val="both"/>
        <w:ind w:left="680" w:right="40" w:hanging="654"/>
        <w:spacing w:after="0" w:line="22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3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Nevada Revised Statutes 78.7502, a corporation may indemnify its officers and directors against expenses, including attorneys' fees, judgements, fines and amounts paid in settlement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or his or her service at the request of the corporation as a director, officer, employee or agent of another entity,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and attorneys' fees actually and reasonably incurred in the event an officer or director is made a party or threatened to be made a party to an action by or in the right of the corporation by reason of his or her official position with the corporation or his or her service at the request of the corporation as a director, officer, employee or agent of another entity,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Indemnification pursuant to Nevada Revised Statutes 78.7502 may not be made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Nevada Revised Statutes 78.751 requires a corporation to indemnify an officer or director to the extent he or she is successful on the merits or otherwise successfully defends the action. Nevada Revised Statutes 78.751 further provides that indemnification pursuant to Nevada Revised Statutes 78.7502 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Nevada Revised Statutes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Wynn Resorts' bylaws provide that it will indemnify its directors and officers to the fullest extent permitted by Nevada law, including in circumstances in which indemnification otherwise would be discretionary under Nevada law as described above. In addition, Wynn Resorts has entered into separate indemnification agreements with certain of its directors and officers that require Wynn Resorts, among other things, to indemnify such directors and officers against certain liabilities that may arise by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reason of their status or service. Wynn Resorts also intends to maintain director and officer liability insurance, if available on reasonable terms.</w:t>
      </w:r>
    </w:p>
    <w:p>
      <w:pPr>
        <w:spacing w:after="0" w:line="3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with or incorporated by reference into this registration statement:</w:t>
      </w:r>
    </w:p>
    <w:p>
      <w:pPr>
        <w:spacing w:after="0" w:line="41" w:lineRule="exact"/>
        <w:rPr>
          <w:sz w:val="20"/>
          <w:szCs w:val="20"/>
          <w:color w:val="auto"/>
        </w:rPr>
      </w:pPr>
    </w:p>
    <w:p>
      <w:pPr>
        <w:ind w:left="20"/>
        <w:spacing w:after="0"/>
        <w:tabs>
          <w:tab w:leader="none" w:pos="2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ectPr>
          <w:pgSz w:w="11900" w:h="16838" w:orient="portrait"/>
          <w:cols w:equalWidth="0" w:num="1">
            <w:col w:w="11180"/>
          </w:cols>
          <w:pgMar w:left="320" w:top="1111" w:right="399" w:bottom="1440" w:gutter="0" w:footer="0" w:header="0"/>
        </w:sect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4.1</w:t>
      </w: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w:t>
      </w: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both"/>
        <w:spacing w:after="0" w:line="235"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Third Amended and Restated Articles of Incorporation of the Registrant. (Incorporated by reference from the Quarterly</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Report on Form 10-Q filed by the Registrant on May 8, 2015.)</w:t>
        </w:r>
      </w:hyperlink>
    </w:p>
    <w:p>
      <w:pPr>
        <w:spacing w:after="0" w:line="283" w:lineRule="exact"/>
        <w:rPr>
          <w:sz w:val="20"/>
          <w:szCs w:val="20"/>
          <w:color w:val="auto"/>
        </w:rPr>
      </w:pPr>
    </w:p>
    <w:p>
      <w:pPr>
        <w:jc w:val="both"/>
        <w:spacing w:after="0" w:line="235" w:lineRule="auto"/>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Ninth Amended and Restated Bylaws of the Registrant. (Incorporated by reference from the Quarterly Report on Form</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10-Q filed by the Registrant on February 28, 2020.)</w:t>
        </w:r>
      </w:hyperlink>
    </w:p>
    <w:p>
      <w:pPr>
        <w:spacing w:after="0" w:line="283"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Specimen certificate for shares of common stock, $0.01 par value per share, of the Registrant. (Incorporated by</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reference to Exhibit 4.1 to Amendment No. 4 to the Form S-1 filed by the registrant on October 7, 2002 (File No. 333-</w:t>
        </w:r>
      </w:hyperlink>
      <w:hyperlink r:id="rId21">
        <w:r>
          <w:rPr>
            <w:rFonts w:ascii="Arial" w:cs="Arial" w:eastAsia="Arial" w:hAnsi="Arial"/>
            <w:sz w:val="18"/>
            <w:szCs w:val="18"/>
            <w:u w:val="single" w:color="auto"/>
            <w:color w:val="0000FF"/>
          </w:rPr>
          <w:t>90600).)</w:t>
        </w:r>
      </w:hyperlink>
    </w:p>
    <w:p>
      <w:pPr>
        <w:spacing w:after="0" w:line="311"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22">
        <w:r>
          <w:rPr>
            <w:rFonts w:ascii="Arial" w:cs="Arial" w:eastAsia="Arial" w:hAnsi="Arial"/>
            <w:sz w:val="16"/>
            <w:szCs w:val="16"/>
            <w:u w:val="single" w:color="auto"/>
            <w:color w:val="0000FF"/>
          </w:rPr>
          <w:t>Indenture, dated as of March 29, 2004, between the registrant and U.S. Bank National Association, as indenture trustee.</w:t>
        </w:r>
      </w:hyperlink>
    </w:p>
    <w:p>
      <w:pPr>
        <w:spacing w:after="0" w:line="21" w:lineRule="exact"/>
        <w:rPr>
          <w:rFonts w:ascii="Arial" w:cs="Arial" w:eastAsia="Arial" w:hAnsi="Arial"/>
          <w:sz w:val="18"/>
          <w:szCs w:val="18"/>
          <w:u w:val="single" w:color="auto"/>
          <w:color w:val="0000FF"/>
        </w:rPr>
      </w:pPr>
    </w:p>
    <w:p>
      <w:pPr>
        <w:jc w:val="both"/>
        <w:spacing w:after="0" w:line="226"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(Incorporated by reference to the Registration Statement on Form S-3 filed by the Registrant on March 30, 2004 (File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No. 333-114022).)</w:t>
        </w:r>
      </w:hyperlink>
    </w:p>
    <w:p>
      <w:pPr>
        <w:spacing w:after="0" w:line="200" w:lineRule="exact"/>
        <w:rPr>
          <w:sz w:val="20"/>
          <w:szCs w:val="20"/>
          <w:color w:val="auto"/>
        </w:rPr>
      </w:pPr>
    </w:p>
    <w:p>
      <w:pPr>
        <w:sectPr>
          <w:pgSz w:w="11900" w:h="16838" w:orient="portrait"/>
          <w:cols w:equalWidth="0" w:num="2">
            <w:col w:w="1820" w:space="720"/>
            <w:col w:w="8640"/>
          </w:cols>
          <w:pgMar w:left="320" w:top="1111" w:right="399" w:bottom="1440" w:gutter="0" w:footer="0" w:header="0"/>
          <w:type w:val="continuous"/>
        </w:sectPr>
      </w:pPr>
    </w:p>
    <w:p>
      <w:pPr>
        <w:spacing w:after="0" w:line="9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340" w:type="dxa"/>
            <w:vAlign w:val="bottom"/>
          </w:tcPr>
          <w:p>
            <w:pPr>
              <w:ind w:left="20"/>
              <w:spacing w:after="0"/>
              <w:rPr>
                <w:sz w:val="20"/>
                <w:szCs w:val="20"/>
                <w:color w:val="auto"/>
              </w:rPr>
            </w:pPr>
            <w:r>
              <w:rPr>
                <w:rFonts w:ascii="Arial" w:cs="Arial" w:eastAsia="Arial" w:hAnsi="Arial"/>
                <w:sz w:val="18"/>
                <w:szCs w:val="18"/>
                <w:color w:val="auto"/>
              </w:rPr>
              <w:t>4.5</w:t>
            </w:r>
          </w:p>
        </w:tc>
        <w:tc>
          <w:tcPr>
            <w:tcW w:w="8700" w:type="dxa"/>
            <w:vAlign w:val="bottom"/>
            <w:gridSpan w:val="13"/>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Form of Deposit Agreement. (Incorporated by reference to Exhibit 4.5 to the Registration Statement on Form S-3 filed</w:t>
              </w:r>
            </w:hyperlink>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86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3">
              <w:r>
                <w:rPr>
                  <w:rFonts w:ascii="Arial" w:cs="Arial" w:eastAsia="Arial" w:hAnsi="Arial"/>
                  <w:sz w:val="18"/>
                  <w:szCs w:val="18"/>
                  <w:color w:val="0000FF"/>
                </w:rPr>
                <w:t>by the Registrant on March 30, 2004 (File No. 333-114022).)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2340" w:type="dxa"/>
            <w:vAlign w:val="bottom"/>
          </w:tcPr>
          <w:p>
            <w:pPr>
              <w:ind w:left="20"/>
              <w:spacing w:after="0"/>
              <w:rPr>
                <w:sz w:val="20"/>
                <w:szCs w:val="20"/>
                <w:color w:val="auto"/>
              </w:rPr>
            </w:pPr>
            <w:r>
              <w:rPr>
                <w:rFonts w:ascii="Arial" w:cs="Arial" w:eastAsia="Arial" w:hAnsi="Arial"/>
                <w:sz w:val="18"/>
                <w:szCs w:val="18"/>
                <w:color w:val="auto"/>
              </w:rPr>
              <w:t>4.6</w:t>
            </w:r>
          </w:p>
        </w:tc>
        <w:tc>
          <w:tcPr>
            <w:tcW w:w="4400" w:type="dxa"/>
            <w:vAlign w:val="bottom"/>
            <w:tcBorders>
              <w:top w:val="single" w:sz="8" w:color="0000FF"/>
            </w:tcBorders>
            <w:gridSpan w:val="7"/>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Depositary Share (included in Exhibit 4.5)</w:t>
              </w:r>
            </w:hyperlink>
          </w:p>
        </w:tc>
        <w:tc>
          <w:tcPr>
            <w:tcW w:w="4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340" w:type="dxa"/>
            <w:vAlign w:val="bottom"/>
          </w:tcPr>
          <w:p>
            <w:pPr>
              <w:ind w:left="40"/>
              <w:spacing w:after="0"/>
              <w:rPr>
                <w:sz w:val="20"/>
                <w:szCs w:val="20"/>
                <w:color w:val="auto"/>
              </w:rPr>
            </w:pPr>
            <w:r>
              <w:rPr>
                <w:rFonts w:ascii="Arial" w:cs="Arial" w:eastAsia="Arial" w:hAnsi="Arial"/>
                <w:sz w:val="18"/>
                <w:szCs w:val="18"/>
                <w:color w:val="auto"/>
              </w:rPr>
              <w:t>5.1*</w:t>
            </w:r>
          </w:p>
        </w:tc>
        <w:tc>
          <w:tcPr>
            <w:tcW w:w="2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Opinion of Kirkland &amp; Ellis LLP</w:t>
            </w:r>
          </w:p>
        </w:tc>
        <w:tc>
          <w:tcPr>
            <w:tcW w:w="1280" w:type="dxa"/>
            <w:vAlign w:val="bottom"/>
            <w:tcBorders>
              <w:top w:val="single" w:sz="8" w:color="0000FF"/>
            </w:tcBorders>
            <w:gridSpan w:val="2"/>
          </w:tcPr>
          <w:p>
            <w:pPr>
              <w:spacing w:after="0"/>
              <w:rPr>
                <w:sz w:val="24"/>
                <w:szCs w:val="24"/>
                <w:color w:val="auto"/>
              </w:rPr>
            </w:pPr>
          </w:p>
        </w:tc>
        <w:tc>
          <w:tcPr>
            <w:tcW w:w="5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340" w:type="dxa"/>
            <w:vAlign w:val="bottom"/>
          </w:tcPr>
          <w:p>
            <w:pPr>
              <w:ind w:left="40"/>
              <w:spacing w:after="0"/>
              <w:rPr>
                <w:sz w:val="20"/>
                <w:szCs w:val="20"/>
                <w:color w:val="auto"/>
              </w:rPr>
            </w:pPr>
            <w:r>
              <w:rPr>
                <w:rFonts w:ascii="Arial" w:cs="Arial" w:eastAsia="Arial" w:hAnsi="Arial"/>
                <w:sz w:val="18"/>
                <w:szCs w:val="18"/>
                <w:color w:val="auto"/>
              </w:rPr>
              <w:t>5.2*</w:t>
            </w:r>
          </w:p>
        </w:tc>
        <w:tc>
          <w:tcPr>
            <w:tcW w:w="8700" w:type="dxa"/>
            <w:vAlign w:val="bottom"/>
            <w:gridSpan w:val="13"/>
          </w:tcPr>
          <w:p>
            <w:pPr>
              <w:spacing w:after="0"/>
              <w:rPr>
                <w:sz w:val="20"/>
                <w:szCs w:val="20"/>
                <w:color w:val="auto"/>
              </w:rPr>
            </w:pPr>
            <w:r>
              <w:rPr>
                <w:rFonts w:ascii="Arial" w:cs="Arial" w:eastAsia="Arial" w:hAnsi="Arial"/>
                <w:sz w:val="18"/>
                <w:szCs w:val="18"/>
                <w:color w:val="0000FF"/>
              </w:rPr>
              <w:t>Opinion of Brownstein Hyatt Farber Schreck, LLP</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340" w:type="dxa"/>
            <w:vAlign w:val="bottom"/>
          </w:tcPr>
          <w:p>
            <w:pPr>
              <w:spacing w:after="0"/>
              <w:rPr>
                <w:sz w:val="20"/>
                <w:szCs w:val="20"/>
                <w:color w:val="auto"/>
              </w:rPr>
            </w:pPr>
            <w:r>
              <w:rPr>
                <w:rFonts w:ascii="Arial" w:cs="Arial" w:eastAsia="Arial" w:hAnsi="Arial"/>
                <w:sz w:val="18"/>
                <w:szCs w:val="18"/>
                <w:color w:val="auto"/>
              </w:rPr>
              <w:t>23.1*</w:t>
            </w:r>
          </w:p>
        </w:tc>
        <w:tc>
          <w:tcPr>
            <w:tcW w:w="58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Consent of Ernst &amp; Young LLP, Independent Registered Public Accounting Firm</w:t>
            </w:r>
          </w:p>
        </w:tc>
        <w:tc>
          <w:tcPr>
            <w:tcW w:w="2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340" w:type="dxa"/>
            <w:vAlign w:val="bottom"/>
          </w:tcPr>
          <w:p>
            <w:pPr>
              <w:spacing w:after="0"/>
              <w:rPr>
                <w:sz w:val="20"/>
                <w:szCs w:val="20"/>
                <w:color w:val="auto"/>
              </w:rPr>
            </w:pPr>
            <w:r>
              <w:rPr>
                <w:rFonts w:ascii="Arial" w:cs="Arial" w:eastAsia="Arial" w:hAnsi="Arial"/>
                <w:sz w:val="18"/>
                <w:szCs w:val="18"/>
                <w:color w:val="auto"/>
              </w:rPr>
              <w:t>23.2*</w:t>
            </w:r>
          </w:p>
        </w:tc>
        <w:tc>
          <w:tcPr>
            <w:tcW w:w="8700" w:type="dxa"/>
            <w:vAlign w:val="bottom"/>
            <w:gridSpan w:val="13"/>
          </w:tcPr>
          <w:p>
            <w:pPr>
              <w:spacing w:after="0"/>
              <w:rPr>
                <w:sz w:val="20"/>
                <w:szCs w:val="20"/>
                <w:color w:val="auto"/>
              </w:rPr>
            </w:pPr>
            <w:r>
              <w:rPr>
                <w:rFonts w:ascii="Arial" w:cs="Arial" w:eastAsia="Arial" w:hAnsi="Arial"/>
                <w:sz w:val="18"/>
                <w:szCs w:val="18"/>
                <w:color w:val="0000FF"/>
              </w:rPr>
              <w:t>Consent of Kirkland &amp; Ellis LLP (included in Exhibit 5.1)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340" w:type="dxa"/>
            <w:vAlign w:val="bottom"/>
          </w:tcPr>
          <w:p>
            <w:pPr>
              <w:spacing w:after="0"/>
              <w:rPr>
                <w:sz w:val="20"/>
                <w:szCs w:val="20"/>
                <w:color w:val="auto"/>
              </w:rPr>
            </w:pPr>
            <w:r>
              <w:rPr>
                <w:rFonts w:ascii="Arial" w:cs="Arial" w:eastAsia="Arial" w:hAnsi="Arial"/>
                <w:sz w:val="18"/>
                <w:szCs w:val="18"/>
                <w:color w:val="auto"/>
              </w:rPr>
              <w:t>23.3*</w:t>
            </w:r>
          </w:p>
        </w:tc>
        <w:tc>
          <w:tcPr>
            <w:tcW w:w="8700" w:type="dxa"/>
            <w:vAlign w:val="bottom"/>
            <w:gridSpan w:val="13"/>
          </w:tcPr>
          <w:p>
            <w:pPr>
              <w:spacing w:after="0"/>
              <w:rPr>
                <w:sz w:val="20"/>
                <w:szCs w:val="20"/>
                <w:color w:val="auto"/>
              </w:rPr>
            </w:pPr>
            <w:r>
              <w:rPr>
                <w:rFonts w:ascii="Arial" w:cs="Arial" w:eastAsia="Arial" w:hAnsi="Arial"/>
                <w:sz w:val="18"/>
                <w:szCs w:val="18"/>
                <w:color w:val="0000FF"/>
              </w:rPr>
              <w:t>Consent of Brownstein Hyatt Farber Schreck, LLP (included in Exhibit 5.2)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20" w:type="dxa"/>
            <w:vAlign w:val="bottom"/>
            <w:tcBorders>
              <w:right w:val="single" w:sz="8" w:color="0000FF"/>
            </w:tcBorders>
            <w:gridSpan w:val="6"/>
            <w:shd w:val="clear" w:color="auto" w:fill="0000FF"/>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340" w:type="dxa"/>
            <w:vAlign w:val="bottom"/>
          </w:tcPr>
          <w:p>
            <w:pPr>
              <w:ind w:left="60"/>
              <w:spacing w:after="0"/>
              <w:rPr>
                <w:sz w:val="20"/>
                <w:szCs w:val="20"/>
                <w:color w:val="auto"/>
              </w:rPr>
            </w:pPr>
            <w:r>
              <w:rPr>
                <w:rFonts w:ascii="Arial" w:cs="Arial" w:eastAsia="Arial" w:hAnsi="Arial"/>
                <w:sz w:val="18"/>
                <w:szCs w:val="18"/>
                <w:color w:val="auto"/>
              </w:rPr>
              <w:t>24*</w:t>
            </w:r>
          </w:p>
        </w:tc>
        <w:tc>
          <w:tcPr>
            <w:tcW w:w="8700" w:type="dxa"/>
            <w:vAlign w:val="bottom"/>
            <w:gridSpan w:val="13"/>
          </w:tcPr>
          <w:p>
            <w:pPr>
              <w:spacing w:after="0"/>
              <w:rPr>
                <w:sz w:val="20"/>
                <w:szCs w:val="20"/>
                <w:color w:val="auto"/>
              </w:rPr>
            </w:pPr>
            <w:r>
              <w:rPr>
                <w:rFonts w:ascii="Arial" w:cs="Arial" w:eastAsia="Arial" w:hAnsi="Arial"/>
                <w:sz w:val="18"/>
                <w:szCs w:val="18"/>
                <w:color w:val="0000FF"/>
                <w:w w:val="93"/>
              </w:rPr>
              <w:t>Powers of Attorney of officers and directors of Wynn Resorts, Limited (included on signature page of this registration</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868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statement)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vMerge w:val="restart"/>
          </w:tcPr>
          <w:p>
            <w:pPr>
              <w:ind w:left="60"/>
              <w:spacing w:after="0"/>
              <w:rPr>
                <w:sz w:val="20"/>
                <w:szCs w:val="20"/>
                <w:color w:val="auto"/>
              </w:rPr>
            </w:pPr>
            <w:r>
              <w:rPr>
                <w:rFonts w:ascii="Arial" w:cs="Arial" w:eastAsia="Arial" w:hAnsi="Arial"/>
                <w:sz w:val="18"/>
                <w:szCs w:val="18"/>
                <w:color w:val="auto"/>
              </w:rPr>
              <w:t>25*</w:t>
            </w:r>
          </w:p>
        </w:tc>
        <w:tc>
          <w:tcPr>
            <w:tcW w:w="7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340" w:type="dxa"/>
            <w:vAlign w:val="bottom"/>
            <w:vMerge w:val="continue"/>
          </w:tcPr>
          <w:p>
            <w:pPr>
              <w:spacing w:after="0"/>
              <w:rPr>
                <w:sz w:val="24"/>
                <w:szCs w:val="24"/>
                <w:color w:val="auto"/>
              </w:rPr>
            </w:pPr>
          </w:p>
        </w:tc>
        <w:tc>
          <w:tcPr>
            <w:tcW w:w="8700" w:type="dxa"/>
            <w:vAlign w:val="bottom"/>
            <w:gridSpan w:val="13"/>
            <w:vMerge w:val="restart"/>
          </w:tcPr>
          <w:p>
            <w:pPr>
              <w:spacing w:after="0"/>
              <w:rPr>
                <w:sz w:val="20"/>
                <w:szCs w:val="20"/>
                <w:color w:val="auto"/>
              </w:rPr>
            </w:pPr>
            <w:r>
              <w:rPr>
                <w:rFonts w:ascii="Arial" w:cs="Arial" w:eastAsia="Arial" w:hAnsi="Arial"/>
                <w:sz w:val="18"/>
                <w:szCs w:val="18"/>
                <w:color w:val="0000FF"/>
                <w:w w:val="99"/>
              </w:rPr>
              <w:t>Statement of Eligibility on Form T-1 under the Trust Indenture Act of 1939, as amended, of U.S. Bank National</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70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89"/>
              </w:rPr>
              <w:t>Association, trustee under the Indenture, with respect to the Debt Securities</w:t>
            </w:r>
          </w:p>
        </w:tc>
        <w:tc>
          <w:tcPr>
            <w:tcW w:w="320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2340" w:type="dxa"/>
            <w:vAlign w:val="bottom"/>
          </w:tcPr>
          <w:p>
            <w:pPr>
              <w:spacing w:after="0"/>
              <w:rPr>
                <w:sz w:val="20"/>
                <w:szCs w:val="20"/>
                <w:color w:val="auto"/>
              </w:rPr>
            </w:pPr>
            <w:r>
              <w:rPr>
                <w:rFonts w:ascii="Arial" w:cs="Arial" w:eastAsia="Arial" w:hAnsi="Arial"/>
                <w:sz w:val="18"/>
                <w:szCs w:val="18"/>
                <w:color w:val="auto"/>
              </w:rPr>
              <w:t>107*</w:t>
            </w:r>
          </w:p>
        </w:tc>
        <w:tc>
          <w:tcPr>
            <w:tcW w:w="8700" w:type="dxa"/>
            <w:vAlign w:val="bottom"/>
            <w:gridSpan w:val="13"/>
          </w:tcPr>
          <w:p>
            <w:pPr>
              <w:spacing w:after="0"/>
              <w:rPr>
                <w:sz w:val="20"/>
                <w:szCs w:val="20"/>
                <w:color w:val="auto"/>
              </w:rPr>
            </w:pPr>
            <w:r>
              <w:rPr>
                <w:rFonts w:ascii="Arial" w:cs="Arial" w:eastAsia="Arial" w:hAnsi="Arial"/>
                <w:sz w:val="18"/>
                <w:szCs w:val="18"/>
                <w:color w:val="0000FF"/>
              </w:rPr>
              <w:t>Calculation of Filing Fee Table</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38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700" w:hanging="24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221"/>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ectPr>
          <w:pgSz w:w="11900" w:h="16838" w:orient="portrait"/>
          <w:cols w:equalWidth="0" w:num="1">
            <w:col w:w="11180"/>
          </w:cols>
          <w:pgMar w:left="320" w:top="1111" w:right="39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80"/>
          </w:cols>
          <w:pgMar w:left="320" w:top="1111" w:right="399" w:bottom="1440" w:gutter="0" w:footer="0" w:header="0"/>
          <w:type w:val="continuous"/>
        </w:sectPr>
      </w:pPr>
    </w:p>
    <w:bookmarkStart w:id="10" w:name="page11"/>
    <w:bookmarkEnd w:id="10"/>
    <w:p>
      <w:pPr>
        <w:jc w:val="both"/>
        <w:ind w:firstLine="899"/>
        <w:spacing w:after="0" w:line="293" w:lineRule="auto"/>
        <w:tabs>
          <w:tab w:leader="none" w:pos="1158"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right="20" w:firstLine="899"/>
        <w:spacing w:after="0" w:line="277" w:lineRule="auto"/>
        <w:tabs>
          <w:tab w:leader="none" w:pos="1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453"/>
        <w:spacing w:after="0" w:line="263" w:lineRule="auto"/>
        <w:tabs>
          <w:tab w:leader="none" w:pos="7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453"/>
        <w:spacing w:after="0" w:line="277" w:lineRule="auto"/>
        <w:tabs>
          <w:tab w:leader="none" w:pos="7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0" w:hanging="24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firstLine="899"/>
        <w:spacing w:after="0" w:line="277" w:lineRule="auto"/>
        <w:tabs>
          <w:tab w:leader="none" w:pos="11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jc w:val="both"/>
        <w:ind w:firstLine="899"/>
        <w:spacing w:after="0" w:line="269" w:lineRule="auto"/>
        <w:tabs>
          <w:tab w:leader="none" w:pos="11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81" w:lineRule="exact"/>
        <w:rPr>
          <w:rFonts w:ascii="Arial" w:cs="Arial" w:eastAsia="Arial" w:hAnsi="Arial"/>
          <w:sz w:val="17"/>
          <w:szCs w:val="17"/>
          <w:color w:val="auto"/>
        </w:rPr>
      </w:pPr>
    </w:p>
    <w:p>
      <w:pPr>
        <w:ind w:left="700" w:hanging="247"/>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w:t>
      </w:r>
    </w:p>
    <w:p>
      <w:pPr>
        <w:spacing w:after="0" w:line="14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120" w:hanging="221"/>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firstLine="899"/>
        <w:spacing w:after="0" w:line="277" w:lineRule="auto"/>
        <w:tabs>
          <w:tab w:leader="none" w:pos="11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9" w:lineRule="exact"/>
        <w:rPr>
          <w:rFonts w:ascii="Arial" w:cs="Arial" w:eastAsia="Arial" w:hAnsi="Arial"/>
          <w:sz w:val="18"/>
          <w:szCs w:val="18"/>
          <w:color w:val="auto"/>
        </w:rPr>
      </w:pPr>
    </w:p>
    <w:p>
      <w:pPr>
        <w:ind w:right="20" w:firstLine="899"/>
        <w:spacing w:after="0" w:line="277" w:lineRule="auto"/>
        <w:tabs>
          <w:tab w:leader="none" w:pos="12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30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03" w:right="339" w:bottom="1440" w:gutter="0" w:footer="0" w:header="0"/>
        </w:sectPr>
      </w:pPr>
    </w:p>
    <w:bookmarkStart w:id="11" w:name="page12"/>
    <w:bookmarkEnd w:id="11"/>
    <w:p>
      <w:pPr>
        <w:jc w:val="both"/>
        <w:ind w:firstLine="453"/>
        <w:spacing w:after="0" w:line="257" w:lineRule="auto"/>
        <w:tabs>
          <w:tab w:leader="none" w:pos="7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4th day of November, 2022.</w:t>
      </w:r>
    </w:p>
    <w:p>
      <w:pPr>
        <w:spacing w:after="0" w:line="37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WYNN RESORTS, LIMITED</w:t>
      </w:r>
    </w:p>
    <w:p>
      <w:pPr>
        <w:spacing w:after="0" w:line="293"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/s/ Julie Cameron-Doe</w:t>
            </w:r>
          </w:p>
        </w:tc>
      </w:tr>
      <w:tr>
        <w:trPr>
          <w:trHeight w:val="222"/>
        </w:trPr>
        <w:tc>
          <w:tcPr>
            <w:tcW w:w="820" w:type="dxa"/>
            <w:vAlign w:val="bottom"/>
          </w:tcPr>
          <w:p>
            <w:pPr>
              <w:spacing w:after="0"/>
              <w:rPr>
                <w:sz w:val="19"/>
                <w:szCs w:val="19"/>
                <w:color w:val="auto"/>
              </w:rPr>
            </w:pPr>
          </w:p>
        </w:tc>
        <w:tc>
          <w:tcPr>
            <w:tcW w:w="4740" w:type="dxa"/>
            <w:vAlign w:val="bottom"/>
          </w:tcPr>
          <w:p>
            <w:pPr>
              <w:jc w:val="center"/>
              <w:ind w:left="90"/>
              <w:spacing w:after="0"/>
              <w:rPr>
                <w:sz w:val="20"/>
                <w:szCs w:val="20"/>
                <w:color w:val="auto"/>
              </w:rPr>
            </w:pPr>
            <w:r>
              <w:rPr>
                <w:rFonts w:ascii="Arial" w:cs="Arial" w:eastAsia="Arial" w:hAnsi="Arial"/>
                <w:sz w:val="18"/>
                <w:szCs w:val="18"/>
                <w:color w:val="auto"/>
                <w:w w:val="90"/>
              </w:rPr>
              <w:t>Julie Cameron-Doe</w:t>
            </w:r>
          </w:p>
        </w:tc>
      </w:tr>
      <w:tr>
        <w:trPr>
          <w:trHeight w:val="230"/>
        </w:trPr>
        <w:tc>
          <w:tcPr>
            <w:tcW w:w="820" w:type="dxa"/>
            <w:vAlign w:val="bottom"/>
          </w:tcPr>
          <w:p>
            <w:pPr>
              <w:spacing w:after="0"/>
              <w:rPr>
                <w:sz w:val="19"/>
                <w:szCs w:val="19"/>
                <w:color w:val="auto"/>
              </w:rPr>
            </w:pPr>
          </w:p>
        </w:tc>
        <w:tc>
          <w:tcPr>
            <w:tcW w:w="4740" w:type="dxa"/>
            <w:vAlign w:val="bottom"/>
          </w:tcPr>
          <w:p>
            <w:pPr>
              <w:jc w:val="center"/>
              <w:ind w:left="9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820" w:type="dxa"/>
            <w:vAlign w:val="bottom"/>
          </w:tcPr>
          <w:p>
            <w:pPr>
              <w:spacing w:after="0"/>
              <w:rPr>
                <w:sz w:val="20"/>
                <w:szCs w:val="20"/>
                <w:color w:val="auto"/>
              </w:rPr>
            </w:pPr>
          </w:p>
        </w:tc>
        <w:tc>
          <w:tcPr>
            <w:tcW w:w="4740" w:type="dxa"/>
            <w:vAlign w:val="bottom"/>
          </w:tcPr>
          <w:p>
            <w:pPr>
              <w:jc w:val="center"/>
              <w:ind w:left="90"/>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Craig S. Billings, Julie Cameron-Doe, and Ellen Whittemore,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of 1933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or her substitute or substitutes, may lawfully do or cause to be done by virtue hereof.</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1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Date</w:t>
            </w:r>
          </w:p>
        </w:tc>
      </w:tr>
      <w:tr>
        <w:trPr>
          <w:trHeight w:val="20"/>
        </w:trPr>
        <w:tc>
          <w:tcPr>
            <w:tcW w:w="2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2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 Chief Executive Officer (Principal</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4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Craig S. Billings</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Executive Officer)</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Craig S. Billings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 (Principal Financial and</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4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Julie Cameron-Doe</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Accounting Officer)</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Julie Cameron-Doe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Philip G. Satre</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Non-Executive Chair of the Board and 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Philip G. Satre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Betsy S. Atkins</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Betsy S. Atkins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Richard J. Byrne</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Richard J. Byrne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Patricia Mulroy</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Patricia Mulroy</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Margaret J. Myers</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Margaret J. Myers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Clark T. Randt, Jr.</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Clark T. Randt, Jr.</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Darnell Strom</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Darnell Strom</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Winifred Webb</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November 4, 2022</w:t>
            </w: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Winifred Webb</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ectPr>
          <w:pgSz w:w="11900" w:h="16838" w:orient="portrait"/>
          <w:cols w:equalWidth="0" w:num="1">
            <w:col w:w="10860"/>
          </w:cols>
          <w:pgMar w:left="320" w:top="1180" w:right="7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3136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0313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300 North LaSalle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Chicago, Illinois 60654</w:t>
      </w:r>
    </w:p>
    <w:p>
      <w:pPr>
        <w:spacing w:after="0" w:line="15" w:lineRule="exact"/>
        <w:rPr>
          <w:sz w:val="20"/>
          <w:szCs w:val="20"/>
          <w:color w:val="auto"/>
        </w:rPr>
      </w:pPr>
    </w:p>
    <w:p>
      <w:pPr>
        <w:ind w:left="5500" w:hanging="368"/>
        <w:spacing w:after="0"/>
        <w:tabs>
          <w:tab w:leader="none" w:pos="5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862-2000</w:t>
      </w:r>
    </w:p>
    <w:p>
      <w:pPr>
        <w:spacing w:after="0" w:line="257" w:lineRule="exact"/>
        <w:rPr>
          <w:rFonts w:ascii="Arial" w:cs="Arial" w:eastAsia="Arial" w:hAnsi="Arial"/>
          <w:sz w:val="14"/>
          <w:szCs w:val="14"/>
          <w:color w:val="auto"/>
        </w:rPr>
      </w:pPr>
    </w:p>
    <w:p>
      <w:pPr>
        <w:ind w:left="5040"/>
        <w:spacing w:after="0"/>
        <w:rPr>
          <w:rFonts w:ascii="Arial" w:cs="Arial" w:eastAsia="Arial" w:hAnsi="Arial"/>
          <w:sz w:val="14"/>
          <w:szCs w:val="14"/>
          <w:color w:val="auto"/>
        </w:rPr>
      </w:pPr>
      <w:r>
        <w:rPr>
          <w:rFonts w:ascii="Arial" w:cs="Arial" w:eastAsia="Arial" w:hAnsi="Arial"/>
          <w:sz w:val="14"/>
          <w:szCs w:val="14"/>
          <w:color w:val="auto"/>
        </w:rPr>
        <w:t>www.kirkland.com</w:t>
      </w:r>
    </w:p>
    <w:p>
      <w:pPr>
        <w:spacing w:after="0" w:line="150" w:lineRule="exact"/>
        <w:rPr>
          <w:sz w:val="20"/>
          <w:szCs w:val="20"/>
          <w:color w:val="auto"/>
        </w:rPr>
      </w:pPr>
    </w:p>
    <w:p>
      <w:pPr>
        <w:jc w:val="center"/>
        <w:ind w:left="8700"/>
        <w:spacing w:after="0"/>
        <w:rPr>
          <w:sz w:val="20"/>
          <w:szCs w:val="20"/>
          <w:color w:val="auto"/>
        </w:rPr>
      </w:pPr>
      <w:r>
        <w:rPr>
          <w:rFonts w:ascii="Arial" w:cs="Arial" w:eastAsia="Arial" w:hAnsi="Arial"/>
          <w:sz w:val="14"/>
          <w:szCs w:val="14"/>
          <w:color w:val="auto"/>
        </w:rPr>
        <w:t>Facsimile:</w:t>
      </w:r>
    </w:p>
    <w:p>
      <w:pPr>
        <w:spacing w:after="0" w:line="42" w:lineRule="exact"/>
        <w:rPr>
          <w:sz w:val="20"/>
          <w:szCs w:val="20"/>
          <w:color w:val="auto"/>
        </w:rPr>
      </w:pPr>
    </w:p>
    <w:p>
      <w:pPr>
        <w:ind w:left="9500"/>
        <w:spacing w:after="0"/>
        <w:rPr>
          <w:sz w:val="20"/>
          <w:szCs w:val="20"/>
          <w:color w:val="auto"/>
        </w:rPr>
      </w:pPr>
      <w:r>
        <w:rPr>
          <w:rFonts w:ascii="Arial" w:cs="Arial" w:eastAsia="Arial" w:hAnsi="Arial"/>
          <w:sz w:val="14"/>
          <w:szCs w:val="14"/>
          <w:color w:val="auto"/>
        </w:rPr>
        <w:t>(312) 862-2200</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4, 2022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27" w:lineRule="auto"/>
        <w:rPr>
          <w:sz w:val="20"/>
          <w:szCs w:val="20"/>
          <w:color w:val="auto"/>
        </w:rPr>
      </w:pPr>
      <w:r>
        <w:rPr>
          <w:rFonts w:ascii="Arial" w:cs="Arial" w:eastAsia="Arial" w:hAnsi="Arial"/>
          <w:sz w:val="20"/>
          <w:szCs w:val="20"/>
          <w:color w:val="auto"/>
        </w:rPr>
        <w:t>3131 Las Vegas Boulevard South</w:t>
      </w:r>
    </w:p>
    <w:p>
      <w:pPr>
        <w:spacing w:after="0"/>
        <w:rPr>
          <w:sz w:val="20"/>
          <w:szCs w:val="20"/>
          <w:color w:val="auto"/>
        </w:rPr>
      </w:pPr>
      <w:r>
        <w:rPr>
          <w:rFonts w:ascii="Arial" w:cs="Arial" w:eastAsia="Arial" w:hAnsi="Arial"/>
          <w:sz w:val="20"/>
          <w:szCs w:val="20"/>
          <w:color w:val="auto"/>
        </w:rPr>
        <w:t>Las Vegas, Nevada 89109</w:t>
      </w:r>
    </w:p>
    <w:p>
      <w:pPr>
        <w:spacing w:after="0"/>
        <w:rPr>
          <w:sz w:val="20"/>
          <w:szCs w:val="20"/>
          <w:color w:val="auto"/>
        </w:rPr>
      </w:pPr>
      <w:r>
        <w:rPr>
          <w:rFonts w:ascii="Arial" w:cs="Arial" w:eastAsia="Arial" w:hAnsi="Arial"/>
          <w:sz w:val="20"/>
          <w:szCs w:val="20"/>
          <w:color w:val="auto"/>
        </w:rPr>
        <w:t>(702) 770-7555</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Registration Statement of Wynn Resorts, Limited on Form S-3ASR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We have examined the Registration Statement on Form S-3ASR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be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by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 register the following securities: (a) senior debt securities, senior subordinated debt securities, subordinated debt securities and junior subordinated debt securities of the Company (collectively,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(b) shares of common stock, par value $0.01 per share, of the Company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(c) shares of preferred stock, par value $0.01 per share, of the Company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 (d) depositary shares representing preferred stock of the Company (the “</w:t>
      </w:r>
      <w:r>
        <w:rPr>
          <w:rFonts w:ascii="Arial" w:cs="Arial" w:eastAsia="Arial" w:hAnsi="Arial"/>
          <w:sz w:val="18"/>
          <w:szCs w:val="18"/>
          <w:u w:val="single" w:color="auto"/>
          <w:color w:val="auto"/>
        </w:rPr>
        <w:t>Depositary Shares</w:t>
      </w:r>
      <w:r>
        <w:rPr>
          <w:rFonts w:ascii="Arial" w:cs="Arial" w:eastAsia="Arial" w:hAnsi="Arial"/>
          <w:sz w:val="18"/>
          <w:szCs w:val="18"/>
          <w:color w:val="auto"/>
        </w:rPr>
        <w:t>”); all of which securities may be issued from time to time on a delayed or continuous basis pursuant to Rule 415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In connection with this opinion, we have assumed that (a) the Registration Statement, and any amendments thereto (including post-effective amendments), relating to the offered securities will have become effective under the Securities Act, (b) a prospectus supplement will have been prepared and filed with the Commission describing the securities offered thereby, (c) all offered securities will be issued and sold in compliance with applicable federal and state securities laws and in the manner stated in the Registration Statement and the appropriate prospectus supplement, (d) a definitive purchase, underwriting, sales agency or similar agreement with respect to the offered securities will have been duly authorized and validly executed and delivered by the Company and the other parties thereto, (e) any applicable indenture and indenture trustee will have been qualified under the Trust Indenture Act of 1939, as amended; and (f) that the Company will receive at least par value for any equity security issued.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foregoing, and having regard for such legal considerations as we have deemed relevant, we are of the opinion that:</w:t>
      </w:r>
    </w:p>
    <w:p>
      <w:pPr>
        <w:spacing w:after="0" w:line="266" w:lineRule="exact"/>
        <w:rPr>
          <w:sz w:val="20"/>
          <w:szCs w:val="20"/>
          <w:color w:val="auto"/>
        </w:rPr>
      </w:pPr>
    </w:p>
    <w:p>
      <w:pPr>
        <w:ind w:left="660" w:hanging="328"/>
        <w:spacing w:after="0" w:line="236"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When the Debt Securities and the applicable indenture have been authorized by appropriate corporate authorization, the applicable indenture has been duly executed by the parties thereto, and the Debt Securities have been executed, authenticated and delivered in accordance with the applicable indenture against payment therefore, the Debt Securities will be validly issued and the Debt Securities will constitute binding obligations of the Company, in each case subject to bankruptcy, insolvency, fraudulent transfer, reorganization, moratorium and similar laws of general applicability relating to or affecting creditors’ rights and to general equity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Austin Bay Area Beijing Boston Brussels Chicago Dallas Hong Kong Houston London Los Angeles Miami Munich New York Paris Salt Lake City Shanghai Washington, D.C.</w:t>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Wynn Resorts Limited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November 4, 2022</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377190</wp:posOffset>
            </wp:positionV>
            <wp:extent cx="20656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0656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right="260" w:hanging="328"/>
        <w:spacing w:after="0" w:line="30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When the Common Stock and/or the Preferred Stock have been duly authorized by appropriate corporate authorization and issued upon receipt of payment therefor, the Common Stock and/or Preferred Stock will be validly issued, fully paid, and non-assessable.</w:t>
      </w: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Depositary Shares have been duly authorized by appropriate corporate authorization and duly established in accordance with the applicable deposit agreements and applicable law, the Preferred Stock represented by the Depositary Shares has been duly delivered to the depositary under the applicable deposit agreement, and the depositary receipts evidencing the Depositary Shares have been duly executed, attested, issued and delivered by duly authorized officers, such Depositary Shares will be validly issued and will entitle the holders thereof to the rights specified in the applicable deposit agreement.</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The opinion expressed herein concerns only the effect of the law (excluding the principles of conflicts of law) of the State of New York as currently in effect.</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This opinion is being furnished in accordance with the requirements of Item 601 of Regulation S-K promulgated under the Securities Act, and no opinion is expressed herein as to any matter pertaining to the contents of the Registration Statement, other than as to the specific issues addressed herein, and no opinion may be inferred or implied beyond that expressly stated herein.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opinion is rendered solely for your benefit and may not be used, circulated, quoted relied upon or otherwise referred to by any other person for any other purpose without our prior written consent.</w:t>
      </w:r>
    </w:p>
    <w:p>
      <w:pPr>
        <w:spacing w:after="0" w:line="21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We have relied as to certain matters on information obtained from public officials, officers of the Company and other sources believed by us to be responsible.</w:t>
      </w:r>
    </w:p>
    <w:p>
      <w:pPr>
        <w:spacing w:after="0" w:line="21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hereby consent to the filing of this opinion as an exhibit to the Registration Statement and to the reference to this opinion in the Registration Statement in the section “Legal Matters.” In giving this consent, we do not thereby admit that we are “experts” within the meaning of the Securities Act.</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Sincerely,</w:t>
      </w:r>
    </w:p>
    <w:p>
      <w:pPr>
        <w:spacing w:after="0" w:line="25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KIRKLAND &amp; ELLIS LLP</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KIRKLAND &amp; ELLIS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Austin Bay Area Beijing Boston Brussels Chicago Dallas Hong Kong Houston London Los Angeles Miami Munich New York Paris Salt Lake City Shanghai Washington, D.C.</w:t>
      </w:r>
    </w:p>
    <w:p>
      <w:pPr>
        <w:sectPr>
          <w:pgSz w:w="11900" w:h="16838" w:orient="portrait"/>
          <w:cols w:equalWidth="0" w:num="1">
            <w:col w:w="11240"/>
          </w:cols>
          <w:pgMar w:left="320" w:top="339"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40067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4006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November 4, 2022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Wynn Resorts, Limited</w:t>
      </w:r>
    </w:p>
    <w:p>
      <w:pPr>
        <w:spacing w:after="0" w:line="228" w:lineRule="auto"/>
        <w:rPr>
          <w:sz w:val="20"/>
          <w:szCs w:val="20"/>
          <w:color w:val="auto"/>
        </w:rPr>
      </w:pPr>
      <w:r>
        <w:rPr>
          <w:rFonts w:ascii="Arial" w:cs="Arial" w:eastAsia="Arial" w:hAnsi="Arial"/>
          <w:sz w:val="21"/>
          <w:szCs w:val="21"/>
          <w:color w:val="auto"/>
        </w:rPr>
        <w:t>3131 Las Vegas Boulevard South</w:t>
      </w:r>
    </w:p>
    <w:p>
      <w:pPr>
        <w:spacing w:after="0"/>
        <w:rPr>
          <w:sz w:val="20"/>
          <w:szCs w:val="20"/>
          <w:color w:val="auto"/>
        </w:rPr>
      </w:pPr>
      <w:r>
        <w:rPr>
          <w:rFonts w:ascii="Arial" w:cs="Arial" w:eastAsia="Arial" w:hAnsi="Arial"/>
          <w:sz w:val="21"/>
          <w:szCs w:val="21"/>
          <w:color w:val="auto"/>
        </w:rPr>
        <w:t>Las Vegas, Nevada 89109</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To the addressee set forth above:</w:t>
      </w:r>
    </w:p>
    <w:p>
      <w:pPr>
        <w:spacing w:after="0" w:line="245"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We have acted as special Nevada counsel to Wynn Resorts, Limited, a Nevada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filing by the Company of a Registration Statement on Form S-3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relating to the registration for offering and sale from time to time by the Company of an indeterminate number of the following securities of the Company: (i) shares (the “</w:t>
      </w:r>
      <w:r>
        <w:rPr>
          <w:rFonts w:ascii="Arial" w:cs="Arial" w:eastAsia="Arial" w:hAnsi="Arial"/>
          <w:sz w:val="20"/>
          <w:szCs w:val="20"/>
          <w:u w:val="single" w:color="auto"/>
          <w:color w:val="auto"/>
        </w:rPr>
        <w:t>Common Shares</w:t>
      </w:r>
      <w:r>
        <w:rPr>
          <w:rFonts w:ascii="Arial" w:cs="Arial" w:eastAsia="Arial" w:hAnsi="Arial"/>
          <w:sz w:val="20"/>
          <w:szCs w:val="20"/>
          <w:color w:val="auto"/>
        </w:rPr>
        <w:t>”) of the Company’s common stock, par value $0.01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(ii) shares (the “</w:t>
      </w:r>
      <w:r>
        <w:rPr>
          <w:rFonts w:ascii="Arial" w:cs="Arial" w:eastAsia="Arial" w:hAnsi="Arial"/>
          <w:sz w:val="20"/>
          <w:szCs w:val="20"/>
          <w:u w:val="single" w:color="auto"/>
          <w:color w:val="auto"/>
        </w:rPr>
        <w:t>Preferred Shares</w:t>
      </w:r>
      <w:r>
        <w:rPr>
          <w:rFonts w:ascii="Arial" w:cs="Arial" w:eastAsia="Arial" w:hAnsi="Arial"/>
          <w:sz w:val="20"/>
          <w:szCs w:val="20"/>
          <w:color w:val="auto"/>
        </w:rPr>
        <w:t>”, and together with the Common Shares, the “</w:t>
      </w:r>
      <w:r>
        <w:rPr>
          <w:rFonts w:ascii="Arial" w:cs="Arial" w:eastAsia="Arial" w:hAnsi="Arial"/>
          <w:sz w:val="20"/>
          <w:szCs w:val="20"/>
          <w:u w:val="single" w:color="auto"/>
          <w:color w:val="auto"/>
        </w:rPr>
        <w:t>Shares</w:t>
      </w:r>
      <w:r>
        <w:rPr>
          <w:rFonts w:ascii="Arial" w:cs="Arial" w:eastAsia="Arial" w:hAnsi="Arial"/>
          <w:sz w:val="20"/>
          <w:szCs w:val="20"/>
          <w:color w:val="auto"/>
        </w:rPr>
        <w:t>”) of the Company’s preferred stock, par value $0.01 per share (the “</w:t>
      </w:r>
      <w:r>
        <w:rPr>
          <w:rFonts w:ascii="Arial" w:cs="Arial" w:eastAsia="Arial" w:hAnsi="Arial"/>
          <w:sz w:val="20"/>
          <w:szCs w:val="20"/>
          <w:u w:val="single" w:color="auto"/>
          <w:color w:val="auto"/>
        </w:rPr>
        <w:t>Preferred Stock</w:t>
      </w:r>
      <w:r>
        <w:rPr>
          <w:rFonts w:ascii="Arial" w:cs="Arial" w:eastAsia="Arial" w:hAnsi="Arial"/>
          <w:sz w:val="20"/>
          <w:szCs w:val="20"/>
          <w:color w:val="auto"/>
        </w:rPr>
        <w:t>”) in one or more series, (iii) depositary shares (the “</w:t>
      </w:r>
      <w:r>
        <w:rPr>
          <w:rFonts w:ascii="Arial" w:cs="Arial" w:eastAsia="Arial" w:hAnsi="Arial"/>
          <w:sz w:val="20"/>
          <w:szCs w:val="20"/>
          <w:u w:val="single" w:color="auto"/>
          <w:color w:val="auto"/>
        </w:rPr>
        <w:t>Depositary Shares</w:t>
      </w:r>
      <w:r>
        <w:rPr>
          <w:rFonts w:ascii="Arial" w:cs="Arial" w:eastAsia="Arial" w:hAnsi="Arial"/>
          <w:sz w:val="20"/>
          <w:szCs w:val="20"/>
          <w:color w:val="auto"/>
        </w:rPr>
        <w:t>”) representing fractional interests in shares of Preferred Stock to be issued pursuant to a deposit agreement (each, a “</w:t>
      </w:r>
      <w:r>
        <w:rPr>
          <w:rFonts w:ascii="Arial" w:cs="Arial" w:eastAsia="Arial" w:hAnsi="Arial"/>
          <w:sz w:val="20"/>
          <w:szCs w:val="20"/>
          <w:u w:val="single" w:color="auto"/>
          <w:color w:val="auto"/>
        </w:rPr>
        <w:t>Deposit Agreement</w:t>
      </w:r>
      <w:r>
        <w:rPr>
          <w:rFonts w:ascii="Arial" w:cs="Arial" w:eastAsia="Arial" w:hAnsi="Arial"/>
          <w:sz w:val="20"/>
          <w:szCs w:val="20"/>
          <w:color w:val="auto"/>
        </w:rPr>
        <w:t>”) and (iv) senior debt securities, senior subordinated debt securities, subordinated debt securities and junior subordinated debt securities (collectively, the “</w:t>
      </w:r>
      <w:r>
        <w:rPr>
          <w:rFonts w:ascii="Arial" w:cs="Arial" w:eastAsia="Arial" w:hAnsi="Arial"/>
          <w:sz w:val="20"/>
          <w:szCs w:val="20"/>
          <w:u w:val="single" w:color="auto"/>
          <w:color w:val="auto"/>
        </w:rPr>
        <w:t>Debt Securities</w:t>
      </w:r>
      <w:r>
        <w:rPr>
          <w:rFonts w:ascii="Arial" w:cs="Arial" w:eastAsia="Arial" w:hAnsi="Arial"/>
          <w:sz w:val="20"/>
          <w:szCs w:val="20"/>
          <w:color w:val="auto"/>
        </w:rPr>
        <w:t>” and together with the Depositary Shares and the Shares, the “</w:t>
      </w:r>
      <w:r>
        <w:rPr>
          <w:rFonts w:ascii="Arial" w:cs="Arial" w:eastAsia="Arial" w:hAnsi="Arial"/>
          <w:sz w:val="20"/>
          <w:szCs w:val="20"/>
          <w:u w:val="single" w:color="auto"/>
          <w:color w:val="auto"/>
        </w:rPr>
        <w:t>Securities</w:t>
      </w:r>
      <w:r>
        <w:rPr>
          <w:rFonts w:ascii="Arial" w:cs="Arial" w:eastAsia="Arial" w:hAnsi="Arial"/>
          <w:sz w:val="20"/>
          <w:szCs w:val="20"/>
          <w:color w:val="auto"/>
        </w:rPr>
        <w:t>”) to be issued pursuant to the Indenture, dated as of March 29, 2004 (the “</w:t>
      </w:r>
      <w:r>
        <w:rPr>
          <w:rFonts w:ascii="Arial" w:cs="Arial" w:eastAsia="Arial" w:hAnsi="Arial"/>
          <w:sz w:val="20"/>
          <w:szCs w:val="20"/>
          <w:u w:val="single" w:color="auto"/>
          <w:color w:val="auto"/>
        </w:rPr>
        <w:t>Indenture</w:t>
      </w:r>
      <w:r>
        <w:rPr>
          <w:rFonts w:ascii="Arial" w:cs="Arial" w:eastAsia="Arial" w:hAnsi="Arial"/>
          <w:sz w:val="20"/>
          <w:szCs w:val="20"/>
          <w:color w:val="auto"/>
        </w:rPr>
        <w:t>”), by and between the Company and U.S. Bank National Association, as trustee. This opinion letter is being furnished at your request in accordance with the requirements of Item 601(b)(5) of Regulation S-K under the Act.</w:t>
      </w:r>
    </w:p>
    <w:p>
      <w:pPr>
        <w:spacing w:after="0" w:line="22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In our capacity as such counsel, we are familiar with the proceedings taken and proposed to be taken by the Company in connection with the registration of the Securities, as described in the Registration Statement. For purposes of this opinion letter, and except to the extent set forth in the opinions below, we have assumed all such proceedings have been timely completed or will be timely completed in the manner presently proposed in the Registration Statement.</w:t>
      </w:r>
    </w:p>
    <w:p>
      <w:pPr>
        <w:spacing w:after="0" w:line="218" w:lineRule="exact"/>
        <w:rPr>
          <w:sz w:val="20"/>
          <w:szCs w:val="20"/>
          <w:color w:val="auto"/>
        </w:rPr>
      </w:pPr>
    </w:p>
    <w:p>
      <w:pPr>
        <w:ind w:right="80" w:firstLine="648"/>
        <w:spacing w:after="0" w:line="233" w:lineRule="auto"/>
        <w:rPr>
          <w:sz w:val="20"/>
          <w:szCs w:val="20"/>
          <w:color w:val="auto"/>
        </w:rPr>
      </w:pPr>
      <w:r>
        <w:rPr>
          <w:rFonts w:ascii="Arial" w:cs="Arial" w:eastAsia="Arial" w:hAnsi="Arial"/>
          <w:sz w:val="21"/>
          <w:szCs w:val="21"/>
          <w:color w:val="auto"/>
        </w:rPr>
        <w:t>For purposes of rendering this opinion letter, we have made such legal and factual examinations and inquiries, including an examination of originals or copies certified or otherwise identified to our satisfaction as being true copies of (i) the Registration Statement, including the form of Deposit Agreement and the form of Receipt (as defined therein) incorporated by reference as exhibits thereto, (ii) the Indenture, (iii) the articles of incorporation and bylaws of the Company (collectively, the “</w:t>
      </w:r>
      <w:r>
        <w:rPr>
          <w:rFonts w:ascii="Arial" w:cs="Arial" w:eastAsia="Arial" w:hAnsi="Arial"/>
          <w:sz w:val="21"/>
          <w:szCs w:val="21"/>
          <w:u w:val="single" w:color="auto"/>
          <w:color w:val="auto"/>
        </w:rPr>
        <w:t>Governing Documents</w:t>
      </w:r>
      <w:r>
        <w:rPr>
          <w:rFonts w:ascii="Arial" w:cs="Arial" w:eastAsia="Arial" w:hAnsi="Arial"/>
          <w:sz w:val="21"/>
          <w:szCs w:val="21"/>
          <w:color w:val="auto"/>
        </w:rPr>
        <w:t>”) and (iv) such other agreements, instruments, corporate records and other documents as we have deemed necessary or appropriate for the purpose of issuing this opinion letter, and we have obtained from officers and other representatives and agents of the Company and from public officials, and have relied upon, such certificates, representations and assurances as we have deemed necessary or appropriate.</w:t>
      </w:r>
    </w:p>
    <w:p>
      <w:pPr>
        <w:spacing w:after="0" w:line="230" w:lineRule="exact"/>
        <w:rPr>
          <w:sz w:val="20"/>
          <w:szCs w:val="20"/>
          <w:color w:val="auto"/>
        </w:rPr>
      </w:pPr>
    </w:p>
    <w:p>
      <w:pPr>
        <w:ind w:right="40" w:firstLine="648"/>
        <w:spacing w:after="0" w:line="237" w:lineRule="auto"/>
        <w:rPr>
          <w:sz w:val="20"/>
          <w:szCs w:val="20"/>
          <w:color w:val="auto"/>
        </w:rPr>
      </w:pPr>
      <w:r>
        <w:rPr>
          <w:rFonts w:ascii="Arial" w:cs="Arial" w:eastAsia="Arial" w:hAnsi="Arial"/>
          <w:sz w:val="21"/>
          <w:szCs w:val="21"/>
          <w:color w:val="auto"/>
        </w:rPr>
        <w:t>Without limiting the generality of the foregoing, in our examination and in rendering this opinion letter, we have, with your permission, assumed without independent verification, that (i)</w:t>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Arial" w:cs="Arial" w:eastAsia="Arial" w:hAnsi="Arial"/>
          <w:sz w:val="21"/>
          <w:szCs w:val="21"/>
          <w:color w:val="929292"/>
        </w:rPr>
        <w:t>Wynn Resorts, Limited</w:t>
      </w:r>
    </w:p>
    <w:p>
      <w:pPr>
        <w:spacing w:after="0"/>
        <w:rPr>
          <w:sz w:val="20"/>
          <w:szCs w:val="20"/>
          <w:color w:val="auto"/>
        </w:rPr>
      </w:pPr>
      <w:r>
        <w:rPr>
          <w:rFonts w:ascii="Arial" w:cs="Arial" w:eastAsia="Arial" w:hAnsi="Arial"/>
          <w:sz w:val="21"/>
          <w:szCs w:val="21"/>
          <w:color w:val="929292"/>
        </w:rPr>
        <w:t>November 6, 2022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each document we have reviewed or which is referenced herein has been or will be duly executed and delivered by the parties thereto to the extent due execution and delivery are prerequisites to the effectiveness thereof; (ii) the statements of fact and representations and warranties set forth in the documents we have reviewed are, or at all relevant times will be, true and correct as to factual matters; (iii) each natural person executing a document has or will have sufficient legal capacity to do so; (iv) all documents submitted to us as originals are authentic, the signatures on all documents that we have examined are genuine, and all documents submitted to us as certified, conformed, photostatic, electronic or facsimile copies conform to the original documents; (v) all corporate records made available to us by the Company, and all public records we have reviewed, are accurate and complete; (vi) the Deposit Agreement and any and all Receipts will be executed in substantially the form incorporated by reference as an exhibit to the Registration Statement; (vii) any and all agreements, instruments or other documents relating to the offering, issuance or sale of any Securities, including, without limitation, the Indenture, the Deposit Agreement and any Receipts (collectively, the “</w:t>
      </w:r>
      <w:r>
        <w:rPr>
          <w:rFonts w:ascii="Arial" w:cs="Arial" w:eastAsia="Arial" w:hAnsi="Arial"/>
          <w:sz w:val="20"/>
          <w:szCs w:val="20"/>
          <w:u w:val="single" w:color="auto"/>
          <w:color w:val="auto"/>
        </w:rPr>
        <w:t>Securities Documents</w:t>
      </w:r>
      <w:r>
        <w:rPr>
          <w:rFonts w:ascii="Arial" w:cs="Arial" w:eastAsia="Arial" w:hAnsi="Arial"/>
          <w:sz w:val="20"/>
          <w:szCs w:val="20"/>
          <w:color w:val="auto"/>
        </w:rPr>
        <w:t>”), have been or will be duly authorized, executed and delivered by the Company; (viii) the obligations of each party set forth in the Securities Documents are or will be its valid and binding obligations, enforceable in accordance with their respective terms;</w:t>
      </w:r>
    </w:p>
    <w:p>
      <w:pPr>
        <w:spacing w:after="0" w:line="8" w:lineRule="exact"/>
        <w:rPr>
          <w:sz w:val="20"/>
          <w:szCs w:val="20"/>
          <w:color w:val="auto"/>
        </w:rPr>
      </w:pPr>
    </w:p>
    <w:p>
      <w:pPr>
        <w:ind w:right="40" w:firstLine="8"/>
        <w:spacing w:after="0" w:line="241" w:lineRule="auto"/>
        <w:tabs>
          <w:tab w:leader="none" w:pos="345"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 Securities will be offered, issued or sold in violation or breach of, nor will any such offering, issuance or sale result in a default under, any agreement or instrument that is binding upon the Company or any requirement or restriction imposed by any governmental or regulatory agency, authority or body; (x) the Company has taken or will take all corporate action required in connection with the authorization, offering, issuance and sale of Securities (including, without limitation, any Shares or other securities of the Company underlying any Debt Securities or any Depositary Shares or Receipts), and all Securities will be offered, issued and sold, in compliance with all applicable laws, the Governing Documents and the relevant Securities Documents in effect at all relevant times, and any and all certificates evidencing Shares will be properly signed, registered and delivered, as necessary, in accordance with all applicable laws, the Governing Documents and the relevant Securities Documents (collectively, “</w:t>
      </w:r>
      <w:r>
        <w:rPr>
          <w:rFonts w:ascii="Arial" w:cs="Arial" w:eastAsia="Arial" w:hAnsi="Arial"/>
          <w:sz w:val="20"/>
          <w:szCs w:val="20"/>
          <w:u w:val="single" w:color="auto"/>
          <w:color w:val="auto"/>
        </w:rPr>
        <w:t>Corporate Proceedings</w:t>
      </w:r>
      <w:r>
        <w:rPr>
          <w:rFonts w:ascii="Arial" w:cs="Arial" w:eastAsia="Arial" w:hAnsi="Arial"/>
          <w:sz w:val="20"/>
          <w:szCs w:val="20"/>
          <w:color w:val="auto"/>
        </w:rPr>
        <w:t>”); (xi) after any issuance of Common Shares, the total number of issued and outstanding shares of Common Stock, together with the total number of shares of Common Stock then reserved for issuance or obligated to be issued by the Company pursuant to any agreement or arrangement or otherwise, will not exceed the total number of shares of Common Stock then authorized under the Governing Documents;</w:t>
      </w:r>
    </w:p>
    <w:p>
      <w:pPr>
        <w:spacing w:after="0" w:line="9" w:lineRule="exact"/>
        <w:rPr>
          <w:rFonts w:ascii="Arial" w:cs="Arial" w:eastAsia="Arial" w:hAnsi="Arial"/>
          <w:sz w:val="20"/>
          <w:szCs w:val="20"/>
          <w:color w:val="auto"/>
        </w:rPr>
      </w:pPr>
    </w:p>
    <w:p>
      <w:pPr>
        <w:ind w:right="200" w:firstLine="8"/>
        <w:spacing w:after="0" w:line="233" w:lineRule="auto"/>
        <w:tabs>
          <w:tab w:leader="none" w:pos="391"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voting rights, designations, preferences, limitations, restrictions, privileges and relative rights of each series of Preferred Shares will be fixed in a certificate of designation relating to such series, prepared in the form prescribed by applicable laws, duly signed by an officer of the Company and properly filed with the Nevada Secretary of State (each, a “</w:t>
      </w:r>
      <w:r>
        <w:rPr>
          <w:rFonts w:ascii="Arial" w:cs="Arial" w:eastAsia="Arial" w:hAnsi="Arial"/>
          <w:sz w:val="21"/>
          <w:szCs w:val="21"/>
          <w:u w:val="single" w:color="auto"/>
          <w:color w:val="auto"/>
        </w:rPr>
        <w:t>Certificate of Designation</w:t>
      </w:r>
      <w:r>
        <w:rPr>
          <w:rFonts w:ascii="Arial" w:cs="Arial" w:eastAsia="Arial" w:hAnsi="Arial"/>
          <w:sz w:val="21"/>
          <w:szCs w:val="21"/>
          <w:color w:val="auto"/>
        </w:rPr>
        <w:t>”), and at no time will the total number of shares of Preferred Stock designated pursuant to all then-effective Certificates of Designation exceed the total number of shares of Preferred Stock then authorized under the Governing Documents; and (xiii) after any issuance of Preferred Shares, the total number of issued and outstanding shares of each series thereof, together with the total number of shares of such series then reserved for issuance or obligated to be issued by the Company pursuant to any agreement or arrangement or otherwise, will not exceed the total number of shares of such series then designated under the Certificate of Designation for such series.</w:t>
      </w:r>
    </w:p>
    <w:p>
      <w:pPr>
        <w:spacing w:after="0" w:line="226" w:lineRule="exact"/>
        <w:rPr>
          <w:sz w:val="20"/>
          <w:szCs w:val="20"/>
          <w:color w:val="auto"/>
        </w:rPr>
      </w:pPr>
    </w:p>
    <w:p>
      <w:pPr>
        <w:ind w:right="220" w:firstLine="648"/>
        <w:spacing w:after="0" w:line="233" w:lineRule="auto"/>
        <w:rPr>
          <w:sz w:val="20"/>
          <w:szCs w:val="20"/>
          <w:color w:val="auto"/>
        </w:rPr>
      </w:pPr>
      <w:r>
        <w:rPr>
          <w:rFonts w:ascii="Arial" w:cs="Arial" w:eastAsia="Arial" w:hAnsi="Arial"/>
          <w:sz w:val="21"/>
          <w:szCs w:val="21"/>
          <w:color w:val="auto"/>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or effect of, the laws of any other jurisdiction. We express no opinion concerning, and we assume no responsibility as to laws or judicial decisions related to any federal laws, rules or regulations, including any federal securities laws, rules or regulations, or any state securities or “Blue Sky” laws, rules or regulations.</w:t>
      </w:r>
    </w:p>
    <w:p>
      <w:pPr>
        <w:spacing w:after="0" w:line="227" w:lineRule="exact"/>
        <w:rPr>
          <w:sz w:val="20"/>
          <w:szCs w:val="20"/>
          <w:color w:val="auto"/>
        </w:rPr>
      </w:pPr>
    </w:p>
    <w:p>
      <w:pPr>
        <w:ind w:right="140" w:firstLine="648"/>
        <w:spacing w:after="0" w:line="237" w:lineRule="auto"/>
        <w:rPr>
          <w:sz w:val="20"/>
          <w:szCs w:val="20"/>
          <w:color w:val="auto"/>
        </w:rPr>
      </w:pPr>
      <w:r>
        <w:rPr>
          <w:rFonts w:ascii="Arial" w:cs="Arial" w:eastAsia="Arial" w:hAnsi="Arial"/>
          <w:sz w:val="21"/>
          <w:szCs w:val="21"/>
          <w:color w:val="auto"/>
        </w:rPr>
        <w:t>Based upon the foregoing and in reliance thereon, and having regard to legal considerations and other information that we deem relevant, we are of the opinion that:</w:t>
      </w:r>
    </w:p>
    <w:p>
      <w:pPr>
        <w:sectPr>
          <w:pgSz w:w="11900" w:h="16838" w:orient="portrait"/>
          <w:cols w:equalWidth="0" w:num="1">
            <w:col w:w="11240"/>
          </w:cols>
          <w:pgMar w:left="320" w:top="129" w:right="339"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929292"/>
        </w:rPr>
        <w:t>Wynn Resorts, Limited</w:t>
      </w:r>
    </w:p>
    <w:p>
      <w:pPr>
        <w:spacing w:after="0"/>
        <w:rPr>
          <w:sz w:val="20"/>
          <w:szCs w:val="20"/>
          <w:color w:val="auto"/>
        </w:rPr>
      </w:pPr>
      <w:r>
        <w:rPr>
          <w:rFonts w:ascii="Arial" w:cs="Arial" w:eastAsia="Arial" w:hAnsi="Arial"/>
          <w:sz w:val="21"/>
          <w:szCs w:val="21"/>
          <w:color w:val="929292"/>
        </w:rPr>
        <w:t>November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21"/>
          <w:szCs w:val="21"/>
          <w:color w:val="auto"/>
        </w:rPr>
        <w:t>1.  If and when all Corporate Proceedings have been taken and completed in respect of any</w:t>
      </w:r>
    </w:p>
    <w:p>
      <w:pPr>
        <w:ind w:right="40"/>
        <w:spacing w:after="0" w:line="236" w:lineRule="auto"/>
        <w:rPr>
          <w:sz w:val="20"/>
          <w:szCs w:val="20"/>
          <w:color w:val="auto"/>
        </w:rPr>
      </w:pPr>
      <w:r>
        <w:rPr>
          <w:rFonts w:ascii="Arial" w:cs="Arial" w:eastAsia="Arial" w:hAnsi="Arial"/>
          <w:sz w:val="21"/>
          <w:szCs w:val="21"/>
          <w:color w:val="auto"/>
        </w:rPr>
        <w:t>offering, issuance or sale of Shares, and to the extent such Shares have been issued in accordance with all applicable terms and conditions set forth in the relevant Securities Documents, including payment in full of all consideration required therefor as authorized by such Corporate Proceedings and prescribed by such Securities Documents, such Shares will be duly authorized, validly issued, fully paid and non-assessable.</w:t>
      </w:r>
    </w:p>
    <w:p>
      <w:pPr>
        <w:spacing w:after="0" w:line="225" w:lineRule="exact"/>
        <w:rPr>
          <w:sz w:val="20"/>
          <w:szCs w:val="20"/>
          <w:color w:val="auto"/>
        </w:rPr>
      </w:pPr>
    </w:p>
    <w:p>
      <w:pPr>
        <w:ind w:right="2420" w:firstLine="332"/>
        <w:spacing w:after="0" w:line="237" w:lineRule="auto"/>
        <w:tabs>
          <w:tab w:leader="none" w:pos="659" w:val="left"/>
        </w:tabs>
        <w:numPr>
          <w:ilvl w:val="0"/>
          <w:numId w:val="18"/>
        </w:numPr>
        <w:rPr>
          <w:rFonts w:ascii="Arial" w:cs="Arial" w:eastAsia="Arial" w:hAnsi="Arial"/>
          <w:sz w:val="21"/>
          <w:szCs w:val="21"/>
          <w:color w:val="auto"/>
        </w:rPr>
      </w:pPr>
      <w:r>
        <w:rPr>
          <w:rFonts w:ascii="Arial" w:cs="Arial" w:eastAsia="Arial" w:hAnsi="Arial"/>
          <w:sz w:val="21"/>
          <w:szCs w:val="21"/>
          <w:color w:val="auto"/>
        </w:rPr>
        <w:t>If and when all Corporate Proceedings have been taken and completed in respect of any offering, issuance or sale of Securities, such Securities will be duly authorized.</w:t>
      </w:r>
    </w:p>
    <w:p>
      <w:pPr>
        <w:spacing w:after="0" w:line="225" w:lineRule="exact"/>
        <w:rPr>
          <w:sz w:val="20"/>
          <w:szCs w:val="20"/>
          <w:color w:val="auto"/>
        </w:rPr>
      </w:pPr>
    </w:p>
    <w:p>
      <w:pPr>
        <w:ind w:right="40" w:firstLine="648"/>
        <w:spacing w:after="0" w:line="234" w:lineRule="auto"/>
        <w:rPr>
          <w:sz w:val="20"/>
          <w:szCs w:val="20"/>
          <w:color w:val="auto"/>
        </w:rPr>
      </w:pPr>
      <w:r>
        <w:rPr>
          <w:rFonts w:ascii="Arial" w:cs="Arial" w:eastAsia="Arial" w:hAnsi="Arial"/>
          <w:sz w:val="21"/>
          <w:szCs w:val="21"/>
          <w:color w:val="auto"/>
        </w:rPr>
        <w:t>The opinions expressed herein are based upon the applicable laws of the State of Nevada and the facts in existence on the date hereof. In delivering this opinion letter to you, we disclaim any obligation to update or supplement the opinions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opinions set forth herein.</w:t>
      </w:r>
    </w:p>
    <w:p>
      <w:pPr>
        <w:spacing w:after="0" w:line="227" w:lineRule="exact"/>
        <w:rPr>
          <w:sz w:val="20"/>
          <w:szCs w:val="20"/>
          <w:color w:val="auto"/>
        </w:rPr>
      </w:pPr>
    </w:p>
    <w:p>
      <w:pPr>
        <w:ind w:firstLine="648"/>
        <w:spacing w:after="0" w:line="236" w:lineRule="auto"/>
        <w:rPr>
          <w:sz w:val="20"/>
          <w:szCs w:val="20"/>
          <w:color w:val="auto"/>
        </w:rPr>
      </w:pPr>
      <w:r>
        <w:rPr>
          <w:rFonts w:ascii="Arial" w:cs="Arial" w:eastAsia="Arial" w:hAnsi="Arial"/>
          <w:sz w:val="21"/>
          <w:szCs w:val="21"/>
          <w:color w:val="auto"/>
        </w:rPr>
        <w:t>We consent to your filing this opinion letter as an exhibit to the Registration Statement and to the reference to our firm therein under the heading “Legal Matters”. In giving such consent, we do not admit that we are in the category of persons whose consent is required under Section 7 of the Act or the rules and regulations of the Commission promulgated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Very truly yours,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/s/ Brownstein Hyatt Farber Schreck, LLP</w:t>
      </w:r>
    </w:p>
    <w:p>
      <w:pPr>
        <w:sectPr>
          <w:pgSz w:w="11900" w:h="16838" w:orient="portrait"/>
          <w:cols w:equalWidth="0" w:num="1">
            <w:col w:w="11180"/>
          </w:cols>
          <w:pgMar w:left="320" w:top="129" w:right="3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Wynn Resorts, Limited for the registration of common stock, preferred stock, depositary shares representing preferred stock and debt securities and to the incorporation by reference therein of our reports dated February 28, 2022, with respect to the consolidated financial statements and schedule of Wynn Resorts, Limited, and the effectiveness of internal control over financial reporting of Wynn Resorts, Limited, included in its Annual Report (Form 10-K) for the year ended December 31, 2021, filed with the Securities and Exchange Commission.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2022</w:t>
      </w:r>
    </w:p>
    <w:p>
      <w:pPr>
        <w:sectPr>
          <w:pgSz w:w="11900" w:h="16838" w:orient="portrait"/>
          <w:cols w:equalWidth="0" w:num="1">
            <w:col w:w="11240"/>
          </w:cols>
          <w:pgMar w:left="320" w:top="891" w:right="339" w:bottom="1440" w:gutter="0" w:footer="0" w:header="0"/>
        </w:sectPr>
      </w:pPr>
    </w:p>
    <w:bookmarkStart w:id="19" w:name="page20"/>
    <w:bookmarkEnd w:id="19"/>
    <w:p>
      <w:pPr>
        <w:ind w:left="10440"/>
        <w:spacing w:after="0"/>
        <w:rPr>
          <w:sz w:val="20"/>
          <w:szCs w:val="20"/>
          <w:color w:val="auto"/>
        </w:rPr>
      </w:pPr>
      <w:r>
        <w:rPr>
          <w:rFonts w:ascii="Arial" w:cs="Arial" w:eastAsia="Arial" w:hAnsi="Arial"/>
          <w:sz w:val="17"/>
          <w:szCs w:val="17"/>
          <w:b w:val="1"/>
          <w:bCs w:val="1"/>
          <w:color w:val="auto"/>
        </w:rPr>
        <w:t>Exhibit 25</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_____________________________________________________________________________</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7"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__________________________</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FORM T-1</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STATEMENT OF ELIGIBILITY UNDER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THE TRUST INDENTURE ACT OF 1939 OF A</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CORPORATION DESIGNATED TO ACT AS TRUSTEE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Check if an Application to Determine Eligibility of</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 Trustee Pursuant to Section 305(b)(2)</w:t>
      </w:r>
    </w:p>
    <w:p>
      <w:pPr>
        <w:spacing w:after="0" w:line="13"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_______________________________________________________</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U.S. BANK TRUST COMPANY, NATIONAL ASSOCIATION</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(Exact name of Trustee as specified in its charter)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91-1821036</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I.R.S. Employer Identification No.</w:t>
      </w: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5660" w:type="dxa"/>
            <w:vAlign w:val="bottom"/>
            <w:tcBorders>
              <w:top w:val="single" w:sz="8" w:color="00000A"/>
              <w:left w:val="single" w:sz="8" w:color="00000A"/>
              <w:right w:val="single" w:sz="8" w:color="00000A"/>
            </w:tcBorders>
          </w:tcPr>
          <w:p>
            <w:pPr>
              <w:jc w:val="center"/>
              <w:spacing w:after="0" w:line="212" w:lineRule="exact"/>
              <w:rPr>
                <w:sz w:val="20"/>
                <w:szCs w:val="20"/>
                <w:color w:val="auto"/>
              </w:rPr>
            </w:pPr>
            <w:r>
              <w:rPr>
                <w:rFonts w:ascii="Arial" w:cs="Arial" w:eastAsia="Arial" w:hAnsi="Arial"/>
                <w:sz w:val="20"/>
                <w:szCs w:val="20"/>
                <w:color w:val="auto"/>
                <w:w w:val="95"/>
              </w:rPr>
              <w:t>800 Nicollet Mall</w:t>
            </w:r>
          </w:p>
        </w:tc>
        <w:tc>
          <w:tcPr>
            <w:tcW w:w="1400" w:type="dxa"/>
            <w:vAlign w:val="bottom"/>
            <w:tcBorders>
              <w:top w:val="single" w:sz="8" w:color="00000A"/>
            </w:tcBorders>
          </w:tcPr>
          <w:p>
            <w:pPr>
              <w:spacing w:after="0"/>
              <w:rPr>
                <w:sz w:val="18"/>
                <w:szCs w:val="18"/>
                <w:color w:val="auto"/>
              </w:rPr>
            </w:pPr>
          </w:p>
        </w:tc>
        <w:tc>
          <w:tcPr>
            <w:tcW w:w="4060" w:type="dxa"/>
            <w:vAlign w:val="bottom"/>
            <w:tcBorders>
              <w:top w:val="single" w:sz="8" w:color="00000A"/>
              <w:right w:val="single" w:sz="8" w:color="00000A"/>
            </w:tcBorders>
            <w:vMerge w:val="restart"/>
          </w:tcPr>
          <w:p>
            <w:pPr>
              <w:jc w:val="right"/>
              <w:ind w:right="2407"/>
              <w:spacing w:after="0"/>
              <w:rPr>
                <w:sz w:val="20"/>
                <w:szCs w:val="20"/>
                <w:color w:val="auto"/>
              </w:rPr>
            </w:pPr>
            <w:r>
              <w:rPr>
                <w:rFonts w:ascii="Arial" w:cs="Arial" w:eastAsia="Arial" w:hAnsi="Arial"/>
                <w:sz w:val="20"/>
                <w:szCs w:val="20"/>
                <w:color w:val="auto"/>
              </w:rPr>
              <w:t>55402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Minneapolis, Minnesota</w:t>
            </w:r>
          </w:p>
        </w:tc>
        <w:tc>
          <w:tcPr>
            <w:tcW w:w="1400" w:type="dxa"/>
            <w:vAlign w:val="bottom"/>
            <w:tcBorders>
              <w:bottom w:val="single" w:sz="8" w:color="00000A"/>
            </w:tcBorders>
          </w:tcPr>
          <w:p>
            <w:pPr>
              <w:spacing w:after="0"/>
              <w:rPr>
                <w:sz w:val="21"/>
                <w:szCs w:val="21"/>
                <w:color w:val="auto"/>
              </w:rPr>
            </w:pPr>
          </w:p>
        </w:tc>
        <w:tc>
          <w:tcPr>
            <w:tcW w:w="4060" w:type="dxa"/>
            <w:vAlign w:val="bottom"/>
            <w:tcBorders>
              <w:bottom w:val="single" w:sz="8" w:color="00000A"/>
              <w:right w:val="single" w:sz="8" w:color="00000A"/>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6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1400" w:type="dxa"/>
            <w:vAlign w:val="bottom"/>
            <w:tcBorders>
              <w:bottom w:val="single" w:sz="8" w:color="00000A"/>
            </w:tcBorders>
          </w:tcPr>
          <w:p>
            <w:pPr>
              <w:spacing w:after="0"/>
              <w:rPr>
                <w:sz w:val="17"/>
                <w:szCs w:val="17"/>
                <w:color w:val="auto"/>
              </w:rPr>
            </w:pPr>
          </w:p>
        </w:tc>
        <w:tc>
          <w:tcPr>
            <w:tcW w:w="4060" w:type="dxa"/>
            <w:vAlign w:val="bottom"/>
            <w:tcBorders>
              <w:bottom w:val="single" w:sz="8" w:color="00000A"/>
              <w:right w:val="single" w:sz="8" w:color="00000A"/>
            </w:tcBorders>
          </w:tcPr>
          <w:p>
            <w:pPr>
              <w:jc w:val="center"/>
              <w:ind w:right="1367"/>
              <w:spacing w:after="0"/>
              <w:rPr>
                <w:sz w:val="20"/>
                <w:szCs w:val="20"/>
                <w:color w:val="auto"/>
              </w:rPr>
            </w:pPr>
            <w:r>
              <w:rPr>
                <w:rFonts w:ascii="Arial" w:cs="Arial" w:eastAsia="Arial" w:hAnsi="Arial"/>
                <w:sz w:val="16"/>
                <w:szCs w:val="16"/>
                <w:color w:val="auto"/>
                <w:w w:val="95"/>
              </w:rPr>
              <w:t>(Zip Code)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60" w:type="dxa"/>
            <w:vAlign w:val="bottom"/>
            <w:gridSpan w:val="2"/>
          </w:tcPr>
          <w:p>
            <w:pPr>
              <w:jc w:val="center"/>
              <w:ind w:left="4103"/>
              <w:spacing w:after="0"/>
              <w:rPr>
                <w:sz w:val="20"/>
                <w:szCs w:val="20"/>
                <w:color w:val="auto"/>
              </w:rPr>
            </w:pPr>
            <w:r>
              <w:rPr>
                <w:rFonts w:ascii="Arial" w:cs="Arial" w:eastAsia="Arial" w:hAnsi="Arial"/>
                <w:sz w:val="20"/>
                <w:szCs w:val="20"/>
                <w:color w:val="auto"/>
                <w:w w:val="88"/>
              </w:rPr>
              <w:t>Joshua A. Hahn</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120" w:type="dxa"/>
            <w:vAlign w:val="bottom"/>
            <w:gridSpan w:val="3"/>
          </w:tcPr>
          <w:p>
            <w:pPr>
              <w:jc w:val="center"/>
              <w:ind w:left="23"/>
              <w:spacing w:after="0" w:line="216" w:lineRule="exact"/>
              <w:rPr>
                <w:sz w:val="20"/>
                <w:szCs w:val="20"/>
                <w:color w:val="auto"/>
              </w:rPr>
            </w:pPr>
            <w:r>
              <w:rPr>
                <w:rFonts w:ascii="Arial" w:cs="Arial" w:eastAsia="Arial" w:hAnsi="Arial"/>
                <w:sz w:val="20"/>
                <w:szCs w:val="20"/>
                <w:color w:val="auto"/>
                <w:w w:val="90"/>
              </w:rPr>
              <w:t>U.S. Bank Trust Company, National Association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jc w:val="center"/>
              <w:ind w:left="4083"/>
              <w:spacing w:after="0" w:line="216" w:lineRule="exact"/>
              <w:rPr>
                <w:sz w:val="20"/>
                <w:szCs w:val="20"/>
                <w:color w:val="auto"/>
              </w:rPr>
            </w:pPr>
            <w:r>
              <w:rPr>
                <w:rFonts w:ascii="Arial" w:cs="Arial" w:eastAsia="Arial" w:hAnsi="Arial"/>
                <w:sz w:val="20"/>
                <w:szCs w:val="20"/>
                <w:color w:val="auto"/>
                <w:w w:val="92"/>
              </w:rPr>
              <w:t>60 Livingston Avenue</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jc w:val="center"/>
              <w:ind w:left="4103"/>
              <w:spacing w:after="0"/>
              <w:rPr>
                <w:sz w:val="20"/>
                <w:szCs w:val="20"/>
                <w:color w:val="auto"/>
              </w:rPr>
            </w:pPr>
            <w:r>
              <w:rPr>
                <w:rFonts w:ascii="Arial" w:cs="Arial" w:eastAsia="Arial" w:hAnsi="Arial"/>
                <w:sz w:val="20"/>
                <w:szCs w:val="20"/>
                <w:color w:val="auto"/>
                <w:w w:val="91"/>
              </w:rPr>
              <w:t>St. Paul, MN 55107</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jc w:val="center"/>
              <w:ind w:left="4083"/>
              <w:spacing w:after="0" w:line="223" w:lineRule="exact"/>
              <w:rPr>
                <w:sz w:val="20"/>
                <w:szCs w:val="20"/>
                <w:color w:val="auto"/>
              </w:rPr>
            </w:pPr>
            <w:r>
              <w:rPr>
                <w:rFonts w:ascii="Arial" w:cs="Arial" w:eastAsia="Arial" w:hAnsi="Arial"/>
                <w:sz w:val="20"/>
                <w:szCs w:val="20"/>
                <w:color w:val="auto"/>
                <w:w w:val="90"/>
              </w:rPr>
              <w:t>(651) 466-6309</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120" w:type="dxa"/>
            <w:vAlign w:val="bottom"/>
            <w:gridSpan w:val="3"/>
          </w:tcPr>
          <w:p>
            <w:pPr>
              <w:jc w:val="center"/>
              <w:ind w:left="23"/>
              <w:spacing w:after="0"/>
              <w:rPr>
                <w:sz w:val="20"/>
                <w:szCs w:val="20"/>
                <w:color w:val="auto"/>
              </w:rPr>
            </w:pPr>
            <w:r>
              <w:rPr>
                <w:rFonts w:ascii="Arial" w:cs="Arial" w:eastAsia="Arial" w:hAnsi="Arial"/>
                <w:sz w:val="16"/>
                <w:szCs w:val="16"/>
                <w:color w:val="auto"/>
                <w:w w:val="90"/>
              </w:rPr>
              <w:t>(Name, address and telephone number of agent for service)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7060" w:type="dxa"/>
            <w:vAlign w:val="bottom"/>
            <w:gridSpan w:val="2"/>
          </w:tcPr>
          <w:p>
            <w:pPr>
              <w:jc w:val="center"/>
              <w:ind w:left="4103"/>
              <w:spacing w:after="0"/>
              <w:rPr>
                <w:sz w:val="20"/>
                <w:szCs w:val="20"/>
                <w:color w:val="auto"/>
              </w:rPr>
            </w:pPr>
            <w:r>
              <w:rPr>
                <w:rFonts w:ascii="Arial" w:cs="Arial" w:eastAsia="Arial" w:hAnsi="Arial"/>
                <w:sz w:val="25"/>
                <w:szCs w:val="25"/>
                <w:b w:val="1"/>
                <w:bCs w:val="1"/>
                <w:color w:val="auto"/>
                <w:w w:val="92"/>
              </w:rPr>
              <w:t>Wynn Resorts, Limited</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60" w:type="dxa"/>
            <w:vAlign w:val="bottom"/>
            <w:gridSpan w:val="2"/>
          </w:tcPr>
          <w:p>
            <w:pPr>
              <w:spacing w:after="0"/>
              <w:rPr>
                <w:sz w:val="20"/>
                <w:szCs w:val="20"/>
                <w:color w:val="auto"/>
              </w:rPr>
            </w:pPr>
            <w:r>
              <w:rPr>
                <w:rFonts w:ascii="Arial" w:cs="Arial" w:eastAsia="Arial" w:hAnsi="Arial"/>
                <w:sz w:val="16"/>
                <w:szCs w:val="16"/>
                <w:color w:val="auto"/>
              </w:rPr>
              <w:t>(Issuer with respect to the Securities)</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660" w:type="dxa"/>
            <w:vAlign w:val="bottom"/>
            <w:tcBorders>
              <w:bottom w:val="single" w:sz="8" w:color="00000A"/>
            </w:tcBorders>
          </w:tcPr>
          <w:p>
            <w:pPr>
              <w:spacing w:after="0"/>
              <w:rPr>
                <w:sz w:val="9"/>
                <w:szCs w:val="9"/>
                <w:color w:val="auto"/>
              </w:rPr>
            </w:pPr>
          </w:p>
        </w:tc>
        <w:tc>
          <w:tcPr>
            <w:tcW w:w="1400" w:type="dxa"/>
            <w:vAlign w:val="bottom"/>
            <w:tcBorders>
              <w:bottom w:val="single" w:sz="8" w:color="00000A"/>
            </w:tcBorders>
          </w:tcPr>
          <w:p>
            <w:pPr>
              <w:spacing w:after="0"/>
              <w:rPr>
                <w:sz w:val="9"/>
                <w:szCs w:val="9"/>
                <w:color w:val="auto"/>
              </w:rPr>
            </w:pPr>
          </w:p>
        </w:tc>
        <w:tc>
          <w:tcPr>
            <w:tcW w:w="4060" w:type="dxa"/>
            <w:vAlign w:val="bottom"/>
            <w:tcBorders>
              <w:bottom w:val="single" w:sz="8" w:color="00000A"/>
            </w:tcBorders>
          </w:tcPr>
          <w:p>
            <w:pPr>
              <w:spacing w:after="0"/>
              <w:rPr>
                <w:sz w:val="9"/>
                <w:szCs w:val="9"/>
                <w:color w:val="auto"/>
              </w:rPr>
            </w:pPr>
          </w:p>
        </w:tc>
        <w:tc>
          <w:tcPr>
            <w:tcW w:w="140" w:type="dxa"/>
            <w:vAlign w:val="bottom"/>
            <w:tcBorders>
              <w:bottom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Nevada</w:t>
            </w:r>
          </w:p>
        </w:tc>
        <w:tc>
          <w:tcPr>
            <w:tcW w:w="1400" w:type="dxa"/>
            <w:vAlign w:val="bottom"/>
            <w:tcBorders>
              <w:bottom w:val="single" w:sz="8" w:color="00000A"/>
            </w:tcBorders>
          </w:tcPr>
          <w:p>
            <w:pPr>
              <w:spacing w:after="0"/>
              <w:rPr>
                <w:sz w:val="22"/>
                <w:szCs w:val="22"/>
                <w:color w:val="auto"/>
              </w:rPr>
            </w:pPr>
          </w:p>
        </w:tc>
        <w:tc>
          <w:tcPr>
            <w:tcW w:w="4060" w:type="dxa"/>
            <w:vAlign w:val="bottom"/>
            <w:tcBorders>
              <w:bottom w:val="single" w:sz="8" w:color="00000A"/>
            </w:tcBorders>
          </w:tcPr>
          <w:p>
            <w:pPr>
              <w:jc w:val="right"/>
              <w:ind w:right="2067"/>
              <w:spacing w:after="0"/>
              <w:rPr>
                <w:sz w:val="20"/>
                <w:szCs w:val="20"/>
                <w:color w:val="auto"/>
              </w:rPr>
            </w:pPr>
            <w:r>
              <w:rPr>
                <w:rFonts w:ascii="Arial" w:cs="Arial" w:eastAsia="Arial" w:hAnsi="Arial"/>
                <w:sz w:val="22"/>
                <w:szCs w:val="22"/>
                <w:color w:val="auto"/>
              </w:rPr>
              <w:t>46-0484987</w:t>
            </w:r>
          </w:p>
        </w:tc>
        <w:tc>
          <w:tcPr>
            <w:tcW w:w="1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6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400" w:type="dxa"/>
            <w:vAlign w:val="bottom"/>
            <w:tcBorders>
              <w:bottom w:val="single" w:sz="8" w:color="00000A"/>
            </w:tcBorders>
          </w:tcPr>
          <w:p>
            <w:pPr>
              <w:spacing w:after="0"/>
              <w:rPr>
                <w:sz w:val="17"/>
                <w:szCs w:val="17"/>
                <w:color w:val="auto"/>
              </w:rPr>
            </w:pPr>
          </w:p>
        </w:tc>
        <w:tc>
          <w:tcPr>
            <w:tcW w:w="4060" w:type="dxa"/>
            <w:vAlign w:val="bottom"/>
            <w:tcBorders>
              <w:bottom w:val="single" w:sz="8" w:color="00000A"/>
            </w:tcBorders>
          </w:tcPr>
          <w:p>
            <w:pPr>
              <w:jc w:val="center"/>
              <w:ind w:right="1207"/>
              <w:spacing w:after="0"/>
              <w:rPr>
                <w:sz w:val="20"/>
                <w:szCs w:val="20"/>
                <w:color w:val="auto"/>
              </w:rPr>
            </w:pPr>
            <w:r>
              <w:rPr>
                <w:rFonts w:ascii="Arial" w:cs="Arial" w:eastAsia="Arial" w:hAnsi="Arial"/>
                <w:sz w:val="16"/>
                <w:szCs w:val="16"/>
                <w:color w:val="auto"/>
                <w:w w:val="95"/>
              </w:rPr>
              <w:t>(I.R.S. Employer Identification No.)</w:t>
            </w:r>
          </w:p>
        </w:tc>
        <w:tc>
          <w:tcPr>
            <w:tcW w:w="14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60" w:type="dxa"/>
            <w:vAlign w:val="bottom"/>
            <w:tcBorders>
              <w:left w:val="single" w:sz="8" w:color="00000A"/>
              <w:bottom w:val="single" w:sz="8" w:color="00000A"/>
              <w:right w:val="single" w:sz="8" w:color="00000A"/>
            </w:tcBorders>
          </w:tcPr>
          <w:p>
            <w:pPr>
              <w:spacing w:after="0"/>
              <w:rPr>
                <w:sz w:val="20"/>
                <w:szCs w:val="20"/>
                <w:color w:val="auto"/>
              </w:rPr>
            </w:pPr>
          </w:p>
        </w:tc>
        <w:tc>
          <w:tcPr>
            <w:tcW w:w="1400" w:type="dxa"/>
            <w:vAlign w:val="bottom"/>
            <w:tcBorders>
              <w:bottom w:val="single" w:sz="8" w:color="00000A"/>
            </w:tcBorders>
          </w:tcPr>
          <w:p>
            <w:pPr>
              <w:spacing w:after="0"/>
              <w:rPr>
                <w:sz w:val="20"/>
                <w:szCs w:val="20"/>
                <w:color w:val="auto"/>
              </w:rPr>
            </w:pPr>
          </w:p>
        </w:tc>
        <w:tc>
          <w:tcPr>
            <w:tcW w:w="4060" w:type="dxa"/>
            <w:vAlign w:val="bottom"/>
            <w:tcBorders>
              <w:bottom w:val="single" w:sz="8" w:color="00000A"/>
            </w:tcBorders>
          </w:tcPr>
          <w:p>
            <w:pPr>
              <w:spacing w:after="0"/>
              <w:rPr>
                <w:sz w:val="20"/>
                <w:szCs w:val="20"/>
                <w:color w:val="auto"/>
              </w:rPr>
            </w:pPr>
          </w:p>
        </w:tc>
        <w:tc>
          <w:tcPr>
            <w:tcW w:w="14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60" w:type="dxa"/>
            <w:vAlign w:val="bottom"/>
            <w:tcBorders>
              <w:bottom w:val="single" w:sz="8" w:color="00000A"/>
            </w:tcBorders>
            <w:gridSpan w:val="2"/>
          </w:tcPr>
          <w:p>
            <w:pPr>
              <w:spacing w:after="0"/>
              <w:rPr>
                <w:sz w:val="24"/>
                <w:szCs w:val="24"/>
                <w:color w:val="auto"/>
              </w:rPr>
            </w:pPr>
          </w:p>
        </w:tc>
        <w:tc>
          <w:tcPr>
            <w:tcW w:w="4060" w:type="dxa"/>
            <w:vAlign w:val="bottom"/>
            <w:tcBorders>
              <w:bottom w:val="single" w:sz="8" w:color="00000A"/>
            </w:tcBorders>
          </w:tcPr>
          <w:p>
            <w:pPr>
              <w:spacing w:after="0"/>
              <w:rPr>
                <w:sz w:val="24"/>
                <w:szCs w:val="24"/>
                <w:color w:val="auto"/>
              </w:rPr>
            </w:pPr>
          </w:p>
        </w:tc>
        <w:tc>
          <w:tcPr>
            <w:tcW w:w="14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60" w:type="dxa"/>
            <w:vAlign w:val="bottom"/>
            <w:tcBorders>
              <w:left w:val="single" w:sz="8" w:color="00000A"/>
              <w:right w:val="single" w:sz="8" w:color="00000A"/>
            </w:tcBorders>
          </w:tcPr>
          <w:p>
            <w:pPr>
              <w:jc w:val="center"/>
              <w:spacing w:after="0" w:line="202" w:lineRule="exact"/>
              <w:rPr>
                <w:sz w:val="20"/>
                <w:szCs w:val="20"/>
                <w:color w:val="auto"/>
              </w:rPr>
            </w:pPr>
            <w:r>
              <w:rPr>
                <w:rFonts w:ascii="Arial" w:cs="Arial" w:eastAsia="Arial" w:hAnsi="Arial"/>
                <w:sz w:val="22"/>
                <w:szCs w:val="22"/>
                <w:color w:val="auto"/>
                <w:w w:val="87"/>
              </w:rPr>
              <w:t>3131 Las Vegas Boulevard South</w:t>
            </w:r>
          </w:p>
        </w:tc>
        <w:tc>
          <w:tcPr>
            <w:tcW w:w="1400" w:type="dxa"/>
            <w:vAlign w:val="bottom"/>
          </w:tcPr>
          <w:p>
            <w:pPr>
              <w:spacing w:after="0"/>
              <w:rPr>
                <w:sz w:val="17"/>
                <w:szCs w:val="17"/>
                <w:color w:val="auto"/>
              </w:rPr>
            </w:pPr>
          </w:p>
        </w:tc>
        <w:tc>
          <w:tcPr>
            <w:tcW w:w="4060" w:type="dxa"/>
            <w:vAlign w:val="bottom"/>
            <w:vMerge w:val="restart"/>
          </w:tcPr>
          <w:p>
            <w:pPr>
              <w:jc w:val="right"/>
              <w:ind w:right="2327"/>
              <w:spacing w:after="0"/>
              <w:rPr>
                <w:sz w:val="20"/>
                <w:szCs w:val="20"/>
                <w:color w:val="auto"/>
              </w:rPr>
            </w:pPr>
            <w:r>
              <w:rPr>
                <w:rFonts w:ascii="Arial" w:cs="Arial" w:eastAsia="Arial" w:hAnsi="Arial"/>
                <w:sz w:val="22"/>
                <w:szCs w:val="22"/>
                <w:color w:val="auto"/>
              </w:rPr>
              <w:t>89109</w:t>
            </w:r>
          </w:p>
        </w:tc>
        <w:tc>
          <w:tcPr>
            <w:tcW w:w="14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5"/>
              </w:rPr>
              <w:t>Las Vegas, Nevada</w:t>
            </w:r>
          </w:p>
        </w:tc>
        <w:tc>
          <w:tcPr>
            <w:tcW w:w="1400" w:type="dxa"/>
            <w:vAlign w:val="bottom"/>
            <w:tcBorders>
              <w:bottom w:val="single" w:sz="8" w:color="00000A"/>
            </w:tcBorders>
          </w:tcPr>
          <w:p>
            <w:pPr>
              <w:spacing w:after="0"/>
              <w:rPr>
                <w:sz w:val="24"/>
                <w:szCs w:val="24"/>
                <w:color w:val="auto"/>
              </w:rPr>
            </w:pPr>
          </w:p>
        </w:tc>
        <w:tc>
          <w:tcPr>
            <w:tcW w:w="4060" w:type="dxa"/>
            <w:vAlign w:val="bottom"/>
            <w:tcBorders>
              <w:bottom w:val="single" w:sz="8" w:color="00000A"/>
            </w:tcBorders>
            <w:vMerge w:val="continue"/>
          </w:tcPr>
          <w:p>
            <w:pPr>
              <w:spacing w:after="0"/>
              <w:rPr>
                <w:sz w:val="24"/>
                <w:szCs w:val="24"/>
                <w:color w:val="auto"/>
              </w:rPr>
            </w:pPr>
          </w:p>
        </w:tc>
        <w:tc>
          <w:tcPr>
            <w:tcW w:w="1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6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1400" w:type="dxa"/>
            <w:vAlign w:val="bottom"/>
            <w:tcBorders>
              <w:bottom w:val="single" w:sz="8" w:color="00000A"/>
            </w:tcBorders>
          </w:tcPr>
          <w:p>
            <w:pPr>
              <w:spacing w:after="0"/>
              <w:rPr>
                <w:sz w:val="18"/>
                <w:szCs w:val="18"/>
                <w:color w:val="auto"/>
              </w:rPr>
            </w:pPr>
          </w:p>
        </w:tc>
        <w:tc>
          <w:tcPr>
            <w:tcW w:w="4060" w:type="dxa"/>
            <w:vAlign w:val="bottom"/>
            <w:tcBorders>
              <w:bottom w:val="single" w:sz="8" w:color="00000A"/>
            </w:tcBorders>
          </w:tcPr>
          <w:p>
            <w:pPr>
              <w:jc w:val="center"/>
              <w:ind w:right="1207"/>
              <w:spacing w:after="0"/>
              <w:rPr>
                <w:sz w:val="20"/>
                <w:szCs w:val="20"/>
                <w:color w:val="auto"/>
              </w:rPr>
            </w:pPr>
            <w:r>
              <w:rPr>
                <w:rFonts w:ascii="Arial" w:cs="Arial" w:eastAsia="Arial" w:hAnsi="Arial"/>
                <w:sz w:val="16"/>
                <w:szCs w:val="16"/>
                <w:color w:val="auto"/>
                <w:w w:val="95"/>
              </w:rPr>
              <w:t>(Zip Code)</w:t>
            </w:r>
          </w:p>
        </w:tc>
        <w:tc>
          <w:tcPr>
            <w:tcW w:w="14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Debt Securities</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(Title of the Indenture Securities)</w:t>
      </w:r>
    </w:p>
    <w:p>
      <w:pPr>
        <w:sectPr>
          <w:pgSz w:w="11900" w:h="16838" w:orient="portrait"/>
          <w:cols w:equalWidth="0" w:num="1">
            <w:col w:w="11260"/>
          </w:cols>
          <w:pgMar w:left="320" w:top="891" w:right="319" w:bottom="1440" w:gutter="0" w:footer="0" w:header="0"/>
        </w:sectPr>
      </w:pPr>
    </w:p>
    <w:bookmarkStart w:id="20" w:name="page21"/>
    <w:bookmarkEnd w:id="20"/>
    <w:p>
      <w:pPr>
        <w:jc w:val="center"/>
        <w:ind w:right="-259"/>
        <w:spacing w:after="0"/>
        <w:rPr>
          <w:sz w:val="20"/>
          <w:szCs w:val="20"/>
          <w:color w:val="auto"/>
        </w:rPr>
      </w:pPr>
      <w:r>
        <w:rPr>
          <w:rFonts w:ascii="Arial" w:cs="Arial" w:eastAsia="Arial" w:hAnsi="Arial"/>
          <w:sz w:val="22"/>
          <w:szCs w:val="22"/>
          <w:b w:val="1"/>
          <w:bCs w:val="1"/>
          <w:u w:val="single" w:color="auto"/>
          <w:color w:val="auto"/>
        </w:rPr>
        <w:t>FORM T-1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GENERAL INFORMATION</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Furnish the following information as to the Trustee.</w:t>
      </w:r>
    </w:p>
    <w:p>
      <w:pPr>
        <w:spacing w:after="0" w:line="239" w:lineRule="exact"/>
        <w:rPr>
          <w:sz w:val="20"/>
          <w:szCs w:val="20"/>
          <w:color w:val="auto"/>
        </w:rPr>
      </w:pPr>
    </w:p>
    <w:p>
      <w:pPr>
        <w:ind w:right="3500" w:firstLine="8"/>
        <w:spacing w:after="0" w:line="239" w:lineRule="auto"/>
        <w:tabs>
          <w:tab w:leader="none" w:pos="222"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 xml:space="preserve">Name and address of each examining or supervising authority to which it is subject. </w:t>
      </w:r>
      <w:r>
        <w:rPr>
          <w:rFonts w:ascii="Arial" w:cs="Arial" w:eastAsia="Arial" w:hAnsi="Arial"/>
          <w:sz w:val="22"/>
          <w:szCs w:val="22"/>
          <w:color w:val="auto"/>
        </w:rPr>
        <w:t>Comptroller of the Currency</w:t>
      </w:r>
    </w:p>
    <w:p>
      <w:pPr>
        <w:spacing w:after="0"/>
        <w:rPr>
          <w:rFonts w:ascii="Arial" w:cs="Arial" w:eastAsia="Arial" w:hAnsi="Arial"/>
          <w:sz w:val="22"/>
          <w:szCs w:val="22"/>
          <w:color w:val="auto"/>
        </w:rPr>
      </w:pPr>
      <w:r>
        <w:rPr>
          <w:rFonts w:ascii="Arial" w:cs="Arial" w:eastAsia="Arial" w:hAnsi="Arial"/>
          <w:sz w:val="22"/>
          <w:szCs w:val="22"/>
          <w:color w:val="auto"/>
        </w:rPr>
        <w:t>Washington, D.C.</w:t>
      </w:r>
    </w:p>
    <w:p>
      <w:pPr>
        <w:spacing w:after="0" w:line="215" w:lineRule="exact"/>
        <w:rPr>
          <w:rFonts w:ascii="Arial" w:cs="Arial" w:eastAsia="Arial" w:hAnsi="Arial"/>
          <w:sz w:val="22"/>
          <w:szCs w:val="22"/>
          <w:color w:val="auto"/>
        </w:rPr>
      </w:pPr>
    </w:p>
    <w:p>
      <w:pPr>
        <w:ind w:left="240" w:hanging="232"/>
        <w:spacing w:after="0"/>
        <w:tabs>
          <w:tab w:leader="none" w:pos="24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Whether it is authorized to exercise corporate trust powers.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Yes</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 xml:space="preserve">Item 2. AFFILIATIONS WITH THE OBLIGOR. </w:t>
      </w:r>
      <w:r>
        <w:rPr>
          <w:rFonts w:ascii="Arial" w:cs="Arial" w:eastAsia="Arial" w:hAnsi="Arial"/>
          <w:sz w:val="22"/>
          <w:szCs w:val="22"/>
          <w:i w:val="1"/>
          <w:iCs w:val="1"/>
          <w:color w:val="auto"/>
        </w:rPr>
        <w:t>If the obligor is an affiliate of the Trustee, describe each such affiliation.</w:t>
      </w:r>
      <w:r>
        <w:rPr>
          <w:rFonts w:ascii="Arial" w:cs="Arial" w:eastAsia="Arial" w:hAnsi="Arial"/>
          <w:sz w:val="22"/>
          <w:szCs w:val="22"/>
          <w:b w:val="1"/>
          <w:bCs w:val="1"/>
          <w:color w:val="auto"/>
        </w:rPr>
        <w:t xml:space="preserve"> </w:t>
      </w:r>
      <w:r>
        <w:rPr>
          <w:rFonts w:ascii="Arial" w:cs="Arial" w:eastAsia="Arial" w:hAnsi="Arial"/>
          <w:sz w:val="22"/>
          <w:szCs w:val="22"/>
          <w:color w:val="auto"/>
        </w:rPr>
        <w:t>None</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Items 3-15 </w:t>
      </w:r>
      <w:r>
        <w:rPr>
          <w:rFonts w:ascii="Arial" w:cs="Arial" w:eastAsia="Arial" w:hAnsi="Arial"/>
          <w:sz w:val="22"/>
          <w:szCs w:val="22"/>
          <w:i w:val="1"/>
          <w:iCs w:val="1"/>
          <w:color w:val="auto"/>
        </w:rPr>
        <w:t>Items 3-15 are not applicable because to the best of the Trustee's knowledge, the obligor is not in default under any</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Indenture for which the Trustee acts as Trustee.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16. LIST OF EXHIBITS: </w:t>
      </w:r>
      <w:r>
        <w:rPr>
          <w:rFonts w:ascii="Arial" w:cs="Arial" w:eastAsia="Arial" w:hAnsi="Arial"/>
          <w:sz w:val="22"/>
          <w:szCs w:val="22"/>
          <w:i w:val="1"/>
          <w:iCs w:val="1"/>
          <w:color w:val="auto"/>
        </w:rPr>
        <w:t>List below all exhibits filed as a part of this statement of eligibility and qualification.</w:t>
      </w:r>
    </w:p>
    <w:p>
      <w:pPr>
        <w:spacing w:after="0" w:line="239"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copy of the Articles of Association of the Trustee, attached as Exhibit 1.</w:t>
      </w:r>
    </w:p>
    <w:p>
      <w:pPr>
        <w:spacing w:after="0" w:line="246" w:lineRule="exact"/>
        <w:rPr>
          <w:rFonts w:ascii="Arial" w:cs="Arial" w:eastAsia="Arial" w:hAnsi="Arial"/>
          <w:sz w:val="22"/>
          <w:szCs w:val="22"/>
          <w:color w:val="auto"/>
        </w:rPr>
      </w:pPr>
    </w:p>
    <w:p>
      <w:pPr>
        <w:ind w:right="200" w:firstLine="8"/>
        <w:spacing w:after="0" w:line="250" w:lineRule="auto"/>
        <w:tabs>
          <w:tab w:leader="none" w:pos="216"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copy of the certificate of authority of the Trustee to commence business and exercise corporate trust powers, attached as Exhibit 2.</w:t>
      </w:r>
    </w:p>
    <w:p>
      <w:pPr>
        <w:spacing w:after="0" w:line="201" w:lineRule="exact"/>
        <w:rPr>
          <w:rFonts w:ascii="Arial" w:cs="Arial" w:eastAsia="Arial" w:hAnsi="Arial"/>
          <w:sz w:val="22"/>
          <w:szCs w:val="22"/>
          <w:color w:val="auto"/>
        </w:rPr>
      </w:pPr>
    </w:p>
    <w:p>
      <w:pPr>
        <w:ind w:left="220" w:hanging="212"/>
        <w:spacing w:after="0"/>
        <w:tabs>
          <w:tab w:leader="none" w:pos="2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copy of the existing bylaws of the Trustee, attached as Exhibit 3.</w:t>
      </w:r>
    </w:p>
    <w:p>
      <w:pPr>
        <w:spacing w:after="0" w:line="219" w:lineRule="exact"/>
        <w:rPr>
          <w:rFonts w:ascii="Arial" w:cs="Arial" w:eastAsia="Arial" w:hAnsi="Arial"/>
          <w:sz w:val="22"/>
          <w:szCs w:val="22"/>
          <w:color w:val="auto"/>
        </w:rPr>
      </w:pPr>
    </w:p>
    <w:p>
      <w:pPr>
        <w:ind w:left="220" w:hanging="212"/>
        <w:spacing w:after="0"/>
        <w:tabs>
          <w:tab w:leader="none" w:pos="2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copy of each Indenture referred to in Item 4. Not applicable.</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consent of the Trustee required by Section 321(b) of the Trust Indenture Act of 1939, attached as Exhibit 5.</w:t>
      </w:r>
    </w:p>
    <w:p>
      <w:pPr>
        <w:spacing w:after="0" w:line="258" w:lineRule="exact"/>
        <w:rPr>
          <w:rFonts w:ascii="Arial" w:cs="Arial" w:eastAsia="Arial" w:hAnsi="Arial"/>
          <w:sz w:val="21"/>
          <w:szCs w:val="21"/>
          <w:color w:val="auto"/>
        </w:rPr>
      </w:pPr>
    </w:p>
    <w:p>
      <w:pPr>
        <w:ind w:right="220" w:firstLine="8"/>
        <w:spacing w:after="0" w:line="250" w:lineRule="auto"/>
        <w:tabs>
          <w:tab w:leader="none" w:pos="216"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Report of Condition of the Trustee as of June 30, 2022, published pursuant to law or the requirements of its supervising or examining authority, attached as Exhibit 6.</w:t>
      </w:r>
    </w:p>
    <w:p>
      <w:pPr>
        <w:spacing w:after="0" w:line="1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Pursuant to the requirements of the Trust Indenture Act of 1939, as amended, the Trustee, U.S. BANK TRUST COMPANY, NATIONAL ASSOCIATION</w:t>
      </w:r>
      <w:r>
        <w:rPr>
          <w:rFonts w:ascii="Arial" w:cs="Arial" w:eastAsia="Arial" w:hAnsi="Arial"/>
          <w:sz w:val="16"/>
          <w:szCs w:val="16"/>
          <w:color w:val="auto"/>
        </w:rPr>
        <w:t>,</w:t>
      </w:r>
      <w:r>
        <w:rPr>
          <w:rFonts w:ascii="Arial" w:cs="Arial" w:eastAsia="Arial" w:hAnsi="Arial"/>
          <w:sz w:val="20"/>
          <w:szCs w:val="20"/>
          <w:color w:val="auto"/>
        </w:rPr>
        <w:t xml:space="preserve">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26</w:t>
      </w:r>
      <w:r>
        <w:rPr>
          <w:rFonts w:ascii="Arial" w:cs="Arial" w:eastAsia="Arial" w:hAnsi="Arial"/>
          <w:sz w:val="11"/>
          <w:szCs w:val="11"/>
          <w:color w:val="auto"/>
        </w:rPr>
        <w:t>th</w:t>
      </w:r>
      <w:r>
        <w:rPr>
          <w:rFonts w:ascii="Arial" w:cs="Arial" w:eastAsia="Arial" w:hAnsi="Arial"/>
          <w:sz w:val="20"/>
          <w:szCs w:val="20"/>
          <w:color w:val="auto"/>
        </w:rPr>
        <w:t xml:space="preserve"> of October, 2022.</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Joshua A. Hahn</w:t>
      </w:r>
    </w:p>
    <w:p>
      <w:pPr>
        <w:spacing w:after="0" w:line="238" w:lineRule="auto"/>
        <w:rPr>
          <w:sz w:val="20"/>
          <w:szCs w:val="20"/>
          <w:color w:val="auto"/>
        </w:rPr>
      </w:pPr>
      <w:r>
        <w:rPr>
          <w:rFonts w:ascii="Arial" w:cs="Arial" w:eastAsia="Arial" w:hAnsi="Arial"/>
          <w:sz w:val="22"/>
          <w:szCs w:val="22"/>
          <w:color w:val="auto"/>
        </w:rPr>
        <w:t>Joshua A. Hahn</w:t>
      </w:r>
    </w:p>
    <w:p>
      <w:pPr>
        <w:spacing w:after="0"/>
        <w:rPr>
          <w:sz w:val="20"/>
          <w:szCs w:val="20"/>
          <w:color w:val="auto"/>
        </w:rPr>
      </w:pPr>
      <w:r>
        <w:rPr>
          <w:rFonts w:ascii="Arial" w:cs="Arial" w:eastAsia="Arial" w:hAnsi="Arial"/>
          <w:sz w:val="22"/>
          <w:szCs w:val="22"/>
          <w:color w:val="auto"/>
        </w:rPr>
        <w:t>Vice President</w:t>
      </w:r>
    </w:p>
    <w:p>
      <w:pPr>
        <w:sectPr>
          <w:pgSz w:w="11900" w:h="16838" w:orient="portrait"/>
          <w:cols w:equalWidth="0" w:num="1">
            <w:col w:w="11000"/>
          </w:cols>
          <w:pgMar w:left="320" w:top="882" w:right="57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u w:val="single" w:color="auto"/>
          <w:color w:val="auto"/>
        </w:rPr>
        <w:t>Exhibit 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ARTICLES OF ASSOCIATION</w:t>
      </w:r>
    </w:p>
    <w:p>
      <w:pPr>
        <w:jc w:val="center"/>
        <w:spacing w:after="0" w:line="214" w:lineRule="auto"/>
        <w:rPr>
          <w:sz w:val="20"/>
          <w:szCs w:val="20"/>
          <w:color w:val="auto"/>
        </w:rPr>
      </w:pPr>
      <w:r>
        <w:rPr>
          <w:rFonts w:ascii="Arial" w:cs="Arial" w:eastAsia="Arial" w:hAnsi="Arial"/>
          <w:sz w:val="21"/>
          <w:szCs w:val="21"/>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 S. BANK TRUST COMPANY, NATIONAL ASSOCIATION</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purpose of organizing an association (the "Association) to perform any lawful activities of national banks, the undersigned enter into the following Articles of Association:</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FIRST. </w:t>
      </w:r>
      <w:r>
        <w:rPr>
          <w:rFonts w:ascii="Arial" w:cs="Arial" w:eastAsia="Arial" w:hAnsi="Arial"/>
          <w:sz w:val="21"/>
          <w:szCs w:val="21"/>
          <w:color w:val="auto"/>
        </w:rPr>
        <w:t>The title of this Association shall be U. S. Bank Trust Company, National Association.</w:t>
      </w:r>
    </w:p>
    <w:p>
      <w:pPr>
        <w:spacing w:after="0" w:line="231" w:lineRule="exact"/>
        <w:rPr>
          <w:sz w:val="20"/>
          <w:szCs w:val="20"/>
          <w:color w:val="auto"/>
        </w:rPr>
      </w:pPr>
    </w:p>
    <w:p>
      <w:pPr>
        <w:jc w:val="both"/>
        <w:spacing w:after="0" w:line="229" w:lineRule="auto"/>
        <w:rPr>
          <w:sz w:val="20"/>
          <w:szCs w:val="20"/>
          <w:color w:val="auto"/>
        </w:rPr>
      </w:pPr>
      <w:r>
        <w:rPr>
          <w:rFonts w:ascii="Arial" w:cs="Arial" w:eastAsia="Arial" w:hAnsi="Arial"/>
          <w:sz w:val="21"/>
          <w:szCs w:val="21"/>
          <w:b w:val="1"/>
          <w:bCs w:val="1"/>
          <w:color w:val="auto"/>
        </w:rPr>
        <w:t xml:space="preserve">SECOND. </w:t>
      </w:r>
      <w:r>
        <w:rPr>
          <w:rFonts w:ascii="Arial" w:cs="Arial" w:eastAsia="Arial" w:hAnsi="Arial"/>
          <w:sz w:val="21"/>
          <w:szCs w:val="21"/>
          <w:color w:val="auto"/>
        </w:rPr>
        <w:t>The main office of the Association shall be in the city of Portland, county of Multnomah, state of Oregon. The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1"/>
          <w:szCs w:val="21"/>
          <w:b w:val="1"/>
          <w:bCs w:val="1"/>
          <w:color w:val="auto"/>
        </w:rPr>
        <w:t xml:space="preserve">THIRD. </w:t>
      </w:r>
      <w:r>
        <w:rPr>
          <w:rFonts w:ascii="Arial" w:cs="Arial" w:eastAsia="Arial" w:hAnsi="Arial"/>
          <w:sz w:val="21"/>
          <w:szCs w:val="21"/>
          <w:color w:val="auto"/>
        </w:rPr>
        <w:t>The board of directors of the Association shall consist of not less than five nor more than twenty-five persons, the exact</w:t>
      </w:r>
      <w:r>
        <w:rPr>
          <w:rFonts w:ascii="Arial" w:cs="Arial" w:eastAsia="Arial" w:hAnsi="Arial"/>
          <w:sz w:val="21"/>
          <w:szCs w:val="21"/>
          <w:b w:val="1"/>
          <w:bCs w:val="1"/>
          <w:color w:val="auto"/>
        </w:rPr>
        <w:t xml:space="preserve"> </w:t>
      </w:r>
      <w:r>
        <w:rPr>
          <w:rFonts w:ascii="Arial" w:cs="Arial" w:eastAsia="Arial" w:hAnsi="Arial"/>
          <w:sz w:val="21"/>
          <w:szCs w:val="21"/>
          <w:color w:val="auto"/>
        </w:rPr>
        <w:t>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90"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FOURTH. </w:t>
      </w:r>
      <w:r>
        <w:rPr>
          <w:rFonts w:ascii="Arial" w:cs="Arial" w:eastAsia="Arial" w:hAnsi="Arial"/>
          <w:sz w:val="19"/>
          <w:szCs w:val="19"/>
          <w:color w:val="auto"/>
        </w:rPr>
        <w:t>There shall be an annual meeting of the shareholders to elect directors and transact whatever other business may be</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brought before the meeting. It shall be held at the main office or any other convenient place the board of directors may designate, on the day of each year specified therefor in the Bylaws, or if that day falls on a legal holiday in the state in which the</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Association is located, on the next following banking day. </w:t>
      </w:r>
      <w:r>
        <w:rPr>
          <w:rFonts w:ascii="Arial" w:cs="Arial" w:eastAsia="Arial" w:hAnsi="Arial"/>
          <w:sz w:val="18"/>
          <w:szCs w:val="18"/>
          <w:color w:val="auto"/>
        </w:rPr>
        <w:t>If</w:t>
      </w:r>
      <w:r>
        <w:rPr>
          <w:rFonts w:ascii="Arial" w:cs="Arial" w:eastAsia="Arial" w:hAnsi="Arial"/>
          <w:sz w:val="19"/>
          <w:szCs w:val="19"/>
          <w:color w:val="auto"/>
        </w:rPr>
        <w:t xml:space="preserve"> no election is held on the day fixed or in the event of a legal holiday on the following banking day, an election may be held on any subsequent day within 60 days of the day fixed, to be designated by the board of directors, or, </w:t>
      </w:r>
      <w:r>
        <w:rPr>
          <w:rFonts w:ascii="Arial" w:cs="Arial" w:eastAsia="Arial" w:hAnsi="Arial"/>
          <w:sz w:val="18"/>
          <w:szCs w:val="18"/>
          <w:color w:val="auto"/>
        </w:rPr>
        <w:t>if</w:t>
      </w:r>
      <w:r>
        <w:rPr>
          <w:rFonts w:ascii="Arial" w:cs="Arial" w:eastAsia="Arial" w:hAnsi="Arial"/>
          <w:sz w:val="19"/>
          <w:szCs w:val="19"/>
          <w:color w:val="auto"/>
        </w:rPr>
        <w:t xml:space="preserve"> the directors fail to fix the day, by shareholders representing two-thirds of the shares issued and outstanding. In all cases, at least 10 days’ advance notice of the meeting shall be given to the shareholders by first-class mail.</w:t>
      </w:r>
    </w:p>
    <w:p>
      <w:pPr>
        <w:sectPr>
          <w:pgSz w:w="11900" w:h="16838" w:orient="portrait"/>
          <w:cols w:equalWidth="0" w:num="1">
            <w:col w:w="11240"/>
          </w:cols>
          <w:pgMar w:left="320" w:top="882" w:right="3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9"/>
          <w:szCs w:val="19"/>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 xml:space="preserve">A director may be removed by the shareholders at a meeting called to remove him or her, when notice of the meeting stating that the purpose or one of the purposes is to remove </w:t>
      </w:r>
      <w:r>
        <w:rPr>
          <w:rFonts w:ascii="Arial" w:cs="Arial" w:eastAsia="Arial" w:hAnsi="Arial"/>
          <w:sz w:val="19"/>
          <w:szCs w:val="19"/>
          <w:color w:val="auto"/>
        </w:rPr>
        <w:t>him</w:t>
      </w:r>
      <w:r>
        <w:rPr>
          <w:rFonts w:ascii="Arial" w:cs="Arial" w:eastAsia="Arial" w:hAnsi="Arial"/>
          <w:sz w:val="21"/>
          <w:szCs w:val="21"/>
          <w:color w:val="auto"/>
        </w:rPr>
        <w:t xml:space="preserve"> or her is provided, </w:t>
      </w:r>
      <w:r>
        <w:rPr>
          <w:rFonts w:ascii="Arial" w:cs="Arial" w:eastAsia="Arial" w:hAnsi="Arial"/>
          <w:sz w:val="19"/>
          <w:szCs w:val="19"/>
          <w:color w:val="auto"/>
        </w:rPr>
        <w:t>if</w:t>
      </w:r>
      <w:r>
        <w:rPr>
          <w:rFonts w:ascii="Arial" w:cs="Arial" w:eastAsia="Arial" w:hAnsi="Arial"/>
          <w:sz w:val="21"/>
          <w:szCs w:val="21"/>
          <w:color w:val="auto"/>
        </w:rPr>
        <w:t xml:space="preserve"> there is a failure to fulfill one of the affirmative requirements for qualification, or for cause; provided, however, that a director may not be removed </w:t>
      </w:r>
      <w:r>
        <w:rPr>
          <w:rFonts w:ascii="Arial" w:cs="Arial" w:eastAsia="Arial" w:hAnsi="Arial"/>
          <w:sz w:val="19"/>
          <w:szCs w:val="19"/>
          <w:color w:val="auto"/>
        </w:rPr>
        <w:t>if</w:t>
      </w:r>
      <w:r>
        <w:rPr>
          <w:rFonts w:ascii="Arial" w:cs="Arial" w:eastAsia="Arial" w:hAnsi="Arial"/>
          <w:sz w:val="21"/>
          <w:szCs w:val="21"/>
          <w:color w:val="auto"/>
        </w:rPr>
        <w:t xml:space="preserve"> the number of votes sufficient to elect him or her under cumulative voting is voted against his or her removal.</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FIFTH. </w:t>
      </w:r>
      <w:r>
        <w:rPr>
          <w:rFonts w:ascii="Arial" w:cs="Arial" w:eastAsia="Arial" w:hAnsi="Arial"/>
          <w:sz w:val="21"/>
          <w:szCs w:val="21"/>
          <w:color w:val="auto"/>
        </w:rPr>
        <w:t>The authorized amount of capital stock of the Association shall be 1,000,000 shares of common stock of the par value of</w:t>
      </w:r>
      <w:r>
        <w:rPr>
          <w:rFonts w:ascii="Arial" w:cs="Arial" w:eastAsia="Arial" w:hAnsi="Arial"/>
          <w:sz w:val="21"/>
          <w:szCs w:val="21"/>
          <w:b w:val="1"/>
          <w:bCs w:val="1"/>
          <w:color w:val="auto"/>
        </w:rPr>
        <w:t xml:space="preserve"> </w:t>
      </w:r>
      <w:r>
        <w:rPr>
          <w:rFonts w:ascii="Arial" w:cs="Arial" w:eastAsia="Arial" w:hAnsi="Arial"/>
          <w:sz w:val="21"/>
          <w:szCs w:val="21"/>
          <w:color w:val="auto"/>
        </w:rPr>
        <w:t>ten dollars ($10) each; but said capital stock may be increased or decreased from time to time, according to the provisions of the laws of the United States. The Association shall have only one class of capital stock.</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 xml:space="preserve">Transfers of the Association's stock are subject to the prior written approval of a federal depository institution regulatory agency. </w:t>
      </w:r>
      <w:r>
        <w:rPr>
          <w:rFonts w:ascii="Arial" w:cs="Arial" w:eastAsia="Arial" w:hAnsi="Arial"/>
          <w:sz w:val="20"/>
          <w:szCs w:val="20"/>
          <w:color w:val="auto"/>
        </w:rPr>
        <w:t xml:space="preserve">If no </w:t>
      </w:r>
      <w:r>
        <w:rPr>
          <w:rFonts w:ascii="Arial" w:cs="Arial" w:eastAsia="Arial" w:hAnsi="Arial"/>
          <w:sz w:val="21"/>
          <w:szCs w:val="21"/>
          <w:color w:val="auto"/>
        </w:rPr>
        <w:t>other agency approval is required, the approval of the Comptroller of the Currency must be obtained prior to any such</w:t>
      </w:r>
      <w:r>
        <w:rPr>
          <w:rFonts w:ascii="Arial" w:cs="Arial" w:eastAsia="Arial" w:hAnsi="Arial"/>
          <w:sz w:val="20"/>
          <w:szCs w:val="20"/>
          <w:color w:val="auto"/>
        </w:rPr>
        <w:t xml:space="preserve"> </w:t>
      </w:r>
      <w:r>
        <w:rPr>
          <w:rFonts w:ascii="Arial" w:cs="Arial" w:eastAsia="Arial" w:hAnsi="Arial"/>
          <w:sz w:val="21"/>
          <w:szCs w:val="21"/>
          <w:color w:val="auto"/>
        </w:rPr>
        <w:t>transfers.</w:t>
      </w:r>
    </w:p>
    <w:p>
      <w:pPr>
        <w:spacing w:after="0" w:line="18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specified in the Articles of Association or required by law, all shares of voting stock shall be voted together as a class, on any matters requiring shareholder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no event may a record date be more than 70 days before the meeting.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1" w:lineRule="exact"/>
        <w:rPr>
          <w:sz w:val="20"/>
          <w:szCs w:val="20"/>
          <w:color w:val="auto"/>
        </w:rPr>
      </w:pPr>
    </w:p>
    <w:p>
      <w:pPr>
        <w:jc w:val="both"/>
        <w:spacing w:after="0" w:line="229" w:lineRule="auto"/>
        <w:rPr>
          <w:sz w:val="20"/>
          <w:szCs w:val="20"/>
          <w:color w:val="auto"/>
        </w:rPr>
      </w:pPr>
      <w:r>
        <w:rPr>
          <w:rFonts w:ascii="Arial" w:cs="Arial" w:eastAsia="Arial" w:hAnsi="Arial"/>
          <w:sz w:val="21"/>
          <w:szCs w:val="21"/>
          <w:b w:val="1"/>
          <w:bCs w:val="1"/>
          <w:color w:val="auto"/>
        </w:rPr>
        <w:t xml:space="preserve">SIXTH. </w:t>
      </w:r>
      <w:r>
        <w:rPr>
          <w:rFonts w:ascii="Arial" w:cs="Arial" w:eastAsia="Arial" w:hAnsi="Arial"/>
          <w:sz w:val="21"/>
          <w:szCs w:val="21"/>
          <w:color w:val="auto"/>
        </w:rPr>
        <w:t>The board of directors shall appoint one of its members president of this Association and one of its members chairperson</w:t>
      </w:r>
      <w:r>
        <w:rPr>
          <w:rFonts w:ascii="Arial" w:cs="Arial" w:eastAsia="Arial" w:hAnsi="Arial"/>
          <w:sz w:val="21"/>
          <w:szCs w:val="21"/>
          <w:b w:val="1"/>
          <w:bCs w:val="1"/>
          <w:color w:val="auto"/>
        </w:rPr>
        <w:t xml:space="preserve"> </w:t>
      </w:r>
      <w:r>
        <w:rPr>
          <w:rFonts w:ascii="Arial" w:cs="Arial" w:eastAsia="Arial" w:hAnsi="Arial"/>
          <w:sz w:val="21"/>
          <w:szCs w:val="21"/>
          <w:color w:val="auto"/>
        </w:rPr>
        <w:t>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w:t>
      </w:r>
    </w:p>
    <w:p>
      <w:pPr>
        <w:sectPr>
          <w:pgSz w:w="11900" w:h="16838" w:orient="portrait"/>
          <w:cols w:equalWidth="0" w:num="1">
            <w:col w:w="11240"/>
          </w:cols>
          <w:pgMar w:left="320" w:top="874" w:right="339" w:bottom="1440" w:gutter="0" w:footer="0" w:header="0"/>
        </w:sectPr>
      </w:pPr>
    </w:p>
    <w:bookmarkStart w:id="23" w:name="page24"/>
    <w:bookmarkEnd w:id="23"/>
    <w:p>
      <w:pPr>
        <w:spacing w:after="0" w:line="232" w:lineRule="auto"/>
        <w:rPr>
          <w:sz w:val="20"/>
          <w:szCs w:val="20"/>
          <w:color w:val="auto"/>
        </w:rPr>
      </w:pPr>
      <w:r>
        <w:rPr>
          <w:rFonts w:ascii="Arial" w:cs="Arial" w:eastAsia="Arial" w:hAnsi="Arial"/>
          <w:sz w:val="22"/>
          <w:szCs w:val="22"/>
          <w:color w:val="auto"/>
        </w:rPr>
        <w:t>officer may appoint one or more officers or assistant officers if authorized by the board of directors in accordance with the Bylaws.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shall have the power to:</w:t>
      </w:r>
    </w:p>
    <w:p>
      <w:pPr>
        <w:spacing w:after="0" w:line="233"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Define the duties of the officers, employees, and agents of the Association.</w:t>
      </w:r>
    </w:p>
    <w:p>
      <w:pPr>
        <w:spacing w:after="0" w:line="233" w:lineRule="exact"/>
        <w:rPr>
          <w:rFonts w:ascii="Arial" w:cs="Arial" w:eastAsia="Arial" w:hAnsi="Arial"/>
          <w:sz w:val="22"/>
          <w:szCs w:val="22"/>
          <w:color w:val="auto"/>
        </w:rPr>
      </w:pPr>
    </w:p>
    <w:p>
      <w:pPr>
        <w:ind w:firstLine="8"/>
        <w:spacing w:after="0" w:line="250" w:lineRule="auto"/>
        <w:tabs>
          <w:tab w:leader="none" w:pos="495"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Delegate the performance of its duties, but not the responsibility for its duties, to the officers, employees, and agents of the Association.</w:t>
      </w:r>
    </w:p>
    <w:p>
      <w:pPr>
        <w:spacing w:after="0" w:line="201" w:lineRule="exact"/>
        <w:rPr>
          <w:rFonts w:ascii="Arial" w:cs="Arial" w:eastAsia="Arial" w:hAnsi="Arial"/>
          <w:sz w:val="22"/>
          <w:szCs w:val="22"/>
          <w:color w:val="auto"/>
        </w:rPr>
      </w:pPr>
    </w:p>
    <w:p>
      <w:pPr>
        <w:ind w:firstLine="8"/>
        <w:spacing w:after="0" w:line="250" w:lineRule="auto"/>
        <w:tabs>
          <w:tab w:leader="none" w:pos="471" w:val="left"/>
        </w:tabs>
        <w:numPr>
          <w:ilvl w:val="0"/>
          <w:numId w:val="21"/>
        </w:numPr>
        <w:rPr>
          <w:rFonts w:ascii="Arial" w:cs="Arial" w:eastAsia="Arial" w:hAnsi="Arial"/>
          <w:sz w:val="22"/>
          <w:szCs w:val="22"/>
          <w:color w:val="auto"/>
        </w:rPr>
      </w:pPr>
      <w:r>
        <w:rPr>
          <w:rFonts w:ascii="Arial" w:cs="Arial" w:eastAsia="Arial" w:hAnsi="Arial"/>
          <w:sz w:val="22"/>
          <w:szCs w:val="22"/>
          <w:color w:val="auto"/>
        </w:rPr>
        <w:t>Fix the compensation and enter employment contracts with its officers and employees upon reasonable terms and conditions consistent with applicable law.</w:t>
      </w:r>
    </w:p>
    <w:p>
      <w:pPr>
        <w:spacing w:after="0" w:line="188" w:lineRule="exact"/>
        <w:rPr>
          <w:rFonts w:ascii="Arial" w:cs="Arial" w:eastAsia="Arial" w:hAnsi="Arial"/>
          <w:sz w:val="22"/>
          <w:szCs w:val="22"/>
          <w:color w:val="auto"/>
        </w:rPr>
      </w:pPr>
    </w:p>
    <w:p>
      <w:pPr>
        <w:ind w:left="480" w:hanging="472"/>
        <w:spacing w:after="0"/>
        <w:tabs>
          <w:tab w:leader="none" w:pos="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Dismiss officers and employees.</w:t>
      </w:r>
    </w:p>
    <w:p>
      <w:pPr>
        <w:spacing w:after="0" w:line="246" w:lineRule="exact"/>
        <w:rPr>
          <w:rFonts w:ascii="Arial" w:cs="Arial" w:eastAsia="Arial" w:hAnsi="Arial"/>
          <w:sz w:val="22"/>
          <w:szCs w:val="22"/>
          <w:color w:val="auto"/>
        </w:rPr>
      </w:pPr>
    </w:p>
    <w:p>
      <w:pPr>
        <w:ind w:left="480" w:hanging="472"/>
        <w:spacing w:after="0"/>
        <w:tabs>
          <w:tab w:leader="none" w:pos="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Require bonds from officers and employees and to fix the penalty thereof.</w:t>
      </w:r>
    </w:p>
    <w:p>
      <w:pPr>
        <w:spacing w:after="0" w:line="219" w:lineRule="exact"/>
        <w:rPr>
          <w:rFonts w:ascii="Arial" w:cs="Arial" w:eastAsia="Arial" w:hAnsi="Arial"/>
          <w:sz w:val="22"/>
          <w:szCs w:val="22"/>
          <w:color w:val="auto"/>
        </w:rPr>
      </w:pPr>
    </w:p>
    <w:p>
      <w:pPr>
        <w:ind w:left="480" w:hanging="472"/>
        <w:spacing w:after="0"/>
        <w:tabs>
          <w:tab w:leader="none" w:pos="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Ratify written policies authorized by the Association's management or committees of the board.</w:t>
      </w:r>
    </w:p>
    <w:p>
      <w:pPr>
        <w:spacing w:after="0" w:line="219" w:lineRule="exact"/>
        <w:rPr>
          <w:rFonts w:ascii="Arial" w:cs="Arial" w:eastAsia="Arial" w:hAnsi="Arial"/>
          <w:sz w:val="22"/>
          <w:szCs w:val="22"/>
          <w:color w:val="auto"/>
        </w:rPr>
      </w:pPr>
    </w:p>
    <w:p>
      <w:pPr>
        <w:ind w:right="120" w:firstLine="8"/>
        <w:spacing w:after="0" w:line="305" w:lineRule="auto"/>
        <w:tabs>
          <w:tab w:leader="none" w:pos="468"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52" w:lineRule="exact"/>
        <w:rPr>
          <w:rFonts w:ascii="Arial" w:cs="Arial" w:eastAsia="Arial" w:hAnsi="Arial"/>
          <w:sz w:val="19"/>
          <w:szCs w:val="19"/>
          <w:color w:val="auto"/>
        </w:rPr>
      </w:pPr>
    </w:p>
    <w:p>
      <w:pPr>
        <w:ind w:left="480" w:hanging="472"/>
        <w:spacing w:after="0"/>
        <w:tabs>
          <w:tab w:leader="none" w:pos="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Manage and administer the business and affairs of the Association.</w:t>
      </w:r>
    </w:p>
    <w:p>
      <w:pPr>
        <w:spacing w:after="0" w:line="219" w:lineRule="exact"/>
        <w:rPr>
          <w:rFonts w:ascii="Arial" w:cs="Arial" w:eastAsia="Arial" w:hAnsi="Arial"/>
          <w:sz w:val="22"/>
          <w:szCs w:val="22"/>
          <w:color w:val="auto"/>
        </w:rPr>
      </w:pPr>
    </w:p>
    <w:p>
      <w:pPr>
        <w:ind w:right="120" w:firstLine="8"/>
        <w:spacing w:after="0" w:line="232" w:lineRule="auto"/>
        <w:tabs>
          <w:tab w:leader="none" w:pos="456" w:val="left"/>
        </w:tabs>
        <w:numPr>
          <w:ilvl w:val="0"/>
          <w:numId w:val="21"/>
        </w:numPr>
        <w:rPr>
          <w:rFonts w:ascii="Arial" w:cs="Arial" w:eastAsia="Arial" w:hAnsi="Arial"/>
          <w:sz w:val="22"/>
          <w:szCs w:val="22"/>
          <w:color w:val="auto"/>
        </w:rPr>
      </w:pPr>
      <w:r>
        <w:rPr>
          <w:rFonts w:ascii="Arial" w:cs="Arial" w:eastAsia="Arial" w:hAnsi="Arial"/>
          <w:sz w:val="22"/>
          <w:szCs w:val="22"/>
          <w:color w:val="auto"/>
        </w:rPr>
        <w:t>Adopt initial Bylaws, not inconsistent with law or the Articles of Association, for managing the business and regulating the affairs of the Association.</w:t>
      </w:r>
    </w:p>
    <w:p>
      <w:pPr>
        <w:spacing w:after="0" w:line="199" w:lineRule="exact"/>
        <w:rPr>
          <w:rFonts w:ascii="Arial" w:cs="Arial" w:eastAsia="Arial" w:hAnsi="Arial"/>
          <w:sz w:val="22"/>
          <w:szCs w:val="22"/>
          <w:color w:val="auto"/>
        </w:rPr>
      </w:pPr>
    </w:p>
    <w:p>
      <w:pPr>
        <w:ind w:right="160" w:firstLine="8"/>
        <w:spacing w:after="0" w:line="263" w:lineRule="auto"/>
        <w:tabs>
          <w:tab w:leader="none" w:pos="564"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Amend or repeal Bylaws, except to the extent that the Articles of Association reserve this power in whole or in part to the shareholders.</w:t>
      </w:r>
    </w:p>
    <w:p>
      <w:pPr>
        <w:spacing w:after="0" w:line="188" w:lineRule="exact"/>
        <w:rPr>
          <w:rFonts w:ascii="Arial" w:cs="Arial" w:eastAsia="Arial" w:hAnsi="Arial"/>
          <w:sz w:val="22"/>
          <w:szCs w:val="22"/>
          <w:color w:val="auto"/>
        </w:rPr>
      </w:pPr>
    </w:p>
    <w:p>
      <w:pPr>
        <w:ind w:left="580" w:hanging="572"/>
        <w:spacing w:after="0"/>
        <w:tabs>
          <w:tab w:leader="none" w:pos="5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Make contracts.</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Generally perform all acts that are legal for a board of directors to perform.</w:t>
      </w:r>
    </w:p>
    <w:p>
      <w:pPr>
        <w:spacing w:after="0" w:line="233" w:lineRule="exact"/>
        <w:rPr>
          <w:sz w:val="20"/>
          <w:szCs w:val="20"/>
          <w:color w:val="auto"/>
        </w:rPr>
      </w:pPr>
    </w:p>
    <w:p>
      <w:pPr>
        <w:jc w:val="both"/>
        <w:spacing w:after="0" w:line="222" w:lineRule="auto"/>
        <w:rPr>
          <w:sz w:val="20"/>
          <w:szCs w:val="20"/>
          <w:color w:val="auto"/>
        </w:rPr>
      </w:pPr>
      <w:r>
        <w:rPr>
          <w:rFonts w:ascii="Arial" w:cs="Arial" w:eastAsia="Arial" w:hAnsi="Arial"/>
          <w:sz w:val="21"/>
          <w:szCs w:val="21"/>
          <w:b w:val="1"/>
          <w:bCs w:val="1"/>
          <w:color w:val="auto"/>
        </w:rPr>
        <w:t xml:space="preserve">SEVENTH. </w:t>
      </w:r>
      <w:r>
        <w:rPr>
          <w:rFonts w:ascii="Arial" w:cs="Arial" w:eastAsia="Arial" w:hAnsi="Arial"/>
          <w:sz w:val="21"/>
          <w:szCs w:val="21"/>
          <w:color w:val="auto"/>
        </w:rPr>
        <w:t>The board of directors shall have the power to change the location of the main office to any authorized branch within</w:t>
      </w:r>
      <w:r>
        <w:rPr>
          <w:rFonts w:ascii="Arial" w:cs="Arial" w:eastAsia="Arial" w:hAnsi="Arial"/>
          <w:sz w:val="21"/>
          <w:szCs w:val="21"/>
          <w:b w:val="1"/>
          <w:bCs w:val="1"/>
          <w:color w:val="auto"/>
        </w:rPr>
        <w:t xml:space="preserve"> </w:t>
      </w:r>
      <w:r>
        <w:rPr>
          <w:rFonts w:ascii="Arial" w:cs="Arial" w:eastAsia="Arial" w:hAnsi="Arial"/>
          <w:sz w:val="21"/>
          <w:szCs w:val="21"/>
          <w:color w:val="auto"/>
        </w:rPr>
        <w:t>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EIGHTH. </w:t>
      </w:r>
      <w:r>
        <w:rPr>
          <w:rFonts w:ascii="Arial" w:cs="Arial" w:eastAsia="Arial" w:hAnsi="Arial"/>
          <w:sz w:val="20"/>
          <w:szCs w:val="20"/>
          <w:color w:val="auto"/>
        </w:rPr>
        <w:t>The corporate existence of this Association shall continue until termination according to the laws of the United States.</w:t>
      </w:r>
    </w:p>
    <w:p>
      <w:pPr>
        <w:spacing w:after="0" w:line="229" w:lineRule="exact"/>
        <w:rPr>
          <w:sz w:val="20"/>
          <w:szCs w:val="20"/>
          <w:color w:val="auto"/>
        </w:rPr>
      </w:pPr>
    </w:p>
    <w:p>
      <w:pPr>
        <w:jc w:val="both"/>
        <w:ind w:right="20"/>
        <w:spacing w:after="0" w:line="234" w:lineRule="auto"/>
        <w:rPr>
          <w:sz w:val="20"/>
          <w:szCs w:val="20"/>
          <w:color w:val="auto"/>
        </w:rPr>
      </w:pPr>
      <w:r>
        <w:rPr>
          <w:rFonts w:ascii="Arial" w:cs="Arial" w:eastAsia="Arial" w:hAnsi="Arial"/>
          <w:sz w:val="21"/>
          <w:szCs w:val="21"/>
          <w:b w:val="1"/>
          <w:bCs w:val="1"/>
          <w:color w:val="auto"/>
        </w:rPr>
        <w:t xml:space="preserve">NINTH. </w:t>
      </w:r>
      <w:r>
        <w:rPr>
          <w:rFonts w:ascii="Arial" w:cs="Arial" w:eastAsia="Arial" w:hAnsi="Arial"/>
          <w:sz w:val="21"/>
          <w:szCs w:val="21"/>
          <w:color w:val="auto"/>
        </w:rPr>
        <w:t>The board of directors of the Association, or any shareholder owning, in the aggregate, not less than 25 percent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stock of the Association, may call a special meeting of shareholders at any time. Unless otherwise provided by the Bylaws or the laws of the United</w:t>
      </w:r>
    </w:p>
    <w:p>
      <w:pPr>
        <w:sectPr>
          <w:pgSz w:w="11900" w:h="16838" w:orient="portrait"/>
          <w:cols w:equalWidth="0" w:num="1">
            <w:col w:w="11240"/>
          </w:cols>
          <w:pgMar w:left="320" w:top="874" w:right="339" w:bottom="1440" w:gutter="0" w:footer="0" w:header="0"/>
        </w:sectPr>
      </w:pPr>
    </w:p>
    <w:bookmarkStart w:id="24" w:name="page25"/>
    <w:bookmarkEnd w:id="24"/>
    <w:p>
      <w:pPr>
        <w:jc w:val="both"/>
        <w:spacing w:after="0" w:line="216" w:lineRule="auto"/>
        <w:rPr>
          <w:sz w:val="20"/>
          <w:szCs w:val="20"/>
          <w:color w:val="auto"/>
        </w:rPr>
      </w:pPr>
      <w:r>
        <w:rPr>
          <w:rFonts w:ascii="Arial" w:cs="Arial" w:eastAsia="Arial" w:hAnsi="Arial"/>
          <w:sz w:val="22"/>
          <w:szCs w:val="22"/>
          <w:color w:val="auto"/>
        </w:rPr>
        <w:t>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TENTH. </w:t>
      </w:r>
      <w:r>
        <w:rPr>
          <w:rFonts w:ascii="Arial" w:cs="Arial" w:eastAsia="Arial" w:hAnsi="Arial"/>
          <w:sz w:val="21"/>
          <w:szCs w:val="21"/>
          <w:color w:val="auto"/>
        </w:rPr>
        <w:t>These Articles of Association may be amended at any regular or special meeting of the shareholders by the affirmative</w:t>
      </w:r>
      <w:r>
        <w:rPr>
          <w:rFonts w:ascii="Arial" w:cs="Arial" w:eastAsia="Arial" w:hAnsi="Arial"/>
          <w:sz w:val="21"/>
          <w:szCs w:val="21"/>
          <w:b w:val="1"/>
          <w:bCs w:val="1"/>
          <w:color w:val="auto"/>
        </w:rPr>
        <w:t xml:space="preserve"> </w:t>
      </w:r>
      <w:r>
        <w:rPr>
          <w:rFonts w:ascii="Arial" w:cs="Arial" w:eastAsia="Arial" w:hAnsi="Arial"/>
          <w:sz w:val="21"/>
          <w:szCs w:val="21"/>
          <w:color w:val="auto"/>
        </w:rPr>
        <w:t>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 witness whereof, we have hereunto set our hands this </w:t>
      </w:r>
      <w:r>
        <w:rPr>
          <w:rFonts w:ascii="Arial" w:cs="Arial" w:eastAsia="Arial" w:hAnsi="Arial"/>
          <w:sz w:val="20"/>
          <w:szCs w:val="20"/>
          <w:u w:val="single" w:color="auto"/>
          <w:color w:val="auto"/>
        </w:rPr>
        <w:t>11</w:t>
      </w:r>
      <w:r>
        <w:rPr>
          <w:rFonts w:ascii="Arial" w:cs="Arial" w:eastAsia="Arial" w:hAnsi="Arial"/>
          <w:sz w:val="11"/>
          <w:szCs w:val="11"/>
          <w:u w:val="single" w:color="auto"/>
          <w:color w:val="auto"/>
        </w:rPr>
        <w:t>th</w:t>
      </w:r>
      <w:r>
        <w:rPr>
          <w:rFonts w:ascii="Arial" w:cs="Arial" w:eastAsia="Arial" w:hAnsi="Arial"/>
          <w:sz w:val="22"/>
          <w:szCs w:val="22"/>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21050" cy="3351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321050" cy="335153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5" w:name="page26"/>
    <w:bookmarkEnd w:id="25"/>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33020</wp:posOffset>
            </wp:positionV>
            <wp:extent cx="5023485" cy="6686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23485" cy="66865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u w:val="single" w:color="auto"/>
          <w:color w:val="auto"/>
        </w:rPr>
        <w:t>Exhibit 3</w:t>
      </w:r>
    </w:p>
    <w:p>
      <w:pPr>
        <w:spacing w:after="0" w:line="328"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U.S. BANK TRUST COMPANY, NATIONAL ASSOCIATION</w:t>
      </w:r>
    </w:p>
    <w:p>
      <w:pPr>
        <w:spacing w:after="0" w:line="179" w:lineRule="exact"/>
        <w:rPr>
          <w:sz w:val="20"/>
          <w:szCs w:val="20"/>
          <w:color w:val="auto"/>
        </w:rPr>
      </w:pPr>
    </w:p>
    <w:p>
      <w:pPr>
        <w:ind w:left="3720"/>
        <w:spacing w:after="0"/>
        <w:rPr>
          <w:sz w:val="20"/>
          <w:szCs w:val="20"/>
          <w:color w:val="auto"/>
        </w:rPr>
      </w:pPr>
      <w:r>
        <w:rPr>
          <w:rFonts w:ascii="Arial" w:cs="Arial" w:eastAsia="Arial" w:hAnsi="Arial"/>
          <w:sz w:val="22"/>
          <w:szCs w:val="22"/>
          <w:b w:val="1"/>
          <w:bCs w:val="1"/>
          <w:u w:val="single" w:color="auto"/>
          <w:color w:val="auto"/>
        </w:rPr>
        <w:t>AMENDED AND RESTATED BYLAWS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Meetings of Shareholders</w:t>
      </w:r>
    </w:p>
    <w:p>
      <w:pPr>
        <w:spacing w:after="0" w:line="242" w:lineRule="exact"/>
        <w:rPr>
          <w:sz w:val="20"/>
          <w:szCs w:val="20"/>
          <w:color w:val="auto"/>
        </w:rPr>
      </w:pPr>
    </w:p>
    <w:p>
      <w:pPr>
        <w:jc w:val="both"/>
        <w:ind w:firstLine="755"/>
        <w:spacing w:after="0" w:line="273"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5" w:lineRule="exact"/>
        <w:rPr>
          <w:sz w:val="20"/>
          <w:szCs w:val="20"/>
          <w:color w:val="auto"/>
        </w:rPr>
      </w:pPr>
    </w:p>
    <w:p>
      <w:pPr>
        <w:jc w:val="both"/>
        <w:ind w:firstLine="756"/>
        <w:spacing w:after="0" w:line="28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Special Meetings</w:t>
      </w:r>
      <w:r>
        <w:rPr>
          <w:rFonts w:ascii="Arial" w:cs="Arial" w:eastAsia="Arial" w:hAnsi="Arial"/>
          <w:sz w:val="19"/>
          <w:szCs w:val="19"/>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70"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Nominations for Directors</w:t>
      </w:r>
      <w:r>
        <w:rPr>
          <w:rFonts w:ascii="Arial" w:cs="Arial" w:eastAsia="Arial" w:hAnsi="Arial"/>
          <w:sz w:val="22"/>
          <w:szCs w:val="22"/>
          <w:color w:val="auto"/>
        </w:rPr>
        <w:t>. Nominations for election to the Board may be made by the Board or by any shareholder.</w:t>
      </w:r>
    </w:p>
    <w:p>
      <w:pPr>
        <w:spacing w:after="0" w:line="202"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Proxies</w:t>
      </w:r>
      <w:r>
        <w:rPr>
          <w:rFonts w:ascii="Arial" w:cs="Arial" w:eastAsia="Arial" w:hAnsi="Arial"/>
          <w:sz w:val="22"/>
          <w:szCs w:val="22"/>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200"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Record Date</w:t>
      </w:r>
      <w:r>
        <w:rPr>
          <w:rFonts w:ascii="Arial" w:cs="Arial" w:eastAsia="Arial" w:hAnsi="Arial"/>
          <w:sz w:val="22"/>
          <w:szCs w:val="22"/>
          <w:color w:val="auto"/>
        </w:rPr>
        <w:t>. The record date for determining shareholders entitled to notice and to vote at any meeting will be thirty days before the date of such meeting, unless otherwise determined by the Board.</w:t>
      </w:r>
    </w:p>
    <w:p>
      <w:pPr>
        <w:spacing w:after="0" w:line="202"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Quorum and Voting</w:t>
      </w:r>
      <w:r>
        <w:rPr>
          <w:rFonts w:ascii="Arial" w:cs="Arial" w:eastAsia="Arial" w:hAnsi="Arial"/>
          <w:sz w:val="22"/>
          <w:szCs w:val="22"/>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14" w:lineRule="exact"/>
        <w:rPr>
          <w:sz w:val="20"/>
          <w:szCs w:val="20"/>
          <w:color w:val="auto"/>
        </w:rPr>
      </w:pPr>
    </w:p>
    <w:p>
      <w:pPr>
        <w:jc w:val="both"/>
        <w:ind w:firstLine="756"/>
        <w:spacing w:after="0" w:line="257"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Inspectors</w:t>
      </w:r>
      <w:r>
        <w:rPr>
          <w:rFonts w:ascii="Arial" w:cs="Arial" w:eastAsia="Arial" w:hAnsi="Arial"/>
          <w:sz w:val="21"/>
          <w:szCs w:val="21"/>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ectPr>
          <w:pgSz w:w="11900" w:h="16838" w:orient="portrait"/>
          <w:cols w:equalWidth="0" w:num="1">
            <w:col w:w="11240"/>
          </w:cols>
          <w:pgMar w:left="320" w:top="882" w:right="339" w:bottom="1440" w:gutter="0" w:footer="0" w:header="0"/>
        </w:sectPr>
      </w:pPr>
    </w:p>
    <w:bookmarkStart w:id="27" w:name="page28"/>
    <w:bookmarkEnd w:id="27"/>
    <w:p>
      <w:pPr>
        <w:jc w:val="both"/>
        <w:ind w:firstLine="756"/>
        <w:spacing w:after="0" w:line="250"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Waiver and Consent</w:t>
      </w:r>
      <w:r>
        <w:rPr>
          <w:rFonts w:ascii="Arial" w:cs="Arial" w:eastAsia="Arial" w:hAnsi="Arial"/>
          <w:sz w:val="22"/>
          <w:szCs w:val="22"/>
          <w:color w:val="auto"/>
        </w:rPr>
        <w:t>. The shareholders may act without notice or a meeting by a unanimous written consent by all shareholders.</w:t>
      </w:r>
    </w:p>
    <w:p>
      <w:pPr>
        <w:spacing w:after="0" w:line="202"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Remote Meetings</w:t>
      </w:r>
      <w:r>
        <w:rPr>
          <w:rFonts w:ascii="Arial" w:cs="Arial" w:eastAsia="Arial" w:hAnsi="Arial"/>
          <w:sz w:val="22"/>
          <w:szCs w:val="22"/>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w:t>
      </w:r>
    </w:p>
    <w:p>
      <w:pPr>
        <w:jc w:val="center"/>
        <w:spacing w:after="0"/>
        <w:rPr>
          <w:sz w:val="20"/>
          <w:szCs w:val="20"/>
          <w:color w:val="auto"/>
        </w:rPr>
      </w:pPr>
      <w:r>
        <w:rPr>
          <w:rFonts w:ascii="Arial" w:cs="Arial" w:eastAsia="Arial" w:hAnsi="Arial"/>
          <w:sz w:val="22"/>
          <w:szCs w:val="22"/>
          <w:u w:val="single" w:color="auto"/>
          <w:color w:val="auto"/>
        </w:rPr>
        <w:t>Directors</w:t>
      </w:r>
    </w:p>
    <w:p>
      <w:pPr>
        <w:spacing w:after="0" w:line="215"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Board of Directors</w:t>
      </w:r>
      <w:r>
        <w:rPr>
          <w:rFonts w:ascii="Arial" w:cs="Arial" w:eastAsia="Arial" w:hAnsi="Arial"/>
          <w:sz w:val="22"/>
          <w:szCs w:val="22"/>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213" w:lineRule="exact"/>
        <w:rPr>
          <w:sz w:val="20"/>
          <w:szCs w:val="20"/>
          <w:color w:val="auto"/>
        </w:rPr>
      </w:pPr>
    </w:p>
    <w:p>
      <w:pPr>
        <w:jc w:val="both"/>
        <w:ind w:right="20" w:firstLine="756"/>
        <w:spacing w:after="0" w:line="250"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Term of Office</w:t>
      </w:r>
      <w:r>
        <w:rPr>
          <w:rFonts w:ascii="Arial" w:cs="Arial" w:eastAsia="Arial" w:hAnsi="Arial"/>
          <w:sz w:val="22"/>
          <w:szCs w:val="22"/>
          <w:color w:val="auto"/>
        </w:rPr>
        <w:t>. The directors of this Association shall hold office for one year and until their successors are duly elected and qualified, or until their earlier resignation or removal.</w:t>
      </w:r>
    </w:p>
    <w:p>
      <w:pPr>
        <w:spacing w:after="0" w:line="202"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Powers</w:t>
      </w:r>
      <w:r>
        <w:rPr>
          <w:rFonts w:ascii="Arial" w:cs="Arial" w:eastAsia="Arial" w:hAnsi="Arial"/>
          <w:sz w:val="22"/>
          <w:szCs w:val="22"/>
          <w:color w:val="auto"/>
        </w:rPr>
        <w:t>. In addition to the foregoing, the Board shall have and may exercise all of the powers granted to or conferred upon it by the Articles of Association, the Bylaws and by law.</w:t>
      </w:r>
    </w:p>
    <w:p>
      <w:pPr>
        <w:spacing w:after="0" w:line="202" w:lineRule="exact"/>
        <w:rPr>
          <w:sz w:val="20"/>
          <w:szCs w:val="20"/>
          <w:color w:val="auto"/>
        </w:rPr>
      </w:pPr>
    </w:p>
    <w:p>
      <w:pPr>
        <w:jc w:val="both"/>
        <w:ind w:firstLine="756"/>
        <w:spacing w:after="0" w:line="271"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Number</w:t>
      </w:r>
      <w:r>
        <w:rPr>
          <w:rFonts w:ascii="Arial" w:cs="Arial" w:eastAsia="Arial" w:hAnsi="Arial"/>
          <w:sz w:val="19"/>
          <w:szCs w:val="19"/>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9" w:lineRule="exact"/>
        <w:rPr>
          <w:sz w:val="20"/>
          <w:szCs w:val="20"/>
          <w:color w:val="auto"/>
        </w:rPr>
      </w:pPr>
    </w:p>
    <w:p>
      <w:pPr>
        <w:jc w:val="both"/>
        <w:ind w:firstLine="755"/>
        <w:spacing w:after="0" w:line="246"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Organization Meeting</w:t>
      </w:r>
      <w:r>
        <w:rPr>
          <w:rFonts w:ascii="Arial" w:cs="Arial" w:eastAsia="Arial" w:hAnsi="Arial"/>
          <w:sz w:val="21"/>
          <w:szCs w:val="21"/>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207" w:lineRule="exact"/>
        <w:rPr>
          <w:sz w:val="20"/>
          <w:szCs w:val="20"/>
          <w:color w:val="auto"/>
        </w:rPr>
      </w:pPr>
    </w:p>
    <w:p>
      <w:pPr>
        <w:jc w:val="both"/>
        <w:ind w:right="20" w:firstLine="756"/>
        <w:spacing w:after="0" w:line="250"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Regular Meetings</w:t>
      </w:r>
      <w:r>
        <w:rPr>
          <w:rFonts w:ascii="Arial" w:cs="Arial" w:eastAsia="Arial" w:hAnsi="Arial"/>
          <w:sz w:val="22"/>
          <w:szCs w:val="22"/>
          <w:color w:val="auto"/>
        </w:rPr>
        <w:t>. The regular meetings of the Board shall be held, without notice, as the Chairman or President may designate and deem suitable.</w:t>
      </w:r>
    </w:p>
    <w:p>
      <w:pPr>
        <w:spacing w:after="0" w:line="202" w:lineRule="exact"/>
        <w:rPr>
          <w:sz w:val="20"/>
          <w:szCs w:val="20"/>
          <w:color w:val="auto"/>
        </w:rPr>
      </w:pPr>
    </w:p>
    <w:p>
      <w:pPr>
        <w:jc w:val="both"/>
        <w:ind w:firstLine="756"/>
        <w:spacing w:after="0" w:line="297"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w:t>
      </w:r>
    </w:p>
    <w:p>
      <w:pPr>
        <w:sectPr>
          <w:pgSz w:w="11900" w:h="16838" w:orient="portrait"/>
          <w:cols w:equalWidth="0" w:num="1">
            <w:col w:w="11240"/>
          </w:cols>
          <w:pgMar w:left="320" w:top="888" w:right="339" w:bottom="1440" w:gutter="0" w:footer="0" w:header="0"/>
        </w:sectPr>
      </w:pPr>
    </w:p>
    <w:bookmarkStart w:id="28" w:name="page29"/>
    <w:bookmarkEnd w:id="28"/>
    <w:p>
      <w:pPr>
        <w:jc w:val="both"/>
        <w:spacing w:after="0" w:line="238" w:lineRule="auto"/>
        <w:rPr>
          <w:sz w:val="20"/>
          <w:szCs w:val="20"/>
          <w:color w:val="auto"/>
        </w:rPr>
      </w:pPr>
      <w:r>
        <w:rPr>
          <w:rFonts w:ascii="Arial" w:cs="Arial" w:eastAsia="Arial" w:hAnsi="Arial"/>
          <w:sz w:val="22"/>
          <w:szCs w:val="22"/>
          <w:color w:val="auto"/>
        </w:rPr>
        <w:t>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212" w:lineRule="exact"/>
        <w:rPr>
          <w:sz w:val="20"/>
          <w:szCs w:val="20"/>
          <w:color w:val="auto"/>
        </w:rPr>
      </w:pPr>
    </w:p>
    <w:p>
      <w:pPr>
        <w:jc w:val="both"/>
        <w:ind w:firstLine="756"/>
        <w:spacing w:after="0" w:line="233"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Quorum and Necessary Vote</w:t>
      </w:r>
      <w:r>
        <w:rPr>
          <w:rFonts w:ascii="Arial" w:cs="Arial" w:eastAsia="Arial" w:hAnsi="Arial"/>
          <w:sz w:val="22"/>
          <w:szCs w:val="22"/>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17"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Written Consent</w:t>
      </w:r>
      <w:r>
        <w:rPr>
          <w:rFonts w:ascii="Arial" w:cs="Arial" w:eastAsia="Arial" w:hAnsi="Arial"/>
          <w:sz w:val="22"/>
          <w:szCs w:val="22"/>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213" w:lineRule="exact"/>
        <w:rPr>
          <w:sz w:val="20"/>
          <w:szCs w:val="20"/>
          <w:color w:val="auto"/>
        </w:rPr>
      </w:pPr>
    </w:p>
    <w:p>
      <w:pPr>
        <w:jc w:val="both"/>
        <w:ind w:firstLine="755"/>
        <w:spacing w:after="0" w:line="238"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Remote Meetings</w:t>
      </w:r>
      <w:r>
        <w:rPr>
          <w:rFonts w:ascii="Arial" w:cs="Arial" w:eastAsia="Arial" w:hAnsi="Arial"/>
          <w:sz w:val="22"/>
          <w:szCs w:val="22"/>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212" w:lineRule="exact"/>
        <w:rPr>
          <w:sz w:val="20"/>
          <w:szCs w:val="20"/>
          <w:color w:val="auto"/>
        </w:rPr>
      </w:pPr>
    </w:p>
    <w:p>
      <w:pPr>
        <w:jc w:val="both"/>
        <w:ind w:firstLine="756"/>
        <w:spacing w:after="0" w:line="313"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Vacancies</w:t>
      </w:r>
      <w:r>
        <w:rPr>
          <w:rFonts w:ascii="Arial" w:cs="Arial" w:eastAsia="Arial" w:hAnsi="Arial"/>
          <w:sz w:val="19"/>
          <w:szCs w:val="19"/>
          <w:color w:val="auto"/>
        </w:rPr>
        <w:t>. When any vacancy occurs among the directors, the remaining members of the Board may appoint a director to fill such vacancy at any regular meeting of the Board, or at a special meeting called for that purpose.</w:t>
      </w:r>
    </w:p>
    <w:p>
      <w:pPr>
        <w:spacing w:after="0" w:line="159"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III</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22"/>
          <w:szCs w:val="22"/>
          <w:u w:val="single" w:color="auto"/>
          <w:color w:val="auto"/>
        </w:rPr>
        <w:t>Committees</w:t>
      </w:r>
    </w:p>
    <w:p>
      <w:pPr>
        <w:spacing w:after="0" w:line="242"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Advisory Board of Directors</w:t>
      </w:r>
      <w:r>
        <w:rPr>
          <w:rFonts w:ascii="Arial" w:cs="Arial" w:eastAsia="Arial" w:hAnsi="Arial"/>
          <w:sz w:val="22"/>
          <w:szCs w:val="22"/>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214" w:lineRule="exact"/>
        <w:rPr>
          <w:sz w:val="20"/>
          <w:szCs w:val="20"/>
          <w:color w:val="auto"/>
        </w:rPr>
      </w:pPr>
    </w:p>
    <w:p>
      <w:pPr>
        <w:jc w:val="both"/>
        <w:ind w:firstLine="756"/>
        <w:spacing w:after="0" w:line="267"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Trust Audit Committee</w:t>
      </w:r>
      <w:r>
        <w:rPr>
          <w:rFonts w:ascii="Arial" w:cs="Arial" w:eastAsia="Arial" w:hAnsi="Arial"/>
          <w:sz w:val="19"/>
          <w:szCs w:val="19"/>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w:t>
      </w:r>
    </w:p>
    <w:p>
      <w:pPr>
        <w:spacing w:after="0" w:line="4" w:lineRule="exact"/>
        <w:rPr>
          <w:sz w:val="20"/>
          <w:szCs w:val="20"/>
          <w:color w:val="auto"/>
        </w:rPr>
      </w:pPr>
    </w:p>
    <w:p>
      <w:pPr>
        <w:ind w:firstLine="8"/>
        <w:spacing w:after="0" w:line="236" w:lineRule="auto"/>
        <w:tabs>
          <w:tab w:leader="none" w:pos="188" w:val="left"/>
        </w:tabs>
        <w:numPr>
          <w:ilvl w:val="0"/>
          <w:numId w:val="22"/>
        </w:numPr>
        <w:rPr>
          <w:rFonts w:ascii="Arial" w:cs="Arial" w:eastAsia="Arial" w:hAnsi="Arial"/>
          <w:sz w:val="22"/>
          <w:szCs w:val="22"/>
          <w:color w:val="auto"/>
        </w:rPr>
      </w:pPr>
      <w:r>
        <w:rPr>
          <w:rFonts w:ascii="Arial" w:cs="Arial" w:eastAsia="Arial" w:hAnsi="Arial"/>
          <w:sz w:val="22"/>
          <w:szCs w:val="22"/>
          <w:color w:val="auto"/>
        </w:rPr>
        <w:t>9.9(b). The Audit Committee of the financial holding company that is the ultimate parent of this Association, fulfilling the function of the trust audit committee:</w:t>
      </w:r>
    </w:p>
    <w:p>
      <w:pPr>
        <w:spacing w:after="0" w:line="213" w:lineRule="exact"/>
        <w:rPr>
          <w:rFonts w:ascii="Arial" w:cs="Arial" w:eastAsia="Arial" w:hAnsi="Arial"/>
          <w:sz w:val="22"/>
          <w:szCs w:val="22"/>
          <w:color w:val="auto"/>
        </w:rPr>
      </w:pPr>
    </w:p>
    <w:p>
      <w:pPr>
        <w:ind w:right="300" w:firstLine="656"/>
        <w:spacing w:after="0" w:line="250" w:lineRule="auto"/>
        <w:tabs>
          <w:tab w:leader="none" w:pos="954" w:val="left"/>
        </w:tabs>
        <w:numPr>
          <w:ilvl w:val="1"/>
          <w:numId w:val="22"/>
        </w:numPr>
        <w:rPr>
          <w:rFonts w:ascii="Arial" w:cs="Arial" w:eastAsia="Arial" w:hAnsi="Arial"/>
          <w:sz w:val="22"/>
          <w:szCs w:val="22"/>
          <w:color w:val="auto"/>
        </w:rPr>
      </w:pPr>
      <w:r>
        <w:rPr>
          <w:rFonts w:ascii="Arial" w:cs="Arial" w:eastAsia="Arial" w:hAnsi="Arial"/>
          <w:sz w:val="22"/>
          <w:szCs w:val="22"/>
          <w:color w:val="auto"/>
        </w:rPr>
        <w:t>Must not include any officers of the Association or an affiliate who participate significantly in the administration of the Association’s fiduciary activities; and</w:t>
      </w:r>
    </w:p>
    <w:p>
      <w:pPr>
        <w:sectPr>
          <w:pgSz w:w="11900" w:h="16838" w:orient="portrait"/>
          <w:cols w:equalWidth="0" w:num="1">
            <w:col w:w="11240"/>
          </w:cols>
          <w:pgMar w:left="320" w:top="888" w:right="339" w:bottom="1440" w:gutter="0" w:footer="0" w:header="0"/>
        </w:sectPr>
      </w:pPr>
    </w:p>
    <w:bookmarkStart w:id="29" w:name="page30"/>
    <w:bookmarkEnd w:id="29"/>
    <w:p>
      <w:pPr>
        <w:ind w:firstLine="656"/>
        <w:spacing w:after="0" w:line="250" w:lineRule="auto"/>
        <w:tabs>
          <w:tab w:leader="none" w:pos="959" w:val="left"/>
        </w:tabs>
        <w:numPr>
          <w:ilvl w:val="0"/>
          <w:numId w:val="23"/>
        </w:numPr>
        <w:rPr>
          <w:rFonts w:ascii="Arial" w:cs="Arial" w:eastAsia="Arial" w:hAnsi="Arial"/>
          <w:sz w:val="22"/>
          <w:szCs w:val="22"/>
          <w:color w:val="auto"/>
        </w:rPr>
      </w:pPr>
      <w:r>
        <w:rPr>
          <w:rFonts w:ascii="Arial" w:cs="Arial" w:eastAsia="Arial" w:hAnsi="Arial"/>
          <w:sz w:val="22"/>
          <w:szCs w:val="22"/>
          <w:color w:val="auto"/>
        </w:rPr>
        <w:t>Must consist of a majority of members who are not also members of any committee to which the Board has delegated power to manage and control the fiduciary activities of the Association.</w:t>
      </w:r>
    </w:p>
    <w:p>
      <w:pPr>
        <w:spacing w:after="0" w:line="202"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Executive Committee</w:t>
      </w:r>
      <w:r>
        <w:rPr>
          <w:rFonts w:ascii="Arial" w:cs="Arial" w:eastAsia="Arial" w:hAnsi="Arial"/>
          <w:sz w:val="22"/>
          <w:szCs w:val="22"/>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213" w:lineRule="exact"/>
        <w:rPr>
          <w:sz w:val="20"/>
          <w:szCs w:val="20"/>
          <w:color w:val="auto"/>
        </w:rPr>
      </w:pPr>
    </w:p>
    <w:p>
      <w:pPr>
        <w:jc w:val="both"/>
        <w:ind w:firstLine="755"/>
        <w:spacing w:after="0" w:line="245"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Trust Management Committee</w:t>
      </w:r>
      <w:r>
        <w:rPr>
          <w:rFonts w:ascii="Arial" w:cs="Arial" w:eastAsia="Arial" w:hAnsi="Arial"/>
          <w:sz w:val="21"/>
          <w:szCs w:val="21"/>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208" w:lineRule="exact"/>
        <w:rPr>
          <w:sz w:val="20"/>
          <w:szCs w:val="20"/>
          <w:color w:val="auto"/>
        </w:rPr>
      </w:pPr>
    </w:p>
    <w:p>
      <w:pPr>
        <w:jc w:val="both"/>
        <w:ind w:firstLine="755"/>
        <w:spacing w:after="0" w:line="244"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Other Committees</w:t>
      </w:r>
      <w:r>
        <w:rPr>
          <w:rFonts w:ascii="Arial" w:cs="Arial" w:eastAsia="Arial" w:hAnsi="Arial"/>
          <w:sz w:val="21"/>
          <w:szCs w:val="21"/>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212"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Meetings, Minutes and Rules</w:t>
      </w:r>
      <w:r>
        <w:rPr>
          <w:rFonts w:ascii="Arial" w:cs="Arial" w:eastAsia="Arial" w:hAnsi="Arial"/>
          <w:sz w:val="22"/>
          <w:szCs w:val="22"/>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Officers</w:t>
      </w:r>
    </w:p>
    <w:p>
      <w:pPr>
        <w:spacing w:after="0" w:line="215" w:lineRule="exact"/>
        <w:rPr>
          <w:sz w:val="20"/>
          <w:szCs w:val="20"/>
          <w:color w:val="auto"/>
        </w:rPr>
      </w:pPr>
    </w:p>
    <w:p>
      <w:pPr>
        <w:jc w:val="both"/>
        <w:ind w:firstLine="756"/>
        <w:spacing w:after="0" w:line="247"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Chairman of the Board</w:t>
      </w:r>
      <w:r>
        <w:rPr>
          <w:rFonts w:ascii="Arial" w:cs="Arial" w:eastAsia="Arial" w:hAnsi="Arial"/>
          <w:sz w:val="21"/>
          <w:szCs w:val="21"/>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207"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President</w:t>
      </w:r>
      <w:r>
        <w:rPr>
          <w:rFonts w:ascii="Arial" w:cs="Arial" w:eastAsia="Arial" w:hAnsi="Arial"/>
          <w:sz w:val="22"/>
          <w:szCs w:val="22"/>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ectPr>
          <w:pgSz w:w="11900" w:h="16838" w:orient="portrait"/>
          <w:cols w:equalWidth="0" w:num="1">
            <w:col w:w="11240"/>
          </w:cols>
          <w:pgMar w:left="320" w:top="888" w:right="339" w:bottom="1440" w:gutter="0" w:footer="0" w:header="0"/>
        </w:sectPr>
      </w:pPr>
    </w:p>
    <w:bookmarkStart w:id="30" w:name="page31"/>
    <w:bookmarkEnd w:id="30"/>
    <w:p>
      <w:pPr>
        <w:jc w:val="both"/>
        <w:ind w:firstLine="756"/>
        <w:spacing w:after="0" w:line="257"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Vice President</w:t>
      </w:r>
      <w:r>
        <w:rPr>
          <w:rFonts w:ascii="Arial" w:cs="Arial" w:eastAsia="Arial" w:hAnsi="Arial"/>
          <w:sz w:val="21"/>
          <w:szCs w:val="21"/>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96" w:lineRule="exact"/>
        <w:rPr>
          <w:sz w:val="20"/>
          <w:szCs w:val="20"/>
          <w:color w:val="auto"/>
        </w:rPr>
      </w:pPr>
    </w:p>
    <w:p>
      <w:pPr>
        <w:jc w:val="both"/>
        <w:ind w:firstLine="755"/>
        <w:spacing w:after="0" w:line="244"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Secretary</w:t>
      </w:r>
      <w:r>
        <w:rPr>
          <w:rFonts w:ascii="Arial" w:cs="Arial" w:eastAsia="Arial" w:hAnsi="Arial"/>
          <w:sz w:val="21"/>
          <w:szCs w:val="21"/>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209" w:lineRule="exact"/>
        <w:rPr>
          <w:sz w:val="20"/>
          <w:szCs w:val="20"/>
          <w:color w:val="auto"/>
        </w:rPr>
      </w:pPr>
    </w:p>
    <w:p>
      <w:pPr>
        <w:jc w:val="both"/>
        <w:ind w:firstLine="756"/>
        <w:spacing w:after="0" w:line="249"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Other Officers</w:t>
      </w:r>
      <w:r>
        <w:rPr>
          <w:rFonts w:ascii="Arial" w:cs="Arial" w:eastAsia="Arial" w:hAnsi="Arial"/>
          <w:sz w:val="21"/>
          <w:szCs w:val="21"/>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5" w:lineRule="exact"/>
        <w:rPr>
          <w:sz w:val="20"/>
          <w:szCs w:val="20"/>
          <w:color w:val="auto"/>
        </w:rPr>
      </w:pPr>
    </w:p>
    <w:p>
      <w:pPr>
        <w:jc w:val="both"/>
        <w:ind w:right="20" w:firstLine="756"/>
        <w:spacing w:after="0" w:line="251" w:lineRule="auto"/>
        <w:rPr>
          <w:sz w:val="20"/>
          <w:szCs w:val="20"/>
          <w:color w:val="auto"/>
        </w:rPr>
      </w:pPr>
      <w:r>
        <w:rPr>
          <w:rFonts w:ascii="Arial" w:cs="Arial" w:eastAsia="Arial" w:hAnsi="Arial"/>
          <w:sz w:val="21"/>
          <w:szCs w:val="21"/>
          <w:color w:val="auto"/>
        </w:rPr>
        <w:t xml:space="preserve">Section 4.6. </w:t>
      </w:r>
      <w:r>
        <w:rPr>
          <w:rFonts w:ascii="Arial" w:cs="Arial" w:eastAsia="Arial" w:hAnsi="Arial"/>
          <w:sz w:val="21"/>
          <w:szCs w:val="21"/>
          <w:u w:val="single" w:color="auto"/>
          <w:color w:val="auto"/>
        </w:rPr>
        <w:t>Tenure of Office</w:t>
      </w:r>
      <w:r>
        <w:rPr>
          <w:rFonts w:ascii="Arial" w:cs="Arial" w:eastAsia="Arial" w:hAnsi="Arial"/>
          <w:sz w:val="21"/>
          <w:szCs w:val="21"/>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Stock</w:t>
      </w:r>
    </w:p>
    <w:p>
      <w:pPr>
        <w:spacing w:after="0" w:line="242" w:lineRule="exact"/>
        <w:rPr>
          <w:sz w:val="20"/>
          <w:szCs w:val="20"/>
          <w:color w:val="auto"/>
        </w:rPr>
      </w:pPr>
    </w:p>
    <w:p>
      <w:pPr>
        <w:jc w:val="both"/>
        <w:ind w:firstLine="755"/>
        <w:spacing w:after="0" w:line="243" w:lineRule="auto"/>
        <w:rPr>
          <w:sz w:val="20"/>
          <w:szCs w:val="20"/>
          <w:color w:val="auto"/>
        </w:rPr>
      </w:pPr>
      <w:r>
        <w:rPr>
          <w:rFonts w:ascii="Arial" w:cs="Arial" w:eastAsia="Arial" w:hAnsi="Arial"/>
          <w:sz w:val="21"/>
          <w:szCs w:val="21"/>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VI</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22"/>
          <w:szCs w:val="22"/>
          <w:u w:val="single" w:color="auto"/>
          <w:color w:val="auto"/>
        </w:rPr>
        <w:t>Corporate Seal</w:t>
      </w:r>
    </w:p>
    <w:p>
      <w:pPr>
        <w:spacing w:after="0" w:line="215"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2"/>
          <w:szCs w:val="22"/>
          <w:color w:val="auto"/>
        </w:rPr>
        <w:t>Section 6.1. The Association shall have no corporate seal; provided, however, that if the use of a seal is required by, or is otherwise convenient or advisable pursuant to, the laws or</w:t>
      </w:r>
    </w:p>
    <w:p>
      <w:pPr>
        <w:sectPr>
          <w:pgSz w:w="11900" w:h="16838" w:orient="portrait"/>
          <w:cols w:equalWidth="0" w:num="1">
            <w:col w:w="11240"/>
          </w:cols>
          <w:pgMar w:left="320" w:top="888" w:right="339" w:bottom="1440" w:gutter="0" w:footer="0" w:header="0"/>
        </w:sectPr>
      </w:pPr>
    </w:p>
    <w:bookmarkStart w:id="31" w:name="page32"/>
    <w:bookmarkEnd w:id="31"/>
    <w:p>
      <w:pPr>
        <w:jc w:val="both"/>
        <w:spacing w:after="0" w:line="250" w:lineRule="auto"/>
        <w:rPr>
          <w:sz w:val="20"/>
          <w:szCs w:val="20"/>
          <w:color w:val="auto"/>
        </w:rPr>
      </w:pPr>
      <w:r>
        <w:rPr>
          <w:rFonts w:ascii="Arial" w:cs="Arial" w:eastAsia="Arial" w:hAnsi="Arial"/>
          <w:sz w:val="22"/>
          <w:szCs w:val="22"/>
          <w:color w:val="auto"/>
        </w:rPr>
        <w:t>regulations of any jurisdiction, the following seal may be used, and the Chairman, the President, the Secretary and any Assistant Secretary shall have the authority to affix such seal: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 Provisions</w:t>
      </w:r>
    </w:p>
    <w:p>
      <w:pPr>
        <w:spacing w:after="0" w:line="229" w:lineRule="exact"/>
        <w:rPr>
          <w:sz w:val="20"/>
          <w:szCs w:val="20"/>
          <w:color w:val="auto"/>
        </w:rPr>
      </w:pPr>
    </w:p>
    <w:p>
      <w:pPr>
        <w:jc w:val="both"/>
        <w:ind w:firstLine="756"/>
        <w:spacing w:after="0" w:line="275"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Execution of Instruments</w:t>
      </w:r>
      <w:r>
        <w:rPr>
          <w:rFonts w:ascii="Arial" w:cs="Arial" w:eastAsia="Arial" w:hAnsi="Arial"/>
          <w:sz w:val="19"/>
          <w:szCs w:val="19"/>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4" w:lineRule="exact"/>
        <w:rPr>
          <w:sz w:val="20"/>
          <w:szCs w:val="20"/>
          <w:color w:val="auto"/>
        </w:rPr>
      </w:pPr>
    </w:p>
    <w:p>
      <w:pPr>
        <w:jc w:val="both"/>
        <w:ind w:firstLine="755"/>
        <w:spacing w:after="0" w:line="234"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Records</w:t>
      </w:r>
      <w:r>
        <w:rPr>
          <w:rFonts w:ascii="Arial" w:cs="Arial" w:eastAsia="Arial" w:hAnsi="Arial"/>
          <w:sz w:val="22"/>
          <w:szCs w:val="22"/>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215"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Trust Files</w:t>
      </w:r>
      <w:r>
        <w:rPr>
          <w:rFonts w:ascii="Arial" w:cs="Arial" w:eastAsia="Arial" w:hAnsi="Arial"/>
          <w:sz w:val="22"/>
          <w:szCs w:val="22"/>
          <w:color w:val="auto"/>
        </w:rPr>
        <w:t>. There shall be maintained in the Association files all fiduciary records necessary to assure that its fiduciary responsibilities have been properly undertaken and discharged.</w:t>
      </w:r>
    </w:p>
    <w:p>
      <w:pPr>
        <w:spacing w:after="0" w:line="202" w:lineRule="exact"/>
        <w:rPr>
          <w:sz w:val="20"/>
          <w:szCs w:val="20"/>
          <w:color w:val="auto"/>
        </w:rPr>
      </w:pPr>
    </w:p>
    <w:p>
      <w:pPr>
        <w:jc w:val="both"/>
        <w:ind w:firstLine="756"/>
        <w:spacing w:after="0" w:line="252"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Trust Investments</w:t>
      </w:r>
      <w:r>
        <w:rPr>
          <w:rFonts w:ascii="Arial" w:cs="Arial" w:eastAsia="Arial" w:hAnsi="Arial"/>
          <w:sz w:val="21"/>
          <w:szCs w:val="21"/>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201" w:lineRule="exact"/>
        <w:rPr>
          <w:sz w:val="20"/>
          <w:szCs w:val="20"/>
          <w:color w:val="auto"/>
        </w:rPr>
      </w:pPr>
    </w:p>
    <w:p>
      <w:pPr>
        <w:jc w:val="both"/>
        <w:ind w:firstLine="756"/>
        <w:spacing w:after="0" w:line="246"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Notice</w:t>
      </w:r>
      <w:r>
        <w:rPr>
          <w:rFonts w:ascii="Arial" w:cs="Arial" w:eastAsia="Arial" w:hAnsi="Arial"/>
          <w:sz w:val="21"/>
          <w:szCs w:val="21"/>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ARTICLE VIII</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Indemnification</w:t>
      </w:r>
    </w:p>
    <w:p>
      <w:pPr>
        <w:spacing w:after="0" w:line="215" w:lineRule="exact"/>
        <w:rPr>
          <w:sz w:val="20"/>
          <w:szCs w:val="20"/>
          <w:color w:val="auto"/>
        </w:rPr>
      </w:pPr>
    </w:p>
    <w:p>
      <w:pPr>
        <w:jc w:val="both"/>
        <w:ind w:firstLine="755"/>
        <w:spacing w:after="0" w:line="279" w:lineRule="auto"/>
        <w:rPr>
          <w:sz w:val="20"/>
          <w:szCs w:val="20"/>
          <w:color w:val="auto"/>
        </w:rPr>
      </w:pPr>
      <w:r>
        <w:rPr>
          <w:rFonts w:ascii="Arial" w:cs="Arial" w:eastAsia="Arial" w:hAnsi="Arial"/>
          <w:sz w:val="19"/>
          <w:szCs w:val="19"/>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w:t>
      </w:r>
    </w:p>
    <w:p>
      <w:pPr>
        <w:sectPr>
          <w:pgSz w:w="11900" w:h="16838" w:orient="portrait"/>
          <w:cols w:equalWidth="0" w:num="1">
            <w:col w:w="11240"/>
          </w:cols>
          <w:pgMar w:left="320" w:top="888" w:right="339" w:bottom="1440" w:gutter="0" w:footer="0" w:header="0"/>
        </w:sectPr>
      </w:pPr>
    </w:p>
    <w:bookmarkStart w:id="32" w:name="page33"/>
    <w:bookmarkEnd w:id="32"/>
    <w:p>
      <w:pPr>
        <w:jc w:val="both"/>
        <w:spacing w:after="0" w:line="250" w:lineRule="auto"/>
        <w:rPr>
          <w:sz w:val="20"/>
          <w:szCs w:val="20"/>
          <w:color w:val="auto"/>
        </w:rPr>
      </w:pPr>
      <w:r>
        <w:rPr>
          <w:rFonts w:ascii="Arial" w:cs="Arial" w:eastAsia="Arial" w:hAnsi="Arial"/>
          <w:sz w:val="22"/>
          <w:szCs w:val="22"/>
          <w:color w:val="auto"/>
        </w:rPr>
        <w:t>liability for a formal order assessing civil money penalties against an institution-affiliated party, as defined at 12 U.S.C. § 1813(u).</w:t>
      </w:r>
    </w:p>
    <w:p>
      <w:pPr>
        <w:spacing w:after="0" w:line="202" w:lineRule="exact"/>
        <w:rPr>
          <w:sz w:val="20"/>
          <w:szCs w:val="20"/>
          <w:color w:val="auto"/>
        </w:rPr>
      </w:pPr>
    </w:p>
    <w:p>
      <w:pPr>
        <w:jc w:val="both"/>
        <w:ind w:firstLine="756"/>
        <w:spacing w:after="0" w:line="276" w:lineRule="auto"/>
        <w:rPr>
          <w:sz w:val="20"/>
          <w:szCs w:val="20"/>
          <w:color w:val="auto"/>
        </w:rPr>
      </w:pPr>
      <w:r>
        <w:rPr>
          <w:rFonts w:ascii="Arial" w:cs="Arial" w:eastAsia="Arial" w:hAnsi="Arial"/>
          <w:sz w:val="19"/>
          <w:szCs w:val="19"/>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Bylaws: Interpretation and Amendment</w:t>
      </w:r>
    </w:p>
    <w:p>
      <w:pPr>
        <w:spacing w:after="0" w:line="242" w:lineRule="exact"/>
        <w:rPr>
          <w:sz w:val="20"/>
          <w:szCs w:val="20"/>
          <w:color w:val="auto"/>
        </w:rPr>
      </w:pPr>
    </w:p>
    <w:p>
      <w:pPr>
        <w:jc w:val="both"/>
        <w:ind w:right="20" w:firstLine="756"/>
        <w:spacing w:after="0" w:line="250" w:lineRule="auto"/>
        <w:rPr>
          <w:sz w:val="20"/>
          <w:szCs w:val="20"/>
          <w:color w:val="auto"/>
        </w:rPr>
      </w:pPr>
      <w:r>
        <w:rPr>
          <w:rFonts w:ascii="Arial" w:cs="Arial" w:eastAsia="Arial" w:hAnsi="Arial"/>
          <w:sz w:val="22"/>
          <w:szCs w:val="22"/>
          <w:color w:val="auto"/>
        </w:rPr>
        <w:t>Section 9.1. These Bylaws shall be interpreted in accordance with and subject to appropriate provisions of law, and may be added to, altered, amended, or repealed, at any regular or special meeting of the Board.</w:t>
      </w:r>
    </w:p>
    <w:p>
      <w:pPr>
        <w:spacing w:after="0" w:line="202"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2"/>
          <w:szCs w:val="22"/>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w:t>
      </w:r>
    </w:p>
    <w:p>
      <w:pPr>
        <w:jc w:val="center"/>
        <w:spacing w:after="0"/>
        <w:rPr>
          <w:sz w:val="20"/>
          <w:szCs w:val="20"/>
          <w:color w:val="auto"/>
        </w:rPr>
      </w:pPr>
      <w:r>
        <w:rPr>
          <w:rFonts w:ascii="Arial" w:cs="Arial" w:eastAsia="Arial" w:hAnsi="Arial"/>
          <w:sz w:val="22"/>
          <w:szCs w:val="22"/>
          <w:u w:val="single" w:color="auto"/>
          <w:color w:val="auto"/>
        </w:rPr>
        <w:t>Miscellaneous Provisions</w:t>
      </w:r>
    </w:p>
    <w:p>
      <w:pPr>
        <w:spacing w:after="0" w:line="215" w:lineRule="exact"/>
        <w:rPr>
          <w:sz w:val="20"/>
          <w:szCs w:val="20"/>
          <w:color w:val="auto"/>
        </w:rPr>
      </w:pPr>
    </w:p>
    <w:p>
      <w:pPr>
        <w:jc w:val="both"/>
        <w:ind w:right="20" w:firstLine="756"/>
        <w:spacing w:after="0" w:line="250"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Association shall begin on the first day of January in each year and shall end on the thirty-first day of December following.</w:t>
      </w:r>
    </w:p>
    <w:p>
      <w:pPr>
        <w:spacing w:after="0" w:line="202"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213"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8, 2021)</w:t>
      </w:r>
    </w:p>
    <w:p>
      <w:pPr>
        <w:sectPr>
          <w:pgSz w:w="11900" w:h="16838" w:orient="portrait"/>
          <w:cols w:equalWidth="0" w:num="1">
            <w:col w:w="11240"/>
          </w:cols>
          <w:pgMar w:left="320" w:top="888" w:right="339" w:bottom="1440" w:gutter="0" w:footer="0" w:header="0"/>
        </w:sectPr>
      </w:pPr>
    </w:p>
    <w:bookmarkStart w:id="33" w:name="page34"/>
    <w:bookmarkEnd w:id="33"/>
    <w:p>
      <w:pPr>
        <w:jc w:val="center"/>
        <w:ind w:right="-319"/>
        <w:spacing w:after="0"/>
        <w:rPr>
          <w:sz w:val="20"/>
          <w:szCs w:val="20"/>
          <w:color w:val="auto"/>
        </w:rPr>
      </w:pPr>
      <w:r>
        <w:rPr>
          <w:rFonts w:ascii="Arial" w:cs="Arial" w:eastAsia="Arial" w:hAnsi="Arial"/>
          <w:sz w:val="22"/>
          <w:szCs w:val="22"/>
          <w:b w:val="1"/>
          <w:bCs w:val="1"/>
          <w:u w:val="single" w:color="auto"/>
          <w:color w:val="auto"/>
        </w:rPr>
        <w:t>Exhibit 5</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CONSENT</w:t>
      </w:r>
    </w:p>
    <w:p>
      <w:pPr>
        <w:spacing w:after="0" w:line="200" w:lineRule="exact"/>
        <w:rPr>
          <w:sz w:val="20"/>
          <w:szCs w:val="20"/>
          <w:color w:val="auto"/>
        </w:rPr>
      </w:pPr>
    </w:p>
    <w:p>
      <w:pPr>
        <w:spacing w:after="0" w:line="28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40" w:type="dxa"/>
            <w:vAlign w:val="bottom"/>
            <w:gridSpan w:val="3"/>
          </w:tcPr>
          <w:p>
            <w:pPr>
              <w:spacing w:after="0"/>
              <w:rPr>
                <w:sz w:val="20"/>
                <w:szCs w:val="20"/>
                <w:color w:val="auto"/>
              </w:rPr>
            </w:pPr>
            <w:r>
              <w:rPr>
                <w:rFonts w:ascii="Arial" w:cs="Arial" w:eastAsia="Arial" w:hAnsi="Arial"/>
                <w:sz w:val="22"/>
                <w:szCs w:val="22"/>
                <w:color w:val="auto"/>
              </w:rPr>
              <w:t>Dated: October 26, 2022</w:t>
            </w:r>
          </w:p>
        </w:tc>
        <w:tc>
          <w:tcPr>
            <w:tcW w:w="1980" w:type="dxa"/>
            <w:vAlign w:val="bottom"/>
          </w:tcPr>
          <w:p>
            <w:pPr>
              <w:spacing w:after="0"/>
              <w:rPr>
                <w:sz w:val="23"/>
                <w:szCs w:val="23"/>
                <w:color w:val="auto"/>
              </w:rPr>
            </w:pPr>
          </w:p>
        </w:tc>
      </w:tr>
      <w:tr>
        <w:trPr>
          <w:trHeight w:val="422"/>
        </w:trPr>
        <w:tc>
          <w:tcPr>
            <w:tcW w:w="2740" w:type="dxa"/>
            <w:vAlign w:val="bottom"/>
            <w:gridSpan w:val="3"/>
          </w:tcPr>
          <w:p>
            <w:pPr>
              <w:spacing w:after="0"/>
              <w:rPr>
                <w:sz w:val="20"/>
                <w:szCs w:val="20"/>
                <w:color w:val="auto"/>
              </w:rPr>
            </w:pPr>
            <w:r>
              <w:rPr>
                <w:rFonts w:ascii="Arial" w:cs="Arial" w:eastAsia="Arial" w:hAnsi="Arial"/>
                <w:sz w:val="22"/>
                <w:szCs w:val="22"/>
                <w:color w:val="auto"/>
              </w:rPr>
              <w:t>By: /s/ Joshua A. Hahn</w:t>
            </w:r>
          </w:p>
        </w:tc>
        <w:tc>
          <w:tcPr>
            <w:tcW w:w="1980" w:type="dxa"/>
            <w:vAlign w:val="bottom"/>
          </w:tcPr>
          <w:p>
            <w:pPr>
              <w:ind w:left="620"/>
              <w:spacing w:after="0"/>
              <w:rPr>
                <w:sz w:val="20"/>
                <w:szCs w:val="20"/>
                <w:color w:val="auto"/>
              </w:rPr>
            </w:pPr>
            <w:r>
              <w:rPr>
                <w:rFonts w:ascii="Arial" w:cs="Arial" w:eastAsia="Arial" w:hAnsi="Arial"/>
                <w:sz w:val="22"/>
                <w:szCs w:val="22"/>
                <w:color w:val="auto"/>
                <w:w w:val="85"/>
              </w:rPr>
              <w:t>Joshua A. Hahn</w:t>
            </w:r>
          </w:p>
        </w:tc>
      </w:tr>
      <w:tr>
        <w:trPr>
          <w:trHeight w:val="20"/>
        </w:trPr>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87"/>
        </w:trPr>
        <w:tc>
          <w:tcPr>
            <w:tcW w:w="2740" w:type="dxa"/>
            <w:vAlign w:val="bottom"/>
            <w:gridSpan w:val="3"/>
          </w:tcPr>
          <w:p>
            <w:pPr>
              <w:spacing w:after="0"/>
              <w:rPr>
                <w:sz w:val="20"/>
                <w:szCs w:val="20"/>
                <w:color w:val="auto"/>
              </w:rPr>
            </w:pPr>
            <w:r>
              <w:rPr>
                <w:rFonts w:ascii="Arial" w:cs="Arial" w:eastAsia="Arial" w:hAnsi="Arial"/>
                <w:sz w:val="22"/>
                <w:szCs w:val="22"/>
                <w:color w:val="auto"/>
              </w:rPr>
              <w:t>Vice President</w:t>
            </w:r>
          </w:p>
        </w:tc>
        <w:tc>
          <w:tcPr>
            <w:tcW w:w="1980" w:type="dxa"/>
            <w:vAlign w:val="bottom"/>
          </w:tcPr>
          <w:p>
            <w:pPr>
              <w:spacing w:after="0"/>
              <w:rPr>
                <w:sz w:val="24"/>
                <w:szCs w:val="24"/>
                <w:color w:val="auto"/>
              </w:rPr>
            </w:pPr>
          </w:p>
        </w:tc>
      </w:tr>
    </w:tbl>
    <w:p>
      <w:pPr>
        <w:sectPr>
          <w:pgSz w:w="11900" w:h="16838" w:orient="portrait"/>
          <w:cols w:equalWidth="0" w:num="1">
            <w:col w:w="10920"/>
          </w:cols>
          <w:pgMar w:left="320" w:top="882" w:right="6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Trust Company,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6/30/2022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4960" w:type="dxa"/>
            <w:vAlign w:val="bottom"/>
            <w:gridSpan w:val="2"/>
          </w:tcPr>
          <w:p>
            <w:pPr>
              <w:jc w:val="right"/>
              <w:ind w:right="3710"/>
              <w:spacing w:after="0"/>
              <w:rPr>
                <w:sz w:val="20"/>
                <w:szCs w:val="20"/>
                <w:color w:val="auto"/>
              </w:rPr>
            </w:pPr>
            <w:r>
              <w:rPr>
                <w:rFonts w:ascii="Arial" w:cs="Arial" w:eastAsia="Arial" w:hAnsi="Arial"/>
                <w:sz w:val="18"/>
                <w:szCs w:val="18"/>
                <w:b w:val="1"/>
                <w:bCs w:val="1"/>
                <w:color w:val="auto"/>
              </w:rPr>
              <w:t>($000’s)</w:t>
            </w:r>
          </w:p>
        </w:tc>
        <w:tc>
          <w:tcPr>
            <w:tcW w:w="1520" w:type="dxa"/>
            <w:vAlign w:val="bottom"/>
          </w:tcPr>
          <w:p>
            <w:pPr>
              <w:spacing w:after="0"/>
              <w:rPr>
                <w:sz w:val="20"/>
                <w:szCs w:val="20"/>
                <w:color w:val="auto"/>
              </w:rPr>
            </w:pPr>
          </w:p>
        </w:tc>
      </w:tr>
      <w:tr>
        <w:trPr>
          <w:trHeight w:val="351"/>
        </w:trPr>
        <w:tc>
          <w:tcPr>
            <w:tcW w:w="476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6/30/2022</w:t>
            </w: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760" w:type="dxa"/>
            <w:vAlign w:val="bottom"/>
          </w:tcPr>
          <w:p>
            <w:pPr>
              <w:ind w:left="340"/>
              <w:spacing w:after="0"/>
              <w:rPr>
                <w:sz w:val="20"/>
                <w:szCs w:val="20"/>
                <w:color w:val="auto"/>
              </w:rPr>
            </w:pPr>
            <w:r>
              <w:rPr>
                <w:rFonts w:ascii="Arial" w:cs="Arial" w:eastAsia="Arial" w:hAnsi="Arial"/>
                <w:sz w:val="18"/>
                <w:szCs w:val="18"/>
                <w:color w:val="auto"/>
              </w:rPr>
              <w:t>Cash and Balances Due From Depository Institutions</w:t>
            </w:r>
          </w:p>
        </w:tc>
        <w:tc>
          <w:tcPr>
            <w:tcW w:w="49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616,060</w:t>
            </w:r>
          </w:p>
        </w:tc>
      </w:tr>
      <w:tr>
        <w:trPr>
          <w:trHeight w:val="229"/>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Federal Funds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&amp; Lease Financing Receivables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582,627</w:t>
            </w:r>
          </w:p>
        </w:tc>
      </w:tr>
      <w:tr>
        <w:trPr>
          <w:trHeight w:val="229"/>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Assets</w:t>
            </w:r>
          </w:p>
        </w:tc>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121,863</w:t>
            </w:r>
          </w:p>
        </w:tc>
      </w:tr>
      <w:tr>
        <w:trPr>
          <w:trHeight w:val="223"/>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1,327,747</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4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340"/>
              <w:spacing w:after="0"/>
              <w:rPr>
                <w:sz w:val="20"/>
                <w:szCs w:val="20"/>
                <w:color w:val="auto"/>
              </w:rPr>
            </w:pPr>
            <w:r>
              <w:rPr>
                <w:rFonts w:ascii="Arial" w:cs="Arial" w:eastAsia="Arial" w:hAnsi="Arial"/>
                <w:sz w:val="18"/>
                <w:szCs w:val="18"/>
                <w:color w:val="auto"/>
              </w:rPr>
              <w:t>Fed Funds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Demand Notes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Trading Liabilities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Borrowed Money</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340"/>
              <w:spacing w:after="0"/>
              <w:rPr>
                <w:sz w:val="20"/>
                <w:szCs w:val="20"/>
                <w:color w:val="auto"/>
              </w:rPr>
            </w:pPr>
            <w:r>
              <w:rPr>
                <w:rFonts w:ascii="Arial" w:cs="Arial" w:eastAsia="Arial" w:hAnsi="Arial"/>
                <w:sz w:val="18"/>
                <w:szCs w:val="18"/>
                <w:color w:val="auto"/>
              </w:rPr>
              <w:t>Acceptances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Notes and Debentures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w:t>
            </w:r>
          </w:p>
        </w:tc>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95,303</w:t>
            </w:r>
          </w:p>
        </w:tc>
      </w:tr>
      <w:tr>
        <w:trPr>
          <w:trHeight w:val="223"/>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95,303</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Preferred Stock</w:t>
            </w:r>
          </w:p>
        </w:tc>
        <w:tc>
          <w:tcPr>
            <w:tcW w:w="4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Surplus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1,171,635</w:t>
            </w: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Undivided Profits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60,609</w:t>
            </w:r>
          </w:p>
        </w:tc>
      </w:tr>
      <w:tr>
        <w:trPr>
          <w:trHeight w:val="229"/>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Minority Interest in Subsidiaries</w:t>
            </w:r>
          </w:p>
        </w:tc>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Equity Capital</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1,232,444</w:t>
            </w:r>
          </w:p>
        </w:tc>
      </w:tr>
      <w:tr>
        <w:trPr>
          <w:trHeight w:val="234"/>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 Capital</w:t>
            </w:r>
          </w:p>
        </w:tc>
        <w:tc>
          <w:tcPr>
            <w:tcW w:w="49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1,327,747</w:t>
            </w:r>
          </w:p>
        </w:tc>
      </w:tr>
    </w:tbl>
    <w:p>
      <w:pPr>
        <w:sectPr>
          <w:pgSz w:w="11900" w:h="16838" w:orient="portrait"/>
          <w:cols w:equalWidth="0" w:num="1">
            <w:col w:w="11240"/>
          </w:cols>
          <w:pgMar w:left="320" w:top="891" w:right="339" w:bottom="1440" w:gutter="0" w:footer="0" w:header="0"/>
        </w:sectPr>
      </w:pPr>
    </w:p>
    <w:bookmarkStart w:id="35" w:name="page36"/>
    <w:bookmarkEnd w:id="35"/>
    <w:p>
      <w:pPr>
        <w:ind w:left="10260"/>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S-3</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Wynn Resorts, Limited</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 Newly Registered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20" w:type="dxa"/>
            <w:vAlign w:val="bottom"/>
            <w:tcBorders>
              <w:top w:val="single" w:sz="8" w:color="auto"/>
              <w:left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24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Calculation or</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Maximum Offering</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Security Class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Carry Forward</w:t>
            </w:r>
          </w:p>
        </w:tc>
        <w:tc>
          <w:tcPr>
            <w:tcW w:w="1260" w:type="dxa"/>
            <w:vAlign w:val="bottom"/>
            <w:tcBorders>
              <w:right w:val="single" w:sz="8" w:color="auto"/>
            </w:tcBorders>
          </w:tcPr>
          <w:p>
            <w:pPr>
              <w:ind w:left="36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Per Share(2)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Aggregate Offering</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Registration</w:t>
            </w:r>
          </w:p>
        </w:tc>
        <w:tc>
          <w:tcPr>
            <w:tcW w:w="0" w:type="dxa"/>
            <w:vAlign w:val="bottom"/>
          </w:tcPr>
          <w:p>
            <w:pPr>
              <w:spacing w:after="0"/>
              <w:rPr>
                <w:sz w:val="1"/>
                <w:szCs w:val="1"/>
                <w:color w:val="auto"/>
              </w:rPr>
            </w:pPr>
          </w:p>
        </w:tc>
      </w:tr>
      <w:tr>
        <w:trPr>
          <w:trHeight w:val="200"/>
        </w:trPr>
        <w:tc>
          <w:tcPr>
            <w:tcW w:w="1220" w:type="dxa"/>
            <w:vAlign w:val="bottom"/>
            <w:tcBorders>
              <w:left w:val="single" w:sz="8" w:color="auto"/>
              <w:right w:val="single" w:sz="8" w:color="auto"/>
            </w:tcBorders>
          </w:tcPr>
          <w:p>
            <w:pPr>
              <w:spacing w:after="0"/>
              <w:rPr>
                <w:sz w:val="17"/>
                <w:szCs w:val="17"/>
                <w:color w:val="auto"/>
              </w:rPr>
            </w:pPr>
          </w:p>
        </w:tc>
        <w:tc>
          <w:tcPr>
            <w:tcW w:w="108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Security Type</w:t>
            </w: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Rule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Price(2)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Fee(2)(3)</w:t>
            </w:r>
          </w:p>
        </w:tc>
        <w:tc>
          <w:tcPr>
            <w:tcW w:w="0" w:type="dxa"/>
            <w:vAlign w:val="bottom"/>
          </w:tcPr>
          <w:p>
            <w:pPr>
              <w:spacing w:after="0"/>
              <w:rPr>
                <w:sz w:val="1"/>
                <w:szCs w:val="1"/>
                <w:color w:val="auto"/>
              </w:rPr>
            </w:pPr>
          </w:p>
        </w:tc>
      </w:tr>
      <w:tr>
        <w:trPr>
          <w:trHeight w:val="26"/>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Common Stock, par</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Fees to Be Paid</w:t>
            </w:r>
          </w:p>
        </w:tc>
        <w:tc>
          <w:tcPr>
            <w:tcW w:w="1080" w:type="dxa"/>
            <w:vAlign w:val="bottom"/>
          </w:tcPr>
          <w:p>
            <w:pPr>
              <w:jc w:val="center"/>
              <w:ind w:left="68"/>
              <w:spacing w:after="0"/>
              <w:rPr>
                <w:sz w:val="20"/>
                <w:szCs w:val="20"/>
                <w:color w:val="auto"/>
              </w:rPr>
            </w:pPr>
            <w:r>
              <w:rPr>
                <w:rFonts w:ascii="Arial" w:cs="Arial" w:eastAsia="Arial" w:hAnsi="Arial"/>
                <w:sz w:val="14"/>
                <w:szCs w:val="14"/>
                <w:color w:val="auto"/>
                <w:w w:val="97"/>
              </w:rPr>
              <w:t>Equity</w:t>
            </w: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value $0.01 per</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122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220" w:type="dxa"/>
            <w:vAlign w:val="bottom"/>
            <w:tcBorders>
              <w:left w:val="single" w:sz="8" w:color="auto"/>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2"/>
              </w:rPr>
              <w:t>Preferred Stock,</w:t>
            </w:r>
          </w:p>
        </w:tc>
        <w:tc>
          <w:tcPr>
            <w:tcW w:w="12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4"/>
                <w:szCs w:val="14"/>
                <w:color w:val="auto"/>
              </w:rPr>
              <w:t>Fees to Be Paid</w:t>
            </w:r>
          </w:p>
        </w:tc>
        <w:tc>
          <w:tcPr>
            <w:tcW w:w="1080" w:type="dxa"/>
            <w:vAlign w:val="bottom"/>
          </w:tcPr>
          <w:p>
            <w:pPr>
              <w:jc w:val="center"/>
              <w:ind w:left="68"/>
              <w:spacing w:after="0" w:line="141" w:lineRule="exact"/>
              <w:rPr>
                <w:sz w:val="20"/>
                <w:szCs w:val="20"/>
                <w:color w:val="auto"/>
              </w:rPr>
            </w:pPr>
            <w:r>
              <w:rPr>
                <w:rFonts w:ascii="Arial" w:cs="Arial" w:eastAsia="Arial" w:hAnsi="Arial"/>
                <w:sz w:val="14"/>
                <w:szCs w:val="14"/>
                <w:color w:val="auto"/>
                <w:w w:val="97"/>
              </w:rPr>
              <w:t>Equity</w:t>
            </w:r>
          </w:p>
        </w:tc>
        <w:tc>
          <w:tcPr>
            <w:tcW w:w="1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par value $0.01</w:t>
            </w:r>
          </w:p>
        </w:tc>
        <w:tc>
          <w:tcPr>
            <w:tcW w:w="12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line="14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per share</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Depositary shares</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Fees to Be Paid</w:t>
            </w:r>
          </w:p>
        </w:tc>
        <w:tc>
          <w:tcPr>
            <w:tcW w:w="1080" w:type="dxa"/>
            <w:vAlign w:val="bottom"/>
          </w:tcPr>
          <w:p>
            <w:pPr>
              <w:jc w:val="center"/>
              <w:ind w:left="68"/>
              <w:spacing w:after="0"/>
              <w:rPr>
                <w:sz w:val="20"/>
                <w:szCs w:val="20"/>
                <w:color w:val="auto"/>
              </w:rPr>
            </w:pPr>
            <w:r>
              <w:rPr>
                <w:rFonts w:ascii="Arial" w:cs="Arial" w:eastAsia="Arial" w:hAnsi="Arial"/>
                <w:sz w:val="14"/>
                <w:szCs w:val="14"/>
                <w:color w:val="auto"/>
                <w:w w:val="97"/>
              </w:rPr>
              <w:t>Equity</w:t>
            </w: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representing</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122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preferred stock(4)</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Senior debt</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securities, senior</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Fees to Be Paid</w:t>
            </w:r>
          </w:p>
        </w:tc>
        <w:tc>
          <w:tcPr>
            <w:tcW w:w="1080" w:type="dxa"/>
            <w:vAlign w:val="bottom"/>
            <w:vMerge w:val="restart"/>
          </w:tcPr>
          <w:p>
            <w:pPr>
              <w:jc w:val="center"/>
              <w:ind w:left="88"/>
              <w:spacing w:after="0"/>
              <w:rPr>
                <w:sz w:val="20"/>
                <w:szCs w:val="20"/>
                <w:color w:val="auto"/>
              </w:rPr>
            </w:pPr>
            <w:r>
              <w:rPr>
                <w:rFonts w:ascii="Arial" w:cs="Arial" w:eastAsia="Arial" w:hAnsi="Arial"/>
                <w:sz w:val="14"/>
                <w:szCs w:val="14"/>
                <w:color w:val="auto"/>
                <w:w w:val="94"/>
              </w:rPr>
              <w:t>Debt</w:t>
            </w: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subordinated debt</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8"/>
        </w:trPr>
        <w:tc>
          <w:tcPr>
            <w:tcW w:w="1220" w:type="dxa"/>
            <w:vAlign w:val="bottom"/>
            <w:tcBorders>
              <w:left w:val="single" w:sz="8" w:color="auto"/>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securities and junior</w:t>
            </w:r>
          </w:p>
        </w:tc>
        <w:tc>
          <w:tcPr>
            <w:tcW w:w="12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20" w:type="dxa"/>
            <w:vAlign w:val="bottom"/>
            <w:tcBorders>
              <w:left w:val="single" w:sz="8" w:color="auto"/>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subordinated debt</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securities</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2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gridSpan w:val="3"/>
          </w:tcPr>
          <w:p>
            <w:pPr>
              <w:jc w:val="center"/>
              <w:ind w:right="968"/>
              <w:spacing w:after="0"/>
              <w:rPr>
                <w:sz w:val="20"/>
                <w:szCs w:val="20"/>
                <w:color w:val="auto"/>
              </w:rPr>
            </w:pPr>
            <w:r>
              <w:rPr>
                <w:rFonts w:ascii="Arial" w:cs="Arial" w:eastAsia="Arial" w:hAnsi="Arial"/>
                <w:sz w:val="14"/>
                <w:szCs w:val="14"/>
                <w:color w:val="auto"/>
                <w:w w:val="97"/>
              </w:rPr>
              <w:t>Total Offering Amounts</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
        </w:trPr>
        <w:tc>
          <w:tcPr>
            <w:tcW w:w="12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2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gridSpan w:val="3"/>
          </w:tcPr>
          <w:p>
            <w:pPr>
              <w:jc w:val="center"/>
              <w:ind w:right="968"/>
              <w:spacing w:after="0"/>
              <w:rPr>
                <w:sz w:val="20"/>
                <w:szCs w:val="20"/>
                <w:color w:val="auto"/>
              </w:rPr>
            </w:pPr>
            <w:r>
              <w:rPr>
                <w:rFonts w:ascii="Arial" w:cs="Arial" w:eastAsia="Arial" w:hAnsi="Arial"/>
                <w:sz w:val="14"/>
                <w:szCs w:val="14"/>
                <w:color w:val="auto"/>
                <w:w w:val="91"/>
              </w:rPr>
              <w:t>Total Fees Previously Paid</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
        </w:trPr>
        <w:tc>
          <w:tcPr>
            <w:tcW w:w="12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2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Total Fee Offsets</w:t>
            </w: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
        </w:trPr>
        <w:tc>
          <w:tcPr>
            <w:tcW w:w="12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2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Net Fee Due</w:t>
            </w: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
        </w:trPr>
        <w:tc>
          <w:tcPr>
            <w:tcW w:w="12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 indeterminate aggregate offering price or number of securities of each identified class to be offered at indeterminate prices from time to time is being registered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w:t>
      </w:r>
    </w:p>
    <w:p>
      <w:pPr>
        <w:spacing w:after="0" w:line="15"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accordance with Rules 456(b) and 457(r), Wynn Resorts, Limited is deferring payment of the registration fee.</w:t>
      </w:r>
    </w:p>
    <w:p>
      <w:pPr>
        <w:spacing w:after="0" w:line="14" w:lineRule="exact"/>
        <w:rPr>
          <w:rFonts w:ascii="Arial" w:cs="Arial" w:eastAsia="Arial" w:hAnsi="Arial"/>
          <w:sz w:val="14"/>
          <w:szCs w:val="14"/>
          <w:color w:val="auto"/>
        </w:rPr>
      </w:pPr>
    </w:p>
    <w:p>
      <w:pPr>
        <w:ind w:right="460" w:firstLine="8"/>
        <w:spacing w:after="0" w:line="323" w:lineRule="auto"/>
        <w:tabs>
          <w:tab w:leader="none" w:pos="312" w:val="left"/>
        </w:tabs>
        <w:numPr>
          <w:ilvl w:val="0"/>
          <w:numId w:val="25"/>
        </w:numPr>
        <w:rPr>
          <w:rFonts w:ascii="Arial" w:cs="Arial" w:eastAsia="Arial" w:hAnsi="Arial"/>
          <w:sz w:val="13"/>
          <w:szCs w:val="13"/>
          <w:color w:val="auto"/>
        </w:rPr>
      </w:pPr>
      <w:r>
        <w:rPr>
          <w:rFonts w:ascii="Arial" w:cs="Arial" w:eastAsia="Arial" w:hAnsi="Arial"/>
          <w:sz w:val="13"/>
          <w:szCs w:val="13"/>
          <w:color w:val="auto"/>
        </w:rPr>
        <w:t>Such indeterminate number of depositary shares to be evidenced by depositary receipts issued under a deposit agreement. If fractional interests in shares of preferred stock are issued, depositary receipts will be distributed for such fractional interests and the shares of preferred stock will be issued to the depositary under the deposit agreement.</w:t>
      </w:r>
    </w:p>
    <w:sectPr>
      <w:pgSz w:w="11900" w:h="16838" w:orient="portrait"/>
      <w:cols w:equalWidth="0" w:num="1">
        <w:col w:w="11260"/>
      </w:cols>
      <w:pgMar w:left="320" w:top="1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70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lvl w:ilvl="1">
      <w:lvlJc w:val="left"/>
      <w:lvlText w:val="(%2)"/>
      <w:numFmt w:val="lowerRoman"/>
      <w:start w:val="1"/>
    </w:lvl>
  </w:abstractNum>
  <w:abstractNum w:abstractNumId="8">
    <w:nsid w:val="25E45D32"/>
    <w:multiLevelType w:val="hybridMultilevel"/>
    <w:lvl w:ilvl="0">
      <w:lvlJc w:val="left"/>
      <w:lvlText w:val="(%1)"/>
      <w:numFmt w:val="lowerRoman"/>
      <w:start w:val="2"/>
    </w:lvl>
  </w:abstractNum>
  <w:abstractNum w:abstractNumId="9">
    <w:nsid w:val="519B500D"/>
    <w:multiLevelType w:val="hybridMultilevel"/>
    <w:lvl w:ilvl="0">
      <w:lvlJc w:val="left"/>
      <w:lvlText w:val="(%1)"/>
      <w:numFmt w:val="decimal"/>
      <w:start w:val="2"/>
    </w:lvl>
    <w:lvl w:ilvl="1">
      <w:lvlJc w:val="left"/>
      <w:lvlText w:val="(%2)"/>
      <w:numFmt w:val="upperLetter"/>
      <w:start w:val="1"/>
    </w:lvl>
  </w:abstractNum>
  <w:abstractNum w:abstractNumId="10">
    <w:nsid w:val="431BD7B7"/>
    <w:multiLevelType w:val="hybridMultilevel"/>
    <w:lvl w:ilvl="0">
      <w:lvlJc w:val="left"/>
      <w:lvlText w:val="(%1)"/>
      <w:numFmt w:val="lowerRoman"/>
      <w:start w:val="1"/>
    </w:lvl>
  </w:abstractNum>
  <w:abstractNum w:abstractNumId="11">
    <w:nsid w:val="3F2DBA31"/>
    <w:multiLevelType w:val="hybridMultilevel"/>
    <w:lvl w:ilvl="0">
      <w:lvlJc w:val="left"/>
      <w:lvlText w:val="(%1)"/>
      <w:numFmt w:val="lowerLetter"/>
      <w:start w:val="2"/>
    </w:lvl>
  </w:abstractNum>
  <w:abstractNum w:abstractNumId="12">
    <w:nsid w:val="7C83E458"/>
    <w:multiLevelType w:val="hybridMultilevel"/>
    <w:lvl w:ilvl="0">
      <w:lvlJc w:val="left"/>
      <w:lvlText w:val="(%1)"/>
      <w:numFmt w:val="decimal"/>
      <w:start w:val="312"/>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lowerRoman"/>
      <w:start w:val="9"/>
    </w:lvl>
  </w:abstractNum>
  <w:abstractNum w:abstractNumId="16">
    <w:nsid w:val="628C895D"/>
    <w:multiLevelType w:val="hybridMultilevel"/>
    <w:lvl w:ilvl="0">
      <w:lvlJc w:val="left"/>
      <w:lvlText w:val="(%1)"/>
      <w:numFmt w:val="lowerRoman"/>
      <w:start w:val="12"/>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lvl w:ilvl="1">
      <w:lvlJc w:val="left"/>
      <w:lvlText w:val="(%2)"/>
      <w:numFmt w:val="decimal"/>
      <w:start w:val="1"/>
    </w:lvl>
  </w:abstractNum>
  <w:abstractNum w:abstractNumId="22">
    <w:nsid w:val="75A2A8D4"/>
    <w:multiLevelType w:val="hybridMultilevel"/>
    <w:lvl w:ilvl="0">
      <w:lvlJc w:val="left"/>
      <w:lvlText w:val="(%1)"/>
      <w:numFmt w:val="decimal"/>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png"/><Relationship Id="rId28" Type="http://schemas.openxmlformats.org/officeDocument/2006/relationships/image" Target="media/image16.jpeg"/><Relationship Id="rId19" Type="http://schemas.openxmlformats.org/officeDocument/2006/relationships/hyperlink" Target="http://www.sec.gov/Archives/edgar/data/1174922/000117492215000044/ex-31.htm" TargetMode="External"/><Relationship Id="rId20" Type="http://schemas.openxmlformats.org/officeDocument/2006/relationships/hyperlink" Target="https://www.sec.gov/Archives/edgar/data/1174922/000117492220000024/ex32-bylaws.htm" TargetMode="External"/><Relationship Id="rId21" Type="http://schemas.openxmlformats.org/officeDocument/2006/relationships/hyperlink" Target="http://www.sec.gov/Archives/edgar/data/1174922/000091205702037826/a2089719zex-4_1.htm" TargetMode="External"/><Relationship Id="rId22" Type="http://schemas.openxmlformats.org/officeDocument/2006/relationships/hyperlink" Target="http://www.sec.gov/Archives/edgar/data/1174922/000119312504052900/dex43.htm" TargetMode="External"/><Relationship Id="rId23" Type="http://schemas.openxmlformats.org/officeDocument/2006/relationships/hyperlink" Target="http://www.sec.gov/Archives/edgar/data/1174922/000119312504052900/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2022-11-04T16:29:08Z</dcterms:created>
  <dcterms:modified xsi:type="dcterms:W3CDTF">2022-11-04T16:29:08Z</dcterms:modified>
</cp:coreProperties>
</file>