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285115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14, 2017</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700" w:type="dxa"/>
        <w:tblCellMar>
          <w:top w:w="0" w:type="dxa"/>
          <w:left w:w="0" w:type="dxa"/>
          <w:bottom w:w="0" w:type="dxa"/>
          <w:right w:w="0" w:type="dxa"/>
        </w:tblCellMar>
      </w:tblPr>
      <w:tr>
        <w:trPr>
          <w:trHeight w:val="238"/>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78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18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78"/>
        </w:trPr>
        <w:tc>
          <w:tcPr>
            <w:tcW w:w="28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78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78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8"/>
        </w:trPr>
        <w:tc>
          <w:tcPr>
            <w:tcW w:w="282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20"/>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80" w:type="dxa"/>
            <w:vAlign w:val="bottom"/>
          </w:tcPr>
          <w:p>
            <w:pPr>
              <w:spacing w:after="0"/>
              <w:rPr>
                <w:sz w:val="19"/>
                <w:szCs w:val="19"/>
                <w:color w:val="auto"/>
              </w:rPr>
            </w:pPr>
          </w:p>
        </w:tc>
        <w:tc>
          <w:tcPr>
            <w:tcW w:w="1800" w:type="dxa"/>
            <w:vAlign w:val="bottom"/>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85"/>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800" w:type="dxa"/>
            <w:vAlign w:val="bottom"/>
          </w:tcPr>
          <w:p>
            <w:pPr>
              <w:spacing w:after="0"/>
              <w:rPr>
                <w:sz w:val="24"/>
                <w:szCs w:val="24"/>
                <w:color w:val="auto"/>
              </w:rPr>
            </w:pPr>
          </w:p>
        </w:tc>
      </w:tr>
      <w:tr>
        <w:trPr>
          <w:trHeight w:val="190"/>
        </w:trPr>
        <w:tc>
          <w:tcPr>
            <w:tcW w:w="2820" w:type="dxa"/>
            <w:vAlign w:val="bottom"/>
          </w:tcPr>
          <w:p>
            <w:pPr>
              <w:spacing w:after="0"/>
              <w:rPr>
                <w:sz w:val="16"/>
                <w:szCs w:val="16"/>
                <w:color w:val="auto"/>
              </w:rPr>
            </w:pPr>
          </w:p>
        </w:tc>
        <w:tc>
          <w:tcPr>
            <w:tcW w:w="478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404"/>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4"/>
                <w:szCs w:val="24"/>
                <w:color w:val="auto"/>
              </w:rPr>
            </w:pPr>
          </w:p>
        </w:tc>
      </w:tr>
      <w:tr>
        <w:trPr>
          <w:trHeight w:val="190"/>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0"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 w:lineRule="exact"/>
        <w:rPr>
          <w:sz w:val="24"/>
          <w:szCs w:val="24"/>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3" w:right="239" w:bottom="1440" w:gutter="0" w:footer="0" w:header="0"/>
        </w:sectPr>
      </w:pPr>
    </w:p>
    <w:bookmarkStart w:id="1" w:name="page2"/>
    <w:bookmarkEnd w:id="1"/>
    <w:p>
      <w:pPr>
        <w:spacing w:after="0" w:line="163"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September 14, 2017, Wynn Macau, Limited (“WML”), an indirect subsidiary of Wynn Resorts, Limited (the “Registrant”) with its ordinary shares of common stock listed on The Stock Exchange of Hong Kong Limited (the “HKSE”), filed with the HKSE an announcement that WML has entered into a purchase agreement with certain Initial Purchasers, as defined in the purchase agreement, in connection with the issuance by WML of $600 million aggregate principal amount of 4.875% senior notes due 2024 and $750 million aggregate principal amount of 5.5% senior notes due 2027, which issuance is expected to occur on September 20, 2017 (the “Pricing Announcement”). The Registrant owns approximately 72% of WML’s ordinary shares of common stock. The Pricing Announcement is furnished herewith as Exhibit 99.1. The information in this Form 8-K and the exhibit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9"/>
        </w:trPr>
        <w:tc>
          <w:tcPr>
            <w:tcW w:w="1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 Exhibits.</w:t>
            </w:r>
          </w:p>
        </w:tc>
        <w:tc>
          <w:tcPr>
            <w:tcW w:w="156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598"/>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56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8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560" w:type="dxa"/>
            <w:vAlign w:val="bottom"/>
          </w:tcPr>
          <w:p>
            <w:pPr>
              <w:spacing w:after="0"/>
              <w:rPr>
                <w:sz w:val="24"/>
                <w:szCs w:val="24"/>
                <w:color w:val="auto"/>
              </w:rPr>
            </w:pPr>
          </w:p>
        </w:tc>
        <w:tc>
          <w:tcPr>
            <w:tcW w:w="554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Pricing Announcement of Wynn Macau, Limited, dated September 14, 2017.</w:t>
              </w:r>
            </w:hyperlink>
          </w:p>
        </w:tc>
      </w:tr>
    </w:tbl>
    <w:p>
      <w:pPr>
        <w:sectPr>
          <w:pgSz w:w="11900" w:h="16838" w:orient="portrait"/>
          <w:cols w:equalWidth="0" w:num="1">
            <w:col w:w="11400"/>
          </w:cols>
          <w:pgMar w:left="240" w:top="1440" w:right="259" w:bottom="1440" w:gutter="0" w:footer="0" w:header="0"/>
        </w:sectPr>
      </w:pPr>
    </w:p>
    <w:bookmarkStart w:id="2" w:name="page3"/>
    <w:bookmarkEnd w:id="2"/>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Times New Roman" w:cs="Times New Roman" w:eastAsia="Times New Roman" w:hAnsi="Times New Roman"/>
          <w:sz w:val="18"/>
          <w:szCs w:val="18"/>
          <w:color w:val="auto"/>
        </w:rPr>
        <w:t>Dated: September 14,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780"/>
          </w:cols>
          <w:pgMar w:left="240" w:top="576" w:right="8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98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10094595</wp:posOffset>
            </wp:positionV>
            <wp:extent cx="666750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2019-12-29T04:22:35Z</dcterms:created>
  <dcterms:modified xsi:type="dcterms:W3CDTF">2019-12-29T04:22:35Z</dcterms:modified>
</cp:coreProperties>
</file>