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313055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178435</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191135</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0"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480" w:type="dxa"/>
            <w:vAlign w:val="bottom"/>
          </w:tcPr>
          <w:p>
            <w:pPr>
              <w:ind w:left="1740"/>
              <w:spacing w:after="0"/>
              <w:rPr>
                <w:sz w:val="20"/>
                <w:szCs w:val="20"/>
                <w:color w:val="auto"/>
              </w:rPr>
            </w:pPr>
            <w:r>
              <w:rPr>
                <w:rFonts w:ascii="Arial" w:cs="Arial" w:eastAsia="Arial" w:hAnsi="Arial"/>
                <w:sz w:val="18"/>
                <w:szCs w:val="18"/>
                <w:b w:val="1"/>
                <w:bCs w:val="1"/>
                <w:color w:val="auto"/>
              </w:rPr>
              <w:t>000-50028</w:t>
            </w:r>
          </w:p>
        </w:tc>
        <w:tc>
          <w:tcPr>
            <w:tcW w:w="20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(State or other jurisdiction</w:t>
            </w:r>
          </w:p>
        </w:tc>
        <w:tc>
          <w:tcPr>
            <w:tcW w:w="4480" w:type="dxa"/>
            <w:vAlign w:val="bottom"/>
          </w:tcPr>
          <w:p>
            <w:pPr>
              <w:ind w:left="1720"/>
              <w:spacing w:after="0"/>
              <w:rPr>
                <w:sz w:val="20"/>
                <w:szCs w:val="20"/>
                <w:color w:val="auto"/>
              </w:rPr>
            </w:pPr>
            <w:r>
              <w:rPr>
                <w:rFonts w:ascii="Arial" w:cs="Arial" w:eastAsia="Arial" w:hAnsi="Arial"/>
                <w:sz w:val="14"/>
                <w:szCs w:val="14"/>
                <w:b w:val="1"/>
                <w:bCs w:val="1"/>
                <w:color w:val="auto"/>
              </w:rPr>
              <w:t>(Commission</w:t>
            </w: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480" w:type="dxa"/>
            <w:vAlign w:val="bottom"/>
          </w:tcPr>
          <w:p>
            <w:pPr>
              <w:ind w:left="1720"/>
              <w:spacing w:after="0"/>
              <w:rPr>
                <w:sz w:val="20"/>
                <w:szCs w:val="20"/>
                <w:color w:val="auto"/>
              </w:rPr>
            </w:pPr>
            <w:r>
              <w:rPr>
                <w:rFonts w:ascii="Arial" w:cs="Arial" w:eastAsia="Arial" w:hAnsi="Arial"/>
                <w:sz w:val="14"/>
                <w:szCs w:val="14"/>
                <w:b w:val="1"/>
                <w:bCs w:val="1"/>
                <w:color w:val="auto"/>
              </w:rPr>
              <w:t>File Number)</w:t>
            </w: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4"/>
              </w:rPr>
              <w:t>Identification No.)</w:t>
            </w:r>
          </w:p>
        </w:tc>
      </w:tr>
      <w:tr>
        <w:trPr>
          <w:trHeight w:val="255"/>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48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70"/>
        </w:trPr>
        <w:tc>
          <w:tcPr>
            <w:tcW w:w="2820" w:type="dxa"/>
            <w:vAlign w:val="bottom"/>
          </w:tcPr>
          <w:p>
            <w:pPr>
              <w:ind w:left="340"/>
              <w:spacing w:after="0"/>
              <w:rPr>
                <w:sz w:val="20"/>
                <w:szCs w:val="20"/>
                <w:color w:val="auto"/>
              </w:rPr>
            </w:pPr>
            <w:r>
              <w:rPr>
                <w:rFonts w:ascii="Arial" w:cs="Arial" w:eastAsia="Arial" w:hAnsi="Arial"/>
                <w:sz w:val="18"/>
                <w:szCs w:val="18"/>
                <w:b w:val="1"/>
                <w:bCs w:val="1"/>
                <w:color w:val="auto"/>
              </w:rPr>
              <w:t>Las Vegas,  Nevada</w:t>
            </w:r>
          </w:p>
        </w:tc>
        <w:tc>
          <w:tcPr>
            <w:tcW w:w="4480" w:type="dxa"/>
            <w:vAlign w:val="bottom"/>
          </w:tcPr>
          <w:p>
            <w:pPr>
              <w:spacing w:after="0"/>
              <w:rPr>
                <w:sz w:val="23"/>
                <w:szCs w:val="23"/>
                <w:color w:val="auto"/>
              </w:rPr>
            </w:pPr>
          </w:p>
        </w:tc>
        <w:tc>
          <w:tcPr>
            <w:tcW w:w="20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7"/>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80" w:type="dxa"/>
            <w:vAlign w:val="bottom"/>
          </w:tcPr>
          <w:p>
            <w:pPr>
              <w:spacing w:after="0"/>
              <w:rPr>
                <w:sz w:val="18"/>
                <w:szCs w:val="18"/>
                <w:color w:val="auto"/>
              </w:rPr>
            </w:pP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8"/>
              </w:rPr>
              <w:t>(Zip Code)</w:t>
            </w:r>
          </w:p>
        </w:tc>
      </w:tr>
      <w:tr>
        <w:trPr>
          <w:trHeight w:val="421"/>
        </w:trPr>
        <w:tc>
          <w:tcPr>
            <w:tcW w:w="28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20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00" w:type="dxa"/>
            <w:vAlign w:val="bottom"/>
          </w:tcPr>
          <w:p>
            <w:pPr>
              <w:spacing w:after="0"/>
              <w:rPr>
                <w:sz w:val="16"/>
                <w:szCs w:val="16"/>
                <w:color w:val="auto"/>
              </w:rPr>
            </w:pPr>
          </w:p>
        </w:tc>
      </w:tr>
      <w:tr>
        <w:trPr>
          <w:trHeight w:val="408"/>
        </w:trPr>
        <w:tc>
          <w:tcPr>
            <w:tcW w:w="28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20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00" w:type="dxa"/>
            <w:vAlign w:val="bottom"/>
          </w:tcPr>
          <w:p>
            <w:pPr>
              <w:spacing w:after="0"/>
              <w:rPr>
                <w:sz w:val="16"/>
                <w:szCs w:val="16"/>
                <w:color w:val="auto"/>
              </w:rPr>
            </w:pPr>
          </w:p>
        </w:tc>
      </w:tr>
      <w:tr>
        <w:trPr>
          <w:trHeight w:val="25"/>
        </w:trPr>
        <w:tc>
          <w:tcPr>
            <w:tcW w:w="282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r>
    </w:tbl>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40" w:type="dxa"/>
            <w:vAlign w:val="bottom"/>
          </w:tcPr>
          <w:p>
            <w:pPr>
              <w:spacing w:after="0"/>
              <w:rPr>
                <w:sz w:val="18"/>
                <w:szCs w:val="18"/>
                <w:color w:val="auto"/>
              </w:rPr>
            </w:pPr>
          </w:p>
        </w:tc>
        <w:tc>
          <w:tcPr>
            <w:tcW w:w="228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1"/>
              </w:rPr>
              <w:t>Trading Symbol(s)</w:t>
            </w:r>
          </w:p>
        </w:tc>
        <w:tc>
          <w:tcPr>
            <w:tcW w:w="420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460" w:type="dxa"/>
            <w:vAlign w:val="bottom"/>
            <w:gridSpan w:val="3"/>
          </w:tcPr>
          <w:p>
            <w:pPr>
              <w:jc w:val="center"/>
              <w:ind w:right="1180"/>
              <w:spacing w:after="0"/>
              <w:rPr>
                <w:sz w:val="20"/>
                <w:szCs w:val="20"/>
                <w:color w:val="auto"/>
              </w:rPr>
            </w:pPr>
            <w:r>
              <w:rPr>
                <w:rFonts w:ascii="Arial" w:cs="Arial" w:eastAsia="Arial" w:hAnsi="Arial"/>
                <w:sz w:val="18"/>
                <w:szCs w:val="18"/>
                <w:color w:val="auto"/>
                <w:w w:val="89"/>
              </w:rPr>
              <w:t>Common stock, par value $0.01</w:t>
            </w:r>
          </w:p>
        </w:tc>
        <w:tc>
          <w:tcPr>
            <w:tcW w:w="2280" w:type="dxa"/>
            <w:vAlign w:val="bottom"/>
            <w:gridSpan w:val="2"/>
          </w:tcPr>
          <w:p>
            <w:pPr>
              <w:jc w:val="center"/>
              <w:ind w:right="840"/>
              <w:spacing w:after="0"/>
              <w:rPr>
                <w:sz w:val="20"/>
                <w:szCs w:val="20"/>
                <w:color w:val="auto"/>
              </w:rPr>
            </w:pPr>
            <w:r>
              <w:rPr>
                <w:rFonts w:ascii="Arial" w:cs="Arial" w:eastAsia="Arial" w:hAnsi="Arial"/>
                <w:sz w:val="18"/>
                <w:szCs w:val="18"/>
                <w:color w:val="auto"/>
              </w:rPr>
              <w:t>WYNN</w:t>
            </w:r>
          </w:p>
        </w:tc>
        <w:tc>
          <w:tcPr>
            <w:tcW w:w="86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Indenture for 7.750% Senior Notes due 2025</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April 14, 2020, Wynn Resorts, Limited (the “Company”) announced that Wynn Resorts Finance, LLC (“WRF”) and its subsidiary, Wynn Resorts Capital Corp. (together with WRF, the “Issuers”), each an indirect wholly-owned subsidiary of the Company, issued $600 million aggregate principal amount of 7.750% Senior Notes due 2025 (the “Notes”) pursuant to an indenture (the “Indenture”) among the Issuers, the guarantors party thereto and U.S. Bank National Association, as trustee (the “Trustee”). The Notes were offered and sold in reliance on exemptions from the registration requirements of the Securities Act of 1933. The Notes will mature on April 15, 2025. Interest is payable in cash semi-annually on April 15 and October 15 of each year, beginning on October 15, 2020.</w:t>
      </w:r>
    </w:p>
    <w:p>
      <w:pPr>
        <w:spacing w:after="0" w:line="21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Notes are jointly and severally guaranteed by each of WRF’s existing domestic restricted subsidiaries that guarantee indebtedness under the WRF's senior secured credit facilities and the Issuers' existing 5.125% senior notes due 2029, including Wynn Las Vegas, LLC and each of its subsidiaries that guarantees its existing senior notes due 2023, 2025 and 2027.</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Issuers may redeem some or all of the Notes at any time prior to April 15, 2022 at a redemption price equal to 100% of the aggregate principal amount of the Notes to be redeemed plus a “make-whole” premium and accrued and unpaid interest.</w:t>
      </w:r>
    </w:p>
    <w:p>
      <w:pPr>
        <w:spacing w:after="0" w:line="197"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In addition, at any time prior to April 15, 2022, the Issuers may, on any one or more occasions, redeem up to 35% of the original aggregate principal amount of the Notes with the proceeds of one or more equity offerings at a redemption price equal to 107.750% of the aggregate principal amount thereof, plus accrued and unpaid interest, if any, to, but not including, the applicable redemption date.</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or after April 15, 2022, the Issuers may redeem some or all of the Notes at the redemption prices set forth in the Indenture plus accrued and unpaid interest. The Notes are subject to disposition and redemption requirements imposed by gaming laws and regulations of applicable gaming regulatory authorities.</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Indenture contains covenants that limit the ability of the Issuers and the guarantors to, among other things, (1) enter into sale-leaseback transactions, (2) create or incur liens to secure debt, and (3) merge, consolidate or sell all or substantially all of the Issuers’ assets. These covenants are subject to exceptions and qualifications set forth in the Indenture.</w:t>
      </w:r>
    </w:p>
    <w:p>
      <w:pPr>
        <w:spacing w:after="0" w:line="2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the event of a change of control triggering event, the Issuers must offer to repurchase the Notes at a repurchase price equal to 101% of the aggregate principal amount thereof plus any accrued and unpaid interest, to, but not including, the repurchase date.</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Indenture also contains customary events of default, including (1) failure to make required payments, (2) failure to comply with certain covenants, (3) failure to pay certain other indebtedness, (4) certain events of bankruptcy and insolvency, and (5) failure to pay certain judgments. An event of default under the Indenture allows either the Trustee or the holders of at least 25% in aggregate principal amount of the Notes, as applicable, issued under such Indenture to accelerate the amounts due under the Notes, or in the case of a bankruptcy or insolvency, will automatically cause the acceleration of the amounts due under the Notes.</w:t>
      </w: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foregoing description of the Indenture is qualified in its entirety by reference to the full text of the Indenture, which will be filed as an exhibit to the Registrant’s Quarterly Report on Form 10-Q for the quarter ended March 31, 2020.</w:t>
      </w:r>
    </w:p>
    <w:p>
      <w:pPr>
        <w:spacing w:after="0" w:line="247"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3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contained under Item 1.01 above is hereby incorporated by reference in its entirety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880745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WYNN RESORTS, LIMITED</w:t>
      </w:r>
    </w:p>
    <w:p>
      <w:pPr>
        <w:spacing w:after="0" w:line="121" w:lineRule="exact"/>
        <w:rPr>
          <w:sz w:val="20"/>
          <w:szCs w:val="20"/>
          <w:color w:val="auto"/>
        </w:rPr>
      </w:pPr>
    </w:p>
    <w:p>
      <w:pPr>
        <w:ind w:left="20"/>
        <w:spacing w:after="0"/>
        <w:tabs>
          <w:tab w:leader="none" w:pos="6460" w:val="left"/>
          <w:tab w:leader="none" w:pos="7180" w:val="left"/>
        </w:tabs>
        <w:rPr>
          <w:sz w:val="20"/>
          <w:szCs w:val="20"/>
          <w:color w:val="auto"/>
        </w:rPr>
      </w:pPr>
      <w:r>
        <w:rPr>
          <w:rFonts w:ascii="Arial" w:cs="Arial" w:eastAsia="Arial" w:hAnsi="Arial"/>
          <w:sz w:val="18"/>
          <w:szCs w:val="18"/>
          <w:color w:val="auto"/>
        </w:rPr>
        <w:t>Dated: April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31750</wp:posOffset>
            </wp:positionV>
            <wp:extent cx="261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4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2020-04-14T15:15:53Z</dcterms:created>
  <dcterms:modified xsi:type="dcterms:W3CDTF">2020-04-14T15:15:53Z</dcterms:modified>
</cp:coreProperties>
</file>