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196215</wp:posOffset>
            </wp:positionV>
            <wp:extent cx="23825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127000</wp:posOffset>
            </wp:positionV>
            <wp:extent cx="23825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1"/>
          <w:szCs w:val="41"/>
          <w:b w:val="1"/>
          <w:bCs w:val="1"/>
          <w:color w:val="auto"/>
        </w:rPr>
        <w:t>WYNN RESORTS, LIMITED</w:t>
      </w:r>
    </w:p>
    <w:p>
      <w:pPr>
        <w:spacing w:after="0" w:line="6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202565</wp:posOffset>
            </wp:positionV>
            <wp:extent cx="2382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ectPr>
          <w:pgSz w:w="11900" w:h="16906" w:orient="portrait"/>
          <w:cols w:equalWidth="0" w:num="1">
            <w:col w:w="11180"/>
          </w:cols>
          <w:pgMar w:left="320" w:top="945" w:right="3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46-0484987</w:t>
      </w:r>
    </w:p>
    <w:p>
      <w:pPr>
        <w:spacing w:after="0" w:line="6" w:lineRule="exact"/>
        <w:rPr>
          <w:sz w:val="24"/>
          <w:szCs w:val="24"/>
          <w:color w:val="auto"/>
        </w:rPr>
      </w:pPr>
    </w:p>
    <w:p>
      <w:pPr>
        <w:sectPr>
          <w:pgSz w:w="11900" w:h="16906" w:orient="portrait"/>
          <w:cols w:equalWidth="0" w:num="2">
            <w:col w:w="7280" w:space="720"/>
            <w:col w:w="3180"/>
          </w:cols>
          <w:pgMar w:left="320" w:top="945" w:right="399" w:bottom="0" w:gutter="0" w:footer="0" w:header="0"/>
          <w:type w:val="continuous"/>
        </w:sectPr>
      </w:pPr>
    </w:p>
    <w:p>
      <w:pPr>
        <w:spacing w:after="0" w:line="11"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178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200" w:lineRule="exact"/>
        <w:rPr>
          <w:sz w:val="24"/>
          <w:szCs w:val="24"/>
          <w:color w:val="auto"/>
        </w:rPr>
      </w:pPr>
    </w:p>
    <w:p>
      <w:pPr>
        <w:sectPr>
          <w:pgSz w:w="11900" w:h="16906" w:orient="portrait"/>
          <w:cols w:equalWidth="0" w:num="2">
            <w:col w:w="7180" w:space="720"/>
            <w:col w:w="3280"/>
          </w:cols>
          <w:pgMar w:left="320" w:top="945" w:right="399" w:bottom="0" w:gutter="0" w:footer="0" w:header="0"/>
          <w:type w:val="continuous"/>
        </w:sectPr>
      </w:pP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3131 Las Vegas Boulevard South</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Las Vegas, Nevada 89109</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ectPr>
          <w:pgSz w:w="11900" w:h="16906" w:orient="portrait"/>
          <w:cols w:equalWidth="0" w:num="1">
            <w:col w:w="11180"/>
          </w:cols>
          <w:pgMar w:left="320" w:top="945" w:right="399" w:bottom="0" w:gutter="0" w:footer="0" w:header="0"/>
          <w:type w:val="continuous"/>
        </w:sectPr>
      </w:pPr>
    </w:p>
    <w:p>
      <w:pPr>
        <w:spacing w:after="0" w:line="1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Wynn Resorts, Limited Second Amended and Restated 2014 Omnibus Incentive Plan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57150</wp:posOffset>
            </wp:positionV>
            <wp:extent cx="2382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3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Ellen Whittemore</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Executive Vice President, General Counsel and Secretary</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Wynn Resorts, Limited</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3131 Las Vegas Boulevard South</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Las Vegas, Nevada 89109</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(Name and address of agent for service)</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(702) 770-7555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196850</wp:posOffset>
            </wp:positionV>
            <wp:extent cx="2382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r>
        <w:rPr>
          <w:rFonts w:ascii="Times New Roman" w:cs="Times New Roman" w:eastAsia="Times New Roman" w:hAnsi="Times New Roman"/>
          <w:sz w:val="17"/>
          <w:szCs w:val="17"/>
          <w:color w:val="auto"/>
        </w:rPr>
        <w:t>:</w:t>
      </w:r>
    </w:p>
    <w:p>
      <w:pPr>
        <w:spacing w:after="0" w:line="3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Robert M. Hayward, P.C</w:t>
      </w:r>
    </w:p>
    <w:p>
      <w:pPr>
        <w:spacing w:after="0" w:line="1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Katie J. Holahan</w:t>
      </w:r>
    </w:p>
    <w:p>
      <w:pPr>
        <w:spacing w:after="0" w:line="1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Kirkland &amp; Ellis LLP</w:t>
      </w:r>
    </w:p>
    <w:p>
      <w:pPr>
        <w:ind w:left="4700"/>
        <w:spacing w:after="0" w:line="237" w:lineRule="auto"/>
        <w:rPr>
          <w:sz w:val="20"/>
          <w:szCs w:val="20"/>
          <w:color w:val="auto"/>
        </w:rPr>
      </w:pPr>
      <w:r>
        <w:rPr>
          <w:rFonts w:ascii="Times New Roman" w:cs="Times New Roman" w:eastAsia="Times New Roman" w:hAnsi="Times New Roman"/>
          <w:sz w:val="17"/>
          <w:szCs w:val="17"/>
          <w:b w:val="1"/>
          <w:bCs w:val="1"/>
          <w:color w:val="auto"/>
        </w:rPr>
        <w:t>33 West Wolf Point Plaza</w:t>
      </w:r>
    </w:p>
    <w:p>
      <w:pPr>
        <w:ind w:left="4960"/>
        <w:spacing w:after="0"/>
        <w:rPr>
          <w:sz w:val="20"/>
          <w:szCs w:val="20"/>
          <w:color w:val="auto"/>
        </w:rPr>
      </w:pPr>
      <w:r>
        <w:rPr>
          <w:rFonts w:ascii="Times New Roman" w:cs="Times New Roman" w:eastAsia="Times New Roman" w:hAnsi="Times New Roman"/>
          <w:sz w:val="17"/>
          <w:szCs w:val="17"/>
          <w:b w:val="1"/>
          <w:bCs w:val="1"/>
          <w:color w:val="auto"/>
        </w:rPr>
        <w:t>Chicago, IL 60654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202565</wp:posOffset>
            </wp:positionV>
            <wp:extent cx="2382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both"/>
        <w:ind w:right="10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1"/>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2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418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Accelerated filer</w:t>
            </w:r>
          </w:p>
        </w:tc>
        <w:tc>
          <w:tcPr>
            <w:tcW w:w="6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2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418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9"/>
        </w:trPr>
        <w:tc>
          <w:tcPr>
            <w:tcW w:w="1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18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Emerging growth company</w:t>
            </w:r>
          </w:p>
        </w:tc>
        <w:tc>
          <w:tcPr>
            <w:tcW w:w="6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3" w:lineRule="exact"/>
        <w:rPr>
          <w:sz w:val="24"/>
          <w:szCs w:val="24"/>
          <w:color w:val="auto"/>
        </w:rPr>
      </w:pPr>
    </w:p>
    <w:p>
      <w:pPr>
        <w:ind w:right="42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180340</wp:posOffset>
            </wp:positionV>
            <wp:extent cx="2382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34" w:lineRule="exact"/>
        <w:rPr>
          <w:sz w:val="24"/>
          <w:szCs w:val="24"/>
          <w:color w:val="auto"/>
        </w:rPr>
      </w:pPr>
    </w:p>
    <w:p>
      <w:pPr>
        <w:ind w:right="80"/>
        <w:spacing w:after="0" w:line="245" w:lineRule="auto"/>
        <w:rPr>
          <w:sz w:val="20"/>
          <w:szCs w:val="20"/>
          <w:color w:val="auto"/>
        </w:rPr>
      </w:pPr>
      <w:r>
        <w:rPr>
          <w:rFonts w:ascii="Times New Roman" w:cs="Times New Roman" w:eastAsia="Times New Roman" w:hAnsi="Times New Roman"/>
          <w:sz w:val="17"/>
          <w:szCs w:val="17"/>
          <w:color w:val="auto"/>
        </w:rPr>
        <w:t>This registration statement on Form S-8 (this "Registration Statement") is being filed to register an additional 2,400,000 shares of common stock, $0.01 par value per share (the "Common Stock") of Wynn Resorts, Limited (the “Registrant”), reserved for issuance under the Wynn Resorts, Limited Second Amended and Restated 2014 Omnibus Incentive Plan (the "Plan"), but not previously registered, including 400,000 shares of Common Stock that may again become available for delivery with respect to awards under the Plan pursuant to certain share recycling and other terms and conditions of the Plan. The additional 2,000,000 shares of Common Stock issuable under the Plan were approved by our stockholders at our 2024 annual meeting held on May 2, 2024.</w:t>
      </w:r>
    </w:p>
    <w:p>
      <w:pPr>
        <w:spacing w:after="0" w:line="201"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Registrant previously filed a registration statement on Form S-8 (File No. 333-196113) with the Securities and Exchange Commission (the “Commission”) on May 20, 2014, and an additional registration statement on Form S-8 (File No. 333-239579) with the Commission on June 30, 2020, relating to the shares of</w:t>
      </w:r>
    </w:p>
    <w:p>
      <w:pPr>
        <w:sectPr>
          <w:pgSz w:w="11900" w:h="16906" w:orient="portrait"/>
          <w:cols w:equalWidth="0" w:num="1">
            <w:col w:w="11180"/>
          </w:cols>
          <w:pgMar w:left="320" w:top="945" w:right="399" w:bottom="0" w:gutter="0" w:footer="0" w:header="0"/>
          <w:type w:val="continuous"/>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7"/>
          <w:szCs w:val="17"/>
          <w:color w:val="auto"/>
        </w:rPr>
        <w:t>Common Stock issuable under the Plan (collectively, the “Prior Registration Statements”). The Prior Registration Statements are currently effective. This Registration Statement relates to securities of the same class as those to which the Prior Registration Statements relate and is submitted in accordance with General Instruction E of Form S-8 regarding registration of additional securities. Pursuant to General Instruction E of Form S-8, the contents of the Prior Registration</w:t>
      </w:r>
    </w:p>
    <w:p>
      <w:pPr>
        <w:sectPr>
          <w:pgSz w:w="11900" w:h="16838" w:orient="portrait"/>
          <w:cols w:equalWidth="0" w:num="1">
            <w:col w:w="11220"/>
          </w:cols>
          <w:pgMar w:left="320" w:top="110" w:right="359" w:bottom="1440" w:gutter="0" w:footer="0" w:header="0"/>
        </w:sectPr>
      </w:pPr>
    </w:p>
    <w:bookmarkStart w:id="2" w:name="page3"/>
    <w:bookmarkEnd w:id="2"/>
    <w:p>
      <w:pPr>
        <w:ind w:right="40"/>
        <w:spacing w:after="0" w:line="248" w:lineRule="auto"/>
        <w:rPr>
          <w:sz w:val="20"/>
          <w:szCs w:val="20"/>
          <w:color w:val="auto"/>
        </w:rPr>
      </w:pPr>
      <w:r>
        <w:rPr>
          <w:rFonts w:ascii="Times New Roman" w:cs="Times New Roman" w:eastAsia="Times New Roman" w:hAnsi="Times New Roman"/>
          <w:sz w:val="17"/>
          <w:szCs w:val="17"/>
          <w:color w:val="auto"/>
        </w:rPr>
        <w:t>Statements, including all attachments and exhibits thereto and the periodic and current reports that we filed with the Commission under the Securities Exchange Act of 1934, as amended, after the effectiveness of the Prior Registration Statements, are incorporated herein by reference except to the extent supplemented, amended or superseded by the information set forth herein. Any items in the Prior Registration Statements not expressly changed hereby shall be as set forth in the Prior Registration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Registration Statement:</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60" w:type="dxa"/>
            <w:vAlign w:val="bottom"/>
          </w:tcPr>
          <w:p>
            <w:pPr>
              <w:jc w:val="center"/>
              <w:ind w:right="63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06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160" w:type="dxa"/>
            <w:vAlign w:val="bottom"/>
          </w:tcPr>
          <w:p>
            <w:pPr>
              <w:jc w:val="center"/>
              <w:ind w:right="63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06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rPr>
              <w:t>4.1</w:t>
            </w:r>
          </w:p>
        </w:tc>
        <w:tc>
          <w:tcPr>
            <w:tcW w:w="9060" w:type="dxa"/>
            <w:vAlign w:val="bottom"/>
            <w:gridSpan w:val="13"/>
          </w:tcPr>
          <w:p>
            <w:pPr>
              <w:spacing w:after="0"/>
              <w:rPr>
                <w:rFonts w:ascii="Times New Roman" w:cs="Times New Roman" w:eastAsia="Times New Roman" w:hAnsi="Times New Roman"/>
                <w:sz w:val="17"/>
                <w:szCs w:val="17"/>
                <w:color w:val="0000FF"/>
              </w:rPr>
            </w:pPr>
            <w:hyperlink r:id="rId15">
              <w:r>
                <w:rPr>
                  <w:rFonts w:ascii="Times New Roman" w:cs="Times New Roman" w:eastAsia="Times New Roman" w:hAnsi="Times New Roman"/>
                  <w:sz w:val="17"/>
                  <w:szCs w:val="17"/>
                  <w:color w:val="0000FF"/>
                </w:rPr>
                <w:t>Third Amended and Restated Articles of Incorporation of the Registrant. (Incorporated by reference from the Quarterly Report on</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940" w:type="dxa"/>
            <w:vAlign w:val="bottom"/>
            <w:tcBorders>
              <w:top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5">
              <w:r>
                <w:rPr>
                  <w:rFonts w:ascii="Times New Roman" w:cs="Times New Roman" w:eastAsia="Times New Roman" w:hAnsi="Times New Roman"/>
                  <w:sz w:val="17"/>
                  <w:szCs w:val="17"/>
                  <w:color w:val="0000FF"/>
                </w:rPr>
                <w:t>Form 10-Q, filed by the Registrant on May 8, 2015.)</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rPr>
              <w:t>4.2</w:t>
            </w:r>
          </w:p>
        </w:tc>
        <w:tc>
          <w:tcPr>
            <w:tcW w:w="9060" w:type="dxa"/>
            <w:vAlign w:val="bottom"/>
            <w:gridSpan w:val="13"/>
          </w:tcPr>
          <w:p>
            <w:pPr>
              <w:spacing w:after="0"/>
              <w:rPr>
                <w:rFonts w:ascii="Times New Roman" w:cs="Times New Roman" w:eastAsia="Times New Roman" w:hAnsi="Times New Roman"/>
                <w:sz w:val="17"/>
                <w:szCs w:val="17"/>
                <w:color w:val="0000FF"/>
              </w:rPr>
            </w:pPr>
            <w:hyperlink r:id="rId16">
              <w:r>
                <w:rPr>
                  <w:rFonts w:ascii="Times New Roman" w:cs="Times New Roman" w:eastAsia="Times New Roman" w:hAnsi="Times New Roman"/>
                  <w:sz w:val="17"/>
                  <w:szCs w:val="17"/>
                  <w:color w:val="0000FF"/>
                </w:rPr>
                <w:t>Ninth Amended and Restated Bylaws of the Registrant. (Incorporated by reference from the Annual Report on Form 10-K</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filed by</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60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7"/>
                <w:szCs w:val="17"/>
                <w:color w:val="0000FF"/>
              </w:rPr>
            </w:pPr>
            <w:hyperlink r:id="rId16">
              <w:r>
                <w:rPr>
                  <w:rFonts w:ascii="Times New Roman" w:cs="Times New Roman" w:eastAsia="Times New Roman" w:hAnsi="Times New Roman"/>
                  <w:sz w:val="17"/>
                  <w:szCs w:val="17"/>
                  <w:color w:val="0000FF"/>
                </w:rPr>
                <w:t>the Registrant on February 28, 2020.)</w:t>
              </w:r>
            </w:hyperlink>
          </w:p>
        </w:tc>
        <w:tc>
          <w:tcPr>
            <w:tcW w:w="582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rPr>
              <w:t>*5.1</w:t>
            </w:r>
          </w:p>
        </w:tc>
        <w:tc>
          <w:tcPr>
            <w:tcW w:w="6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Opinion of Ellen Whittemore, Executive Vice President, General Counsel and Secretary</w:t>
            </w:r>
          </w:p>
        </w:tc>
        <w:tc>
          <w:tcPr>
            <w:tcW w:w="3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w w:val="99"/>
              </w:rPr>
              <w:t>*10.1</w:t>
            </w:r>
          </w:p>
        </w:tc>
        <w:tc>
          <w:tcPr>
            <w:tcW w:w="90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Second Amended and Restated 2014 Omnibus Incentive Plan</w:t>
            </w:r>
          </w:p>
        </w:tc>
        <w:tc>
          <w:tcPr>
            <w:tcW w:w="0" w:type="dxa"/>
            <w:vAlign w:val="bottom"/>
          </w:tcPr>
          <w:p>
            <w:pPr>
              <w:spacing w:after="0"/>
              <w:rPr>
                <w:sz w:val="1"/>
                <w:szCs w:val="1"/>
                <w:color w:val="auto"/>
              </w:rPr>
            </w:pPr>
          </w:p>
        </w:tc>
      </w:tr>
      <w:tr>
        <w:trPr>
          <w:trHeight w:val="289"/>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w w:val="99"/>
              </w:rPr>
              <w:t>*23.1</w:t>
            </w:r>
          </w:p>
        </w:tc>
        <w:tc>
          <w:tcPr>
            <w:tcW w:w="41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 Firm</w:t>
            </w:r>
          </w:p>
        </w:tc>
        <w:tc>
          <w:tcPr>
            <w:tcW w:w="100" w:type="dxa"/>
            <w:vAlign w:val="bottom"/>
            <w:tcBorders>
              <w:top w:val="single" w:sz="8" w:color="0000FF"/>
            </w:tcBorders>
          </w:tcPr>
          <w:p>
            <w:pPr>
              <w:spacing w:after="0"/>
              <w:rPr>
                <w:sz w:val="24"/>
                <w:szCs w:val="24"/>
                <w:color w:val="auto"/>
              </w:rPr>
            </w:pPr>
          </w:p>
        </w:tc>
        <w:tc>
          <w:tcPr>
            <w:tcW w:w="48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w w:val="99"/>
              </w:rPr>
              <w:t>*23.2</w:t>
            </w:r>
          </w:p>
        </w:tc>
        <w:tc>
          <w:tcPr>
            <w:tcW w:w="7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Consent of Ellen Whittemore, Executive Vice President, General Counsel and Secretary (included in Exhibit 5.1)</w:t>
            </w:r>
          </w:p>
        </w:tc>
        <w:tc>
          <w:tcPr>
            <w:tcW w:w="1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w w:val="99"/>
              </w:rPr>
              <w:t>*24.1</w:t>
            </w:r>
          </w:p>
        </w:tc>
        <w:tc>
          <w:tcPr>
            <w:tcW w:w="8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Power of Attorney of officers and directors of the Registrant (included on signature page of this registration statement)</w:t>
            </w:r>
          </w:p>
        </w:tc>
        <w:tc>
          <w:tcPr>
            <w:tcW w:w="8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160" w:type="dxa"/>
            <w:vAlign w:val="bottom"/>
          </w:tcPr>
          <w:p>
            <w:pPr>
              <w:jc w:val="center"/>
              <w:ind w:right="618"/>
              <w:spacing w:after="0"/>
              <w:rPr>
                <w:sz w:val="20"/>
                <w:szCs w:val="20"/>
                <w:color w:val="auto"/>
              </w:rPr>
            </w:pPr>
            <w:r>
              <w:rPr>
                <w:rFonts w:ascii="Times New Roman" w:cs="Times New Roman" w:eastAsia="Times New Roman" w:hAnsi="Times New Roman"/>
                <w:sz w:val="17"/>
                <w:szCs w:val="17"/>
                <w:color w:val="auto"/>
                <w:w w:val="99"/>
              </w:rPr>
              <w:t>*107</w:t>
            </w:r>
          </w:p>
        </w:tc>
        <w:tc>
          <w:tcPr>
            <w:tcW w:w="2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Calculation of Filing Fee Table</w:t>
            </w:r>
          </w:p>
        </w:tc>
        <w:tc>
          <w:tcPr>
            <w:tcW w:w="69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40" w:hanging="305"/>
        <w:spacing w:after="0"/>
        <w:tabs>
          <w:tab w:leader="none" w:pos="5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31" w:lineRule="exact"/>
        <w:rPr>
          <w:sz w:val="20"/>
          <w:szCs w:val="20"/>
          <w:color w:val="auto"/>
        </w:rPr>
      </w:pPr>
    </w:p>
    <w:p>
      <w:pPr>
        <w:ind w:left="540" w:hanging="305"/>
        <w:spacing w:after="0"/>
        <w:tabs>
          <w:tab w:leader="none" w:pos="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42" w:lineRule="exact"/>
        <w:rPr>
          <w:rFonts w:ascii="Times New Roman" w:cs="Times New Roman" w:eastAsia="Times New Roman" w:hAnsi="Times New Roman"/>
          <w:sz w:val="17"/>
          <w:szCs w:val="17"/>
          <w:color w:val="auto"/>
        </w:rPr>
      </w:pPr>
    </w:p>
    <w:p>
      <w:pPr>
        <w:ind w:left="880" w:hanging="297"/>
        <w:spacing w:after="0"/>
        <w:tabs>
          <w:tab w:leader="none" w:pos="88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7" w:lineRule="exact"/>
        <w:rPr>
          <w:rFonts w:ascii="Times New Roman" w:cs="Times New Roman" w:eastAsia="Times New Roman" w:hAnsi="Times New Roman"/>
          <w:sz w:val="17"/>
          <w:szCs w:val="17"/>
          <w:color w:val="auto"/>
        </w:rPr>
      </w:pPr>
    </w:p>
    <w:p>
      <w:pPr>
        <w:ind w:left="1320" w:hanging="311"/>
        <w:spacing w:after="0"/>
        <w:tabs>
          <w:tab w:leader="none" w:pos="132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0" w:lineRule="exact"/>
        <w:rPr>
          <w:rFonts w:ascii="Times New Roman" w:cs="Times New Roman" w:eastAsia="Times New Roman" w:hAnsi="Times New Roman"/>
          <w:sz w:val="17"/>
          <w:szCs w:val="17"/>
          <w:color w:val="auto"/>
        </w:rPr>
      </w:pPr>
    </w:p>
    <w:p>
      <w:pPr>
        <w:ind w:left="1320" w:hanging="311"/>
        <w:spacing w:after="0" w:line="253" w:lineRule="auto"/>
        <w:tabs>
          <w:tab w:leader="none" w:pos="1311"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 w:lineRule="exact"/>
        <w:rPr>
          <w:rFonts w:ascii="Times New Roman" w:cs="Times New Roman" w:eastAsia="Times New Roman" w:hAnsi="Times New Roman"/>
          <w:sz w:val="17"/>
          <w:szCs w:val="17"/>
          <w:color w:val="auto"/>
        </w:rPr>
      </w:pPr>
    </w:p>
    <w:p>
      <w:pPr>
        <w:ind w:left="1320" w:right="540" w:hanging="311"/>
        <w:spacing w:after="0" w:line="266" w:lineRule="auto"/>
        <w:tabs>
          <w:tab w:leader="none" w:pos="132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940" w:right="100"/>
        <w:spacing w:after="0" w:line="272"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and (a)(1)(ii) do not apply if the information required to be included in a post-effective amendment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190" w:lineRule="exact"/>
        <w:rPr>
          <w:sz w:val="20"/>
          <w:szCs w:val="20"/>
          <w:color w:val="auto"/>
        </w:rPr>
      </w:pPr>
    </w:p>
    <w:p>
      <w:pPr>
        <w:ind w:left="900" w:right="280" w:hanging="317"/>
        <w:spacing w:after="0" w:line="270" w:lineRule="auto"/>
        <w:tabs>
          <w:tab w:leader="none" w:pos="89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offering thereof.</w:t>
      </w:r>
    </w:p>
    <w:p>
      <w:pPr>
        <w:spacing w:after="0" w:line="191" w:lineRule="exact"/>
        <w:rPr>
          <w:rFonts w:ascii="Times New Roman" w:cs="Times New Roman" w:eastAsia="Times New Roman" w:hAnsi="Times New Roman"/>
          <w:sz w:val="17"/>
          <w:szCs w:val="17"/>
          <w:color w:val="auto"/>
        </w:rPr>
      </w:pPr>
    </w:p>
    <w:p>
      <w:pPr>
        <w:ind w:left="900" w:right="100" w:hanging="317"/>
        <w:spacing w:after="0" w:line="287" w:lineRule="auto"/>
        <w:tabs>
          <w:tab w:leader="none" w:pos="89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77" w:lineRule="exact"/>
        <w:rPr>
          <w:rFonts w:ascii="Times New Roman" w:cs="Times New Roman" w:eastAsia="Times New Roman" w:hAnsi="Times New Roman"/>
          <w:sz w:val="17"/>
          <w:szCs w:val="17"/>
          <w:color w:val="auto"/>
        </w:rPr>
      </w:pPr>
    </w:p>
    <w:p>
      <w:pPr>
        <w:ind w:left="540" w:right="40" w:hanging="305"/>
        <w:spacing w:after="0" w:line="264" w:lineRule="auto"/>
        <w:tabs>
          <w:tab w:leader="none" w:pos="53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the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97" w:lineRule="exact"/>
        <w:rPr>
          <w:rFonts w:ascii="Times New Roman" w:cs="Times New Roman" w:eastAsia="Times New Roman" w:hAnsi="Times New Roman"/>
          <w:sz w:val="17"/>
          <w:szCs w:val="17"/>
          <w:color w:val="auto"/>
        </w:rPr>
      </w:pPr>
    </w:p>
    <w:p>
      <w:pPr>
        <w:ind w:left="540" w:right="100" w:hanging="305"/>
        <w:spacing w:after="0" w:line="258" w:lineRule="auto"/>
        <w:tabs>
          <w:tab w:leader="none" w:pos="53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845" w:right="339" w:bottom="9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Las Vegas, State of Nevada, on this 12th day of August, 2024.</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WYNN RESORTS, LIMITED</w:t>
            </w:r>
          </w:p>
        </w:tc>
      </w:tr>
      <w:tr>
        <w:trPr>
          <w:trHeight w:val="477"/>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Dated: August 12, 2024</w:t>
            </w:r>
          </w:p>
        </w:tc>
        <w:tc>
          <w:tcPr>
            <w:tcW w:w="314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By:</w:t>
            </w:r>
          </w:p>
        </w:tc>
        <w:tc>
          <w:tcPr>
            <w:tcW w:w="3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Julie Cameron-Doe</w:t>
            </w:r>
          </w:p>
        </w:tc>
      </w:tr>
      <w:tr>
        <w:trPr>
          <w:trHeight w:val="196"/>
        </w:trPr>
        <w:tc>
          <w:tcPr>
            <w:tcW w:w="4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Julie Cameron-Doe</w:t>
            </w:r>
          </w:p>
        </w:tc>
      </w:tr>
      <w:tr>
        <w:trPr>
          <w:trHeight w:val="223"/>
        </w:trPr>
        <w:tc>
          <w:tcPr>
            <w:tcW w:w="4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Craig S. Billings, Julie Cameron-Doe and Ellen Whittemore and each of them, his or her true and lawful attorneys-in-fact and agents, each with full power of substitution and resubstitution, severally,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below by the following persons in the capacities and on the date indicated.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7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9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Craig S. Billings</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 Chief Executive Officer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Craig S. Billings</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Julie Cameron-Doe</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Julie Cameron Doe</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Philip G. Satre</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Non-Executive Chairman of the Board and 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Philip G. Satre</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6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Betsy S. Atkins</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Betsy S. Atkins</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Richard J. Byrne</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Richard J. Byrne</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Paul Liu</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Paul Liu</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Patricia Mulroy</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Patricia Mulroy</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Margaret J. Myers</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Margaret J. Myers</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Darnell Strom</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Darnell Strom</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Winifred Webb</w:t>
            </w:r>
          </w:p>
        </w:tc>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w:t>
            </w:r>
          </w:p>
        </w:tc>
        <w:tc>
          <w:tcPr>
            <w:tcW w:w="198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9"/>
              </w:rPr>
              <w:t>August 12, 2024</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Winifred Webb</w:t>
            </w:r>
          </w:p>
        </w:tc>
        <w:tc>
          <w:tcPr>
            <w:tcW w:w="4760" w:type="dxa"/>
            <w:vAlign w:val="bottom"/>
          </w:tcPr>
          <w:p>
            <w:pPr>
              <w:spacing w:after="0"/>
              <w:rPr>
                <w:sz w:val="18"/>
                <w:szCs w:val="18"/>
                <w:color w:val="auto"/>
              </w:rPr>
            </w:pPr>
          </w:p>
        </w:tc>
        <w:tc>
          <w:tcPr>
            <w:tcW w:w="1980" w:type="dxa"/>
            <w:vAlign w:val="bottom"/>
          </w:tcPr>
          <w:p>
            <w:pPr>
              <w:spacing w:after="0"/>
              <w:rPr>
                <w:sz w:val="18"/>
                <w:szCs w:val="18"/>
                <w:color w:val="auto"/>
              </w:rPr>
            </w:pPr>
          </w:p>
        </w:tc>
      </w:tr>
    </w:tbl>
    <w:p>
      <w:pPr>
        <w:sectPr>
          <w:pgSz w:w="11900" w:h="16838" w:orient="portrait"/>
          <w:cols w:equalWidth="0" w:num="1">
            <w:col w:w="11240"/>
          </w:cols>
          <w:pgMar w:left="320" w:top="1086" w:right="339" w:bottom="1440" w:gutter="0" w:footer="0" w:header="0"/>
        </w:sectPr>
      </w:pPr>
    </w:p>
    <w:bookmarkStart w:id="4" w:name="page5"/>
    <w:bookmarkEnd w:id="4"/>
    <w:p>
      <w:pPr>
        <w:ind w:left="2960"/>
        <w:spacing w:after="0"/>
        <w:rPr>
          <w:sz w:val="20"/>
          <w:szCs w:val="20"/>
          <w:color w:val="auto"/>
        </w:rPr>
      </w:pPr>
      <w:r>
        <w:rPr>
          <w:rFonts w:ascii="Arial" w:cs="Arial" w:eastAsia="Arial" w:hAnsi="Arial"/>
          <w:sz w:val="34"/>
          <w:szCs w:val="34"/>
          <w:b w:val="1"/>
          <w:bCs w:val="1"/>
          <w:color w:val="auto"/>
        </w:rPr>
        <w:t>Calculation of Filing Fee Tables</w:t>
      </w:r>
    </w:p>
    <w:p>
      <w:pPr>
        <w:spacing w:after="0" w:line="215" w:lineRule="exact"/>
        <w:rPr>
          <w:sz w:val="20"/>
          <w:szCs w:val="20"/>
          <w:color w:val="auto"/>
        </w:rPr>
      </w:pPr>
    </w:p>
    <w:p>
      <w:pPr>
        <w:ind w:left="5240"/>
        <w:spacing w:after="0"/>
        <w:rPr>
          <w:sz w:val="20"/>
          <w:szCs w:val="20"/>
          <w:color w:val="auto"/>
        </w:rPr>
      </w:pPr>
      <w:r>
        <w:rPr>
          <w:rFonts w:ascii="Arial" w:cs="Arial" w:eastAsia="Arial" w:hAnsi="Arial"/>
          <w:sz w:val="34"/>
          <w:szCs w:val="34"/>
          <w:b w:val="1"/>
          <w:bCs w:val="1"/>
          <w:color w:val="auto"/>
        </w:rPr>
        <w:t>S-8</w:t>
      </w:r>
    </w:p>
    <w:p>
      <w:pPr>
        <w:spacing w:after="0" w:line="125" w:lineRule="exact"/>
        <w:rPr>
          <w:sz w:val="20"/>
          <w:szCs w:val="20"/>
          <w:color w:val="auto"/>
        </w:rPr>
      </w:pPr>
    </w:p>
    <w:p>
      <w:pPr>
        <w:jc w:val="center"/>
        <w:ind w:right="120"/>
        <w:spacing w:after="0"/>
        <w:rPr>
          <w:sz w:val="20"/>
          <w:szCs w:val="20"/>
          <w:color w:val="auto"/>
        </w:rPr>
      </w:pPr>
      <w:r>
        <w:rPr>
          <w:rFonts w:ascii="Arial" w:cs="Arial" w:eastAsia="Arial" w:hAnsi="Arial"/>
          <w:sz w:val="34"/>
          <w:szCs w:val="34"/>
          <w:b w:val="1"/>
          <w:bCs w:val="1"/>
          <w:color w:val="auto"/>
        </w:rPr>
        <w:t>WYNN RESORTS LTD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Table 1: Newly Registered Securities</w:t>
      </w:r>
    </w:p>
    <w:p>
      <w:pPr>
        <w:spacing w:after="0" w:line="41" w:lineRule="exact"/>
        <w:rPr>
          <w:sz w:val="20"/>
          <w:szCs w:val="20"/>
          <w:color w:val="auto"/>
        </w:rPr>
      </w:pPr>
    </w:p>
    <w:tbl>
      <w:tblPr>
        <w:tblLayout w:type="fixed"/>
        <w:tblInd w:w="53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12" w:lineRule="exact"/>
              <w:rPr>
                <w:sz w:val="20"/>
                <w:szCs w:val="20"/>
                <w:color w:val="auto"/>
              </w:rPr>
            </w:pPr>
            <w:r>
              <w:rPr>
                <w:rFonts w:ascii="Arial" w:cs="Arial" w:eastAsia="Arial" w:hAnsi="Arial"/>
                <w:sz w:val="21"/>
                <w:szCs w:val="21"/>
                <w:b w:val="1"/>
                <w:bCs w:val="1"/>
                <w:color w:val="auto"/>
                <w:w w:val="99"/>
              </w:rPr>
              <w:t>Proposed</w:t>
            </w:r>
          </w:p>
        </w:tc>
        <w:tc>
          <w:tcPr>
            <w:tcW w:w="4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jc w:val="center"/>
              <w:spacing w:after="0" w:line="207"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7"/>
                <w:szCs w:val="17"/>
                <w:color w:val="auto"/>
              </w:rPr>
            </w:pPr>
          </w:p>
        </w:tc>
        <w:tc>
          <w:tcPr>
            <w:tcW w:w="96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jc w:val="right"/>
              <w:ind w:right="57"/>
              <w:spacing w:after="0" w:line="207"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7"/>
                <w:szCs w:val="17"/>
                <w:color w:val="auto"/>
              </w:rPr>
            </w:pPr>
          </w:p>
        </w:tc>
        <w:tc>
          <w:tcPr>
            <w:tcW w:w="1400" w:type="dxa"/>
            <w:vAlign w:val="bottom"/>
            <w:shd w:val="clear" w:color="auto" w:fill="9ADAF6"/>
          </w:tcPr>
          <w:p>
            <w:pPr>
              <w:jc w:val="center"/>
              <w:spacing w:after="0" w:line="207"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17"/>
                <w:szCs w:val="17"/>
                <w:color w:val="auto"/>
              </w:rPr>
            </w:pPr>
          </w:p>
        </w:tc>
        <w:tc>
          <w:tcPr>
            <w:tcW w:w="154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vMerge w:val="continue"/>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2"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Offering Price</w:t>
            </w:r>
          </w:p>
        </w:tc>
        <w:tc>
          <w:tcPr>
            <w:tcW w:w="40" w:type="dxa"/>
            <w:vAlign w:val="bottom"/>
          </w:tcPr>
          <w:p>
            <w:pPr>
              <w:spacing w:after="0"/>
              <w:rPr>
                <w:sz w:val="20"/>
                <w:szCs w:val="20"/>
                <w:color w:val="auto"/>
              </w:rPr>
            </w:pPr>
          </w:p>
        </w:tc>
        <w:tc>
          <w:tcPr>
            <w:tcW w:w="15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40" w:type="dxa"/>
            <w:vAlign w:val="bottom"/>
          </w:tcPr>
          <w:p>
            <w:pPr>
              <w:spacing w:after="0"/>
              <w:rPr>
                <w:sz w:val="20"/>
                <w:szCs w:val="20"/>
                <w:color w:val="auto"/>
              </w:rPr>
            </w:pPr>
          </w:p>
        </w:tc>
        <w:tc>
          <w:tcPr>
            <w:tcW w:w="15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E7E7E2"/>
          </w:tcPr>
          <w:p>
            <w:pPr>
              <w:spacing w:after="0" w:line="219"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2"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7"/>
                <w:szCs w:val="17"/>
                <w:color w:val="auto"/>
              </w:rPr>
            </w:pPr>
          </w:p>
        </w:tc>
        <w:tc>
          <w:tcPr>
            <w:tcW w:w="180" w:type="dxa"/>
            <w:vAlign w:val="bottom"/>
            <w:shd w:val="clear" w:color="auto" w:fill="E7E7E2"/>
          </w:tcPr>
          <w:p>
            <w:pPr>
              <w:jc w:val="right"/>
              <w:spacing w:after="0" w:line="207" w:lineRule="exact"/>
              <w:rPr>
                <w:sz w:val="20"/>
                <w:szCs w:val="20"/>
                <w:color w:val="auto"/>
              </w:rPr>
            </w:pPr>
            <w:r>
              <w:rPr>
                <w:rFonts w:ascii="Arial" w:cs="Arial" w:eastAsia="Arial" w:hAnsi="Arial"/>
                <w:sz w:val="21"/>
                <w:szCs w:val="21"/>
                <w:color w:val="auto"/>
              </w:rPr>
              <w:t>1</w:t>
            </w:r>
          </w:p>
        </w:tc>
        <w:tc>
          <w:tcPr>
            <w:tcW w:w="40" w:type="dxa"/>
            <w:vAlign w:val="bottom"/>
          </w:tcPr>
          <w:p>
            <w:pPr>
              <w:spacing w:after="0"/>
              <w:rPr>
                <w:sz w:val="17"/>
                <w:szCs w:val="17"/>
                <w:color w:val="auto"/>
              </w:rPr>
            </w:pPr>
          </w:p>
        </w:tc>
        <w:tc>
          <w:tcPr>
            <w:tcW w:w="940" w:type="dxa"/>
            <w:vAlign w:val="bottom"/>
            <w:shd w:val="clear" w:color="auto" w:fill="E7E7E2"/>
          </w:tcPr>
          <w:p>
            <w:pPr>
              <w:spacing w:after="0" w:line="207"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17"/>
                <w:szCs w:val="17"/>
                <w:color w:val="auto"/>
              </w:rPr>
            </w:pPr>
          </w:p>
        </w:tc>
        <w:tc>
          <w:tcPr>
            <w:tcW w:w="960" w:type="dxa"/>
            <w:vAlign w:val="bottom"/>
            <w:shd w:val="clear" w:color="auto" w:fill="E7E7E2"/>
          </w:tcPr>
          <w:p>
            <w:pPr>
              <w:spacing w:after="0" w:line="207"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17"/>
                <w:szCs w:val="17"/>
                <w:color w:val="auto"/>
              </w:rPr>
            </w:pPr>
          </w:p>
        </w:tc>
        <w:tc>
          <w:tcPr>
            <w:tcW w:w="1160" w:type="dxa"/>
            <w:vAlign w:val="bottom"/>
            <w:shd w:val="clear" w:color="auto" w:fill="E7E7E2"/>
          </w:tcPr>
          <w:p>
            <w:pPr>
              <w:jc w:val="center"/>
              <w:spacing w:after="0" w:line="207" w:lineRule="exact"/>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17"/>
                <w:szCs w:val="17"/>
                <w:color w:val="auto"/>
              </w:rPr>
            </w:pPr>
          </w:p>
        </w:tc>
        <w:tc>
          <w:tcPr>
            <w:tcW w:w="1100" w:type="dxa"/>
            <w:vAlign w:val="bottom"/>
            <w:shd w:val="clear" w:color="auto" w:fill="E7E7E2"/>
          </w:tcPr>
          <w:p>
            <w:pPr>
              <w:jc w:val="right"/>
              <w:spacing w:after="0" w:line="207" w:lineRule="exact"/>
              <w:rPr>
                <w:sz w:val="20"/>
                <w:szCs w:val="20"/>
                <w:color w:val="auto"/>
              </w:rPr>
            </w:pPr>
            <w:r>
              <w:rPr>
                <w:rFonts w:ascii="Arial" w:cs="Arial" w:eastAsia="Arial" w:hAnsi="Arial"/>
                <w:sz w:val="21"/>
                <w:szCs w:val="21"/>
                <w:color w:val="auto"/>
              </w:rPr>
              <w:t>2,400,000</w:t>
            </w:r>
          </w:p>
        </w:tc>
        <w:tc>
          <w:tcPr>
            <w:tcW w:w="20" w:type="dxa"/>
            <w:vAlign w:val="bottom"/>
          </w:tcPr>
          <w:p>
            <w:pPr>
              <w:spacing w:after="0"/>
              <w:rPr>
                <w:sz w:val="17"/>
                <w:szCs w:val="17"/>
                <w:color w:val="auto"/>
              </w:rPr>
            </w:pPr>
          </w:p>
        </w:tc>
        <w:tc>
          <w:tcPr>
            <w:tcW w:w="1400" w:type="dxa"/>
            <w:vAlign w:val="bottom"/>
            <w:shd w:val="clear" w:color="auto" w:fill="E7E7E2"/>
          </w:tcPr>
          <w:p>
            <w:pPr>
              <w:jc w:val="right"/>
              <w:spacing w:after="0" w:line="207" w:lineRule="exact"/>
              <w:rPr>
                <w:sz w:val="20"/>
                <w:szCs w:val="20"/>
                <w:color w:val="auto"/>
              </w:rPr>
            </w:pPr>
            <w:r>
              <w:rPr>
                <w:rFonts w:ascii="Arial" w:cs="Arial" w:eastAsia="Arial" w:hAnsi="Arial"/>
                <w:sz w:val="21"/>
                <w:szCs w:val="21"/>
                <w:color w:val="auto"/>
              </w:rPr>
              <w:t>$ 75.44</w:t>
            </w:r>
          </w:p>
        </w:tc>
        <w:tc>
          <w:tcPr>
            <w:tcW w:w="40" w:type="dxa"/>
            <w:vAlign w:val="bottom"/>
          </w:tcPr>
          <w:p>
            <w:pPr>
              <w:spacing w:after="0"/>
              <w:rPr>
                <w:sz w:val="17"/>
                <w:szCs w:val="17"/>
                <w:color w:val="auto"/>
              </w:rPr>
            </w:pPr>
          </w:p>
        </w:tc>
        <w:tc>
          <w:tcPr>
            <w:tcW w:w="1540" w:type="dxa"/>
            <w:vAlign w:val="bottom"/>
            <w:vMerge w:val="continue"/>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E7E7E2"/>
          </w:tcPr>
          <w:p>
            <w:pPr>
              <w:jc w:val="right"/>
              <w:spacing w:after="0" w:line="207" w:lineRule="exact"/>
              <w:rPr>
                <w:sz w:val="20"/>
                <w:szCs w:val="20"/>
                <w:color w:val="auto"/>
              </w:rPr>
            </w:pPr>
            <w:r>
              <w:rPr>
                <w:rFonts w:ascii="Arial" w:cs="Arial" w:eastAsia="Arial" w:hAnsi="Arial"/>
                <w:sz w:val="21"/>
                <w:szCs w:val="21"/>
                <w:color w:val="auto"/>
                <w:w w:val="98"/>
              </w:rPr>
              <w:t>0.0001476</w:t>
            </w:r>
          </w:p>
        </w:tc>
        <w:tc>
          <w:tcPr>
            <w:tcW w:w="20" w:type="dxa"/>
            <w:vAlign w:val="bottom"/>
          </w:tcPr>
          <w:p>
            <w:pPr>
              <w:spacing w:after="0"/>
              <w:rPr>
                <w:sz w:val="17"/>
                <w:szCs w:val="17"/>
                <w:color w:val="auto"/>
              </w:rPr>
            </w:pPr>
          </w:p>
        </w:tc>
        <w:tc>
          <w:tcPr>
            <w:tcW w:w="1520" w:type="dxa"/>
            <w:vAlign w:val="bottom"/>
            <w:shd w:val="clear" w:color="auto" w:fill="E7E7E2"/>
          </w:tcPr>
          <w:p>
            <w:pPr>
              <w:jc w:val="right"/>
              <w:spacing w:after="0" w:line="207" w:lineRule="exact"/>
              <w:rPr>
                <w:sz w:val="20"/>
                <w:szCs w:val="20"/>
                <w:color w:val="auto"/>
              </w:rPr>
            </w:pPr>
            <w:r>
              <w:rPr>
                <w:rFonts w:ascii="Arial" w:cs="Arial" w:eastAsia="Arial" w:hAnsi="Arial"/>
                <w:sz w:val="21"/>
                <w:szCs w:val="21"/>
                <w:color w:val="auto"/>
              </w:rPr>
              <w:t>$ 26,723.87</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shd w:val="clear" w:color="auto" w:fill="E7E7E2"/>
          </w:tcPr>
          <w:p>
            <w:pPr>
              <w:jc w:val="right"/>
              <w:spacing w:after="0" w:line="232" w:lineRule="exact"/>
              <w:rPr>
                <w:sz w:val="20"/>
                <w:szCs w:val="20"/>
                <w:color w:val="auto"/>
              </w:rPr>
            </w:pPr>
            <w:r>
              <w:rPr>
                <w:rFonts w:ascii="Arial" w:cs="Arial" w:eastAsia="Arial" w:hAnsi="Arial"/>
                <w:sz w:val="21"/>
                <w:szCs w:val="21"/>
                <w:color w:val="auto"/>
              </w:rPr>
              <w:t>181,056,000.00</w:t>
            </w: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18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vMerge w:val="continue"/>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shd w:val="clear" w:color="auto" w:fill="E7E7E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$ 26,723.87</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181,056,000.00</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$ 26,723.87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69" w:lineRule="exact"/>
        <w:rPr>
          <w:sz w:val="20"/>
          <w:szCs w:val="20"/>
          <w:color w:val="auto"/>
        </w:rPr>
      </w:pPr>
    </w:p>
    <w:p>
      <w:pPr>
        <w:ind w:left="220" w:right="100"/>
        <w:spacing w:after="0" w:line="264" w:lineRule="auto"/>
        <w:rPr>
          <w:sz w:val="20"/>
          <w:szCs w:val="20"/>
          <w:color w:val="auto"/>
        </w:rPr>
      </w:pPr>
      <w:r>
        <w:rPr>
          <w:rFonts w:ascii="Arial" w:cs="Arial" w:eastAsia="Arial" w:hAnsi="Arial"/>
          <w:sz w:val="20"/>
          <w:szCs w:val="20"/>
          <w:color w:val="auto"/>
        </w:rPr>
        <w:t>Pursuant to Rule 416 under the Securities Act of 1933, as amended (the "Securities Act"), this Registration Statement shall be deemed to cover any additional shares of the Registrant's Common Stock in respect of the securities identified in the above table as a result of any stock dividend, stock split, recapitalization or other similar transaction.</w:t>
      </w:r>
    </w:p>
    <w:p>
      <w:pPr>
        <w:spacing w:after="0" w:line="169" w:lineRule="exact"/>
        <w:rPr>
          <w:sz w:val="20"/>
          <w:szCs w:val="20"/>
          <w:color w:val="auto"/>
        </w:rPr>
      </w:pPr>
    </w:p>
    <w:p>
      <w:pPr>
        <w:ind w:left="220" w:right="40"/>
        <w:spacing w:after="0" w:line="238" w:lineRule="auto"/>
        <w:rPr>
          <w:sz w:val="20"/>
          <w:szCs w:val="20"/>
          <w:color w:val="auto"/>
        </w:rPr>
      </w:pPr>
      <w:r>
        <w:rPr>
          <w:rFonts w:ascii="Arial" w:cs="Arial" w:eastAsia="Arial" w:hAnsi="Arial"/>
          <w:sz w:val="21"/>
          <w:szCs w:val="21"/>
          <w:color w:val="auto"/>
        </w:rPr>
        <w:t>The proposed maximum aggregate offering price per unit and the maximum aggregate offering price is estimated solely for the purpose of calculating the registration fee. Pursuant to Rule 457(c) and Rule 457(h)(1) under the Securities Act, the proposed maximum offering price per share, the proposed maximum aggregate offering price and the amount of registration fee have been computed on the basis of the average of the high and low prices of the Common Stock reported on the NASDAQ Global Select Market on August 6, 2024.</w:t>
      </w:r>
    </w:p>
    <w:p>
      <w:pPr>
        <w:spacing w:after="0" w:line="195" w:lineRule="exact"/>
        <w:rPr>
          <w:sz w:val="20"/>
          <w:szCs w:val="20"/>
          <w:color w:val="auto"/>
        </w:rPr>
      </w:pPr>
    </w:p>
    <w:p>
      <w:pPr>
        <w:ind w:left="220"/>
        <w:spacing w:after="0" w:line="261" w:lineRule="auto"/>
        <w:rPr>
          <w:sz w:val="20"/>
          <w:szCs w:val="20"/>
          <w:color w:val="auto"/>
        </w:rPr>
      </w:pPr>
      <w:r>
        <w:rPr>
          <w:rFonts w:ascii="Arial" w:cs="Arial" w:eastAsia="Arial" w:hAnsi="Arial"/>
          <w:sz w:val="21"/>
          <w:szCs w:val="21"/>
          <w:color w:val="auto"/>
        </w:rPr>
        <w:t>The number of shares regristered represents shares of Common Stock authorized for issuance under the Amended and Restated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63500</wp:posOffset>
            </wp:positionV>
            <wp:extent cx="699198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1985" cy="41910"/>
                    </a:xfrm>
                    <a:prstGeom prst="rect">
                      <a:avLst/>
                    </a:prstGeom>
                    <a:noFill/>
                  </pic:spPr>
                </pic:pic>
              </a:graphicData>
            </a:graphic>
          </wp:anchor>
        </w:drawing>
      </w:r>
    </w:p>
    <w:p>
      <w:pPr>
        <w:sectPr>
          <w:pgSz w:w="11900" w:h="16838" w:orient="portrait"/>
          <w:cols w:equalWidth="0" w:num="1">
            <w:col w:w="11140"/>
          </w:cols>
          <w:pgMar w:left="360" w:top="141"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12,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Wynn Resorts,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Las Vegas, Nevada 89109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4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7"/>
          <w:szCs w:val="17"/>
          <w:color w:val="auto"/>
        </w:rPr>
        <w:t>I am General Counsel and Secretary of Wynn Resorts, Limited, a Nevada corporation (the “Corporation”). The Corporation is registering with the Securities and Exchange Commission (the “Commission”) on a registration statement on Form S-8 (the “Registration Statement”) under the Securities Act of 1933, as amended (the “Act”), 2,400,000 shares of the Company’s Common Stock, par value $0.01 per share (“Common Stock”), issuable under the Wynn Resorts, Limited Second Amended and Restated 2014 Omnibus Incentive Plan (the “Plan”), including shares that may again become available for delivery with respect to awards under the Plan pursuant to certain share recycling and other terms and conditions of the Plan (the “Shares”).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rendering the opinions hereinafter expressed, I have examined the Registration Statement, the Plan, and the Corporation’s Articles of Incorporation and Bylaws, each as amended to date. I have also examined and relied upon such corporate records of the Corporation and other documents and certificates with respect to factual matters as I have deemed necessary to render the opinion expressed herein. Without limiting the generality of the foregoing, I have assumed without independent verification, that (i) each document I reviewed has been duly and validly executed and delivered by each party thereto to the extent due execution and delivery are a prerequisite to the effectiveness thereof, (ii) each natural person executing a document has sufficient legal capacity to do so, and (iii) all original documents reviewed are authentic, the signatures on all documents examined are genuine, and all certified, conformed, photostatic or facsimile copies of documents reviewed conform to the original document.</w:t>
      </w:r>
    </w:p>
    <w:p>
      <w:pPr>
        <w:spacing w:after="0" w:line="20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the basis of the foregoing, and in reliance thereon, and having regard to legal considerations and other relevant information, I am of the opinion that the Shares are duly authorized, and when the Registration Statement related to the Shares becomes effective under the Act, to the extent issued in accordance with the Plan and the award agreements thereunder, will be validly issued, fully paid and nonassessable provided that any Shares issued pursuant to certain deferred payment arrangements will be fully paid when such deferred payments are made in full pursuant to the Plan and the award agreements thereunder.</w:t>
      </w:r>
    </w:p>
    <w:p>
      <w:pPr>
        <w:spacing w:after="0" w:line="19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opinions set forth herein are expressly limited to the effect of the general corporate laws of the State of Nevada as in effect as of the date hereof and does not extend to or express any opinion concerning any other laws, including any federal securities law, or any state securities or “blue sky” laws or regulations.</w:t>
      </w:r>
    </w:p>
    <w:p>
      <w:pPr>
        <w:spacing w:after="0" w:line="17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I hereby consent to the filing of this opinion with the Commission as Exhibit 5.1 to the Registration Statement. In giving this consent, I do not thereby admit that I am within the category of persons whose consent is required under Section 7 of the Act, or the rules and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/s/ Ellen</w:t>
      </w:r>
    </w:p>
    <w:p>
      <w:pPr>
        <w:ind w:left="4980"/>
        <w:spacing w:after="0"/>
        <w:rPr>
          <w:sz w:val="20"/>
          <w:szCs w:val="20"/>
          <w:color w:val="auto"/>
        </w:rPr>
      </w:pPr>
      <w:r>
        <w:rPr>
          <w:rFonts w:ascii="Times New Roman" w:cs="Times New Roman" w:eastAsia="Times New Roman" w:hAnsi="Times New Roman"/>
          <w:sz w:val="17"/>
          <w:szCs w:val="17"/>
          <w:color w:val="auto"/>
        </w:rPr>
        <w:t>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13970</wp:posOffset>
            </wp:positionV>
            <wp:extent cx="835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Ellen Whittemore</w:t>
      </w:r>
    </w:p>
    <w:p>
      <w:pPr>
        <w:sectPr>
          <w:pgSz w:w="11900" w:h="16838" w:orient="portrait"/>
          <w:cols w:equalWidth="0" w:num="1">
            <w:col w:w="11240"/>
          </w:cols>
          <w:pgMar w:left="320" w:top="13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b w:val="1"/>
          <w:bCs w:val="1"/>
          <w:color w:val="auto"/>
        </w:rPr>
        <w:t>WYNN RESORTS, LIMITED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SECOND AMENDED AND RESTATED 2014 OMNIBUS INCENTIVE PLAN</w:t>
      </w:r>
    </w:p>
    <w:p>
      <w:pPr>
        <w:spacing w:after="0" w:line="2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21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The purpose of the Wynn Resorts, Limited Second Amended and Restated 2014 Omnibus Incentive Plan (as it may be amended or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is to promote the success and enhance the value of Wynn Resorts, Limited, a Nevada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 AND CONSTRUCTION</w:t>
      </w:r>
    </w:p>
    <w:p>
      <w:pPr>
        <w:spacing w:after="0" w:line="21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5" w:lineRule="exact"/>
        <w:rPr>
          <w:sz w:val="20"/>
          <w:szCs w:val="20"/>
          <w:color w:val="auto"/>
        </w:rPr>
      </w:pPr>
    </w:p>
    <w:p>
      <w:pPr>
        <w:jc w:val="both"/>
        <w:ind w:left="160" w:firstLine="619"/>
        <w:spacing w:after="0" w:line="256" w:lineRule="auto"/>
        <w:rPr>
          <w:sz w:val="20"/>
          <w:szCs w:val="20"/>
          <w:color w:val="auto"/>
        </w:rPr>
      </w:pPr>
      <w:r>
        <w:rPr>
          <w:rFonts w:ascii="Times New Roman" w:cs="Times New Roman" w:eastAsia="Times New Roman" w:hAnsi="Times New Roman"/>
          <w:sz w:val="21"/>
          <w:szCs w:val="21"/>
          <w:color w:val="auto"/>
        </w:rPr>
        <w:t>2.1 “</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69" w:lineRule="exact"/>
        <w:rPr>
          <w:sz w:val="20"/>
          <w:szCs w:val="20"/>
          <w:color w:val="auto"/>
        </w:rPr>
      </w:pPr>
    </w:p>
    <w:p>
      <w:pPr>
        <w:ind w:left="780"/>
        <w:spacing w:after="0"/>
        <w:tabs>
          <w:tab w:leader="none" w:pos="122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any Parent or Subsidiary.</w:t>
      </w:r>
    </w:p>
    <w:p>
      <w:pPr>
        <w:spacing w:after="0" w:line="210" w:lineRule="exact"/>
        <w:rPr>
          <w:sz w:val="20"/>
          <w:szCs w:val="20"/>
          <w:color w:val="auto"/>
        </w:rPr>
      </w:pPr>
    </w:p>
    <w:p>
      <w:pPr>
        <w:jc w:val="both"/>
        <w:ind w:left="160" w:firstLine="619"/>
        <w:spacing w:after="0" w:line="262" w:lineRule="auto"/>
        <w:rPr>
          <w:sz w:val="20"/>
          <w:szCs w:val="20"/>
          <w:color w:val="auto"/>
        </w:rPr>
      </w:pPr>
      <w:r>
        <w:rPr>
          <w:rFonts w:ascii="Times New Roman" w:cs="Times New Roman" w:eastAsia="Times New Roman" w:hAnsi="Times New Roman"/>
          <w:sz w:val="21"/>
          <w:szCs w:val="21"/>
          <w:color w:val="auto"/>
        </w:rPr>
        <w:t>2.3 “</w:t>
      </w:r>
      <w:r>
        <w:rPr>
          <w:rFonts w:ascii="Times New Roman" w:cs="Times New Roman" w:eastAsia="Times New Roman" w:hAnsi="Times New Roman"/>
          <w:sz w:val="21"/>
          <w:szCs w:val="21"/>
          <w:u w:val="single" w:color="auto"/>
          <w:color w:val="auto"/>
        </w:rPr>
        <w:t>Applicable Accounting Standards</w:t>
      </w:r>
      <w:r>
        <w:rPr>
          <w:rFonts w:ascii="Times New Roman" w:cs="Times New Roman" w:eastAsia="Times New Roman" w:hAnsi="Times New Roman"/>
          <w:sz w:val="21"/>
          <w:szCs w:val="21"/>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63" w:lineRule="exact"/>
        <w:rPr>
          <w:sz w:val="20"/>
          <w:szCs w:val="20"/>
          <w:color w:val="auto"/>
        </w:rPr>
      </w:pPr>
    </w:p>
    <w:p>
      <w:pPr>
        <w:jc w:val="both"/>
        <w:ind w:left="160" w:firstLine="619"/>
        <w:spacing w:after="0" w:line="252" w:lineRule="auto"/>
        <w:rPr>
          <w:sz w:val="20"/>
          <w:szCs w:val="20"/>
          <w:color w:val="auto"/>
        </w:rPr>
      </w:pPr>
      <w:r>
        <w:rPr>
          <w:rFonts w:ascii="Times New Roman" w:cs="Times New Roman" w:eastAsia="Times New Roman" w:hAnsi="Times New Roman"/>
          <w:sz w:val="21"/>
          <w:szCs w:val="21"/>
          <w:color w:val="auto"/>
        </w:rPr>
        <w:t>2.4 “</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7" w:name="page8"/>
    <w:bookmarkEnd w:id="7"/>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2.5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 w:cs="Times New Roman" w:eastAsia="Times New Roman" w:hAnsi="Times New Roman"/>
          <w:sz w:val="21"/>
          <w:szCs w:val="21"/>
          <w:u w:val="single" w:color="auto"/>
          <w:color w:val="auto"/>
        </w:rPr>
        <w:t>Awards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2.6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2.7 “</w:t>
      </w:r>
      <w:r>
        <w:rPr>
          <w:rFonts w:ascii="Times New Roman" w:cs="Times New Roman" w:eastAsia="Times New Roman" w:hAnsi="Times New Roman"/>
          <w:sz w:val="21"/>
          <w:szCs w:val="21"/>
          <w:u w:val="single" w:color="auto"/>
          <w:color w:val="auto"/>
        </w:rPr>
        <w:t>Award Limit</w:t>
      </w:r>
      <w:r>
        <w:rPr>
          <w:rFonts w:ascii="Times New Roman" w:cs="Times New Roman" w:eastAsia="Times New Roman" w:hAnsi="Times New Roman"/>
          <w:sz w:val="21"/>
          <w:szCs w:val="21"/>
          <w:color w:val="auto"/>
        </w:rPr>
        <w:t>” shall mean with respect to Awards that shall be payable in Shares or in cash, as the case may be, the respective limit set forth in Section 3.3.</w:t>
      </w:r>
    </w:p>
    <w:p>
      <w:pPr>
        <w:spacing w:after="0" w:line="168"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21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2.9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Times New Roman" w:cs="Times New Roman" w:eastAsia="Times New Roman" w:hAnsi="Times New Roman"/>
          <w:sz w:val="21"/>
          <w:szCs w:val="21"/>
          <w:u w:val="single" w:color="auto"/>
          <w:color w:val="auto"/>
        </w:rPr>
        <w:t>Approved Directors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For purposes of determining whether a Change in Control has occurred, the following Persons and Groups shall not be deemed to be “unrelated”: (i) any Person or Group directly or indirectly having Beneficial Ownership of more than fifty percent (50%) of the issued and outstanding voting power of Company’s voting securities immediately before the transaction in question, (ii) any Person or Group of which the Company has Beneficial Ownership of more than fifty percent (50%) of the voting power of the issued and outstanding voting securities immediately before the transaction in question, and (iii)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80"/>
          </w:cols>
          <w:pgMar w:left="480" w:top="1365" w:right="339" w:bottom="1440" w:gutter="0" w:footer="0" w:header="0"/>
        </w:sectPr>
      </w:pPr>
    </w:p>
    <w:bookmarkStart w:id="8" w:name="page9"/>
    <w:bookmarkEnd w:id="8"/>
    <w:p>
      <w:pPr>
        <w:ind w:left="2"/>
        <w:spacing w:after="0"/>
        <w:rPr>
          <w:sz w:val="20"/>
          <w:szCs w:val="20"/>
          <w:color w:val="auto"/>
        </w:rPr>
      </w:pPr>
      <w:r>
        <w:rPr>
          <w:rFonts w:ascii="Times New Roman" w:cs="Times New Roman" w:eastAsia="Times New Roman" w:hAnsi="Times New Roman"/>
          <w:sz w:val="21"/>
          <w:szCs w:val="21"/>
          <w:color w:val="auto"/>
        </w:rPr>
        <w:t>Ownership” shall have the meanings used in the Exchange Act and the rules and regulations promulgated thereunder.</w:t>
      </w:r>
    </w:p>
    <w:p>
      <w:pPr>
        <w:spacing w:after="0" w:line="210"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21"/>
          <w:szCs w:val="21"/>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Times New Roman" w:cs="Times New Roman" w:eastAsia="Times New Roman" w:hAnsi="Times New Roman"/>
          <w:sz w:val="21"/>
          <w:szCs w:val="21"/>
          <w:u w:val="single" w:color="auto"/>
          <w:color w:val="auto"/>
        </w:rPr>
        <w:t>Proxy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Contest</w:t>
      </w:r>
      <w:r>
        <w:rPr>
          <w:rFonts w:ascii="Times New Roman" w:cs="Times New Roman" w:eastAsia="Times New Roman" w:hAnsi="Times New Roman"/>
          <w:sz w:val="21"/>
          <w:szCs w:val="21"/>
          <w:color w:val="auto"/>
        </w:rPr>
        <w:t>”), or as a result of an agreement to avoid or settle an Election Contest or Proxy Contest.</w:t>
      </w:r>
    </w:p>
    <w:p>
      <w:pPr>
        <w:spacing w:after="0" w:line="169"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21"/>
          <w:szCs w:val="21"/>
          <w:color w:val="auto"/>
        </w:rPr>
        <w:t>In addition, if a Change in Control constitutes a payment event with respect to any portion of an Award which provides for the deferral of compensation and is subject to Section 409A of the Code, the transaction or event described in subsection (a), (b), (c) or</w:t>
      </w:r>
    </w:p>
    <w:p>
      <w:pPr>
        <w:spacing w:after="0" w:line="1" w:lineRule="exact"/>
        <w:rPr>
          <w:sz w:val="20"/>
          <w:szCs w:val="20"/>
          <w:color w:val="auto"/>
        </w:rPr>
      </w:pPr>
    </w:p>
    <w:p>
      <w:pPr>
        <w:ind w:left="2" w:hanging="2"/>
        <w:spacing w:after="0" w:line="260" w:lineRule="auto"/>
        <w:tabs>
          <w:tab w:leader="none" w:pos="29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such Award (or portion thereof) must also constitute a “change in control event,” as defined in Treasury Regulation §1.409A-3(i)(5) to the extent required by Section 409A.</w:t>
      </w:r>
    </w:p>
    <w:p>
      <w:pPr>
        <w:spacing w:after="0" w:line="164" w:lineRule="exact"/>
        <w:rPr>
          <w:sz w:val="20"/>
          <w:szCs w:val="20"/>
          <w:color w:val="auto"/>
        </w:rPr>
      </w:pPr>
    </w:p>
    <w:p>
      <w:pPr>
        <w:jc w:val="both"/>
        <w:ind w:left="2"/>
        <w:spacing w:after="0" w:line="249" w:lineRule="auto"/>
        <w:rPr>
          <w:sz w:val="20"/>
          <w:szCs w:val="20"/>
          <w:color w:val="auto"/>
        </w:rPr>
      </w:pPr>
      <w:r>
        <w:rPr>
          <w:rFonts w:ascii="Times New Roman" w:cs="Times New Roman" w:eastAsia="Times New Roman" w:hAnsi="Times New Roman"/>
          <w:sz w:val="21"/>
          <w:szCs w:val="21"/>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191" w:lineRule="exact"/>
        <w:rPr>
          <w:sz w:val="20"/>
          <w:szCs w:val="20"/>
          <w:color w:val="auto"/>
        </w:rPr>
      </w:pPr>
    </w:p>
    <w:p>
      <w:pPr>
        <w:jc w:val="both"/>
        <w:ind w:left="2" w:firstLine="619"/>
        <w:spacing w:after="0" w:line="269" w:lineRule="auto"/>
        <w:rPr>
          <w:sz w:val="20"/>
          <w:szCs w:val="20"/>
          <w:color w:val="auto"/>
        </w:rPr>
      </w:pPr>
      <w:r>
        <w:rPr>
          <w:rFonts w:ascii="Times New Roman" w:cs="Times New Roman" w:eastAsia="Times New Roman" w:hAnsi="Times New Roman"/>
          <w:sz w:val="21"/>
          <w:szCs w:val="21"/>
          <w:color w:val="auto"/>
        </w:rPr>
        <w:t>2.10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from time to time, together with the regulations and official guidance promulgated thereunder.</w:t>
      </w:r>
    </w:p>
    <w:p>
      <w:pPr>
        <w:spacing w:after="0" w:line="155" w:lineRule="exact"/>
        <w:rPr>
          <w:sz w:val="20"/>
          <w:szCs w:val="20"/>
          <w:color w:val="auto"/>
        </w:rPr>
      </w:pPr>
    </w:p>
    <w:p>
      <w:pPr>
        <w:jc w:val="both"/>
        <w:ind w:left="2" w:firstLine="619"/>
        <w:spacing w:after="0" w:line="269" w:lineRule="auto"/>
        <w:rPr>
          <w:sz w:val="20"/>
          <w:szCs w:val="20"/>
          <w:color w:val="auto"/>
        </w:rPr>
      </w:pPr>
      <w:r>
        <w:rPr>
          <w:rFonts w:ascii="Times New Roman" w:cs="Times New Roman" w:eastAsia="Times New Roman" w:hAnsi="Times New Roman"/>
          <w:sz w:val="21"/>
          <w:szCs w:val="21"/>
          <w:color w:val="auto"/>
        </w:rPr>
        <w:t>2.11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shall mean the Compensation Committee of the Board, or another committee or subcommittee of the Board, appointed as provided in Section 13.1.</w:t>
      </w:r>
    </w:p>
    <w:p>
      <w:pPr>
        <w:spacing w:after="0" w:line="155"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21"/>
          <w:szCs w:val="21"/>
          <w:color w:val="auto"/>
        </w:rPr>
        <w:t>2.12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common stock of the Company.</w:t>
      </w:r>
    </w:p>
    <w:p>
      <w:pPr>
        <w:spacing w:after="0" w:line="223"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21"/>
          <w:szCs w:val="21"/>
          <w:color w:val="auto"/>
        </w:rPr>
        <w:t>2.13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have the meaning set forth in Article 1.</w:t>
      </w:r>
    </w:p>
    <w:p>
      <w:pPr>
        <w:spacing w:after="0" w:line="210" w:lineRule="exact"/>
        <w:rPr>
          <w:sz w:val="20"/>
          <w:szCs w:val="20"/>
          <w:color w:val="auto"/>
        </w:rPr>
      </w:pPr>
    </w:p>
    <w:p>
      <w:pPr>
        <w:jc w:val="both"/>
        <w:ind w:left="2" w:firstLine="619"/>
        <w:spacing w:after="0" w:line="256" w:lineRule="auto"/>
        <w:rPr>
          <w:sz w:val="20"/>
          <w:szCs w:val="20"/>
          <w:color w:val="auto"/>
        </w:rPr>
      </w:pPr>
      <w:r>
        <w:rPr>
          <w:rFonts w:ascii="Times New Roman" w:cs="Times New Roman" w:eastAsia="Times New Roman" w:hAnsi="Times New Roman"/>
          <w:sz w:val="21"/>
          <w:szCs w:val="21"/>
          <w:color w:val="auto"/>
        </w:rPr>
        <w:t>2.14 “</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68" w:lineRule="exact"/>
        <w:rPr>
          <w:sz w:val="20"/>
          <w:szCs w:val="20"/>
          <w:color w:val="auto"/>
        </w:rPr>
      </w:pPr>
    </w:p>
    <w:p>
      <w:pPr>
        <w:jc w:val="both"/>
        <w:ind w:left="2" w:firstLine="619"/>
        <w:spacing w:after="0" w:line="282" w:lineRule="auto"/>
        <w:rPr>
          <w:sz w:val="20"/>
          <w:szCs w:val="20"/>
          <w:color w:val="auto"/>
        </w:rPr>
      </w:pPr>
      <w:r>
        <w:rPr>
          <w:rFonts w:ascii="Times New Roman" w:cs="Times New Roman" w:eastAsia="Times New Roman" w:hAnsi="Times New Roman"/>
          <w:sz w:val="21"/>
          <w:szCs w:val="21"/>
          <w:color w:val="auto"/>
        </w:rPr>
        <w:t>2.15 “</w:t>
      </w:r>
      <w:r>
        <w:rPr>
          <w:rFonts w:ascii="Times New Roman" w:cs="Times New Roman" w:eastAsia="Times New Roman" w:hAnsi="Times New Roman"/>
          <w:sz w:val="21"/>
          <w:szCs w:val="21"/>
          <w:u w:val="single" w:color="auto"/>
          <w:color w:val="auto"/>
        </w:rPr>
        <w:t>Covered Employee</w:t>
      </w:r>
      <w:r>
        <w:rPr>
          <w:rFonts w:ascii="Times New Roman" w:cs="Times New Roman" w:eastAsia="Times New Roman" w:hAnsi="Times New Roman"/>
          <w:sz w:val="21"/>
          <w:szCs w:val="21"/>
          <w:color w:val="auto"/>
        </w:rPr>
        <w:t>” shall mean any Employee who is, or could be, a “covered employee” within the meaning of Section 162(m) of the Code.</w:t>
      </w:r>
    </w:p>
    <w:p>
      <w:pPr>
        <w:spacing w:after="0" w:line="142"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21"/>
          <w:szCs w:val="21"/>
          <w:color w:val="auto"/>
        </w:rPr>
        <w:t>2.16 “</w:t>
      </w:r>
      <w:r>
        <w:rPr>
          <w:rFonts w:ascii="Times New Roman" w:cs="Times New Roman" w:eastAsia="Times New Roman" w:hAnsi="Times New Roman"/>
          <w:sz w:val="21"/>
          <w:szCs w:val="21"/>
          <w:u w:val="single" w:color="auto"/>
          <w:color w:val="auto"/>
        </w:rPr>
        <w:t>Deferred Stock</w:t>
      </w:r>
      <w:r>
        <w:rPr>
          <w:rFonts w:ascii="Times New Roman" w:cs="Times New Roman" w:eastAsia="Times New Roman" w:hAnsi="Times New Roman"/>
          <w:sz w:val="21"/>
          <w:szCs w:val="21"/>
          <w:color w:val="auto"/>
        </w:rPr>
        <w:t>” shall mean a right to receive Shares awarded under Section 10.4.</w:t>
      </w:r>
    </w:p>
    <w:p>
      <w:pPr>
        <w:spacing w:after="0" w:line="210" w:lineRule="exact"/>
        <w:rPr>
          <w:sz w:val="20"/>
          <w:szCs w:val="20"/>
          <w:color w:val="auto"/>
        </w:rPr>
      </w:pPr>
    </w:p>
    <w:p>
      <w:pPr>
        <w:ind w:left="622"/>
        <w:spacing w:after="0"/>
        <w:rPr>
          <w:sz w:val="20"/>
          <w:szCs w:val="20"/>
          <w:color w:val="auto"/>
        </w:rPr>
      </w:pPr>
      <w:r>
        <w:rPr>
          <w:rFonts w:ascii="Times New Roman" w:cs="Times New Roman" w:eastAsia="Times New Roman" w:hAnsi="Times New Roman"/>
          <w:sz w:val="21"/>
          <w:szCs w:val="21"/>
          <w:color w:val="auto"/>
        </w:rPr>
        <w:t>2.17 “</w:t>
      </w:r>
      <w:r>
        <w:rPr>
          <w:rFonts w:ascii="Times New Roman" w:cs="Times New Roman" w:eastAsia="Times New Roman" w:hAnsi="Times New Roman"/>
          <w:sz w:val="21"/>
          <w:szCs w:val="21"/>
          <w:u w:val="single" w:color="auto"/>
          <w:color w:val="auto"/>
        </w:rPr>
        <w:t>Deferred Stock Unit</w:t>
      </w:r>
      <w:r>
        <w:rPr>
          <w:rFonts w:ascii="Times New Roman" w:cs="Times New Roman" w:eastAsia="Times New Roman" w:hAnsi="Times New Roman"/>
          <w:sz w:val="21"/>
          <w:szCs w:val="21"/>
          <w:color w:val="auto"/>
        </w:rPr>
        <w:t>” shall mean a right to receive Shares awarded under Section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82"/>
          </w:cols>
          <w:pgMar w:left="478" w:top="1365" w:right="339" w:bottom="1440" w:gutter="0" w:footer="0" w:header="0"/>
        </w:sectPr>
      </w:pPr>
    </w:p>
    <w:bookmarkStart w:id="9" w:name="page10"/>
    <w:bookmarkEnd w:id="9"/>
    <w:p>
      <w:pPr>
        <w:ind w:left="780"/>
        <w:spacing w:after="0"/>
        <w:rPr>
          <w:sz w:val="20"/>
          <w:szCs w:val="20"/>
          <w:color w:val="auto"/>
        </w:rPr>
      </w:pPr>
      <w:r>
        <w:rPr>
          <w:rFonts w:ascii="Times New Roman" w:cs="Times New Roman" w:eastAsia="Times New Roman" w:hAnsi="Times New Roman"/>
          <w:sz w:val="21"/>
          <w:szCs w:val="21"/>
          <w:color w:val="auto"/>
        </w:rPr>
        <w:t>2.18 “</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shall mean a member of the Board, as constituted from time to time.</w:t>
      </w:r>
    </w:p>
    <w:p>
      <w:pPr>
        <w:spacing w:after="0" w:line="210" w:lineRule="exact"/>
        <w:rPr>
          <w:sz w:val="20"/>
          <w:szCs w:val="20"/>
          <w:color w:val="auto"/>
        </w:rPr>
      </w:pPr>
    </w:p>
    <w:p>
      <w:pPr>
        <w:ind w:left="160" w:firstLine="619"/>
        <w:spacing w:after="0" w:line="269" w:lineRule="auto"/>
        <w:rPr>
          <w:sz w:val="20"/>
          <w:szCs w:val="20"/>
          <w:color w:val="auto"/>
        </w:rPr>
      </w:pPr>
      <w:r>
        <w:rPr>
          <w:rFonts w:ascii="Times New Roman" w:cs="Times New Roman" w:eastAsia="Times New Roman" w:hAnsi="Times New Roman"/>
          <w:sz w:val="21"/>
          <w:szCs w:val="21"/>
          <w:color w:val="auto"/>
        </w:rPr>
        <w:t>2.19 “</w:t>
      </w:r>
      <w:r>
        <w:rPr>
          <w:rFonts w:ascii="Times New Roman" w:cs="Times New Roman" w:eastAsia="Times New Roman" w:hAnsi="Times New Roman"/>
          <w:sz w:val="21"/>
          <w:szCs w:val="21"/>
          <w:u w:val="single" w:color="auto"/>
          <w:color w:val="auto"/>
        </w:rPr>
        <w:t>Dividend Equivalent</w:t>
      </w:r>
      <w:r>
        <w:rPr>
          <w:rFonts w:ascii="Times New Roman" w:cs="Times New Roman" w:eastAsia="Times New Roman" w:hAnsi="Times New Roman"/>
          <w:sz w:val="21"/>
          <w:szCs w:val="21"/>
          <w:color w:val="auto"/>
        </w:rPr>
        <w:t>” shall mean a right to receive the equivalent value (in cash or Shares) of dividends paid on Shares, awarded under Section 10.2.</w:t>
      </w:r>
    </w:p>
    <w:p>
      <w:pPr>
        <w:spacing w:after="0" w:line="168" w:lineRule="exact"/>
        <w:rPr>
          <w:sz w:val="20"/>
          <w:szCs w:val="20"/>
          <w:color w:val="auto"/>
        </w:rPr>
      </w:pPr>
    </w:p>
    <w:p>
      <w:pPr>
        <w:ind w:left="160" w:firstLine="619"/>
        <w:spacing w:after="0" w:line="269" w:lineRule="auto"/>
        <w:rPr>
          <w:sz w:val="20"/>
          <w:szCs w:val="20"/>
          <w:color w:val="auto"/>
        </w:rPr>
      </w:pPr>
      <w:r>
        <w:rPr>
          <w:rFonts w:ascii="Times New Roman" w:cs="Times New Roman" w:eastAsia="Times New Roman" w:hAnsi="Times New Roman"/>
          <w:sz w:val="21"/>
          <w:szCs w:val="21"/>
          <w:color w:val="auto"/>
        </w:rPr>
        <w:t>2.20 “</w:t>
      </w:r>
      <w:r>
        <w:rPr>
          <w:rFonts w:ascii="Times New Roman" w:cs="Times New Roman" w:eastAsia="Times New Roman" w:hAnsi="Times New Roman"/>
          <w:sz w:val="21"/>
          <w:szCs w:val="21"/>
          <w:u w:val="single" w:color="auto"/>
          <w:color w:val="auto"/>
        </w:rPr>
        <w:t>DRO</w:t>
      </w:r>
      <w:r>
        <w:rPr>
          <w:rFonts w:ascii="Times New Roman" w:cs="Times New Roman" w:eastAsia="Times New Roman" w:hAnsi="Times New Roman"/>
          <w:sz w:val="21"/>
          <w:szCs w:val="21"/>
          <w:color w:val="auto"/>
        </w:rPr>
        <w:t>” shall mean a domestic relations order as defined by the Code or Title I of the Employee Retirement Income Security Act of 1974, as amended from time to time, or the rules thereunder.</w:t>
      </w:r>
    </w:p>
    <w:p>
      <w:pPr>
        <w:spacing w:after="0" w:line="155" w:lineRule="exact"/>
        <w:rPr>
          <w:sz w:val="20"/>
          <w:szCs w:val="20"/>
          <w:color w:val="auto"/>
        </w:rPr>
      </w:pPr>
    </w:p>
    <w:p>
      <w:pPr>
        <w:ind w:left="160" w:firstLine="619"/>
        <w:spacing w:after="0" w:line="269" w:lineRule="auto"/>
        <w:rPr>
          <w:sz w:val="20"/>
          <w:szCs w:val="20"/>
          <w:color w:val="auto"/>
        </w:rPr>
      </w:pPr>
      <w:r>
        <w:rPr>
          <w:rFonts w:ascii="Times New Roman" w:cs="Times New Roman" w:eastAsia="Times New Roman" w:hAnsi="Times New Roman"/>
          <w:sz w:val="21"/>
          <w:szCs w:val="21"/>
          <w:color w:val="auto"/>
        </w:rPr>
        <w:t>2.21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mean the date the Plan is approved by the Board, subject to approval of the Plan by the Company’s stockholders.</w:t>
      </w:r>
    </w:p>
    <w:p>
      <w:pPr>
        <w:spacing w:after="0" w:line="155" w:lineRule="exact"/>
        <w:rPr>
          <w:sz w:val="20"/>
          <w:szCs w:val="20"/>
          <w:color w:val="auto"/>
        </w:rPr>
      </w:pPr>
    </w:p>
    <w:p>
      <w:pPr>
        <w:ind w:left="160" w:firstLine="619"/>
        <w:spacing w:after="0" w:line="282" w:lineRule="auto"/>
        <w:rPr>
          <w:sz w:val="20"/>
          <w:szCs w:val="20"/>
          <w:color w:val="auto"/>
        </w:rPr>
      </w:pPr>
      <w:r>
        <w:rPr>
          <w:rFonts w:ascii="Times New Roman" w:cs="Times New Roman" w:eastAsia="Times New Roman" w:hAnsi="Times New Roman"/>
          <w:sz w:val="21"/>
          <w:szCs w:val="21"/>
          <w:color w:val="auto"/>
        </w:rPr>
        <w:t>2.22 “</w:t>
      </w:r>
      <w:r>
        <w:rPr>
          <w:rFonts w:ascii="Times New Roman" w:cs="Times New Roman" w:eastAsia="Times New Roman" w:hAnsi="Times New Roman"/>
          <w:sz w:val="21"/>
          <w:szCs w:val="21"/>
          <w:u w:val="single" w:color="auto"/>
          <w:color w:val="auto"/>
        </w:rPr>
        <w:t>Eligible Individual</w:t>
      </w:r>
      <w:r>
        <w:rPr>
          <w:rFonts w:ascii="Times New Roman" w:cs="Times New Roman" w:eastAsia="Times New Roman" w:hAnsi="Times New Roman"/>
          <w:sz w:val="21"/>
          <w:szCs w:val="21"/>
          <w:color w:val="auto"/>
        </w:rPr>
        <w:t>” shall mean any person who is an Employee, a Consultant or a Non-Employee Director, as determined by the Committee.</w:t>
      </w:r>
    </w:p>
    <w:p>
      <w:pPr>
        <w:spacing w:after="0" w:line="142" w:lineRule="exact"/>
        <w:rPr>
          <w:sz w:val="20"/>
          <w:szCs w:val="20"/>
          <w:color w:val="auto"/>
        </w:rPr>
      </w:pPr>
    </w:p>
    <w:p>
      <w:pPr>
        <w:ind w:left="160" w:firstLine="619"/>
        <w:spacing w:after="0" w:line="269" w:lineRule="auto"/>
        <w:rPr>
          <w:sz w:val="20"/>
          <w:szCs w:val="20"/>
          <w:color w:val="auto"/>
        </w:rPr>
      </w:pPr>
      <w:r>
        <w:rPr>
          <w:rFonts w:ascii="Times New Roman" w:cs="Times New Roman" w:eastAsia="Times New Roman" w:hAnsi="Times New Roman"/>
          <w:sz w:val="21"/>
          <w:szCs w:val="21"/>
          <w:color w:val="auto"/>
        </w:rPr>
        <w:t>2.23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shall mean any officer or other employee (as determined in accordance with Section 3401(c) of the Code and the Treasury Regulations thereunder) of the Company or of any Affiliate.</w:t>
      </w:r>
    </w:p>
    <w:p>
      <w:pPr>
        <w:spacing w:after="0" w:line="155" w:lineRule="exact"/>
        <w:rPr>
          <w:sz w:val="20"/>
          <w:szCs w:val="20"/>
          <w:color w:val="auto"/>
        </w:rPr>
      </w:pPr>
    </w:p>
    <w:p>
      <w:pPr>
        <w:jc w:val="both"/>
        <w:ind w:firstLine="773"/>
        <w:spacing w:after="0" w:line="256" w:lineRule="auto"/>
        <w:rPr>
          <w:sz w:val="20"/>
          <w:szCs w:val="20"/>
          <w:color w:val="auto"/>
        </w:rPr>
      </w:pPr>
      <w:r>
        <w:rPr>
          <w:rFonts w:ascii="Times New Roman" w:cs="Times New Roman" w:eastAsia="Times New Roman" w:hAnsi="Times New Roman"/>
          <w:sz w:val="21"/>
          <w:szCs w:val="21"/>
          <w:color w:val="auto"/>
        </w:rPr>
        <w:t>2.24 “</w:t>
      </w:r>
      <w:r>
        <w:rPr>
          <w:rFonts w:ascii="Times New Roman" w:cs="Times New Roman" w:eastAsia="Times New Roman" w:hAnsi="Times New Roman"/>
          <w:sz w:val="21"/>
          <w:szCs w:val="21"/>
          <w:u w:val="single" w:color="auto"/>
          <w:color w:val="auto"/>
        </w:rPr>
        <w:t>Equity Restructuring</w:t>
      </w:r>
      <w:r>
        <w:rPr>
          <w:rFonts w:ascii="Times New Roman" w:cs="Times New Roman" w:eastAsia="Times New Roman" w:hAnsi="Times New Roman"/>
          <w:sz w:val="21"/>
          <w:szCs w:val="21"/>
          <w:color w:val="auto"/>
        </w:rPr>
        <w:t>”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2.25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shall mean the Securities Exchange Act of 1934, as amended from time to time.</w:t>
      </w:r>
    </w:p>
    <w:p>
      <w:pPr>
        <w:spacing w:after="0" w:line="2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2.26 “</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shall have the meaning set forth in Section 14.1.</w:t>
      </w:r>
    </w:p>
    <w:p>
      <w:pPr>
        <w:spacing w:after="0" w:line="2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2.27 “</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shall mean, as of any given date, the value of a Share determined as follows:</w:t>
      </w:r>
    </w:p>
    <w:p>
      <w:pPr>
        <w:spacing w:after="0" w:line="210" w:lineRule="exact"/>
        <w:rPr>
          <w:sz w:val="20"/>
          <w:szCs w:val="20"/>
          <w:color w:val="auto"/>
        </w:rPr>
      </w:pPr>
    </w:p>
    <w:p>
      <w:pPr>
        <w:jc w:val="both"/>
        <w:ind w:left="160" w:firstLine="1081"/>
        <w:spacing w:after="0" w:line="251" w:lineRule="auto"/>
        <w:tabs>
          <w:tab w:leader="none" w:pos="185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w:t>
      </w:r>
    </w:p>
    <w:p>
      <w:pPr>
        <w:spacing w:after="0" w:line="186" w:lineRule="exact"/>
        <w:rPr>
          <w:rFonts w:ascii="Times New Roman" w:cs="Times New Roman" w:eastAsia="Times New Roman" w:hAnsi="Times New Roman"/>
          <w:sz w:val="21"/>
          <w:szCs w:val="21"/>
          <w:color w:val="auto"/>
        </w:rPr>
      </w:pPr>
    </w:p>
    <w:p>
      <w:pPr>
        <w:jc w:val="both"/>
        <w:ind w:left="160" w:firstLine="1081"/>
        <w:spacing w:after="0" w:line="252" w:lineRule="auto"/>
        <w:tabs>
          <w:tab w:leader="none" w:pos="1857"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1"/>
          <w:szCs w:val="21"/>
          <w:color w:val="auto"/>
        </w:rPr>
        <w:t>which such information exists, as reported in The Wall Street Journal or such other source as the Administrator deems reliable; or</w:t>
      </w:r>
    </w:p>
    <w:p>
      <w:pPr>
        <w:spacing w:after="0" w:line="210" w:lineRule="exact"/>
        <w:rPr>
          <w:sz w:val="20"/>
          <w:szCs w:val="20"/>
          <w:color w:val="auto"/>
        </w:rPr>
      </w:pPr>
    </w:p>
    <w:p>
      <w:pPr>
        <w:jc w:val="both"/>
        <w:ind w:firstLine="1081"/>
        <w:spacing w:after="0" w:line="262" w:lineRule="auto"/>
        <w:tabs>
          <w:tab w:leader="none" w:pos="169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6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2.28 “</w:t>
      </w:r>
      <w:r>
        <w:rPr>
          <w:rFonts w:ascii="Times New Roman" w:cs="Times New Roman" w:eastAsia="Times New Roman" w:hAnsi="Times New Roman"/>
          <w:sz w:val="21"/>
          <w:szCs w:val="21"/>
          <w:u w:val="single" w:color="auto"/>
          <w:color w:val="auto"/>
        </w:rPr>
        <w:t>Greater Than 10% Stockholder</w:t>
      </w:r>
      <w:r>
        <w:rPr>
          <w:rFonts w:ascii="Times New Roman" w:cs="Times New Roman" w:eastAsia="Times New Roman" w:hAnsi="Times New Roman"/>
          <w:sz w:val="21"/>
          <w:szCs w:val="21"/>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2.29 “</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shall mean a person who has been granted an Award.</w:t>
      </w:r>
    </w:p>
    <w:p>
      <w:pPr>
        <w:spacing w:after="0" w:line="22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2.30 “</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shall mean an Option that is intended to qualify as an incentive stock option and conforms to the applicable provisions of Section 422 of the Code.</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2.31  “</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shall mean a Director of the Company who is not an Employee.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2.32 “</w:t>
      </w:r>
      <w:r>
        <w:rPr>
          <w:rFonts w:ascii="Times New Roman" w:cs="Times New Roman" w:eastAsia="Times New Roman" w:hAnsi="Times New Roman"/>
          <w:sz w:val="21"/>
          <w:szCs w:val="21"/>
          <w:u w:val="single" w:color="auto"/>
          <w:color w:val="auto"/>
        </w:rPr>
        <w:t>Non-Employee Director Equity Compensation Policy</w:t>
      </w:r>
      <w:r>
        <w:rPr>
          <w:rFonts w:ascii="Times New Roman" w:cs="Times New Roman" w:eastAsia="Times New Roman" w:hAnsi="Times New Roman"/>
          <w:sz w:val="21"/>
          <w:szCs w:val="21"/>
          <w:color w:val="auto"/>
        </w:rPr>
        <w:t>” shall have the meaning set forth in Section 4.6.</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2.33 “</w:t>
      </w:r>
      <w:r>
        <w:rPr>
          <w:rFonts w:ascii="Times New Roman" w:cs="Times New Roman" w:eastAsia="Times New Roman" w:hAnsi="Times New Roman"/>
          <w:sz w:val="21"/>
          <w:szCs w:val="21"/>
          <w:u w:val="single" w:color="auto"/>
          <w:color w:val="auto"/>
        </w:rPr>
        <w:t>Non-Qualified Stock Option</w:t>
      </w:r>
      <w:r>
        <w:rPr>
          <w:rFonts w:ascii="Times New Roman" w:cs="Times New Roman" w:eastAsia="Times New Roman" w:hAnsi="Times New Roman"/>
          <w:sz w:val="21"/>
          <w:szCs w:val="21"/>
          <w:color w:val="auto"/>
        </w:rPr>
        <w:t>” shall mean an Option that is not an Incentive Stock Option.</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2.34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xml:space="preserve">” shall mean a right to purchase Shares at a specified exercise price, granted under Article 6. An Option shall be either a Non-Qualified Stock Option or an Incentive Stock Option;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Options granted to Non-Employee Directors and Consultants shall only be Non-Qualified Stock Options.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2.35 “</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shall have the meaning set forth in Section 6.4.</w:t>
      </w:r>
    </w:p>
    <w:p>
      <w:pPr>
        <w:spacing w:after="0" w:line="2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2.36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6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2.37 “</w:t>
      </w:r>
      <w:r>
        <w:rPr>
          <w:rFonts w:ascii="Times New Roman" w:cs="Times New Roman" w:eastAsia="Times New Roman" w:hAnsi="Times New Roman"/>
          <w:sz w:val="21"/>
          <w:szCs w:val="21"/>
          <w:u w:val="single" w:color="auto"/>
          <w:color w:val="auto"/>
        </w:rPr>
        <w:t>Performance Award</w:t>
      </w:r>
      <w:r>
        <w:rPr>
          <w:rFonts w:ascii="Times New Roman" w:cs="Times New Roman" w:eastAsia="Times New Roman" w:hAnsi="Times New Roman"/>
          <w:sz w:val="21"/>
          <w:szCs w:val="21"/>
          <w:color w:val="auto"/>
        </w:rPr>
        <w:t>” shall mean a cash bonus award, stock bonus award, performance award or incentive award that is paid in cash, Shares or a combination of both, awarded under Section 10.1.</w:t>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2.38 “</w:t>
      </w:r>
      <w:r>
        <w:rPr>
          <w:rFonts w:ascii="Times New Roman" w:cs="Times New Roman" w:eastAsia="Times New Roman" w:hAnsi="Times New Roman"/>
          <w:sz w:val="21"/>
          <w:szCs w:val="21"/>
          <w:u w:val="single" w:color="auto"/>
          <w:color w:val="auto"/>
        </w:rPr>
        <w:t>Performance-Based Compensation</w:t>
      </w:r>
      <w:r>
        <w:rPr>
          <w:rFonts w:ascii="Times New Roman" w:cs="Times New Roman" w:eastAsia="Times New Roman" w:hAnsi="Times New Roman"/>
          <w:sz w:val="21"/>
          <w:szCs w:val="21"/>
          <w:color w:val="auto"/>
        </w:rPr>
        <w:t>” shall mean any compensation that is intended to qualify as “performance-based compensation” as described in Section 162(m)(4)(C)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80"/>
          </w:cols>
          <w:pgMar w:left="480" w:top="1365" w:right="339" w:bottom="1440" w:gutter="0" w:footer="0" w:header="0"/>
        </w:sectPr>
      </w:pPr>
    </w:p>
    <w:bookmarkStart w:id="11" w:name="page12"/>
    <w:bookmarkEnd w:id="11"/>
    <w:p>
      <w:pPr>
        <w:ind w:left="160" w:firstLine="619"/>
        <w:spacing w:after="0" w:line="269" w:lineRule="auto"/>
        <w:rPr>
          <w:sz w:val="20"/>
          <w:szCs w:val="20"/>
          <w:color w:val="auto"/>
        </w:rPr>
      </w:pPr>
      <w:r>
        <w:rPr>
          <w:rFonts w:ascii="Times New Roman" w:cs="Times New Roman" w:eastAsia="Times New Roman" w:hAnsi="Times New Roman"/>
          <w:sz w:val="21"/>
          <w:szCs w:val="21"/>
          <w:color w:val="auto"/>
        </w:rPr>
        <w:t>2.39 “</w:t>
      </w:r>
      <w:r>
        <w:rPr>
          <w:rFonts w:ascii="Times New Roman" w:cs="Times New Roman" w:eastAsia="Times New Roman" w:hAnsi="Times New Roman"/>
          <w:sz w:val="21"/>
          <w:szCs w:val="21"/>
          <w:u w:val="single" w:color="auto"/>
          <w:color w:val="auto"/>
        </w:rPr>
        <w:t>Performance Criteria</w:t>
      </w:r>
      <w:r>
        <w:rPr>
          <w:rFonts w:ascii="Times New Roman" w:cs="Times New Roman" w:eastAsia="Times New Roman" w:hAnsi="Times New Roman"/>
          <w:sz w:val="21"/>
          <w:szCs w:val="21"/>
          <w:color w:val="auto"/>
        </w:rPr>
        <w:t>” shall mean the criteria (and adjustments) that the Committee selects for an Award for purposes of establishing the Performance Goal or Performance Goals for a Performance Period, determined as follows:</w:t>
      </w:r>
    </w:p>
    <w:p>
      <w:pPr>
        <w:spacing w:after="0" w:line="155" w:lineRule="exact"/>
        <w:rPr>
          <w:sz w:val="20"/>
          <w:szCs w:val="20"/>
          <w:color w:val="auto"/>
        </w:rPr>
      </w:pPr>
    </w:p>
    <w:p>
      <w:pPr>
        <w:jc w:val="both"/>
        <w:ind w:firstLine="1241"/>
        <w:spacing w:after="0" w:line="267" w:lineRule="auto"/>
        <w:tabs>
          <w:tab w:leader="none" w:pos="1853" w:val="left"/>
        </w:tabs>
        <w:numPr>
          <w:ilvl w:val="3"/>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Criteria that shall be used to establish Performance Goals are limited to the following: (i) operating income (either before or after one or more of the following (a) depreciation, (b) amortization, (c) pre-opening costs, (d) property charges and other corporate expenses, (e) intercompany golf course and water rights leases, (f) stock-based compensation, and</w:t>
      </w:r>
    </w:p>
    <w:p>
      <w:pPr>
        <w:spacing w:after="0" w:line="2" w:lineRule="exact"/>
        <w:rPr>
          <w:rFonts w:ascii="Times New Roman" w:cs="Times New Roman" w:eastAsia="Times New Roman" w:hAnsi="Times New Roman"/>
          <w:sz w:val="20"/>
          <w:szCs w:val="20"/>
          <w:color w:val="auto"/>
        </w:rPr>
      </w:pPr>
    </w:p>
    <w:p>
      <w:pPr>
        <w:jc w:val="both"/>
        <w:ind w:firstLine="3"/>
        <w:spacing w:after="0" w:line="246" w:lineRule="auto"/>
        <w:tabs>
          <w:tab w:leader="none" w:pos="30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181" w:lineRule="exact"/>
        <w:rPr>
          <w:rFonts w:ascii="Times New Roman" w:cs="Times New Roman" w:eastAsia="Times New Roman" w:hAnsi="Times New Roman"/>
          <w:sz w:val="21"/>
          <w:szCs w:val="21"/>
          <w:color w:val="auto"/>
        </w:rPr>
      </w:pPr>
    </w:p>
    <w:p>
      <w:pPr>
        <w:jc w:val="both"/>
        <w:ind w:left="80" w:firstLine="1083"/>
        <w:spacing w:after="0" w:line="263" w:lineRule="auto"/>
        <w:tabs>
          <w:tab w:leader="none" w:pos="1855"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w:t>
      </w:r>
    </w:p>
    <w:p>
      <w:pPr>
        <w:spacing w:after="0" w:line="1" w:lineRule="exact"/>
        <w:rPr>
          <w:rFonts w:ascii="Times New Roman" w:cs="Times New Roman" w:eastAsia="Times New Roman" w:hAnsi="Times New Roman"/>
          <w:sz w:val="20"/>
          <w:szCs w:val="20"/>
          <w:color w:val="auto"/>
        </w:rPr>
      </w:pPr>
    </w:p>
    <w:p>
      <w:pPr>
        <w:jc w:val="both"/>
        <w:ind w:left="80"/>
        <w:spacing w:after="0" w:line="262" w:lineRule="auto"/>
        <w:tabs>
          <w:tab w:leader="none" w:pos="432"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5"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21"/>
          <w:szCs w:val="21"/>
          <w:color w:val="auto"/>
        </w:rPr>
        <w:t>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pacing w:after="0" w:line="171" w:lineRule="exact"/>
        <w:rPr>
          <w:sz w:val="20"/>
          <w:szCs w:val="20"/>
          <w:color w:val="auto"/>
        </w:rPr>
      </w:pPr>
    </w:p>
    <w:p>
      <w:pPr>
        <w:jc w:val="both"/>
        <w:ind w:left="80" w:firstLine="619"/>
        <w:spacing w:after="0" w:line="253" w:lineRule="auto"/>
        <w:rPr>
          <w:sz w:val="20"/>
          <w:szCs w:val="20"/>
          <w:color w:val="auto"/>
        </w:rPr>
      </w:pPr>
      <w:r>
        <w:rPr>
          <w:rFonts w:ascii="Times New Roman" w:cs="Times New Roman" w:eastAsia="Times New Roman" w:hAnsi="Times New Roman"/>
          <w:sz w:val="21"/>
          <w:szCs w:val="21"/>
          <w:color w:val="auto"/>
        </w:rPr>
        <w:t>2.40 “</w:t>
      </w:r>
      <w:r>
        <w:rPr>
          <w:rFonts w:ascii="Times New Roman" w:cs="Times New Roman" w:eastAsia="Times New Roman" w:hAnsi="Times New Roman"/>
          <w:sz w:val="21"/>
          <w:szCs w:val="21"/>
          <w:u w:val="single" w:color="auto"/>
          <w:color w:val="auto"/>
        </w:rPr>
        <w:t>Performance Goals</w:t>
      </w:r>
      <w:r>
        <w:rPr>
          <w:rFonts w:ascii="Times New Roman" w:cs="Times New Roman" w:eastAsia="Times New Roman" w:hAnsi="Times New Roman"/>
          <w:sz w:val="21"/>
          <w:szCs w:val="21"/>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71" w:lineRule="exact"/>
        <w:rPr>
          <w:sz w:val="20"/>
          <w:szCs w:val="20"/>
          <w:color w:val="auto"/>
        </w:rPr>
      </w:pPr>
    </w:p>
    <w:p>
      <w:pPr>
        <w:jc w:val="both"/>
        <w:ind w:left="80" w:firstLine="619"/>
        <w:spacing w:after="0" w:line="256" w:lineRule="auto"/>
        <w:rPr>
          <w:sz w:val="20"/>
          <w:szCs w:val="20"/>
          <w:color w:val="auto"/>
        </w:rPr>
      </w:pPr>
      <w:r>
        <w:rPr>
          <w:rFonts w:ascii="Times New Roman" w:cs="Times New Roman" w:eastAsia="Times New Roman" w:hAnsi="Times New Roman"/>
          <w:sz w:val="21"/>
          <w:szCs w:val="21"/>
          <w:color w:val="auto"/>
        </w:rPr>
        <w:t>2.41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68" w:lineRule="exact"/>
        <w:rPr>
          <w:sz w:val="20"/>
          <w:szCs w:val="20"/>
          <w:color w:val="auto"/>
        </w:rPr>
      </w:pPr>
    </w:p>
    <w:p>
      <w:pPr>
        <w:jc w:val="both"/>
        <w:ind w:left="80" w:firstLine="619"/>
        <w:spacing w:after="0" w:line="282" w:lineRule="auto"/>
        <w:rPr>
          <w:sz w:val="20"/>
          <w:szCs w:val="20"/>
          <w:color w:val="auto"/>
        </w:rPr>
      </w:pPr>
      <w:r>
        <w:rPr>
          <w:rFonts w:ascii="Times New Roman" w:cs="Times New Roman" w:eastAsia="Times New Roman" w:hAnsi="Times New Roman"/>
          <w:sz w:val="21"/>
          <w:szCs w:val="21"/>
          <w:color w:val="auto"/>
        </w:rPr>
        <w:t>2.42 “</w:t>
      </w:r>
      <w:r>
        <w:rPr>
          <w:rFonts w:ascii="Times New Roman" w:cs="Times New Roman" w:eastAsia="Times New Roman" w:hAnsi="Times New Roman"/>
          <w:sz w:val="21"/>
          <w:szCs w:val="21"/>
          <w:u w:val="single" w:color="auto"/>
          <w:color w:val="auto"/>
        </w:rPr>
        <w:t>Performance Stock Unit</w:t>
      </w:r>
      <w:r>
        <w:rPr>
          <w:rFonts w:ascii="Times New Roman" w:cs="Times New Roman" w:eastAsia="Times New Roman" w:hAnsi="Times New Roman"/>
          <w:sz w:val="21"/>
          <w:szCs w:val="21"/>
          <w:color w:val="auto"/>
        </w:rPr>
        <w:t>” shall mean a Performance Award awarded under Section 10.1 which is denominated in units of value including dollar value of Shares.</w:t>
      </w:r>
    </w:p>
    <w:p>
      <w:pPr>
        <w:spacing w:after="0" w:line="142" w:lineRule="exact"/>
        <w:rPr>
          <w:sz w:val="20"/>
          <w:szCs w:val="20"/>
          <w:color w:val="auto"/>
        </w:rPr>
      </w:pPr>
    </w:p>
    <w:p>
      <w:pPr>
        <w:jc w:val="both"/>
        <w:ind w:left="80" w:firstLine="619"/>
        <w:spacing w:after="0" w:line="256" w:lineRule="auto"/>
        <w:rPr>
          <w:sz w:val="20"/>
          <w:szCs w:val="20"/>
          <w:color w:val="auto"/>
        </w:rPr>
      </w:pPr>
      <w:r>
        <w:rPr>
          <w:rFonts w:ascii="Times New Roman" w:cs="Times New Roman" w:eastAsia="Times New Roman" w:hAnsi="Times New Roman"/>
          <w:sz w:val="21"/>
          <w:szCs w:val="21"/>
          <w:color w:val="auto"/>
        </w:rPr>
        <w:t>2.43 “</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2.44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have the meaning set forth in Article 1.</w:t>
      </w:r>
    </w:p>
    <w:p>
      <w:pPr>
        <w:spacing w:after="0" w:line="223" w:lineRule="exact"/>
        <w:rPr>
          <w:sz w:val="20"/>
          <w:szCs w:val="20"/>
          <w:color w:val="auto"/>
        </w:rPr>
      </w:pPr>
    </w:p>
    <w:p>
      <w:pPr>
        <w:jc w:val="both"/>
        <w:ind w:left="80" w:firstLine="619"/>
        <w:spacing w:after="0" w:line="269" w:lineRule="auto"/>
        <w:rPr>
          <w:sz w:val="20"/>
          <w:szCs w:val="20"/>
          <w:color w:val="auto"/>
        </w:rPr>
      </w:pPr>
      <w:r>
        <w:rPr>
          <w:rFonts w:ascii="Times New Roman" w:cs="Times New Roman" w:eastAsia="Times New Roman" w:hAnsi="Times New Roman"/>
          <w:sz w:val="21"/>
          <w:szCs w:val="21"/>
          <w:color w:val="auto"/>
        </w:rPr>
        <w:t>2.45 “</w:t>
      </w:r>
      <w:r>
        <w:rPr>
          <w:rFonts w:ascii="Times New Roman" w:cs="Times New Roman" w:eastAsia="Times New Roman" w:hAnsi="Times New Roman"/>
          <w:sz w:val="21"/>
          <w:szCs w:val="21"/>
          <w:u w:val="single" w:color="auto"/>
          <w:color w:val="auto"/>
        </w:rPr>
        <w:t>Prior Plan</w:t>
      </w:r>
      <w:r>
        <w:rPr>
          <w:rFonts w:ascii="Times New Roman" w:cs="Times New Roman" w:eastAsia="Times New Roman" w:hAnsi="Times New Roman"/>
          <w:sz w:val="21"/>
          <w:szCs w:val="21"/>
          <w:color w:val="auto"/>
        </w:rPr>
        <w:t>” shall mean the Amended and Restated Wynn Resorts, Limited 2002 Stock Incentive Plan, as may be amended from time to time.</w:t>
      </w:r>
    </w:p>
    <w:p>
      <w:pPr>
        <w:spacing w:after="0" w:line="155" w:lineRule="exact"/>
        <w:rPr>
          <w:sz w:val="20"/>
          <w:szCs w:val="20"/>
          <w:color w:val="auto"/>
        </w:rPr>
      </w:pPr>
    </w:p>
    <w:p>
      <w:pPr>
        <w:jc w:val="both"/>
        <w:ind w:left="80" w:firstLine="619"/>
        <w:spacing w:after="0" w:line="256" w:lineRule="auto"/>
        <w:rPr>
          <w:sz w:val="20"/>
          <w:szCs w:val="20"/>
          <w:color w:val="auto"/>
        </w:rPr>
      </w:pPr>
      <w:r>
        <w:rPr>
          <w:rFonts w:ascii="Times New Roman" w:cs="Times New Roman" w:eastAsia="Times New Roman" w:hAnsi="Times New Roman"/>
          <w:sz w:val="21"/>
          <w:szCs w:val="21"/>
          <w:color w:val="auto"/>
        </w:rPr>
        <w:t>2.46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81" w:lineRule="exact"/>
        <w:rPr>
          <w:sz w:val="20"/>
          <w:szCs w:val="20"/>
          <w:color w:val="auto"/>
        </w:rPr>
      </w:pPr>
    </w:p>
    <w:p>
      <w:pPr>
        <w:jc w:val="both"/>
        <w:ind w:left="80" w:firstLine="619"/>
        <w:spacing w:after="0" w:line="269" w:lineRule="auto"/>
        <w:rPr>
          <w:sz w:val="20"/>
          <w:szCs w:val="20"/>
          <w:color w:val="auto"/>
        </w:rPr>
      </w:pPr>
      <w:r>
        <w:rPr>
          <w:rFonts w:ascii="Times New Roman" w:cs="Times New Roman" w:eastAsia="Times New Roman" w:hAnsi="Times New Roman"/>
          <w:sz w:val="21"/>
          <w:szCs w:val="21"/>
          <w:color w:val="auto"/>
        </w:rPr>
        <w:t>2.47 “</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shall mean Common Stock awarded under Article 8 that is subject to certain restrictions and may be subject to risk of forfeiture or repurchase.</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2.48 “</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shall mean the right to receive Shares awarded under Article 9.</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2.49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shall mean the Securities Act of 1933, as amended.</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2.50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shall mean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160"/>
          </w:cols>
          <w:pgMar w:left="400" w:top="1365"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21"/>
          <w:szCs w:val="21"/>
          <w:color w:val="auto"/>
        </w:rPr>
        <w:t>2.51 “</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shall mean a stock appreciation right granted under Article 11.</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2.52 “</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shall have the meaning set forth in Section 11.4.</w:t>
      </w:r>
    </w:p>
    <w:p>
      <w:pPr>
        <w:spacing w:after="0" w:line="210"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2.53 “</w:t>
      </w:r>
      <w:r>
        <w:rPr>
          <w:rFonts w:ascii="Times New Roman" w:cs="Times New Roman" w:eastAsia="Times New Roman" w:hAnsi="Times New Roman"/>
          <w:sz w:val="21"/>
          <w:szCs w:val="21"/>
          <w:u w:val="single" w:color="auto"/>
          <w:color w:val="auto"/>
        </w:rPr>
        <w:t>Stock Payment</w:t>
      </w:r>
      <w:r>
        <w:rPr>
          <w:rFonts w:ascii="Times New Roman" w:cs="Times New Roman" w:eastAsia="Times New Roman" w:hAnsi="Times New Roman"/>
          <w:sz w:val="21"/>
          <w:szCs w:val="21"/>
          <w:color w:val="auto"/>
        </w:rPr>
        <w:t>” shall mean (a) a payment in the form of Shares, or (b) an option or other right to purchase Shares, as part of a bonus, deferred compensation or other arrangement, awarded under Section 10.3.</w:t>
      </w:r>
    </w:p>
    <w:p>
      <w:pPr>
        <w:spacing w:after="0" w:line="14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2.54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8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2.55 “</w:t>
      </w:r>
      <w:r>
        <w:rPr>
          <w:rFonts w:ascii="Times New Roman" w:cs="Times New Roman" w:eastAsia="Times New Roman" w:hAnsi="Times New Roman"/>
          <w:sz w:val="21"/>
          <w:szCs w:val="21"/>
          <w:u w:val="single" w:color="auto"/>
          <w:color w:val="auto"/>
        </w:rPr>
        <w:t>Substitute Award</w:t>
      </w:r>
      <w:r>
        <w:rPr>
          <w:rFonts w:ascii="Times New Roman" w:cs="Times New Roman" w:eastAsia="Times New Roman" w:hAnsi="Times New Roman"/>
          <w:sz w:val="21"/>
          <w:szCs w:val="21"/>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term “Substitute Award” be construed to refer to an award made in connection with the cancellation and repricing of an Option or Stock Appreciation Right.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2.56 “</w:t>
      </w: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shall mean:</w:t>
      </w:r>
    </w:p>
    <w:p>
      <w:pPr>
        <w:spacing w:after="0" w:line="223" w:lineRule="exact"/>
        <w:rPr>
          <w:sz w:val="20"/>
          <w:szCs w:val="20"/>
          <w:color w:val="auto"/>
        </w:rPr>
      </w:pPr>
    </w:p>
    <w:p>
      <w:pPr>
        <w:jc w:val="both"/>
        <w:ind w:firstLine="1081"/>
        <w:spacing w:after="0" w:line="252" w:lineRule="auto"/>
        <w:tabs>
          <w:tab w:leader="none" w:pos="169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71" w:lineRule="exact"/>
        <w:rPr>
          <w:rFonts w:ascii="Times New Roman" w:cs="Times New Roman" w:eastAsia="Times New Roman" w:hAnsi="Times New Roman"/>
          <w:sz w:val="21"/>
          <w:szCs w:val="21"/>
          <w:color w:val="auto"/>
        </w:rPr>
      </w:pPr>
    </w:p>
    <w:p>
      <w:pPr>
        <w:jc w:val="both"/>
        <w:ind w:firstLine="1081"/>
        <w:spacing w:after="0" w:line="282" w:lineRule="auto"/>
        <w:tabs>
          <w:tab w:leader="none" w:pos="169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43" w:lineRule="exact"/>
        <w:rPr>
          <w:rFonts w:ascii="Times New Roman" w:cs="Times New Roman" w:eastAsia="Times New Roman" w:hAnsi="Times New Roman"/>
          <w:sz w:val="20"/>
          <w:szCs w:val="20"/>
          <w:color w:val="auto"/>
        </w:rPr>
      </w:pPr>
    </w:p>
    <w:p>
      <w:pPr>
        <w:jc w:val="both"/>
        <w:ind w:firstLine="1081"/>
        <w:spacing w:after="0" w:line="256" w:lineRule="auto"/>
        <w:tabs>
          <w:tab w:leader="none" w:pos="169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6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The Administrator, in its sole discretion, shall determine the effect of all matters and questions relating to Terminations of Service, including, without limitation, the question of whether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80"/>
          </w:cols>
          <w:pgMar w:left="480" w:top="1365" w:right="339" w:bottom="1440" w:gutter="0" w:footer="0" w:header="0"/>
        </w:sectPr>
      </w:pPr>
    </w:p>
    <w:bookmarkStart w:id="14" w:name="page15"/>
    <w:bookmarkEnd w:id="14"/>
    <w:p>
      <w:pPr>
        <w:jc w:val="both"/>
        <w:ind w:left="160"/>
        <w:spacing w:after="0" w:line="249" w:lineRule="auto"/>
        <w:rPr>
          <w:sz w:val="20"/>
          <w:szCs w:val="20"/>
          <w:color w:val="auto"/>
        </w:rPr>
      </w:pPr>
      <w:r>
        <w:rPr>
          <w:rFonts w:ascii="Times New Roman" w:cs="Times New Roman" w:eastAsia="Times New Roman" w:hAnsi="Times New Roman"/>
          <w:sz w:val="21"/>
          <w:szCs w:val="21"/>
          <w:color w:val="auto"/>
        </w:rPr>
        <w:t xml:space="preserve">Termination of Service resulted from a discharge for cause and all questions of whether particular leaves of absence constitute a Termination of Service;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SHARES SUBJECT TO THE PLAN</w:t>
      </w:r>
    </w:p>
    <w:p>
      <w:pPr>
        <w:spacing w:after="0" w:line="214" w:lineRule="exact"/>
        <w:rPr>
          <w:sz w:val="20"/>
          <w:szCs w:val="20"/>
          <w:color w:val="auto"/>
        </w:rPr>
      </w:pPr>
    </w:p>
    <w:p>
      <w:pPr>
        <w:ind w:left="780"/>
        <w:spacing w:after="0"/>
        <w:tabs>
          <w:tab w:leader="none" w:pos="12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241"/>
        <w:spacing w:after="0" w:line="262" w:lineRule="auto"/>
        <w:tabs>
          <w:tab w:leader="none" w:pos="185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14.2 and Section 3.1(b) the aggregate number of Shares which may be issued or transferred pursuant to Awards under the Plan is 3,137,936; provided, however, no more than 3,137,936 Shares may be issued upon the exercise of Incentive Stock Options.</w:t>
      </w:r>
    </w:p>
    <w:p>
      <w:pPr>
        <w:spacing w:after="0" w:line="163" w:lineRule="exact"/>
        <w:rPr>
          <w:rFonts w:ascii="Times New Roman" w:cs="Times New Roman" w:eastAsia="Times New Roman" w:hAnsi="Times New Roman"/>
          <w:sz w:val="21"/>
          <w:szCs w:val="21"/>
          <w:color w:val="auto"/>
        </w:rPr>
      </w:pPr>
    </w:p>
    <w:p>
      <w:pPr>
        <w:jc w:val="both"/>
        <w:ind w:left="160" w:firstLine="1081"/>
        <w:spacing w:after="0" w:line="247" w:lineRule="auto"/>
        <w:tabs>
          <w:tab w:leader="none" w:pos="185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15" w:name="page16"/>
    <w:bookmarkEnd w:id="15"/>
    <w:p>
      <w:pPr>
        <w:jc w:val="both"/>
        <w:ind w:firstLine="1081"/>
        <w:spacing w:after="0" w:line="249" w:lineRule="auto"/>
        <w:tabs>
          <w:tab w:leader="none" w:pos="169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7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Stock Distributed</w:t>
      </w:r>
      <w:r>
        <w:rPr>
          <w:rFonts w:ascii="Times New Roman" w:cs="Times New Roman" w:eastAsia="Times New Roman" w:hAnsi="Times New Roman"/>
          <w:sz w:val="21"/>
          <w:szCs w:val="21"/>
          <w:color w:val="auto"/>
        </w:rPr>
        <w:t>. Any Shares distributed pursuant to an Award may consist, in whole or in part, of authorized and unissued Common Stock, treasury Common Stock or Common Stock purchased on the open market.</w:t>
      </w:r>
    </w:p>
    <w:p>
      <w:pPr>
        <w:spacing w:after="0" w:line="15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Limitation on Number of Shares Subject to Awards</w:t>
      </w:r>
      <w:r>
        <w:rPr>
          <w:rFonts w:ascii="Times New Roman" w:cs="Times New Roman" w:eastAsia="Times New Roman" w:hAnsi="Times New Roman"/>
          <w:sz w:val="21"/>
          <w:szCs w:val="21"/>
          <w:color w:val="auto"/>
        </w:rPr>
        <w:t xml:space="preserve">.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1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ARTICLE 4.</w:t>
      </w:r>
    </w:p>
    <w:p>
      <w:pPr>
        <w:spacing w:after="0" w:line="2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GRANTING OF AWARDS</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Participation</w:t>
      </w:r>
      <w:r>
        <w:rPr>
          <w:rFonts w:ascii="Times New Roman" w:cs="Times New Roman" w:eastAsia="Times New Roman" w:hAnsi="Times New Roman"/>
          <w:sz w:val="21"/>
          <w:szCs w:val="21"/>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169"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080"/>
          </w:cols>
          <w:pgMar w:left="480" w:top="1365" w:right="339" w:bottom="1440" w:gutter="0" w:footer="0" w:header="0"/>
        </w:sectPr>
      </w:pPr>
    </w:p>
    <w:bookmarkStart w:id="16" w:name="page17"/>
    <w:bookmarkEnd w:id="16"/>
    <w:p>
      <w:pPr>
        <w:jc w:val="both"/>
        <w:spacing w:after="0" w:line="269" w:lineRule="auto"/>
        <w:rPr>
          <w:sz w:val="20"/>
          <w:szCs w:val="20"/>
          <w:color w:val="auto"/>
        </w:rPr>
      </w:pPr>
      <w:r>
        <w:rPr>
          <w:rFonts w:ascii="Times New Roman" w:cs="Times New Roman" w:eastAsia="Times New Roman" w:hAnsi="Times New Roman"/>
          <w:sz w:val="21"/>
          <w:szCs w:val="21"/>
          <w:color w:val="auto"/>
        </w:rPr>
        <w:t>applicable provisions of Section 162(m) of the Code. Award Agreements evidencing Incentive Stock Options shall contain such terms and conditions as may be necessary to meet the applicable provisions of Section 422 of the Code.</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Limitations Applicable to Section 16 Persons</w:t>
      </w:r>
      <w:r>
        <w:rPr>
          <w:rFonts w:ascii="Times New Roman" w:cs="Times New Roman" w:eastAsia="Times New Roman" w:hAnsi="Times New Roman"/>
          <w:sz w:val="21"/>
          <w:szCs w:val="21"/>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At-Will Employment; Voluntary Participation</w:t>
      </w:r>
      <w:r>
        <w:rPr>
          <w:rFonts w:ascii="Times New Roman" w:cs="Times New Roman" w:eastAsia="Times New Roman" w:hAnsi="Times New Roman"/>
          <w:sz w:val="20"/>
          <w:szCs w:val="20"/>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6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Foreign Holders</w:t>
      </w:r>
      <w:r>
        <w:rPr>
          <w:rFonts w:ascii="Times New Roman" w:cs="Times New Roman" w:eastAsia="Times New Roman" w:hAnsi="Times New Roman"/>
          <w:sz w:val="20"/>
          <w:szCs w:val="20"/>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080"/>
          </w:cols>
          <w:pgMar w:left="480" w:top="1365" w:right="339" w:bottom="1440" w:gutter="0" w:footer="0" w:header="0"/>
        </w:sectPr>
      </w:pPr>
    </w:p>
    <w:bookmarkStart w:id="17" w:name="page18"/>
    <w:bookmarkEnd w:id="17"/>
    <w:p>
      <w:pPr>
        <w:jc w:val="both"/>
        <w:ind w:left="20" w:firstLine="619"/>
        <w:spacing w:after="0" w:line="249"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Non-Employee Director Awards</w:t>
      </w:r>
      <w:r>
        <w:rPr>
          <w:rFonts w:ascii="Times New Roman" w:cs="Times New Roman" w:eastAsia="Times New Roman" w:hAnsi="Times New Roman"/>
          <w:sz w:val="21"/>
          <w:szCs w:val="21"/>
          <w:color w:val="auto"/>
        </w:rPr>
        <w:t>. The Administrator may, in its discretion, provide that Awards granted to Non-Employee Directors shall be granted pursuant to a written non-discretionary formula established by the Administrator (the “</w:t>
      </w:r>
      <w:r>
        <w:rPr>
          <w:rFonts w:ascii="Times New Roman" w:cs="Times New Roman" w:eastAsia="Times New Roman" w:hAnsi="Times New Roman"/>
          <w:sz w:val="21"/>
          <w:szCs w:val="21"/>
          <w:u w:val="single" w:color="auto"/>
          <w:color w:val="auto"/>
        </w:rPr>
        <w:t>Non-Employee Director Equity Compensation Policy</w:t>
      </w:r>
      <w:r>
        <w:rPr>
          <w:rFonts w:ascii="Times New Roman" w:cs="Times New Roman" w:eastAsia="Times New Roman" w:hAnsi="Times New Roman"/>
          <w:sz w:val="21"/>
          <w:szCs w:val="21"/>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80" w:lineRule="exact"/>
        <w:rPr>
          <w:sz w:val="20"/>
          <w:szCs w:val="20"/>
          <w:color w:val="auto"/>
        </w:rPr>
      </w:pPr>
    </w:p>
    <w:p>
      <w:pPr>
        <w:jc w:val="both"/>
        <w:ind w:left="20" w:firstLine="619"/>
        <w:spacing w:after="0" w:line="282"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Stand-Alone and Tandem Awards</w:t>
      </w:r>
      <w:r>
        <w:rPr>
          <w:rFonts w:ascii="Times New Roman" w:cs="Times New Roman" w:eastAsia="Times New Roman" w:hAnsi="Times New Roman"/>
          <w:sz w:val="20"/>
          <w:szCs w:val="20"/>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3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ARTICLE 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PROVISIONS APPLICABLE TO AWARDS INTENDED TO QUALIFY AS PERFORMANCE-BASED COMPENSATION.</w:t>
      </w:r>
    </w:p>
    <w:p>
      <w:pPr>
        <w:spacing w:after="0" w:line="225" w:lineRule="exact"/>
        <w:rPr>
          <w:sz w:val="20"/>
          <w:szCs w:val="20"/>
          <w:color w:val="auto"/>
        </w:rPr>
      </w:pPr>
    </w:p>
    <w:p>
      <w:pPr>
        <w:jc w:val="both"/>
        <w:ind w:left="20" w:firstLine="619"/>
        <w:spacing w:after="0" w:line="250"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79" w:lineRule="exact"/>
        <w:rPr>
          <w:sz w:val="20"/>
          <w:szCs w:val="20"/>
          <w:color w:val="auto"/>
        </w:rPr>
      </w:pPr>
    </w:p>
    <w:p>
      <w:pPr>
        <w:jc w:val="both"/>
        <w:ind w:left="20" w:firstLine="619"/>
        <w:spacing w:after="0" w:line="256"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81" w:lineRule="exact"/>
        <w:rPr>
          <w:sz w:val="20"/>
          <w:szCs w:val="20"/>
          <w:color w:val="auto"/>
        </w:rPr>
      </w:pPr>
    </w:p>
    <w:p>
      <w:pPr>
        <w:jc w:val="both"/>
        <w:ind w:left="20" w:firstLine="619"/>
        <w:spacing w:after="0" w:line="252"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Types of Awards</w:t>
      </w:r>
      <w:r>
        <w:rPr>
          <w:rFonts w:ascii="Times New Roman" w:cs="Times New Roman" w:eastAsia="Times New Roman" w:hAnsi="Times New Roman"/>
          <w:sz w:val="21"/>
          <w:szCs w:val="21"/>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100"/>
          </w:cols>
          <w:pgMar w:left="460" w:top="1365" w:right="339" w:bottom="1440" w:gutter="0" w:footer="0" w:header="0"/>
        </w:sectPr>
      </w:pPr>
    </w:p>
    <w:bookmarkStart w:id="18" w:name="page19"/>
    <w:bookmarkEnd w:id="18"/>
    <w:p>
      <w:pPr>
        <w:jc w:val="both"/>
        <w:spacing w:after="0" w:line="269" w:lineRule="auto"/>
        <w:rPr>
          <w:sz w:val="20"/>
          <w:szCs w:val="20"/>
          <w:color w:val="auto"/>
        </w:rPr>
      </w:pPr>
      <w:r>
        <w:rPr>
          <w:rFonts w:ascii="Times New Roman" w:cs="Times New Roman" w:eastAsia="Times New Roman" w:hAnsi="Times New Roman"/>
          <w:sz w:val="21"/>
          <w:szCs w:val="21"/>
          <w:color w:val="auto"/>
        </w:rPr>
        <w:t>any Performance Awards described in Article 10 that vest or become exercisable or payable upon the attainment of one or more specified Performance Goals.</w:t>
      </w:r>
    </w:p>
    <w:p>
      <w:pPr>
        <w:spacing w:after="0" w:line="15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Procedures with Respect to Performance-Based Awards</w:t>
      </w:r>
      <w:r>
        <w:rPr>
          <w:rFonts w:ascii="Times New Roman" w:cs="Times New Roman" w:eastAsia="Times New Roman" w:hAnsi="Times New Roman"/>
          <w:sz w:val="21"/>
          <w:szCs w:val="21"/>
          <w:color w:val="auto"/>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8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Payment of Performance-Based Awards</w:t>
      </w:r>
      <w:r>
        <w:rPr>
          <w:rFonts w:ascii="Times New Roman" w:cs="Times New Roman" w:eastAsia="Times New Roman" w:hAnsi="Times New Roman"/>
          <w:sz w:val="21"/>
          <w:szCs w:val="21"/>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174"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Additional Limitations</w:t>
      </w:r>
      <w:r>
        <w:rPr>
          <w:rFonts w:ascii="Times New Roman" w:cs="Times New Roman" w:eastAsia="Times New Roman" w:hAnsi="Times New Roman"/>
          <w:sz w:val="21"/>
          <w:szCs w:val="21"/>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16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ARTICLE 6.</w:t>
      </w:r>
    </w:p>
    <w:p>
      <w:pPr>
        <w:spacing w:after="0" w:line="24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GRANTING OF OPTIONS</w:t>
      </w:r>
    </w:p>
    <w:p>
      <w:pPr>
        <w:spacing w:after="0" w:line="21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Granting of Options to Eligible Individuals</w:t>
      </w:r>
      <w:r>
        <w:rPr>
          <w:rFonts w:ascii="Times New Roman" w:cs="Times New Roman" w:eastAsia="Times New Roman" w:hAnsi="Times New Roman"/>
          <w:sz w:val="21"/>
          <w:szCs w:val="21"/>
          <w:color w:val="auto"/>
        </w:rPr>
        <w:t>. The Administrator is authorized to grant Options to Eligible Individuals from time to time, in its sole discretion, on such terms and conditions as it may determine which shall not be inconsistent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080"/>
          </w:cols>
          <w:pgMar w:left="480" w:top="1365" w:right="339" w:bottom="1440" w:gutter="0" w:footer="0" w:header="0"/>
        </w:sectPr>
      </w:pPr>
    </w:p>
    <w:bookmarkStart w:id="19" w:name="page20"/>
    <w:bookmarkEnd w:id="19"/>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Qualification of Incentive Stock Options</w:t>
      </w:r>
      <w:r>
        <w:rPr>
          <w:rFonts w:ascii="Times New Roman" w:cs="Times New Roman" w:eastAsia="Times New Roman" w:hAnsi="Times New Roman"/>
          <w:sz w:val="21"/>
          <w:szCs w:val="21"/>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7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Option Exercise Price</w:t>
      </w:r>
      <w:r>
        <w:rPr>
          <w:rFonts w:ascii="Times New Roman" w:cs="Times New Roman" w:eastAsia="Times New Roman" w:hAnsi="Times New Roman"/>
          <w:sz w:val="21"/>
          <w:szCs w:val="21"/>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7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The term of each Option (the “</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xml:space="preserve">”) shall be set by the Administrator in its sole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18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0"/>
          <w:szCs w:val="20"/>
          <w:u w:val="single" w:color="auto"/>
          <w:color w:val="auto"/>
        </w:rPr>
        <w:t>Option Vesting</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081"/>
        <w:spacing w:after="0" w:line="262" w:lineRule="auto"/>
        <w:tabs>
          <w:tab w:leader="none" w:pos="1699"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period during which the right to exercise, in whole or in part, an Option vests in the Holder shall be set by the Administrator and the Administrator may determine that an Option may not be exercised in whole or in part for a specified period after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080"/>
          </w:cols>
          <w:pgMar w:left="480" w:top="1365" w:right="339" w:bottom="1440" w:gutter="0" w:footer="0" w:header="0"/>
        </w:sectPr>
      </w:pPr>
    </w:p>
    <w:bookmarkStart w:id="20" w:name="page21"/>
    <w:bookmarkEnd w:id="20"/>
    <w:p>
      <w:pPr>
        <w:spacing w:after="0" w:line="269" w:lineRule="auto"/>
        <w:rPr>
          <w:sz w:val="20"/>
          <w:szCs w:val="20"/>
          <w:color w:val="auto"/>
        </w:rPr>
      </w:pPr>
      <w:r>
        <w:rPr>
          <w:rFonts w:ascii="Times New Roman" w:cs="Times New Roman" w:eastAsia="Times New Roman" w:hAnsi="Times New Roman"/>
          <w:sz w:val="21"/>
          <w:szCs w:val="21"/>
          <w:color w:val="auto"/>
        </w:rPr>
        <w:t>is granted. Such vesting may be based on service with the Company or any Affiliate, any of the Performance Criteria, or any other criteria selected by the Administrator.</w:t>
      </w:r>
    </w:p>
    <w:p>
      <w:pPr>
        <w:spacing w:after="0" w:line="155" w:lineRule="exact"/>
        <w:rPr>
          <w:sz w:val="20"/>
          <w:szCs w:val="20"/>
          <w:color w:val="auto"/>
        </w:rPr>
      </w:pPr>
    </w:p>
    <w:p>
      <w:pPr>
        <w:jc w:val="both"/>
        <w:ind w:firstLine="1081"/>
        <w:spacing w:after="0" w:line="262" w:lineRule="auto"/>
        <w:tabs>
          <w:tab w:leader="none" w:pos="169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63"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8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Substitution of Stock Appreciation Rights</w:t>
      </w:r>
      <w:r>
        <w:rPr>
          <w:rFonts w:ascii="Times New Roman" w:cs="Times New Roman" w:eastAsia="Times New Roman" w:hAnsi="Times New Roman"/>
          <w:sz w:val="21"/>
          <w:szCs w:val="21"/>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6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ARTICLE 7.</w:t>
      </w:r>
    </w:p>
    <w:p>
      <w:pPr>
        <w:spacing w:after="0" w:line="26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EXERCISE OF OPTIONS</w:t>
      </w:r>
    </w:p>
    <w:p>
      <w:pPr>
        <w:spacing w:after="0" w:line="21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Partial Exercise</w:t>
      </w:r>
      <w:r>
        <w:rPr>
          <w:rFonts w:ascii="Times New Roman" w:cs="Times New Roman" w:eastAsia="Times New Roman" w:hAnsi="Times New Roman"/>
          <w:sz w:val="21"/>
          <w:szCs w:val="21"/>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6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Manner of Exercise</w:t>
      </w:r>
      <w:r>
        <w:rPr>
          <w:rFonts w:ascii="Times New Roman" w:cs="Times New Roman" w:eastAsia="Times New Roman" w:hAnsi="Times New Roman"/>
          <w:sz w:val="21"/>
          <w:szCs w:val="21"/>
          <w:color w:val="auto"/>
        </w:rPr>
        <w:t>. All or a portion of an exercisable Option shall be deemed exercised upon delivery of all of the following to the Secretary of the Company, the stock administrator of the Company or such other person or entity designated by the Administrator, or his, her or its office, as applicable:</w:t>
      </w:r>
    </w:p>
    <w:p>
      <w:pPr>
        <w:spacing w:after="0" w:line="163" w:lineRule="exact"/>
        <w:rPr>
          <w:sz w:val="20"/>
          <w:szCs w:val="20"/>
          <w:color w:val="auto"/>
        </w:rPr>
      </w:pPr>
    </w:p>
    <w:p>
      <w:pPr>
        <w:jc w:val="both"/>
        <w:ind w:firstLine="1081"/>
        <w:spacing w:after="0" w:line="256" w:lineRule="auto"/>
        <w:tabs>
          <w:tab w:leader="none" w:pos="1699"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080"/>
          </w:cols>
          <w:pgMar w:left="480" w:top="1365" w:right="339" w:bottom="1440" w:gutter="0" w:footer="0" w:header="0"/>
        </w:sectPr>
      </w:pPr>
    </w:p>
    <w:bookmarkStart w:id="21" w:name="page22"/>
    <w:bookmarkEnd w:id="21"/>
    <w:p>
      <w:pPr>
        <w:jc w:val="both"/>
        <w:ind w:firstLine="1081"/>
        <w:spacing w:after="0" w:line="256" w:lineRule="auto"/>
        <w:tabs>
          <w:tab w:leader="none" w:pos="169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68" w:lineRule="exact"/>
        <w:rPr>
          <w:rFonts w:ascii="Times New Roman" w:cs="Times New Roman" w:eastAsia="Times New Roman" w:hAnsi="Times New Roman"/>
          <w:sz w:val="21"/>
          <w:szCs w:val="21"/>
          <w:color w:val="auto"/>
        </w:rPr>
      </w:pPr>
    </w:p>
    <w:p>
      <w:pPr>
        <w:jc w:val="both"/>
        <w:ind w:firstLine="1081"/>
        <w:spacing w:after="0" w:line="256" w:lineRule="auto"/>
        <w:tabs>
          <w:tab w:leader="none" w:pos="169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168" w:lineRule="exact"/>
        <w:rPr>
          <w:rFonts w:ascii="Times New Roman" w:cs="Times New Roman" w:eastAsia="Times New Roman" w:hAnsi="Times New Roman"/>
          <w:sz w:val="21"/>
          <w:szCs w:val="21"/>
          <w:color w:val="auto"/>
        </w:rPr>
      </w:pPr>
    </w:p>
    <w:p>
      <w:pPr>
        <w:ind w:firstLine="1081"/>
        <w:spacing w:after="0" w:line="282" w:lineRule="auto"/>
        <w:tabs>
          <w:tab w:leader="none" w:pos="169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Full payment of the exercise price and applicable withholding taxes to the stock administrator of the Company for the Shares with respect to which the Option, or portion thereof, is exercised, in a manner permitted by Sections 12.1 and 12.2.</w:t>
      </w:r>
    </w:p>
    <w:p>
      <w:pPr>
        <w:spacing w:after="0" w:line="14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Notification Regarding Disposition</w:t>
      </w:r>
      <w:r>
        <w:rPr>
          <w:rFonts w:ascii="Times New Roman" w:cs="Times New Roman" w:eastAsia="Times New Roman" w:hAnsi="Times New Roman"/>
          <w:sz w:val="21"/>
          <w:szCs w:val="21"/>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1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ARTICLE 8.</w:t>
      </w:r>
    </w:p>
    <w:p>
      <w:pPr>
        <w:spacing w:after="0" w:line="26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AWARD OF RESTRICTED STOCK</w:t>
      </w:r>
    </w:p>
    <w:p>
      <w:pPr>
        <w:spacing w:after="0" w:line="214"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0"/>
          <w:szCs w:val="20"/>
          <w:u w:val="single" w:color="auto"/>
          <w:color w:val="auto"/>
        </w:rPr>
        <w:t>Award of Restricted Stock</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firstLine="1081"/>
        <w:spacing w:after="0" w:line="262" w:lineRule="auto"/>
        <w:tabs>
          <w:tab w:leader="none" w:pos="169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63" w:lineRule="exact"/>
        <w:rPr>
          <w:rFonts w:ascii="Times New Roman" w:cs="Times New Roman" w:eastAsia="Times New Roman" w:hAnsi="Times New Roman"/>
          <w:sz w:val="21"/>
          <w:szCs w:val="21"/>
          <w:color w:val="auto"/>
        </w:rPr>
      </w:pPr>
    </w:p>
    <w:p>
      <w:pPr>
        <w:jc w:val="both"/>
        <w:ind w:firstLine="1081"/>
        <w:spacing w:after="0" w:line="252" w:lineRule="auto"/>
        <w:tabs>
          <w:tab w:leader="none" w:pos="1697"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Administrator shall establish the purchase price, if any, and form of payment for Restricted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18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Rights as Stockholders</w:t>
      </w:r>
      <w:r>
        <w:rPr>
          <w:rFonts w:ascii="Times New Roman" w:cs="Times New Roman" w:eastAsia="Times New Roman" w:hAnsi="Times New Roman"/>
          <w:sz w:val="21"/>
          <w:szCs w:val="21"/>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080"/>
          </w:cols>
          <w:pgMar w:left="480" w:top="1365" w:right="339" w:bottom="1440" w:gutter="0" w:footer="0" w:header="0"/>
        </w:sectPr>
      </w:pPr>
    </w:p>
    <w:bookmarkStart w:id="22" w:name="page23"/>
    <w:bookmarkEnd w:id="22"/>
    <w:p>
      <w:pPr>
        <w:jc w:val="both"/>
        <w:spacing w:after="0" w:line="269" w:lineRule="auto"/>
        <w:rPr>
          <w:sz w:val="20"/>
          <w:szCs w:val="20"/>
          <w:color w:val="auto"/>
        </w:rPr>
      </w:pPr>
      <w:r>
        <w:rPr>
          <w:rFonts w:ascii="Times New Roman" w:cs="Times New Roman" w:eastAsia="Times New Roman" w:hAnsi="Times New Roman"/>
          <w:sz w:val="21"/>
          <w:szCs w:val="21"/>
          <w:color w:val="auto"/>
        </w:rPr>
        <w:t>shall only be paid out to the Holder to the extent that the performance-based vesting conditions are subsequently satisfied and the share of Restricted Stock vests.</w:t>
      </w:r>
    </w:p>
    <w:p>
      <w:pPr>
        <w:spacing w:after="0" w:line="15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82"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Repurchase or Forfeiture of Restricted Stock</w:t>
      </w:r>
      <w:r>
        <w:rPr>
          <w:rFonts w:ascii="Times New Roman" w:cs="Times New Roman" w:eastAsia="Times New Roman" w:hAnsi="Times New Roman"/>
          <w:sz w:val="21"/>
          <w:szCs w:val="21"/>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9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u w:val="single" w:color="auto"/>
          <w:color w:val="auto"/>
        </w:rPr>
        <w:t>Certificates for Restricted Stock</w:t>
      </w:r>
      <w:r>
        <w:rPr>
          <w:rFonts w:ascii="Times New Roman" w:cs="Times New Roman" w:eastAsia="Times New Roman" w:hAnsi="Times New Roman"/>
          <w:sz w:val="21"/>
          <w:szCs w:val="21"/>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080"/>
          </w:cols>
          <w:pgMar w:left="480" w:top="1365" w:right="339" w:bottom="1440" w:gutter="0" w:footer="0" w:header="0"/>
        </w:sectPr>
      </w:pPr>
    </w:p>
    <w:bookmarkStart w:id="23" w:name="page24"/>
    <w:bookmarkEnd w:id="23"/>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Section 83(b) Election</w:t>
      </w:r>
      <w:r>
        <w:rPr>
          <w:rFonts w:ascii="Times New Roman" w:cs="Times New Roman" w:eastAsia="Times New Roman" w:hAnsi="Times New Roman"/>
          <w:sz w:val="21"/>
          <w:szCs w:val="21"/>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080"/>
          </w:cols>
          <w:pgMar w:left="480" w:top="1365" w:right="339" w:bottom="1440" w:gutter="0" w:footer="0" w:header="0"/>
        </w:sectPr>
      </w:pPr>
    </w:p>
    <w:bookmarkStart w:id="24" w:name="page25"/>
    <w:bookmarkEnd w:id="24"/>
    <w:p>
      <w:pPr>
        <w:jc w:val="center"/>
        <w:ind w:right="240"/>
        <w:spacing w:after="0"/>
        <w:rPr>
          <w:sz w:val="20"/>
          <w:szCs w:val="20"/>
          <w:color w:val="auto"/>
        </w:rPr>
      </w:pPr>
      <w:r>
        <w:rPr>
          <w:rFonts w:ascii="Times New Roman" w:cs="Times New Roman" w:eastAsia="Times New Roman" w:hAnsi="Times New Roman"/>
          <w:sz w:val="21"/>
          <w:szCs w:val="21"/>
          <w:b w:val="1"/>
          <w:bCs w:val="1"/>
          <w:color w:val="auto"/>
        </w:rPr>
        <w:t>ARTICLE 9.</w:t>
      </w:r>
    </w:p>
    <w:p>
      <w:pPr>
        <w:spacing w:after="0" w:line="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AWARD OF RESTRICTED STOCK UNITS</w:t>
      </w:r>
    </w:p>
    <w:p>
      <w:pPr>
        <w:spacing w:after="0" w:line="18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Grant of Restricted Stock Units</w:t>
      </w:r>
      <w:r>
        <w:rPr>
          <w:rFonts w:ascii="Times New Roman" w:cs="Times New Roman" w:eastAsia="Times New Roman" w:hAnsi="Times New Roman"/>
          <w:sz w:val="21"/>
          <w:szCs w:val="21"/>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6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Except as otherwise provided herein, the term of a Restricted Stock Unit award shall be set by the Administrator in its sole discretion.</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value of the consideration shall not be less than the par value of a Share, unless otherwise permitted by Applicable Law.</w:t>
      </w:r>
    </w:p>
    <w:p>
      <w:pPr>
        <w:spacing w:after="0" w:line="163"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Vesting of Restricted Stock Units</w:t>
      </w:r>
      <w:r>
        <w:rPr>
          <w:rFonts w:ascii="Times New Roman" w:cs="Times New Roman" w:eastAsia="Times New Roman" w:hAnsi="Times New Roman"/>
          <w:sz w:val="21"/>
          <w:szCs w:val="21"/>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71"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Maturity and Payment</w:t>
      </w:r>
      <w:r>
        <w:rPr>
          <w:rFonts w:ascii="Times New Roman" w:cs="Times New Roman" w:eastAsia="Times New Roman" w:hAnsi="Times New Roman"/>
          <w:sz w:val="21"/>
          <w:szCs w:val="21"/>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third month following the end of calendar year in which the Restricted Stock Unit vests; or (b)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9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Payment upon Termination of Service</w:t>
      </w:r>
      <w:r>
        <w:rPr>
          <w:rFonts w:ascii="Times New Roman" w:cs="Times New Roman" w:eastAsia="Times New Roman" w:hAnsi="Times New Roman"/>
          <w:sz w:val="21"/>
          <w:szCs w:val="21"/>
          <w:color w:val="auto"/>
        </w:rPr>
        <w:t xml:space="preserve">. An Award of Restricted Stock Units shall only be payable while the Holder is an Employee, a Consultant or a member of the Board,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080"/>
          </w:cols>
          <w:pgMar w:left="480" w:top="1361" w:right="339" w:bottom="1440" w:gutter="0" w:footer="0" w:header="0"/>
        </w:sectPr>
      </w:pPr>
    </w:p>
    <w:bookmarkStart w:id="25" w:name="page26"/>
    <w:bookmarkEnd w:id="25"/>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9.7 </w:t>
      </w:r>
      <w:r>
        <w:rPr>
          <w:rFonts w:ascii="Times New Roman" w:cs="Times New Roman" w:eastAsia="Times New Roman" w:hAnsi="Times New Roman"/>
          <w:sz w:val="21"/>
          <w:szCs w:val="21"/>
          <w:u w:val="single" w:color="auto"/>
          <w:color w:val="auto"/>
        </w:rPr>
        <w:t>No Rights as a Stockholder</w:t>
      </w:r>
      <w:r>
        <w:rPr>
          <w:rFonts w:ascii="Times New Roman" w:cs="Times New Roman" w:eastAsia="Times New Roman" w:hAnsi="Times New Roman"/>
          <w:sz w:val="21"/>
          <w:szCs w:val="21"/>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81"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9.8 </w:t>
      </w: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16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ARTICLE 10.</w:t>
      </w:r>
    </w:p>
    <w:p>
      <w:pPr>
        <w:spacing w:after="0" w:line="223" w:lineRule="exact"/>
        <w:rPr>
          <w:sz w:val="20"/>
          <w:szCs w:val="20"/>
          <w:color w:val="auto"/>
        </w:rPr>
      </w:pPr>
    </w:p>
    <w:p>
      <w:pPr>
        <w:jc w:val="center"/>
        <w:ind w:right="140"/>
        <w:spacing w:after="0" w:line="273" w:lineRule="auto"/>
        <w:rPr>
          <w:sz w:val="20"/>
          <w:szCs w:val="20"/>
          <w:color w:val="auto"/>
        </w:rPr>
      </w:pPr>
      <w:r>
        <w:rPr>
          <w:rFonts w:ascii="Times New Roman" w:cs="Times New Roman" w:eastAsia="Times New Roman" w:hAnsi="Times New Roman"/>
          <w:sz w:val="21"/>
          <w:szCs w:val="21"/>
          <w:b w:val="1"/>
          <w:bCs w:val="1"/>
          <w:color w:val="auto"/>
        </w:rPr>
        <w:t>AWARD OF PERFORMANCE AWARDS, DIVIDEND EQUIVALENTS, STOCK PAYMENTS, DEFERRED STOCK, DEFERRED STOCK UNITS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Performance Awards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081"/>
        <w:spacing w:after="0" w:line="251" w:lineRule="auto"/>
        <w:tabs>
          <w:tab w:leader="none" w:pos="169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73" w:lineRule="exact"/>
        <w:rPr>
          <w:rFonts w:ascii="Times New Roman" w:cs="Times New Roman" w:eastAsia="Times New Roman" w:hAnsi="Times New Roman"/>
          <w:sz w:val="21"/>
          <w:szCs w:val="21"/>
          <w:color w:val="auto"/>
        </w:rPr>
      </w:pPr>
    </w:p>
    <w:p>
      <w:pPr>
        <w:jc w:val="both"/>
        <w:ind w:firstLine="1081"/>
        <w:spacing w:after="0" w:line="253" w:lineRule="auto"/>
        <w:tabs>
          <w:tab w:leader="none" w:pos="1697"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081"/>
        <w:spacing w:after="0" w:line="251" w:lineRule="auto"/>
        <w:tabs>
          <w:tab w:leader="none" w:pos="169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080"/>
          </w:cols>
          <w:pgMar w:left="480" w:top="13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color w:val="auto"/>
        </w:rPr>
        <w:t>extent that the performance-based vesting conditions are subsequently satisfied and the Award vests.</w:t>
      </w:r>
    </w:p>
    <w:p>
      <w:pPr>
        <w:spacing w:after="0" w:line="210" w:lineRule="exact"/>
        <w:rPr>
          <w:sz w:val="20"/>
          <w:szCs w:val="20"/>
          <w:color w:val="auto"/>
        </w:rPr>
      </w:pPr>
    </w:p>
    <w:p>
      <w:pPr>
        <w:ind w:firstLine="1081"/>
        <w:spacing w:after="0" w:line="269" w:lineRule="auto"/>
        <w:tabs>
          <w:tab w:leader="none" w:pos="169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 Dividend Equivalents shall be payable with respect to Options or Stock Appreciation Rights.</w:t>
      </w:r>
    </w:p>
    <w:p>
      <w:pPr>
        <w:spacing w:after="0" w:line="168"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Stock Payments</w:t>
      </w:r>
      <w:r>
        <w:rPr>
          <w:rFonts w:ascii="Times New Roman" w:cs="Times New Roman" w:eastAsia="Times New Roman" w:hAnsi="Times New Roman"/>
          <w:sz w:val="21"/>
          <w:szCs w:val="21"/>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7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Deferred Stock</w:t>
      </w:r>
      <w:r>
        <w:rPr>
          <w:rFonts w:ascii="Times New Roman" w:cs="Times New Roman" w:eastAsia="Times New Roman" w:hAnsi="Times New Roman"/>
          <w:sz w:val="21"/>
          <w:szCs w:val="21"/>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82"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u w:val="single" w:color="auto"/>
          <w:color w:val="auto"/>
        </w:rPr>
        <w:t>Deferred Stock Units</w:t>
      </w:r>
      <w:r>
        <w:rPr>
          <w:rFonts w:ascii="Times New Roman" w:cs="Times New Roman" w:eastAsia="Times New Roman" w:hAnsi="Times New Roman"/>
          <w:sz w:val="21"/>
          <w:szCs w:val="21"/>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080"/>
          </w:cols>
          <w:pgMar w:left="480" w:top="1365" w:right="339" w:bottom="1440" w:gutter="0" w:footer="0" w:header="0"/>
        </w:sectPr>
      </w:pPr>
    </w:p>
    <w:bookmarkStart w:id="27" w:name="page28"/>
    <w:bookmarkEnd w:id="27"/>
    <w:p>
      <w:pPr>
        <w:jc w:val="both"/>
        <w:spacing w:after="0" w:line="269" w:lineRule="auto"/>
        <w:rPr>
          <w:sz w:val="20"/>
          <w:szCs w:val="20"/>
          <w:color w:val="auto"/>
        </w:rPr>
      </w:pPr>
      <w:r>
        <w:rPr>
          <w:rFonts w:ascii="Times New Roman" w:cs="Times New Roman" w:eastAsia="Times New Roman" w:hAnsi="Times New Roman"/>
          <w:sz w:val="21"/>
          <w:szCs w:val="21"/>
          <w:color w:val="auto"/>
        </w:rPr>
        <w:t>such time as the Award has vested and any other applicable conditions and/or criteria have been satisfied and the Shares underlying the Award have been issued to the Holder.</w:t>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10.6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a Performance Award, Dividend Equivalent award, Stock Payment award, Deferred Stock award and/or Deferred Stock Unit award shall be set by the Administrator in its sole discretion.</w:t>
      </w:r>
    </w:p>
    <w:p>
      <w:pPr>
        <w:spacing w:after="0" w:line="14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xml:space="preserve">. The Administrator may establish the purchase price of a Performance Award, Shares distributed as a Stock Payment award, shares of Deferred Stock or Shares distributed pursuant to a Deferred Stock Unit award;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value of the consideration shall not be less than the par value of a Share, unless otherwise permitted by Applicable Law.</w:t>
      </w:r>
    </w:p>
    <w:p>
      <w:pPr>
        <w:spacing w:after="0" w:line="168"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10.8 </w:t>
      </w: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17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ARTICLE 11.</w:t>
      </w:r>
    </w:p>
    <w:p>
      <w:pPr>
        <w:spacing w:after="0" w:line="223" w:lineRule="exact"/>
        <w:rPr>
          <w:sz w:val="20"/>
          <w:szCs w:val="20"/>
          <w:color w:val="auto"/>
        </w:rPr>
      </w:pPr>
    </w:p>
    <w:p>
      <w:pPr>
        <w:ind w:left="620" w:right="3440" w:firstLine="2674"/>
        <w:spacing w:after="0" w:line="450" w:lineRule="auto"/>
        <w:rPr>
          <w:sz w:val="20"/>
          <w:szCs w:val="20"/>
          <w:color w:val="auto"/>
        </w:rPr>
      </w:pPr>
      <w:r>
        <w:rPr>
          <w:rFonts w:ascii="Times New Roman" w:cs="Times New Roman" w:eastAsia="Times New Roman" w:hAnsi="Times New Roman"/>
          <w:sz w:val="21"/>
          <w:szCs w:val="21"/>
          <w:b w:val="1"/>
          <w:bCs w:val="1"/>
          <w:color w:val="auto"/>
        </w:rPr>
        <w:t xml:space="preserve">AWARD OF STOCK APPRECIATION RIGHTS </w:t>
      </w: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u w:val="single" w:color="auto"/>
          <w:color w:val="auto"/>
        </w:rPr>
        <w:t>Grant of Stock Appreciation Rights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firstLine="1081"/>
        <w:spacing w:after="0" w:line="269" w:lineRule="auto"/>
        <w:tabs>
          <w:tab w:leader="none" w:pos="1699"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is authorized to grant Stock Appreciation Rights to Eligible Individuals from time to time, in its sole discretion, on such terms and conditions as it may determine consistent with the Plan.</w:t>
      </w:r>
    </w:p>
    <w:p>
      <w:pPr>
        <w:spacing w:after="0" w:line="154" w:lineRule="exact"/>
        <w:rPr>
          <w:rFonts w:ascii="Times New Roman" w:cs="Times New Roman" w:eastAsia="Times New Roman" w:hAnsi="Times New Roman"/>
          <w:sz w:val="21"/>
          <w:szCs w:val="21"/>
          <w:color w:val="auto"/>
        </w:rPr>
      </w:pPr>
    </w:p>
    <w:p>
      <w:pPr>
        <w:jc w:val="both"/>
        <w:ind w:firstLine="1081"/>
        <w:spacing w:after="0" w:line="250" w:lineRule="auto"/>
        <w:tabs>
          <w:tab w:leader="none" w:pos="169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79" w:lineRule="exact"/>
        <w:rPr>
          <w:rFonts w:ascii="Times New Roman" w:cs="Times New Roman" w:eastAsia="Times New Roman" w:hAnsi="Times New Roman"/>
          <w:sz w:val="21"/>
          <w:szCs w:val="21"/>
          <w:color w:val="auto"/>
        </w:rPr>
      </w:pPr>
    </w:p>
    <w:p>
      <w:pPr>
        <w:ind w:firstLine="1081"/>
        <w:spacing w:after="0" w:line="269" w:lineRule="auto"/>
        <w:tabs>
          <w:tab w:leader="none" w:pos="1699"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Section 11.1(b) to the contrary, in the case of a Stock Appreciation Right that is a Substitute Award, the price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080"/>
          </w:cols>
          <w:pgMar w:left="480" w:top="1365" w:right="339" w:bottom="1440" w:gutter="0" w:footer="0" w:header="0"/>
        </w:sectPr>
      </w:pPr>
    </w:p>
    <w:bookmarkStart w:id="28" w:name="page29"/>
    <w:bookmarkEnd w:id="28"/>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share of the Shares subject to such Stock Appreciation Right may be less than 100% of the Fair Market Value per share on the date of grant;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Stock Appreciation Right Vesting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081"/>
        <w:spacing w:after="0" w:line="251" w:lineRule="auto"/>
        <w:tabs>
          <w:tab w:leader="none" w:pos="169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73" w:lineRule="exact"/>
        <w:rPr>
          <w:rFonts w:ascii="Times New Roman" w:cs="Times New Roman" w:eastAsia="Times New Roman" w:hAnsi="Times New Roman"/>
          <w:sz w:val="21"/>
          <w:szCs w:val="21"/>
          <w:color w:val="auto"/>
        </w:rPr>
      </w:pPr>
    </w:p>
    <w:p>
      <w:pPr>
        <w:jc w:val="both"/>
        <w:ind w:firstLine="1081"/>
        <w:spacing w:after="0" w:line="262" w:lineRule="auto"/>
        <w:tabs>
          <w:tab w:leader="none" w:pos="1697"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6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Manner of Exercise</w:t>
      </w:r>
      <w:r>
        <w:rPr>
          <w:rFonts w:ascii="Times New Roman" w:cs="Times New Roman" w:eastAsia="Times New Roman" w:hAnsi="Times New Roman"/>
          <w:sz w:val="21"/>
          <w:szCs w:val="21"/>
          <w:color w:val="auto"/>
        </w:rPr>
        <w:t>.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181" w:lineRule="exact"/>
        <w:rPr>
          <w:sz w:val="20"/>
          <w:szCs w:val="20"/>
          <w:color w:val="auto"/>
        </w:rPr>
      </w:pPr>
    </w:p>
    <w:p>
      <w:pPr>
        <w:jc w:val="both"/>
        <w:ind w:firstLine="1081"/>
        <w:spacing w:after="0" w:line="256" w:lineRule="auto"/>
        <w:tabs>
          <w:tab w:leader="none" w:pos="169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68" w:lineRule="exact"/>
        <w:rPr>
          <w:rFonts w:ascii="Times New Roman" w:cs="Times New Roman" w:eastAsia="Times New Roman" w:hAnsi="Times New Roman"/>
          <w:sz w:val="21"/>
          <w:szCs w:val="21"/>
          <w:color w:val="auto"/>
        </w:rPr>
      </w:pPr>
    </w:p>
    <w:p>
      <w:pPr>
        <w:jc w:val="both"/>
        <w:ind w:firstLine="1081"/>
        <w:spacing w:after="0" w:line="262" w:lineRule="auto"/>
        <w:tabs>
          <w:tab w:leader="none" w:pos="169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63" w:lineRule="exact"/>
        <w:rPr>
          <w:rFonts w:ascii="Times New Roman" w:cs="Times New Roman" w:eastAsia="Times New Roman" w:hAnsi="Times New Roman"/>
          <w:sz w:val="21"/>
          <w:szCs w:val="21"/>
          <w:color w:val="auto"/>
        </w:rPr>
      </w:pPr>
    </w:p>
    <w:p>
      <w:pPr>
        <w:ind w:firstLine="1081"/>
        <w:spacing w:after="0" w:line="269" w:lineRule="auto"/>
        <w:tabs>
          <w:tab w:leader="none" w:pos="169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Stock Appreciation Right shall be exercised pursuant to this Section 11.3 by any person or persons other than the Holder, appropriate proof of the right of such person or persons to exercise the Stock Appreciation Right.</w:t>
      </w:r>
    </w:p>
    <w:p>
      <w:pPr>
        <w:spacing w:after="0" w:line="155"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The term of each Stock Appreciation Right (the “</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shall be set by the Administrator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080"/>
          </w:cols>
          <w:pgMar w:left="480" w:top="1365" w:right="339" w:bottom="1440" w:gutter="0" w:footer="0" w:header="0"/>
        </w:sectPr>
      </w:pPr>
    </w:p>
    <w:bookmarkStart w:id="29" w:name="page30"/>
    <w:bookmarkEnd w:id="29"/>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pacing w:after="0" w:line="18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6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ARTICLE 12.</w:t>
      </w:r>
    </w:p>
    <w:p>
      <w:pPr>
        <w:spacing w:after="0" w:line="2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ADDITIONAL TERMS OF AWARDS</w:t>
      </w:r>
    </w:p>
    <w:p>
      <w:pPr>
        <w:spacing w:after="0" w:line="21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65"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12.2 </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or permitted by law to be withheld with respect to any taxable event concerning a Holder arising as a result of the Plan. The Administrator may,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080"/>
          </w:cols>
          <w:pgMar w:left="480" w:top="1365" w:right="339" w:bottom="1440" w:gutter="0" w:footer="0" w:header="0"/>
        </w:sectPr>
      </w:pPr>
    </w:p>
    <w:bookmarkStart w:id="30" w:name="page31"/>
    <w:bookmarkEnd w:id="30"/>
    <w:p>
      <w:pPr>
        <w:jc w:val="both"/>
        <w:spacing w:after="0" w:line="249" w:lineRule="auto"/>
        <w:rPr>
          <w:sz w:val="20"/>
          <w:szCs w:val="20"/>
          <w:color w:val="auto"/>
        </w:rPr>
      </w:pPr>
      <w:r>
        <w:rPr>
          <w:rFonts w:ascii="Times New Roman" w:cs="Times New Roman" w:eastAsia="Times New Roman" w:hAnsi="Times New Roman"/>
          <w:sz w:val="21"/>
          <w:szCs w:val="21"/>
          <w:color w:val="auto"/>
        </w:rPr>
        <w:t>discretion and subject to such terms and conditions as it may specify, allow or provide for the Company to withhold Shares otherwise issuable under an Award (or allow the surrender of Shares) in payment of such tax withholding. The number of Shares which may be so withheld or surrendered shall be limited to the number of Shares which have a Fair Market Value on the date of withholding or repurchase sufficient to satisfy the maximum statutory withholding rates for federal, state, local and foreign income tax and payroll tax purposes that are applicable to such supplemental taxable income. The Administrator shall determine the fair market value of the Shares, consistent with any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Pursuant to Section 3.1(b)(ii), any such Shares withheld or surrendered will not be available for future grants of Awards under the Plan.</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u w:val="single" w:color="auto"/>
          <w:color w:val="auto"/>
        </w:rPr>
        <w:t>Transferability of Awards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700" w:hanging="619"/>
        <w:spacing w:after="0"/>
        <w:tabs>
          <w:tab w:leader="none" w:pos="17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12.3(b):</w:t>
      </w:r>
    </w:p>
    <w:p>
      <w:pPr>
        <w:spacing w:after="0" w:line="209" w:lineRule="exact"/>
        <w:rPr>
          <w:rFonts w:ascii="Times New Roman" w:cs="Times New Roman" w:eastAsia="Times New Roman" w:hAnsi="Times New Roman"/>
          <w:sz w:val="21"/>
          <w:szCs w:val="21"/>
          <w:color w:val="auto"/>
        </w:rPr>
      </w:pPr>
    </w:p>
    <w:p>
      <w:pPr>
        <w:jc w:val="both"/>
        <w:ind w:firstLine="1700"/>
        <w:spacing w:after="0" w:line="275" w:lineRule="auto"/>
        <w:tabs>
          <w:tab w:leader="none" w:pos="230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63" w:lineRule="exact"/>
        <w:rPr>
          <w:rFonts w:ascii="Times New Roman" w:cs="Times New Roman" w:eastAsia="Times New Roman" w:hAnsi="Times New Roman"/>
          <w:sz w:val="20"/>
          <w:szCs w:val="20"/>
          <w:color w:val="auto"/>
        </w:rPr>
      </w:pPr>
    </w:p>
    <w:p>
      <w:pPr>
        <w:jc w:val="both"/>
        <w:ind w:firstLine="1700"/>
        <w:spacing w:after="0" w:line="251" w:lineRule="auto"/>
        <w:tabs>
          <w:tab w:leader="none" w:pos="2315"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73" w:lineRule="exact"/>
        <w:rPr>
          <w:rFonts w:ascii="Times New Roman" w:cs="Times New Roman" w:eastAsia="Times New Roman" w:hAnsi="Times New Roman"/>
          <w:sz w:val="21"/>
          <w:szCs w:val="21"/>
          <w:color w:val="auto"/>
        </w:rPr>
      </w:pPr>
    </w:p>
    <w:p>
      <w:pPr>
        <w:jc w:val="both"/>
        <w:ind w:firstLine="1700"/>
        <w:spacing w:after="0" w:line="253" w:lineRule="auto"/>
        <w:tabs>
          <w:tab w:leader="none" w:pos="232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71" w:lineRule="exact"/>
        <w:rPr>
          <w:rFonts w:ascii="Times New Roman" w:cs="Times New Roman" w:eastAsia="Times New Roman" w:hAnsi="Times New Roman"/>
          <w:sz w:val="21"/>
          <w:szCs w:val="21"/>
          <w:color w:val="auto"/>
        </w:rPr>
      </w:pPr>
    </w:p>
    <w:p>
      <w:pPr>
        <w:jc w:val="both"/>
        <w:ind w:firstLine="1081"/>
        <w:spacing w:after="0" w:line="249" w:lineRule="auto"/>
        <w:tabs>
          <w:tab w:leader="none" w:pos="1697"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080"/>
          </w:cols>
          <w:pgMar w:left="480" w:top="1365"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21"/>
          <w:szCs w:val="21"/>
          <w:color w:val="auto"/>
        </w:rPr>
        <w:t>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69" w:lineRule="exact"/>
        <w:rPr>
          <w:sz w:val="20"/>
          <w:szCs w:val="20"/>
          <w:color w:val="auto"/>
        </w:rPr>
      </w:pPr>
    </w:p>
    <w:p>
      <w:pPr>
        <w:jc w:val="both"/>
        <w:ind w:firstLine="1081"/>
        <w:spacing w:after="0" w:line="248" w:lineRule="auto"/>
        <w:tabs>
          <w:tab w:leader="none" w:pos="169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change or revocation is filed with the Administrator prior to the Holder’s death.</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Conditions to Issuance of Shares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081"/>
        <w:spacing w:after="0" w:line="251" w:lineRule="auto"/>
        <w:tabs>
          <w:tab w:leader="none" w:pos="169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73" w:lineRule="exact"/>
        <w:rPr>
          <w:rFonts w:ascii="Times New Roman" w:cs="Times New Roman" w:eastAsia="Times New Roman" w:hAnsi="Times New Roman"/>
          <w:sz w:val="21"/>
          <w:szCs w:val="21"/>
          <w:color w:val="auto"/>
        </w:rPr>
      </w:pPr>
    </w:p>
    <w:p>
      <w:pPr>
        <w:jc w:val="both"/>
        <w:ind w:firstLine="1081"/>
        <w:spacing w:after="0" w:line="282" w:lineRule="auto"/>
        <w:tabs>
          <w:tab w:leader="none" w:pos="169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43" w:lineRule="exact"/>
        <w:rPr>
          <w:rFonts w:ascii="Times New Roman" w:cs="Times New Roman" w:eastAsia="Times New Roman" w:hAnsi="Times New Roman"/>
          <w:sz w:val="20"/>
          <w:szCs w:val="20"/>
          <w:color w:val="auto"/>
        </w:rPr>
      </w:pPr>
    </w:p>
    <w:p>
      <w:pPr>
        <w:jc w:val="both"/>
        <w:ind w:firstLine="1081"/>
        <w:spacing w:after="0" w:line="256" w:lineRule="auto"/>
        <w:tabs>
          <w:tab w:leader="none" w:pos="169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080"/>
          </w:cols>
          <w:pgMar w:left="480" w:top="1365" w:right="339" w:bottom="1440" w:gutter="0" w:footer="0" w:header="0"/>
        </w:sectPr>
      </w:pPr>
    </w:p>
    <w:bookmarkStart w:id="32" w:name="page33"/>
    <w:bookmarkEnd w:id="32"/>
    <w:p>
      <w:pPr>
        <w:ind w:left="2" w:firstLine="1081"/>
        <w:spacing w:after="0" w:line="269" w:lineRule="auto"/>
        <w:tabs>
          <w:tab w:leader="none" w:pos="170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54" w:lineRule="exact"/>
        <w:rPr>
          <w:rFonts w:ascii="Times New Roman" w:cs="Times New Roman" w:eastAsia="Times New Roman" w:hAnsi="Times New Roman"/>
          <w:sz w:val="21"/>
          <w:szCs w:val="21"/>
          <w:color w:val="auto"/>
        </w:rPr>
      </w:pPr>
    </w:p>
    <w:p>
      <w:pPr>
        <w:jc w:val="both"/>
        <w:ind w:left="2" w:firstLine="1081"/>
        <w:spacing w:after="0" w:line="256" w:lineRule="auto"/>
        <w:tabs>
          <w:tab w:leader="none" w:pos="170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69" w:lineRule="exact"/>
        <w:rPr>
          <w:sz w:val="20"/>
          <w:szCs w:val="20"/>
          <w:color w:val="auto"/>
        </w:rPr>
      </w:pPr>
    </w:p>
    <w:p>
      <w:pPr>
        <w:jc w:val="both"/>
        <w:ind w:left="2" w:firstLine="619"/>
        <w:spacing w:after="0" w:line="262" w:lineRule="auto"/>
        <w:rPr>
          <w:sz w:val="20"/>
          <w:szCs w:val="20"/>
          <w:color w:val="auto"/>
        </w:rPr>
      </w:pPr>
      <w:r>
        <w:rPr>
          <w:rFonts w:ascii="Times New Roman" w:cs="Times New Roman" w:eastAsia="Times New Roman" w:hAnsi="Times New Roman"/>
          <w:sz w:val="21"/>
          <w:szCs w:val="21"/>
          <w:color w:val="auto"/>
        </w:rPr>
        <w:t xml:space="preserve">12.5 </w:t>
      </w:r>
      <w:r>
        <w:rPr>
          <w:rFonts w:ascii="Times New Roman" w:cs="Times New Roman" w:eastAsia="Times New Roman" w:hAnsi="Times New Roman"/>
          <w:sz w:val="21"/>
          <w:szCs w:val="21"/>
          <w:u w:val="single" w:color="auto"/>
          <w:color w:val="auto"/>
        </w:rPr>
        <w:t>Forfeiture and Claw-Back Provisions</w:t>
      </w:r>
      <w:r>
        <w:rPr>
          <w:rFonts w:ascii="Times New Roman" w:cs="Times New Roman" w:eastAsia="Times New Roman" w:hAnsi="Times New Roman"/>
          <w:sz w:val="21"/>
          <w:szCs w:val="21"/>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63" w:lineRule="exact"/>
        <w:rPr>
          <w:sz w:val="20"/>
          <w:szCs w:val="20"/>
          <w:color w:val="auto"/>
        </w:rPr>
      </w:pPr>
    </w:p>
    <w:p>
      <w:pPr>
        <w:jc w:val="both"/>
        <w:ind w:left="2" w:firstLine="1081"/>
        <w:spacing w:after="0" w:line="267" w:lineRule="auto"/>
        <w:tabs>
          <w:tab w:leader="none" w:pos="170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proceeds, gains or other economic benefit actually or constructively received by the Holder upon any receipt or exercise of the Award, or upon the receipt or resale of any Shares underlying the Award, must be paid to the Company, and</w:t>
      </w:r>
    </w:p>
    <w:p>
      <w:pPr>
        <w:jc w:val="both"/>
        <w:ind w:left="2" w:hanging="2"/>
        <w:spacing w:after="0" w:line="246" w:lineRule="auto"/>
        <w:tabs>
          <w:tab w:leader="none" w:pos="30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81" w:lineRule="exact"/>
        <w:rPr>
          <w:rFonts w:ascii="Times New Roman" w:cs="Times New Roman" w:eastAsia="Times New Roman" w:hAnsi="Times New Roman"/>
          <w:sz w:val="21"/>
          <w:szCs w:val="21"/>
          <w:color w:val="auto"/>
        </w:rPr>
      </w:pPr>
    </w:p>
    <w:p>
      <w:pPr>
        <w:jc w:val="both"/>
        <w:ind w:left="2" w:firstLine="1081"/>
        <w:spacing w:after="0" w:line="251" w:lineRule="auto"/>
        <w:tabs>
          <w:tab w:leader="none" w:pos="170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74" w:lineRule="exact"/>
        <w:rPr>
          <w:sz w:val="20"/>
          <w:szCs w:val="20"/>
          <w:color w:val="auto"/>
        </w:rPr>
      </w:pPr>
    </w:p>
    <w:p>
      <w:pPr>
        <w:ind w:left="2" w:firstLine="619"/>
        <w:spacing w:after="0" w:line="273"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Prohibition on Repricing</w:t>
      </w:r>
      <w:r>
        <w:rPr>
          <w:rFonts w:ascii="Times New Roman" w:cs="Times New Roman" w:eastAsia="Times New Roman" w:hAnsi="Times New Roman"/>
          <w:sz w:val="20"/>
          <w:szCs w:val="20"/>
          <w:color w:val="auto"/>
        </w:rPr>
        <w:t>. Subject to Section 14.2, the Administrator shall not, without the approval of the stockholders of the Company, (i) authorize the amendment of any outstanding Option or Stock Appreciation Right to reduce its price per share, or</w:t>
      </w:r>
    </w:p>
    <w:p>
      <w:pPr>
        <w:spacing w:after="0" w:line="2" w:lineRule="exact"/>
        <w:rPr>
          <w:sz w:val="20"/>
          <w:szCs w:val="20"/>
          <w:color w:val="auto"/>
        </w:rPr>
      </w:pPr>
    </w:p>
    <w:p>
      <w:pPr>
        <w:jc w:val="both"/>
        <w:ind w:left="2" w:hanging="2"/>
        <w:spacing w:after="0" w:line="245" w:lineRule="auto"/>
        <w:tabs>
          <w:tab w:leader="none" w:pos="32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8"/>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082"/>
          </w:cols>
          <w:pgMar w:left="478" w:top="1365" w:right="339" w:bottom="1440" w:gutter="0" w:footer="0" w:header="0"/>
        </w:sectPr>
      </w:pPr>
    </w:p>
    <w:bookmarkStart w:id="33" w:name="page34"/>
    <w:bookmarkEnd w:id="33"/>
    <w:p>
      <w:pPr>
        <w:jc w:val="both"/>
        <w:spacing w:after="0" w:line="269" w:lineRule="auto"/>
        <w:rPr>
          <w:sz w:val="20"/>
          <w:szCs w:val="20"/>
          <w:color w:val="auto"/>
        </w:rPr>
      </w:pPr>
      <w:r>
        <w:rPr>
          <w:rFonts w:ascii="Times New Roman" w:cs="Times New Roman" w:eastAsia="Times New Roman" w:hAnsi="Times New Roman"/>
          <w:sz w:val="21"/>
          <w:szCs w:val="21"/>
          <w:color w:val="auto"/>
        </w:rPr>
        <w:t>price per share or to cancel and replace an Award with the grant of an Award having a price per share that is greater than or equal to the price per share of the original Award.</w:t>
      </w:r>
    </w:p>
    <w:p>
      <w:pPr>
        <w:spacing w:after="0" w:line="15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ARTICLE 13.</w:t>
      </w: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1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xml:space="preserve">.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Duties and Powers of Committee</w:t>
      </w:r>
      <w:r>
        <w:rPr>
          <w:rFonts w:ascii="Times New Roman" w:cs="Times New Roman" w:eastAsia="Times New Roman" w:hAnsi="Times New Roman"/>
          <w:sz w:val="20"/>
          <w:szCs w:val="20"/>
          <w:color w:val="auto"/>
        </w:rPr>
        <w:t xml:space="preserve">.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080"/>
          </w:cols>
          <w:pgMar w:left="480" w:top="1365"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21"/>
          <w:szCs w:val="21"/>
          <w:color w:val="auto"/>
        </w:rPr>
        <w:t>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8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u w:val="single" w:color="auto"/>
          <w:color w:val="auto"/>
        </w:rPr>
        <w:t>Action by the Committee</w:t>
      </w:r>
      <w:r>
        <w:rPr>
          <w:rFonts w:ascii="Times New Roman" w:cs="Times New Roman" w:eastAsia="Times New Roman" w:hAnsi="Times New Roman"/>
          <w:sz w:val="21"/>
          <w:szCs w:val="21"/>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8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13.4 </w:t>
      </w:r>
      <w:r>
        <w:rPr>
          <w:rFonts w:ascii="Times New Roman" w:cs="Times New Roman" w:eastAsia="Times New Roman" w:hAnsi="Times New Roman"/>
          <w:sz w:val="21"/>
          <w:szCs w:val="21"/>
          <w:u w:val="single" w:color="auto"/>
          <w:color w:val="auto"/>
        </w:rPr>
        <w:t>Authority of Administrator</w:t>
      </w:r>
      <w:r>
        <w:rPr>
          <w:rFonts w:ascii="Times New Roman" w:cs="Times New Roman" w:eastAsia="Times New Roman" w:hAnsi="Times New Roman"/>
          <w:sz w:val="21"/>
          <w:szCs w:val="21"/>
          <w:color w:val="auto"/>
        </w:rPr>
        <w:t>. Subject to the Company’s Bylaws, the Committee’s Charter and any specific designation in the Plan, the Administrator has the exclusive power, authority and sole discretion to:</w:t>
      </w:r>
    </w:p>
    <w:p>
      <w:pPr>
        <w:spacing w:after="0" w:line="155" w:lineRule="exact"/>
        <w:rPr>
          <w:sz w:val="20"/>
          <w:szCs w:val="20"/>
          <w:color w:val="auto"/>
        </w:rPr>
      </w:pPr>
    </w:p>
    <w:p>
      <w:pPr>
        <w:ind w:left="1700" w:hanging="619"/>
        <w:spacing w:after="0"/>
        <w:tabs>
          <w:tab w:leader="none" w:pos="17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Designate Eligible Individuals to receive Awards;</w:t>
      </w:r>
    </w:p>
    <w:p>
      <w:pPr>
        <w:spacing w:after="0" w:line="209" w:lineRule="exact"/>
        <w:rPr>
          <w:rFonts w:ascii="Times New Roman" w:cs="Times New Roman" w:eastAsia="Times New Roman" w:hAnsi="Times New Roman"/>
          <w:sz w:val="21"/>
          <w:szCs w:val="21"/>
          <w:color w:val="auto"/>
        </w:rPr>
      </w:pPr>
    </w:p>
    <w:p>
      <w:pPr>
        <w:ind w:left="1700" w:hanging="619"/>
        <w:spacing w:after="0"/>
        <w:tabs>
          <w:tab w:leader="none" w:pos="17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type or types of Awards to be granted to each Eligible Individual;</w:t>
      </w:r>
    </w:p>
    <w:p>
      <w:pPr>
        <w:spacing w:after="0" w:line="222" w:lineRule="exact"/>
        <w:rPr>
          <w:rFonts w:ascii="Times New Roman" w:cs="Times New Roman" w:eastAsia="Times New Roman" w:hAnsi="Times New Roman"/>
          <w:sz w:val="21"/>
          <w:szCs w:val="21"/>
          <w:color w:val="auto"/>
        </w:rPr>
      </w:pPr>
    </w:p>
    <w:p>
      <w:pPr>
        <w:ind w:left="1700" w:hanging="619"/>
        <w:spacing w:after="0"/>
        <w:tabs>
          <w:tab w:leader="none" w:pos="17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number of Awards to be granted and the number of Shares to which an Award will relate;</w:t>
      </w:r>
    </w:p>
    <w:p>
      <w:pPr>
        <w:spacing w:after="0" w:line="209" w:lineRule="exact"/>
        <w:rPr>
          <w:rFonts w:ascii="Times New Roman" w:cs="Times New Roman" w:eastAsia="Times New Roman" w:hAnsi="Times New Roman"/>
          <w:sz w:val="21"/>
          <w:szCs w:val="21"/>
          <w:color w:val="auto"/>
        </w:rPr>
      </w:pPr>
    </w:p>
    <w:p>
      <w:pPr>
        <w:jc w:val="both"/>
        <w:ind w:firstLine="1081"/>
        <w:spacing w:after="0" w:line="253" w:lineRule="auto"/>
        <w:tabs>
          <w:tab w:leader="none" w:pos="169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71" w:lineRule="exact"/>
        <w:rPr>
          <w:rFonts w:ascii="Times New Roman" w:cs="Times New Roman" w:eastAsia="Times New Roman" w:hAnsi="Times New Roman"/>
          <w:sz w:val="21"/>
          <w:szCs w:val="21"/>
          <w:color w:val="auto"/>
        </w:rPr>
      </w:pPr>
    </w:p>
    <w:p>
      <w:pPr>
        <w:jc w:val="both"/>
        <w:ind w:firstLine="1081"/>
        <w:spacing w:after="0" w:line="256" w:lineRule="auto"/>
        <w:tabs>
          <w:tab w:leader="none" w:pos="169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68" w:lineRule="exact"/>
        <w:rPr>
          <w:rFonts w:ascii="Times New Roman" w:cs="Times New Roman" w:eastAsia="Times New Roman" w:hAnsi="Times New Roman"/>
          <w:sz w:val="21"/>
          <w:szCs w:val="21"/>
          <w:color w:val="auto"/>
        </w:rPr>
      </w:pPr>
    </w:p>
    <w:p>
      <w:pPr>
        <w:ind w:left="1900" w:hanging="819"/>
        <w:spacing w:after="0"/>
        <w:tabs>
          <w:tab w:leader="none" w:pos="19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Prescribe the form of each Award Agreement, which need not be identical for each Holder;</w:t>
      </w:r>
    </w:p>
    <w:p>
      <w:pPr>
        <w:spacing w:after="0" w:line="222" w:lineRule="exact"/>
        <w:rPr>
          <w:rFonts w:ascii="Times New Roman" w:cs="Times New Roman" w:eastAsia="Times New Roman" w:hAnsi="Times New Roman"/>
          <w:sz w:val="21"/>
          <w:szCs w:val="21"/>
          <w:color w:val="auto"/>
        </w:rPr>
      </w:pPr>
    </w:p>
    <w:p>
      <w:pPr>
        <w:ind w:left="1700" w:hanging="619"/>
        <w:spacing w:after="0"/>
        <w:tabs>
          <w:tab w:leader="none" w:pos="170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Decide all other matters that must be determined in connection with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080"/>
          </w:cols>
          <w:pgMar w:left="480" w:top="1365" w:right="339" w:bottom="1440" w:gutter="0" w:footer="0" w:header="0"/>
        </w:sectPr>
      </w:pPr>
    </w:p>
    <w:bookmarkStart w:id="35" w:name="page36"/>
    <w:bookmarkEnd w:id="35"/>
    <w:p>
      <w:pPr>
        <w:ind w:left="1700" w:hanging="619"/>
        <w:spacing w:after="0"/>
        <w:tabs>
          <w:tab w:leader="none" w:pos="17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or revise any rules and regulations as it may deem necessary or advisable to administer the Plan;</w:t>
      </w:r>
    </w:p>
    <w:p>
      <w:pPr>
        <w:spacing w:after="0" w:line="221" w:lineRule="exact"/>
        <w:rPr>
          <w:rFonts w:ascii="Times New Roman" w:cs="Times New Roman" w:eastAsia="Times New Roman" w:hAnsi="Times New Roman"/>
          <w:sz w:val="20"/>
          <w:szCs w:val="20"/>
          <w:color w:val="auto"/>
        </w:rPr>
      </w:pPr>
    </w:p>
    <w:p>
      <w:pPr>
        <w:ind w:left="1900" w:hanging="819"/>
        <w:spacing w:after="0"/>
        <w:tabs>
          <w:tab w:leader="none" w:pos="19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Interpret the terms of, and any matter arising pursuant to, the Plan, any Program or any Award Agreement;</w:t>
      </w:r>
    </w:p>
    <w:p>
      <w:pPr>
        <w:spacing w:after="0" w:line="209" w:lineRule="exact"/>
        <w:rPr>
          <w:rFonts w:ascii="Times New Roman" w:cs="Times New Roman" w:eastAsia="Times New Roman" w:hAnsi="Times New Roman"/>
          <w:sz w:val="21"/>
          <w:szCs w:val="21"/>
          <w:color w:val="auto"/>
        </w:rPr>
      </w:pPr>
    </w:p>
    <w:p>
      <w:pPr>
        <w:ind w:firstLine="1081"/>
        <w:spacing w:after="0" w:line="282" w:lineRule="auto"/>
        <w:tabs>
          <w:tab w:leader="none" w:pos="192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all other decisions and determinations that may be required pursuant to the Plan or as the Administrator deems necessary or advisable to administer the Plan; and</w:t>
      </w:r>
    </w:p>
    <w:p>
      <w:pPr>
        <w:spacing w:after="0" w:line="141" w:lineRule="exact"/>
        <w:rPr>
          <w:rFonts w:ascii="Times New Roman" w:cs="Times New Roman" w:eastAsia="Times New Roman" w:hAnsi="Times New Roman"/>
          <w:sz w:val="21"/>
          <w:szCs w:val="21"/>
          <w:color w:val="auto"/>
        </w:rPr>
      </w:pPr>
    </w:p>
    <w:p>
      <w:pPr>
        <w:ind w:firstLine="1081"/>
        <w:spacing w:after="0" w:line="269" w:lineRule="auto"/>
        <w:tabs>
          <w:tab w:leader="none" w:pos="169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Accelerate wholly or partially the vesting or lapse of restrictions of any Award or portion thereof at any time after the grant of an Award, subject to whatever terms and conditions it selects and Section 14.2.</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u w:val="single" w:color="auto"/>
          <w:color w:val="auto"/>
        </w:rPr>
        <w:t>Decisions Binding</w:t>
      </w:r>
      <w:r>
        <w:rPr>
          <w:rFonts w:ascii="Times New Roman" w:cs="Times New Roman" w:eastAsia="Times New Roman" w:hAnsi="Times New Roman"/>
          <w:sz w:val="21"/>
          <w:szCs w:val="21"/>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6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13.6 </w:t>
      </w:r>
      <w:r>
        <w:rPr>
          <w:rFonts w:ascii="Times New Roman" w:cs="Times New Roman" w:eastAsia="Times New Roman" w:hAnsi="Times New Roman"/>
          <w:sz w:val="21"/>
          <w:szCs w:val="21"/>
          <w:u w:val="single" w:color="auto"/>
          <w:color w:val="auto"/>
        </w:rPr>
        <w:t>Delegation of Authority</w:t>
      </w:r>
      <w:r>
        <w:rPr>
          <w:rFonts w:ascii="Times New Roman" w:cs="Times New Roman" w:eastAsia="Times New Roman" w:hAnsi="Times New Roman"/>
          <w:sz w:val="21"/>
          <w:szCs w:val="21"/>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19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ARTICLE 14.</w:t>
      </w:r>
    </w:p>
    <w:p>
      <w:pPr>
        <w:spacing w:after="0" w:line="2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MISCELLANEOUS PROVISIONS</w:t>
      </w:r>
    </w:p>
    <w:p>
      <w:pPr>
        <w:spacing w:after="0" w:line="214"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080"/>
          </w:cols>
          <w:pgMar w:left="480" w:top="1365" w:right="339" w:bottom="1440" w:gutter="0" w:footer="0" w:header="0"/>
        </w:sectPr>
      </w:pPr>
    </w:p>
    <w:bookmarkStart w:id="36" w:name="page37"/>
    <w:bookmarkEnd w:id="36"/>
    <w:p>
      <w:pPr>
        <w:jc w:val="both"/>
        <w:spacing w:after="0"/>
        <w:rPr>
          <w:sz w:val="20"/>
          <w:szCs w:val="20"/>
          <w:color w:val="auto"/>
        </w:rPr>
      </w:pPr>
      <w:r>
        <w:rPr>
          <w:rFonts w:ascii="Times New Roman" w:cs="Times New Roman" w:eastAsia="Times New Roman" w:hAnsi="Times New Roman"/>
          <w:sz w:val="21"/>
          <w:szCs w:val="21"/>
          <w:color w:val="auto"/>
        </w:rPr>
        <w:t>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anniversary of the Effective Date (the “</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Any Awards that are outstanding on the Expiration Date shall remain in force according to the terms of the Plan and the applicable Award Agreement.</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u w:val="single" w:color="auto"/>
          <w:color w:val="auto"/>
        </w:rPr>
        <w:t>Changes in Common Stock or Assets of the Company, Acquisition or Liquidation of the Company and Other Corporate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Events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firstLine="1081"/>
        <w:spacing w:after="0" w:line="249" w:lineRule="auto"/>
        <w:tabs>
          <w:tab w:leader="none" w:pos="169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176" w:lineRule="exact"/>
        <w:rPr>
          <w:rFonts w:ascii="Times New Roman" w:cs="Times New Roman" w:eastAsia="Times New Roman" w:hAnsi="Times New Roman"/>
          <w:sz w:val="21"/>
          <w:szCs w:val="21"/>
          <w:color w:val="auto"/>
        </w:rPr>
      </w:pPr>
    </w:p>
    <w:p>
      <w:pPr>
        <w:jc w:val="both"/>
        <w:ind w:firstLine="1081"/>
        <w:spacing w:after="0" w:line="249" w:lineRule="auto"/>
        <w:tabs>
          <w:tab w:leader="none" w:pos="169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74" w:lineRule="exact"/>
        <w:rPr>
          <w:rFonts w:ascii="Times New Roman" w:cs="Times New Roman" w:eastAsia="Times New Roman" w:hAnsi="Times New Roman"/>
          <w:sz w:val="21"/>
          <w:szCs w:val="21"/>
          <w:color w:val="auto"/>
        </w:rPr>
      </w:pPr>
    </w:p>
    <w:p>
      <w:pPr>
        <w:jc w:val="both"/>
        <w:ind w:firstLine="1700"/>
        <w:spacing w:after="0" w:line="262" w:lineRule="auto"/>
        <w:tabs>
          <w:tab w:leader="none" w:pos="2309"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for either (A) termination of any such Award in exchange for an amount of cash, if any, equal to the amount that would have been attained upon the exercise of such Award or realization of the Holder’s rights (and,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080"/>
          </w:cols>
          <w:pgMar w:left="480" w:top="1365" w:right="339" w:bottom="1440" w:gutter="0" w:footer="0" w:header="0"/>
        </w:sectPr>
      </w:pPr>
    </w:p>
    <w:bookmarkStart w:id="37" w:name="page38"/>
    <w:bookmarkEnd w:id="37"/>
    <w:p>
      <w:pPr>
        <w:jc w:val="both"/>
        <w:spacing w:after="0" w:line="251" w:lineRule="auto"/>
        <w:rPr>
          <w:sz w:val="20"/>
          <w:szCs w:val="20"/>
          <w:color w:val="auto"/>
        </w:rPr>
      </w:pPr>
      <w:r>
        <w:rPr>
          <w:rFonts w:ascii="Times New Roman" w:cs="Times New Roman" w:eastAsia="Times New Roman" w:hAnsi="Times New Roman"/>
          <w:sz w:val="21"/>
          <w:szCs w:val="21"/>
          <w:color w:val="auto"/>
        </w:rPr>
        <w:t>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74" w:lineRule="exact"/>
        <w:rPr>
          <w:sz w:val="20"/>
          <w:szCs w:val="20"/>
          <w:color w:val="auto"/>
        </w:rPr>
      </w:pPr>
    </w:p>
    <w:p>
      <w:pPr>
        <w:jc w:val="both"/>
        <w:ind w:firstLine="1700"/>
        <w:spacing w:after="0" w:line="262" w:lineRule="auto"/>
        <w:tabs>
          <w:tab w:leader="none" w:pos="231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63" w:lineRule="exact"/>
        <w:rPr>
          <w:rFonts w:ascii="Times New Roman" w:cs="Times New Roman" w:eastAsia="Times New Roman" w:hAnsi="Times New Roman"/>
          <w:sz w:val="21"/>
          <w:szCs w:val="21"/>
          <w:color w:val="auto"/>
        </w:rPr>
      </w:pPr>
    </w:p>
    <w:p>
      <w:pPr>
        <w:jc w:val="both"/>
        <w:ind w:firstLine="1700"/>
        <w:spacing w:after="0" w:line="252" w:lineRule="auto"/>
        <w:tabs>
          <w:tab w:leader="none" w:pos="23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71" w:lineRule="exact"/>
        <w:rPr>
          <w:rFonts w:ascii="Times New Roman" w:cs="Times New Roman" w:eastAsia="Times New Roman" w:hAnsi="Times New Roman"/>
          <w:sz w:val="21"/>
          <w:szCs w:val="21"/>
          <w:color w:val="auto"/>
        </w:rPr>
      </w:pPr>
    </w:p>
    <w:p>
      <w:pPr>
        <w:ind w:firstLine="1700"/>
        <w:spacing w:after="0" w:line="282" w:lineRule="auto"/>
        <w:tabs>
          <w:tab w:leader="none" w:pos="2309"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41" w:lineRule="exact"/>
        <w:rPr>
          <w:rFonts w:ascii="Times New Roman" w:cs="Times New Roman" w:eastAsia="Times New Roman" w:hAnsi="Times New Roman"/>
          <w:sz w:val="21"/>
          <w:szCs w:val="21"/>
          <w:color w:val="auto"/>
        </w:rPr>
      </w:pPr>
    </w:p>
    <w:p>
      <w:pPr>
        <w:ind w:left="2320" w:hanging="620"/>
        <w:spacing w:after="0"/>
        <w:tabs>
          <w:tab w:leader="none" w:pos="23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that the Award cannot vest, be exercised or become payable after such event.</w:t>
      </w:r>
    </w:p>
    <w:p>
      <w:pPr>
        <w:spacing w:after="0" w:line="209" w:lineRule="exact"/>
        <w:rPr>
          <w:rFonts w:ascii="Times New Roman" w:cs="Times New Roman" w:eastAsia="Times New Roman" w:hAnsi="Times New Roman"/>
          <w:sz w:val="21"/>
          <w:szCs w:val="21"/>
          <w:color w:val="auto"/>
        </w:rPr>
      </w:pPr>
    </w:p>
    <w:p>
      <w:pPr>
        <w:ind w:firstLine="1081"/>
        <w:spacing w:after="0" w:line="269" w:lineRule="auto"/>
        <w:tabs>
          <w:tab w:leader="none" w:pos="169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occurrence of any Equity Restructuring, and notwithstanding anything to the contrary in Sections 14.2(a) and 14.2(b):</w:t>
      </w:r>
    </w:p>
    <w:p>
      <w:pPr>
        <w:spacing w:after="0" w:line="154" w:lineRule="exact"/>
        <w:rPr>
          <w:rFonts w:ascii="Times New Roman" w:cs="Times New Roman" w:eastAsia="Times New Roman" w:hAnsi="Times New Roman"/>
          <w:sz w:val="21"/>
          <w:szCs w:val="21"/>
          <w:color w:val="auto"/>
        </w:rPr>
      </w:pPr>
    </w:p>
    <w:p>
      <w:pPr>
        <w:ind w:firstLine="1700"/>
        <w:spacing w:after="0" w:line="282" w:lineRule="auto"/>
        <w:tabs>
          <w:tab w:leader="none" w:pos="2309"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and type of securities subject to each outstanding Award and the exercise price or grant price thereof, if applicable, shall be equitably adjusted; and/or</w:t>
      </w:r>
    </w:p>
    <w:p>
      <w:pPr>
        <w:spacing w:after="0" w:line="141" w:lineRule="exact"/>
        <w:rPr>
          <w:rFonts w:ascii="Times New Roman" w:cs="Times New Roman" w:eastAsia="Times New Roman" w:hAnsi="Times New Roman"/>
          <w:sz w:val="21"/>
          <w:szCs w:val="21"/>
          <w:color w:val="auto"/>
        </w:rPr>
      </w:pPr>
    </w:p>
    <w:p>
      <w:pPr>
        <w:jc w:val="both"/>
        <w:ind w:firstLine="1700"/>
        <w:spacing w:after="0" w:line="253" w:lineRule="auto"/>
        <w:tabs>
          <w:tab w:leader="none" w:pos="231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171" w:lineRule="exact"/>
        <w:rPr>
          <w:rFonts w:ascii="Times New Roman" w:cs="Times New Roman" w:eastAsia="Times New Roman" w:hAnsi="Times New Roman"/>
          <w:sz w:val="21"/>
          <w:szCs w:val="21"/>
          <w:color w:val="auto"/>
        </w:rPr>
      </w:pPr>
    </w:p>
    <w:p>
      <w:pPr>
        <w:jc w:val="both"/>
        <w:ind w:firstLine="1081"/>
        <w:spacing w:after="0" w:line="256" w:lineRule="auto"/>
        <w:tabs>
          <w:tab w:leader="none" w:pos="169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Change in Control, the Administrator, may, in its sole discretion, do one or more of the following: (i) shorten the period during which Options or Stock Appreciation Rights are exercisable (provided they remain exercisable for at least 30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080"/>
          </w:cols>
          <w:pgMar w:left="480" w:top="1365" w:right="339" w:bottom="1440" w:gutter="0" w:footer="0" w:header="0"/>
        </w:sectPr>
      </w:pPr>
    </w:p>
    <w:bookmarkStart w:id="38" w:name="page39"/>
    <w:bookmarkEnd w:id="38"/>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178" w:lineRule="exact"/>
        <w:rPr>
          <w:sz w:val="20"/>
          <w:szCs w:val="20"/>
          <w:color w:val="auto"/>
        </w:rPr>
      </w:pPr>
    </w:p>
    <w:p>
      <w:pPr>
        <w:jc w:val="both"/>
        <w:ind w:firstLine="1081"/>
        <w:spacing w:after="0" w:line="256" w:lineRule="auto"/>
        <w:tabs>
          <w:tab w:leader="none" w:pos="169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81" w:lineRule="exact"/>
        <w:rPr>
          <w:rFonts w:ascii="Times New Roman" w:cs="Times New Roman" w:eastAsia="Times New Roman" w:hAnsi="Times New Roman"/>
          <w:sz w:val="21"/>
          <w:szCs w:val="21"/>
          <w:color w:val="auto"/>
        </w:rPr>
      </w:pPr>
    </w:p>
    <w:p>
      <w:pPr>
        <w:jc w:val="both"/>
        <w:ind w:firstLine="1081"/>
        <w:spacing w:after="0" w:line="249" w:lineRule="auto"/>
        <w:tabs>
          <w:tab w:leader="none" w:pos="170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74" w:lineRule="exact"/>
        <w:rPr>
          <w:rFonts w:ascii="Times New Roman" w:cs="Times New Roman" w:eastAsia="Times New Roman" w:hAnsi="Times New Roman"/>
          <w:sz w:val="21"/>
          <w:szCs w:val="21"/>
          <w:color w:val="auto"/>
        </w:rPr>
      </w:pPr>
    </w:p>
    <w:p>
      <w:pPr>
        <w:jc w:val="both"/>
        <w:ind w:firstLine="1081"/>
        <w:spacing w:after="0" w:line="256" w:lineRule="auto"/>
        <w:tabs>
          <w:tab w:leader="none" w:pos="169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080"/>
          </w:cols>
          <w:pgMar w:left="480" w:top="1365"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21"/>
          <w:szCs w:val="21"/>
          <w:color w:val="auto"/>
        </w:rPr>
        <w:t>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69" w:lineRule="exact"/>
        <w:rPr>
          <w:sz w:val="20"/>
          <w:szCs w:val="20"/>
          <w:color w:val="auto"/>
        </w:rPr>
      </w:pPr>
    </w:p>
    <w:p>
      <w:pPr>
        <w:ind w:firstLine="1081"/>
        <w:spacing w:after="0" w:line="269" w:lineRule="auto"/>
        <w:tabs>
          <w:tab w:leader="none" w:pos="169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action shall be taken under this Section 14.2 which shall cause an Award to fail to comply with Section 409A of the Code or the Treasury Regulations thereunder, to the extent applicable to such Award.</w:t>
      </w:r>
    </w:p>
    <w:p>
      <w:pPr>
        <w:spacing w:after="0" w:line="154" w:lineRule="exact"/>
        <w:rPr>
          <w:rFonts w:ascii="Times New Roman" w:cs="Times New Roman" w:eastAsia="Times New Roman" w:hAnsi="Times New Roman"/>
          <w:sz w:val="21"/>
          <w:szCs w:val="21"/>
          <w:color w:val="auto"/>
        </w:rPr>
      </w:pPr>
    </w:p>
    <w:p>
      <w:pPr>
        <w:jc w:val="both"/>
        <w:ind w:firstLine="1081"/>
        <w:spacing w:after="0" w:line="253" w:lineRule="auto"/>
        <w:tabs>
          <w:tab w:leader="none" w:pos="169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71"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u w:val="single" w:color="auto"/>
          <w:color w:val="auto"/>
        </w:rPr>
        <w:t>Approval of Plan by Stockholders</w:t>
      </w:r>
      <w:r>
        <w:rPr>
          <w:rFonts w:ascii="Times New Roman" w:cs="Times New Roman" w:eastAsia="Times New Roman" w:hAnsi="Times New Roman"/>
          <w:sz w:val="21"/>
          <w:szCs w:val="21"/>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such approval has not been obtained at the end of said twelve (12) month period, all Awards previously granted or awarded under the Plan shall thereupon be canceled and become null and void.</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u w:val="single" w:color="auto"/>
          <w:color w:val="auto"/>
        </w:rPr>
        <w:t>No Stockholders Rights</w:t>
      </w:r>
      <w:r>
        <w:rPr>
          <w:rFonts w:ascii="Times New Roman" w:cs="Times New Roman" w:eastAsia="Times New Roman" w:hAnsi="Times New Roman"/>
          <w:sz w:val="21"/>
          <w:szCs w:val="21"/>
          <w:color w:val="auto"/>
        </w:rPr>
        <w:t>. Except as otherwise provided herein, a Holder shall have none of the rights of a stockholder with respect to Shares covered by any Award until the Holder becomes the record owner of such Shares.</w:t>
      </w:r>
    </w:p>
    <w:p>
      <w:pPr>
        <w:spacing w:after="0" w:line="16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14.5 </w:t>
      </w:r>
      <w:r>
        <w:rPr>
          <w:rFonts w:ascii="Times New Roman" w:cs="Times New Roman" w:eastAsia="Times New Roman" w:hAnsi="Times New Roman"/>
          <w:sz w:val="21"/>
          <w:szCs w:val="21"/>
          <w:u w:val="single" w:color="auto"/>
          <w:color w:val="auto"/>
        </w:rPr>
        <w:t>Paperless Administration</w:t>
      </w:r>
      <w:r>
        <w:rPr>
          <w:rFonts w:ascii="Times New Roman" w:cs="Times New Roman" w:eastAsia="Times New Roman" w:hAnsi="Times New Roman"/>
          <w:sz w:val="21"/>
          <w:szCs w:val="21"/>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14.6 </w:t>
      </w:r>
      <w:r>
        <w:rPr>
          <w:rFonts w:ascii="Times New Roman" w:cs="Times New Roman" w:eastAsia="Times New Roman" w:hAnsi="Times New Roman"/>
          <w:sz w:val="21"/>
          <w:szCs w:val="21"/>
          <w:u w:val="single" w:color="auto"/>
          <w:color w:val="auto"/>
        </w:rPr>
        <w:t>Effect of Plan upon Other Compensation Plans</w:t>
      </w:r>
      <w:r>
        <w:rPr>
          <w:rFonts w:ascii="Times New Roman" w:cs="Times New Roman" w:eastAsia="Times New Roman" w:hAnsi="Times New Roman"/>
          <w:sz w:val="21"/>
          <w:szCs w:val="21"/>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080"/>
          </w:cols>
          <w:pgMar w:left="480" w:top="1365" w:right="339" w:bottom="1440" w:gutter="0" w:footer="0" w:header="0"/>
        </w:sectPr>
      </w:pPr>
    </w:p>
    <w:bookmarkStart w:id="40" w:name="page41"/>
    <w:bookmarkEnd w:id="40"/>
    <w:p>
      <w:pPr>
        <w:jc w:val="both"/>
        <w:ind w:firstLine="619"/>
        <w:spacing w:after="0" w:line="263"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14.8 </w:t>
      </w:r>
      <w:r>
        <w:rPr>
          <w:rFonts w:ascii="Times New Roman" w:cs="Times New Roman" w:eastAsia="Times New Roman" w:hAnsi="Times New Roman"/>
          <w:sz w:val="21"/>
          <w:szCs w:val="21"/>
          <w:u w:val="single" w:color="auto"/>
          <w:color w:val="auto"/>
        </w:rPr>
        <w:t>Titles and Headings, References to Sections of the Code or Exchange Act</w:t>
      </w:r>
      <w:r>
        <w:rPr>
          <w:rFonts w:ascii="Times New Roman" w:cs="Times New Roman" w:eastAsia="Times New Roman" w:hAnsi="Times New Roman"/>
          <w:sz w:val="21"/>
          <w:szCs w:val="21"/>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14.9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Plan and any agreements hereunder shall be administered, interpreted and enforced under the internal laws of the State of Nevada without regard to conflicts of laws thereof or of any other jurisdiction.</w:t>
      </w:r>
    </w:p>
    <w:p>
      <w:pPr>
        <w:spacing w:after="0" w:line="155"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14.10</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8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14.11</w:t>
      </w:r>
      <w:r>
        <w:rPr>
          <w:rFonts w:ascii="Times New Roman" w:cs="Times New Roman" w:eastAsia="Times New Roman" w:hAnsi="Times New Roman"/>
          <w:sz w:val="21"/>
          <w:szCs w:val="21"/>
          <w:u w:val="single" w:color="auto"/>
          <w:color w:val="auto"/>
        </w:rPr>
        <w:t>No Rights to Awards</w:t>
      </w:r>
      <w:r>
        <w:rPr>
          <w:rFonts w:ascii="Times New Roman" w:cs="Times New Roman" w:eastAsia="Times New Roman" w:hAnsi="Times New Roman"/>
          <w:sz w:val="21"/>
          <w:szCs w:val="21"/>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080"/>
          </w:cols>
          <w:pgMar w:left="480" w:top="1365" w:right="339" w:bottom="1440" w:gutter="0" w:footer="0" w:header="0"/>
        </w:sectPr>
      </w:pPr>
    </w:p>
    <w:bookmarkStart w:id="41" w:name="page42"/>
    <w:bookmarkEnd w:id="41"/>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14.12</w:t>
      </w:r>
      <w:r>
        <w:rPr>
          <w:rFonts w:ascii="Times New Roman" w:cs="Times New Roman" w:eastAsia="Times New Roman" w:hAnsi="Times New Roman"/>
          <w:sz w:val="21"/>
          <w:szCs w:val="21"/>
          <w:u w:val="single" w:color="auto"/>
          <w:color w:val="auto"/>
        </w:rPr>
        <w:t>Unfunded Status of Awards</w:t>
      </w:r>
      <w:r>
        <w:rPr>
          <w:rFonts w:ascii="Times New Roman" w:cs="Times New Roman" w:eastAsia="Times New Roman" w:hAnsi="Times New Roman"/>
          <w:sz w:val="21"/>
          <w:szCs w:val="21"/>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8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14.13</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7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14.14</w:t>
      </w:r>
      <w:r>
        <w:rPr>
          <w:rFonts w:ascii="Times New Roman" w:cs="Times New Roman" w:eastAsia="Times New Roman" w:hAnsi="Times New Roman"/>
          <w:sz w:val="21"/>
          <w:szCs w:val="21"/>
          <w:u w:val="single" w:color="auto"/>
          <w:color w:val="auto"/>
        </w:rPr>
        <w:t>Relationship to other Benefits</w:t>
      </w:r>
      <w:r>
        <w:rPr>
          <w:rFonts w:ascii="Times New Roman" w:cs="Times New Roman" w:eastAsia="Times New Roman" w:hAnsi="Times New Roman"/>
          <w:sz w:val="21"/>
          <w:szCs w:val="21"/>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14.15</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expenses of administering the Plan shall be borne by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080"/>
          </w:cols>
          <w:pgMar w:left="480" w:top="1365" w:right="339" w:bottom="1440" w:gutter="0" w:footer="0" w:header="0"/>
        </w:sectPr>
      </w:pPr>
    </w:p>
    <w:bookmarkStart w:id="42" w:name="page43"/>
    <w:bookmarkEnd w:id="42"/>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Second Amended and Restated 2014 Omnibus Incentive Plan of Wynn Resorts, Limited of our reports dated February 23, 2024, with respect to the consolidated financial statements of Wynn Resorts, Limited, and the effectiveness of internal control over financial reporting of Wynn Resorts, Limited, included in its Annual Report (Form 10-K) for the year ended December 31, 2023 and the financial statement schedule of Wynn Resorts, Limited included therein, filed with the Securities and Exchange Commission.</w:t>
      </w:r>
    </w:p>
    <w:p>
      <w:pPr>
        <w:spacing w:after="0" w:line="21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Las Vegas, Nevada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12, 2024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62BBD95A"/>
    <w:multiLevelType w:val="hybridMultilevel"/>
    <w:lvl w:ilvl="0">
      <w:lvlJc w:val="left"/>
      <w:lvlText w:val="%1"/>
      <w:numFmt w:val="lowerLetter"/>
      <w:start w:val="1"/>
    </w:lvl>
    <w:lvl w:ilvl="1">
      <w:lvlJc w:val="left"/>
      <w:lvlText w:val="(%2)"/>
      <w:numFmt w:val="decimal"/>
      <w:start w:val="2"/>
    </w:lvl>
  </w:abstractNum>
  <w:abstractNum w:abstractNumId="3">
    <w:nsid w:val="436C6125"/>
    <w:multiLevelType w:val="hybridMultilevel"/>
    <w:lvl w:ilvl="0">
      <w:lvlJc w:val="left"/>
      <w:lvlText w:val="(%1)"/>
      <w:numFmt w:val="lowerLetter"/>
      <w:start w:val="2"/>
    </w:lvl>
    <w:lvl w:ilvl="1">
      <w:lvlJc w:val="left"/>
      <w:lvlText w:val="%2"/>
      <w:numFmt w:val="decimal"/>
      <w:start w:val="1"/>
    </w:lvl>
  </w:abstractNum>
  <w:abstractNum w:abstractNumId="4">
    <w:nsid w:val="628C895D"/>
    <w:multiLevelType w:val="hybridMultilevel"/>
    <w:lvl w:ilvl="0">
      <w:lvlJc w:val="left"/>
      <w:lvlText w:val="(%1)"/>
      <w:numFmt w:val="lowerLetter"/>
      <w:start w:val="4"/>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3"/>
    </w:lvl>
  </w:abstractNum>
  <w:abstractNum w:abstractNumId="7">
    <w:nsid w:val="2443A85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8">
    <w:nsid w:val="2D1D5AE9"/>
    <w:multiLevelType w:val="hybridMultilevel"/>
    <w:lvl w:ilvl="0">
      <w:lvlJc w:val="left"/>
      <w:lvlText w:val="(%1)"/>
      <w:numFmt w:val="lowerLetter"/>
      <w:start w:val="7"/>
    </w:lvl>
    <w:lvl w:ilvl="1">
      <w:lvlJc w:val="left"/>
      <w:lvlText w:val="(%2)"/>
      <w:numFmt w:val="lowerRoman"/>
      <w:start w:val="3"/>
    </w:lvl>
    <w:lvl w:ilvl="2">
      <w:lvlJc w:val="left"/>
      <w:lvlText w:val="(%3)"/>
      <w:numFmt w:val="lowerLetter"/>
      <w:start w:val="2"/>
    </w:lvl>
    <w:lvl w:ilvl="3">
      <w:lvlJc w:val="left"/>
      <w:lvlText w:val="%4"/>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3"/>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2"/>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2"/>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2"/>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1"/>
    </w:lvl>
    <w:lvl w:ilvl="1">
      <w:lvlJc w:val="left"/>
      <w:lvlText w:val="(%2)"/>
      <w:numFmt w:val="lowerRoman"/>
      <w:start w:val="1"/>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4"/>
    </w:lvl>
  </w:abstractNum>
  <w:abstractNum w:abstractNumId="27">
    <w:nsid w:val="22221A70"/>
    <w:multiLevelType w:val="hybridMultilevel"/>
    <w:lvl w:ilvl="0">
      <w:lvlJc w:val="left"/>
      <w:lvlText w:val="%1"/>
      <w:numFmt w:val="lowerLetter"/>
      <w:start w:val="1"/>
    </w:lvl>
    <w:lvl w:ilvl="1">
      <w:lvlJc w:val="left"/>
      <w:lvlText w:val="(%2)"/>
      <w:numFmt w:val="lowerLetter"/>
      <w:start w:val="1"/>
    </w:lvl>
  </w:abstractNum>
  <w:abstractNum w:abstractNumId="28">
    <w:nsid w:val="4516DDE9"/>
    <w:multiLevelType w:val="hybridMultilevel"/>
    <w:lvl w:ilvl="0">
      <w:lvlJc w:val="left"/>
      <w:lvlText w:val="(%1)"/>
      <w:numFmt w:val="lowerLetter"/>
      <w:start w:val="35"/>
    </w:lvl>
    <w:lvl w:ilvl="1">
      <w:lvlJc w:val="left"/>
      <w:lvlText w:val="(%2)"/>
      <w:numFmt w:val="lowerLetter"/>
      <w:start w:val="2"/>
    </w:lvl>
  </w:abstractNum>
  <w:abstractNum w:abstractNumId="29">
    <w:nsid w:val="3006C83E"/>
    <w:multiLevelType w:val="hybridMultilevel"/>
    <w:lvl w:ilvl="0">
      <w:lvlJc w:val="left"/>
      <w:lvlText w:val="(%1)"/>
      <w:numFmt w:val="lowerRoman"/>
      <w:start w:val="2"/>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8"/>
    </w:lvl>
  </w:abstractNum>
  <w:abstractNum w:abstractNumId="32">
    <w:nsid w:val="5577F8E1"/>
    <w:multiLevelType w:val="hybridMultilevel"/>
    <w:lvl w:ilvl="0">
      <w:lvlJc w:val="left"/>
      <w:lvlText w:val="(%1)"/>
      <w:numFmt w:val="lowerLetter"/>
      <w:start w:val="1"/>
    </w:lvl>
    <w:lvl w:ilvl="1">
      <w:lvlJc w:val="left"/>
      <w:lvlText w:val="(%2)"/>
      <w:numFmt w:val="lowerLetter"/>
      <w:start w:val="9"/>
    </w:lvl>
  </w:abstractNum>
  <w:abstractNum w:abstractNumId="33">
    <w:nsid w:val="440BADFC"/>
    <w:multiLevelType w:val="hybridMultilevel"/>
    <w:lvl w:ilvl="0">
      <w:lvlJc w:val="left"/>
      <w:lvlText w:val="%1"/>
      <w:numFmt w:val="lowerLetter"/>
      <w:start w:val="1"/>
    </w:lvl>
    <w:lvl w:ilvl="1">
      <w:lvlJc w:val="left"/>
      <w:lvlText w:val="(%2)"/>
      <w:numFmt w:val="lowerRoman"/>
      <w:start w:val="2"/>
    </w:lvl>
  </w:abstractNum>
  <w:abstractNum w:abstractNumId="34">
    <w:nsid w:val="5072367"/>
    <w:multiLevelType w:val="hybridMultilevel"/>
    <w:lvl w:ilvl="0">
      <w:lvlJc w:val="left"/>
      <w:lvlText w:val="(%1)"/>
      <w:numFmt w:val="lowerLetter"/>
      <w:start w:val="3"/>
    </w:lvl>
    <w:lvl w:ilvl="1">
      <w:lvlJc w:val="left"/>
      <w:lvlText w:val="(%2)"/>
      <w:numFmt w:val="lowerRoman"/>
      <w:start w:val="1"/>
    </w:lvl>
  </w:abstractNum>
  <w:abstractNum w:abstractNumId="35">
    <w:nsid w:val="3804823E"/>
    <w:multiLevelType w:val="hybridMultilevel"/>
    <w:lvl w:ilvl="0">
      <w:lvlJc w:val="left"/>
      <w:lvlText w:val="(%1)"/>
      <w:numFmt w:val="lowerLetter"/>
      <w:start w:val="5"/>
    </w:lvl>
  </w:abstractNum>
  <w:abstractNum w:abstractNumId="36">
    <w:nsid w:val="77465F01"/>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5" Type="http://schemas.openxmlformats.org/officeDocument/2006/relationships/hyperlink" Target="https://www.sec.gov/Archives/edgar/data/1174922/000117492215000044/ex-31.htm" TargetMode="External"/><Relationship Id="rId16" Type="http://schemas.openxmlformats.org/officeDocument/2006/relationships/hyperlink" Target="https://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2024-08-12T15:44:04Z</dcterms:created>
  <dcterms:modified xsi:type="dcterms:W3CDTF">2024-08-12T15:44:04Z</dcterms:modified>
</cp:coreProperties>
</file>