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 w:lineRule="exact"/>
        <w:rPr>
          <w:sz w:val="24"/>
          <w:szCs w:val="24"/>
          <w:color w:val="auto"/>
        </w:rPr>
      </w:pPr>
    </w:p>
    <w:p>
      <w:pPr>
        <w:ind w:left="680" w:right="60" w:hanging="641"/>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680" w:right="4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16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820" w:type="dxa"/>
            <w:vAlign w:val="bottom"/>
          </w:tcPr>
          <w:p>
            <w:pPr>
              <w:spacing w:after="0"/>
              <w:rPr>
                <w:sz w:val="17"/>
                <w:szCs w:val="17"/>
                <w:color w:val="auto"/>
              </w:rPr>
            </w:pPr>
          </w:p>
        </w:tc>
        <w:tc>
          <w:tcPr>
            <w:tcW w:w="36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0"/>
        </w:trPr>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90"/>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00" w:type="dxa"/>
            <w:vAlign w:val="bottom"/>
            <w:gridSpan w:val="7"/>
          </w:tcPr>
          <w:p>
            <w:pPr>
              <w:jc w:val="center"/>
              <w:ind w:right="2848"/>
              <w:spacing w:after="0"/>
              <w:rPr>
                <w:sz w:val="20"/>
                <w:szCs w:val="20"/>
                <w:color w:val="auto"/>
              </w:rPr>
            </w:pPr>
            <w:r>
              <w:rPr>
                <w:rFonts w:ascii="Times New Roman" w:cs="Times New Roman" w:eastAsia="Times New Roman" w:hAnsi="Times New Roman"/>
                <w:sz w:val="18"/>
                <w:szCs w:val="18"/>
                <w:b w:val="1"/>
                <w:bCs w:val="1"/>
                <w:color w:val="auto"/>
                <w:w w:val="99"/>
              </w:rPr>
              <w:t>Commission File No. 000-50028</w:t>
            </w:r>
          </w:p>
        </w:tc>
      </w:tr>
      <w:tr>
        <w:trPr>
          <w:trHeight w:val="135"/>
        </w:trPr>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4"/>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40" w:type="dxa"/>
            <w:vAlign w:val="bottom"/>
          </w:tcPr>
          <w:p>
            <w:pPr>
              <w:spacing w:after="0"/>
              <w:rPr>
                <w:sz w:val="11"/>
                <w:szCs w:val="11"/>
                <w:color w:val="auto"/>
              </w:rPr>
            </w:pPr>
          </w:p>
        </w:tc>
      </w:tr>
      <w:tr>
        <w:trPr>
          <w:trHeight w:val="579"/>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80" w:type="dxa"/>
            <w:vAlign w:val="bottom"/>
            <w:gridSpan w:val="9"/>
          </w:tcPr>
          <w:p>
            <w:pPr>
              <w:jc w:val="center"/>
              <w:ind w:right="1728"/>
              <w:spacing w:after="0"/>
              <w:rPr>
                <w:sz w:val="20"/>
                <w:szCs w:val="20"/>
                <w:color w:val="auto"/>
              </w:rPr>
            </w:pPr>
            <w:r>
              <w:rPr>
                <w:rFonts w:ascii="Times New Roman" w:cs="Times New Roman" w:eastAsia="Times New Roman" w:hAnsi="Times New Roman"/>
                <w:sz w:val="43"/>
                <w:szCs w:val="43"/>
                <w:b w:val="1"/>
                <w:bCs w:val="1"/>
                <w:color w:val="auto"/>
              </w:rPr>
              <w:t>WYNN RESORTS, LIMITED</w:t>
            </w:r>
          </w:p>
        </w:tc>
      </w:tr>
      <w:tr>
        <w:trPr>
          <w:trHeight w:val="238"/>
        </w:trPr>
        <w:tc>
          <w:tcPr>
            <w:tcW w:w="8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780" w:type="dxa"/>
            <w:vAlign w:val="bottom"/>
            <w:gridSpan w:val="8"/>
          </w:tcPr>
          <w:p>
            <w:pPr>
              <w:jc w:val="center"/>
              <w:ind w:right="256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245"/>
        </w:trPr>
        <w:tc>
          <w:tcPr>
            <w:tcW w:w="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540" w:type="dxa"/>
            <w:vAlign w:val="bottom"/>
            <w:gridSpan w:val="6"/>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600" w:type="dxa"/>
            <w:vAlign w:val="bottom"/>
            <w:gridSpan w:val="4"/>
          </w:tcPr>
          <w:p>
            <w:pPr>
              <w:jc w:val="center"/>
              <w:ind w:right="88"/>
              <w:spacing w:after="0"/>
              <w:rPr>
                <w:sz w:val="20"/>
                <w:szCs w:val="20"/>
                <w:color w:val="auto"/>
              </w:rPr>
            </w:pPr>
            <w:r>
              <w:rPr>
                <w:rFonts w:ascii="Times New Roman" w:cs="Times New Roman" w:eastAsia="Times New Roman" w:hAnsi="Times New Roman"/>
                <w:sz w:val="18"/>
                <w:szCs w:val="18"/>
                <w:b w:val="1"/>
                <w:bCs w:val="1"/>
                <w:color w:val="auto"/>
              </w:rPr>
              <w:t>46-0484987</w:t>
            </w:r>
          </w:p>
        </w:tc>
      </w:tr>
      <w:tr>
        <w:trPr>
          <w:trHeight w:val="146"/>
        </w:trPr>
        <w:tc>
          <w:tcPr>
            <w:tcW w:w="860" w:type="dxa"/>
            <w:vAlign w:val="bottom"/>
          </w:tcPr>
          <w:p>
            <w:pPr>
              <w:spacing w:after="0"/>
              <w:rPr>
                <w:sz w:val="12"/>
                <w:szCs w:val="12"/>
                <w:color w:val="auto"/>
              </w:rPr>
            </w:pPr>
          </w:p>
        </w:tc>
        <w:tc>
          <w:tcPr>
            <w:tcW w:w="5880" w:type="dxa"/>
            <w:vAlign w:val="bottom"/>
            <w:gridSpan w:val="7"/>
          </w:tcPr>
          <w:p>
            <w:pPr>
              <w:jc w:val="center"/>
              <w:ind w:right="2040"/>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40" w:type="dxa"/>
            <w:vAlign w:val="bottom"/>
          </w:tcPr>
          <w:p>
            <w:pPr>
              <w:jc w:val="center"/>
              <w:ind w:right="1048"/>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860" w:type="dxa"/>
            <w:vAlign w:val="bottom"/>
          </w:tcPr>
          <w:p>
            <w:pPr>
              <w:spacing w:after="0"/>
              <w:rPr>
                <w:sz w:val="16"/>
                <w:szCs w:val="16"/>
                <w:color w:val="auto"/>
              </w:rPr>
            </w:pPr>
          </w:p>
        </w:tc>
        <w:tc>
          <w:tcPr>
            <w:tcW w:w="5880" w:type="dxa"/>
            <w:vAlign w:val="bottom"/>
            <w:gridSpan w:val="7"/>
          </w:tcPr>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40" w:type="dxa"/>
            <w:vAlign w:val="bottom"/>
          </w:tcPr>
          <w:p>
            <w:pPr>
              <w:jc w:val="center"/>
              <w:ind w:right="10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80" w:type="dxa"/>
            <w:vAlign w:val="bottom"/>
            <w:gridSpan w:val="9"/>
          </w:tcPr>
          <w:p>
            <w:pPr>
              <w:jc w:val="center"/>
              <w:ind w:right="1788"/>
              <w:spacing w:after="0"/>
              <w:rPr>
                <w:sz w:val="20"/>
                <w:szCs w:val="20"/>
                <w:color w:val="auto"/>
              </w:rPr>
            </w:pPr>
            <w:r>
              <w:rPr>
                <w:rFonts w:ascii="Times New Roman" w:cs="Times New Roman" w:eastAsia="Times New Roman" w:hAnsi="Times New Roman"/>
                <w:sz w:val="18"/>
                <w:szCs w:val="18"/>
                <w:b w:val="1"/>
                <w:bCs w:val="1"/>
                <w:color w:val="auto"/>
                <w:w w:val="99"/>
              </w:rPr>
              <w:t>3131 Las Vegas Boulevard South - Las Vegas, Nevada 89109</w:t>
            </w:r>
          </w:p>
        </w:tc>
      </w:tr>
      <w:tr>
        <w:trPr>
          <w:trHeight w:val="190"/>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500" w:type="dxa"/>
            <w:vAlign w:val="bottom"/>
            <w:gridSpan w:val="7"/>
          </w:tcPr>
          <w:p>
            <w:pPr>
              <w:jc w:val="center"/>
              <w:ind w:right="28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r>
      <w:tr>
        <w:trPr>
          <w:trHeight w:val="255"/>
        </w:trPr>
        <w:tc>
          <w:tcPr>
            <w:tcW w:w="8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980" w:type="dxa"/>
            <w:vAlign w:val="bottom"/>
            <w:gridSpan w:val="5"/>
          </w:tcPr>
          <w:p>
            <w:pPr>
              <w:jc w:val="center"/>
              <w:ind w:left="1628"/>
              <w:spacing w:after="0"/>
              <w:rPr>
                <w:sz w:val="20"/>
                <w:szCs w:val="20"/>
                <w:color w:val="auto"/>
              </w:rPr>
            </w:pPr>
            <w:r>
              <w:rPr>
                <w:rFonts w:ascii="Times New Roman" w:cs="Times New Roman" w:eastAsia="Times New Roman" w:hAnsi="Times New Roman"/>
                <w:sz w:val="18"/>
                <w:szCs w:val="18"/>
                <w:b w:val="1"/>
                <w:bCs w:val="1"/>
                <w:color w:val="auto"/>
                <w:w w:val="99"/>
              </w:rPr>
              <w:t>(702) 770-7555</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40" w:type="dxa"/>
            <w:vAlign w:val="bottom"/>
          </w:tcPr>
          <w:p>
            <w:pPr>
              <w:spacing w:after="0"/>
              <w:rPr>
                <w:sz w:val="22"/>
                <w:szCs w:val="22"/>
                <w:color w:val="auto"/>
              </w:rPr>
            </w:pPr>
          </w:p>
        </w:tc>
      </w:tr>
      <w:tr>
        <w:trPr>
          <w:trHeight w:val="190"/>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500" w:type="dxa"/>
            <w:vAlign w:val="bottom"/>
            <w:gridSpan w:val="7"/>
          </w:tcPr>
          <w:p>
            <w:pPr>
              <w:jc w:val="center"/>
              <w:ind w:right="286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91"/>
        </w:trPr>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gridSpan w:val="2"/>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640" w:type="dxa"/>
            <w:vAlign w:val="bottom"/>
          </w:tcPr>
          <w:p>
            <w:pPr>
              <w:spacing w:after="0"/>
              <w:rPr>
                <w:sz w:val="7"/>
                <w:szCs w:val="7"/>
                <w:color w:val="auto"/>
              </w:rPr>
            </w:pPr>
          </w:p>
        </w:tc>
      </w:tr>
      <w:tr>
        <w:trPr>
          <w:trHeight w:val="279"/>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N/A</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190"/>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580" w:type="dxa"/>
            <w:vAlign w:val="bottom"/>
            <w:gridSpan w:val="9"/>
          </w:tcPr>
          <w:p>
            <w:pPr>
              <w:jc w:val="center"/>
              <w:ind w:right="1768"/>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tc>
      </w:tr>
      <w:tr>
        <w:trPr>
          <w:trHeight w:val="455"/>
        </w:trPr>
        <w:tc>
          <w:tcPr>
            <w:tcW w:w="6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1900" w:type="dxa"/>
            <w:vAlign w:val="bottom"/>
            <w:gridSpan w:val="2"/>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gridSpan w:val="3"/>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80" w:type="dxa"/>
            <w:vAlign w:val="bottom"/>
          </w:tcPr>
          <w:p>
            <w:pPr>
              <w:spacing w:after="0"/>
              <w:rPr>
                <w:sz w:val="18"/>
                <w:szCs w:val="18"/>
                <w:color w:val="auto"/>
              </w:rPr>
            </w:pPr>
          </w:p>
        </w:tc>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40" w:type="dxa"/>
            <w:vAlign w:val="bottom"/>
            <w:gridSpan w:val="2"/>
            <w:shd w:val="clear" w:color="auto" w:fill="000000"/>
          </w:tcPr>
          <w:p>
            <w:pPr>
              <w:spacing w:after="0" w:line="20" w:lineRule="exact"/>
              <w:rPr>
                <w:sz w:val="1"/>
                <w:szCs w:val="1"/>
                <w:color w:val="auto"/>
              </w:rPr>
            </w:pPr>
          </w:p>
        </w:tc>
      </w:tr>
      <w:tr>
        <w:trPr>
          <w:trHeight w:val="250"/>
        </w:trPr>
        <w:tc>
          <w:tcPr>
            <w:tcW w:w="27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00" w:type="dxa"/>
            <w:vAlign w:val="bottom"/>
            <w:gridSpan w:val="3"/>
          </w:tcPr>
          <w:p>
            <w:pPr>
              <w:jc w:val="center"/>
              <w:ind w:right="1460"/>
              <w:spacing w:after="0"/>
              <w:rPr>
                <w:sz w:val="20"/>
                <w:szCs w:val="20"/>
                <w:color w:val="auto"/>
              </w:rPr>
            </w:pPr>
            <w:r>
              <w:rPr>
                <w:rFonts w:ascii="Times New Roman" w:cs="Times New Roman" w:eastAsia="Times New Roman" w:hAnsi="Times New Roman"/>
                <w:sz w:val="18"/>
                <w:szCs w:val="18"/>
                <w:color w:val="auto"/>
                <w:w w:val="99"/>
              </w:rPr>
              <w:t>WYNN</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1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45"/>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45"/>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198"/>
        </w:trPr>
        <w:tc>
          <w:tcPr>
            <w:tcW w:w="1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company"</w:t>
            </w:r>
          </w:p>
        </w:tc>
        <w:tc>
          <w:tcPr>
            <w:tcW w:w="3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in</w:t>
            </w:r>
          </w:p>
        </w:tc>
        <w:tc>
          <w:tcPr>
            <w:tcW w:w="2000" w:type="dxa"/>
            <w:vAlign w:val="bottom"/>
          </w:tcPr>
          <w:p>
            <w:pPr>
              <w:ind w:left="1060"/>
              <w:spacing w:after="0" w:line="198" w:lineRule="exact"/>
              <w:rPr>
                <w:sz w:val="20"/>
                <w:szCs w:val="20"/>
                <w:color w:val="auto"/>
              </w:rPr>
            </w:pPr>
            <w:r>
              <w:rPr>
                <w:rFonts w:ascii="Times New Roman" w:cs="Times New Roman" w:eastAsia="Times New Roman" w:hAnsi="Times New Roman"/>
                <w:sz w:val="18"/>
                <w:szCs w:val="18"/>
                <w:color w:val="auto"/>
              </w:rPr>
              <w:t>Rule</w:t>
            </w:r>
          </w:p>
        </w:tc>
        <w:tc>
          <w:tcPr>
            <w:tcW w:w="1580" w:type="dxa"/>
            <w:vAlign w:val="bottom"/>
          </w:tcPr>
          <w:p>
            <w:pPr>
              <w:ind w:left="580"/>
              <w:spacing w:after="0" w:line="198" w:lineRule="exact"/>
              <w:rPr>
                <w:sz w:val="20"/>
                <w:szCs w:val="20"/>
                <w:color w:val="auto"/>
              </w:rPr>
            </w:pPr>
            <w:r>
              <w:rPr>
                <w:rFonts w:ascii="Times New Roman" w:cs="Times New Roman" w:eastAsia="Times New Roman" w:hAnsi="Times New Roman"/>
                <w:sz w:val="18"/>
                <w:szCs w:val="18"/>
                <w:color w:val="auto"/>
              </w:rPr>
              <w:t>12b-2</w:t>
            </w:r>
          </w:p>
        </w:tc>
        <w:tc>
          <w:tcPr>
            <w:tcW w:w="1320" w:type="dxa"/>
            <w:vAlign w:val="bottom"/>
          </w:tcPr>
          <w:p>
            <w:pPr>
              <w:ind w:left="600"/>
              <w:spacing w:after="0" w:line="198" w:lineRule="exact"/>
              <w:rPr>
                <w:sz w:val="20"/>
                <w:szCs w:val="20"/>
                <w:color w:val="auto"/>
              </w:rPr>
            </w:pPr>
            <w:r>
              <w:rPr>
                <w:rFonts w:ascii="Times New Roman" w:cs="Times New Roman" w:eastAsia="Times New Roman" w:hAnsi="Times New Roman"/>
                <w:sz w:val="18"/>
                <w:szCs w:val="18"/>
                <w:color w:val="auto"/>
              </w:rPr>
              <w:t>of</w:t>
            </w:r>
          </w:p>
        </w:tc>
        <w:tc>
          <w:tcPr>
            <w:tcW w:w="920" w:type="dxa"/>
            <w:vAlign w:val="bottom"/>
          </w:tcPr>
          <w:p>
            <w:pPr>
              <w:ind w:left="600"/>
              <w:spacing w:after="0" w:line="198" w:lineRule="exact"/>
              <w:rPr>
                <w:sz w:val="20"/>
                <w:szCs w:val="20"/>
                <w:color w:val="auto"/>
              </w:rPr>
            </w:pPr>
            <w:r>
              <w:rPr>
                <w:rFonts w:ascii="Times New Roman" w:cs="Times New Roman" w:eastAsia="Times New Roman" w:hAnsi="Times New Roman"/>
                <w:sz w:val="18"/>
                <w:szCs w:val="18"/>
                <w:color w:val="auto"/>
              </w:rPr>
              <w:t>the</w:t>
            </w:r>
          </w:p>
        </w:tc>
        <w:tc>
          <w:tcPr>
            <w:tcW w:w="2460" w:type="dxa"/>
            <w:vAlign w:val="bottom"/>
          </w:tcPr>
          <w:p>
            <w:pPr>
              <w:ind w:left="1060"/>
              <w:spacing w:after="0" w:line="198" w:lineRule="exact"/>
              <w:rPr>
                <w:sz w:val="20"/>
                <w:szCs w:val="20"/>
                <w:color w:val="auto"/>
              </w:rPr>
            </w:pPr>
            <w:r>
              <w:rPr>
                <w:rFonts w:ascii="Times New Roman" w:cs="Times New Roman" w:eastAsia="Times New Roman" w:hAnsi="Times New Roman"/>
                <w:sz w:val="18"/>
                <w:szCs w:val="18"/>
                <w:color w:val="auto"/>
              </w:rPr>
              <w:t>Exchange</w:t>
            </w:r>
          </w:p>
        </w:tc>
        <w:tc>
          <w:tcPr>
            <w:tcW w:w="80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w w:val="91"/>
              </w:rPr>
              <w:t>Act.</w:t>
            </w: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380" w:type="dxa"/>
            <w:vAlign w:val="bottom"/>
          </w:tcPr>
          <w:p>
            <w:pPr>
              <w:spacing w:after="0"/>
              <w:rPr>
                <w:sz w:val="19"/>
                <w:szCs w:val="19"/>
                <w:color w:val="auto"/>
              </w:rPr>
            </w:pPr>
          </w:p>
        </w:tc>
        <w:tc>
          <w:tcPr>
            <w:tcW w:w="20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Accelerated filer</w:t>
            </w:r>
          </w:p>
        </w:tc>
        <w:tc>
          <w:tcPr>
            <w:tcW w:w="8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380" w:type="dxa"/>
            <w:vAlign w:val="bottom"/>
          </w:tcPr>
          <w:p>
            <w:pPr>
              <w:spacing w:after="0"/>
              <w:rPr>
                <w:sz w:val="19"/>
                <w:szCs w:val="19"/>
                <w:color w:val="auto"/>
              </w:rPr>
            </w:pPr>
          </w:p>
        </w:tc>
        <w:tc>
          <w:tcPr>
            <w:tcW w:w="20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8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48" w:lineRule="exact"/>
        <w:rPr>
          <w:sz w:val="24"/>
          <w:szCs w:val="24"/>
          <w:color w:val="auto"/>
        </w:rPr>
      </w:pPr>
    </w:p>
    <w:p>
      <w:pPr>
        <w:jc w:val="both"/>
        <w:ind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4"/>
        </w:trPr>
        <w:tc>
          <w:tcPr>
            <w:tcW w:w="87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tc>
        <w:tc>
          <w:tcPr>
            <w:tcW w:w="2520" w:type="dxa"/>
            <w:vAlign w:val="bottom"/>
            <w:gridSpan w:val="3"/>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r>
      <w:tr>
        <w:trPr>
          <w:trHeight w:val="234"/>
        </w:trPr>
        <w:tc>
          <w:tcPr>
            <w:tcW w:w="1124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tc>
      </w:tr>
      <w:tr>
        <w:trPr>
          <w:trHeight w:val="176"/>
        </w:trPr>
        <w:tc>
          <w:tcPr>
            <w:tcW w:w="1800" w:type="dxa"/>
            <w:vAlign w:val="bottom"/>
          </w:tcPr>
          <w:p>
            <w:pPr>
              <w:spacing w:after="0"/>
              <w:rPr>
                <w:sz w:val="15"/>
                <w:szCs w:val="15"/>
                <w:color w:val="auto"/>
              </w:rPr>
            </w:pPr>
          </w:p>
        </w:tc>
        <w:tc>
          <w:tcPr>
            <w:tcW w:w="6920" w:type="dxa"/>
            <w:vAlign w:val="bottom"/>
            <w:gridSpan w:val="2"/>
          </w:tcPr>
          <w:p>
            <w:pPr>
              <w:jc w:val="center"/>
              <w:ind w:right="660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5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Outstanding at July 31, 2024</w:t>
            </w:r>
          </w:p>
        </w:tc>
      </w:tr>
      <w:tr>
        <w:trPr>
          <w:trHeight w:val="20"/>
        </w:trPr>
        <w:tc>
          <w:tcPr>
            <w:tcW w:w="18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3"/>
        </w:trPr>
        <w:tc>
          <w:tcPr>
            <w:tcW w:w="8720" w:type="dxa"/>
            <w:vAlign w:val="bottom"/>
            <w:gridSpan w:val="3"/>
          </w:tcPr>
          <w:p>
            <w:pPr>
              <w:jc w:val="center"/>
              <w:ind w:right="4820"/>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1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110,991,627</w:t>
            </w:r>
          </w:p>
        </w:tc>
        <w:tc>
          <w:tcPr>
            <w:tcW w:w="540" w:type="dxa"/>
            <w:vAlign w:val="bottom"/>
          </w:tcPr>
          <w:p>
            <w:pPr>
              <w:spacing w:after="0"/>
              <w:rPr>
                <w:sz w:val="22"/>
                <w:szCs w:val="22"/>
                <w:color w:val="auto"/>
              </w:rPr>
            </w:pPr>
          </w:p>
        </w:tc>
      </w:tr>
      <w:tr>
        <w:trPr>
          <w:trHeight w:val="520"/>
        </w:trPr>
        <w:tc>
          <w:tcPr>
            <w:tcW w:w="18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0180" w:type="dxa"/>
            <w:vAlign w:val="bottom"/>
            <w:gridSpan w:val="14"/>
          </w:tcPr>
          <w:p>
            <w:pPr>
              <w:ind w:left="80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5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0000FF"/>
                <w:w w:val="94"/>
              </w:rPr>
              <w:t>Item 1.</w:t>
            </w:r>
          </w:p>
        </w:tc>
        <w:tc>
          <w:tcPr>
            <w:tcW w:w="10180" w:type="dxa"/>
            <w:vAlign w:val="bottom"/>
            <w:gridSpan w:val="14"/>
          </w:tcPr>
          <w:p>
            <w:pPr>
              <w:ind w:left="800"/>
              <w:spacing w:after="0" w:line="194" w:lineRule="exact"/>
              <w:rPr>
                <w:sz w:val="20"/>
                <w:szCs w:val="20"/>
                <w:color w:val="auto"/>
              </w:rPr>
            </w:pPr>
            <w:r>
              <w:rPr>
                <w:rFonts w:ascii="Times New Roman" w:cs="Times New Roman" w:eastAsia="Times New Roman" w:hAnsi="Times New Roman"/>
                <w:sz w:val="18"/>
                <w:szCs w:val="18"/>
                <w:color w:val="0000FF"/>
              </w:rPr>
              <w:t>Financial Statements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Balance Sheets - June 30, 2024 (unaudited) and December 31, 2023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(unaudited) - Three and Six Months Ended June 30, 2024 and 2023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(unaudited) - Three and Six Months Ended June 30,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Borders>
              <w:top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7"/>
              </w:rPr>
              <w:t>2024 and 2023</w:t>
            </w:r>
          </w:p>
        </w:tc>
        <w:tc>
          <w:tcPr>
            <w:tcW w:w="7280" w:type="dxa"/>
            <w:vAlign w:val="bottom"/>
            <w:tcBorders>
              <w:top w:val="single" w:sz="8" w:color="0000FF"/>
            </w:tcBorders>
            <w:gridSpan w:val="10"/>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Deficit (unaudited) - Three and Six Months Ended June 30,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Borders>
              <w:top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7"/>
              </w:rPr>
              <w:t>2024 and 2023</w:t>
            </w:r>
          </w:p>
        </w:tc>
        <w:tc>
          <w:tcPr>
            <w:tcW w:w="7120" w:type="dxa"/>
            <w:vAlign w:val="bottom"/>
            <w:tcBorders>
              <w:top w:val="single" w:sz="8" w:color="0000FF"/>
            </w:tcBorders>
            <w:gridSpan w:val="8"/>
          </w:tcPr>
          <w:p>
            <w:pPr>
              <w:spacing w:after="0"/>
              <w:rPr>
                <w:sz w:val="14"/>
                <w:szCs w:val="14"/>
                <w:color w:val="auto"/>
              </w:rPr>
            </w:pPr>
          </w:p>
        </w:tc>
        <w:tc>
          <w:tcPr>
            <w:tcW w:w="860" w:type="dxa"/>
            <w:vAlign w:val="bottom"/>
            <w:gridSpan w:val="3"/>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 - Six Months Ended June 30, 2024 and 2023</w:t>
            </w:r>
          </w:p>
        </w:tc>
        <w:tc>
          <w:tcPr>
            <w:tcW w:w="1220" w:type="dxa"/>
            <w:vAlign w:val="bottom"/>
            <w:gridSpan w:val="4"/>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220" w:type="dxa"/>
            <w:vAlign w:val="bottom"/>
            <w:gridSpan w:val="4"/>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2.</w:t>
            </w:r>
          </w:p>
        </w:tc>
        <w:tc>
          <w:tcPr>
            <w:tcW w:w="10180" w:type="dxa"/>
            <w:vAlign w:val="bottom"/>
            <w:gridSpan w:val="14"/>
          </w:tcPr>
          <w:p>
            <w:pPr>
              <w:ind w:left="80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3.</w:t>
            </w:r>
          </w:p>
        </w:tc>
        <w:tc>
          <w:tcPr>
            <w:tcW w:w="10180" w:type="dxa"/>
            <w:vAlign w:val="bottom"/>
            <w:gridSpan w:val="14"/>
          </w:tcPr>
          <w:p>
            <w:pPr>
              <w:ind w:left="80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5020" w:type="dxa"/>
            <w:vAlign w:val="bottom"/>
            <w:gridSpan w:val="8"/>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4.</w:t>
            </w:r>
          </w:p>
        </w:tc>
        <w:tc>
          <w:tcPr>
            <w:tcW w:w="10180" w:type="dxa"/>
            <w:vAlign w:val="bottom"/>
            <w:gridSpan w:val="14"/>
          </w:tcPr>
          <w:p>
            <w:pPr>
              <w:ind w:left="80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80" w:type="dxa"/>
            <w:vAlign w:val="bottom"/>
          </w:tcPr>
          <w:p>
            <w:pPr>
              <w:spacing w:after="0"/>
              <w:rPr>
                <w:sz w:val="20"/>
                <w:szCs w:val="20"/>
                <w:color w:val="auto"/>
              </w:rPr>
            </w:pPr>
          </w:p>
        </w:tc>
      </w:tr>
      <w:tr>
        <w:trPr>
          <w:trHeight w:val="194"/>
        </w:trPr>
        <w:tc>
          <w:tcPr>
            <w:tcW w:w="320" w:type="dxa"/>
            <w:vAlign w:val="bottom"/>
          </w:tcPr>
          <w:p>
            <w:pPr>
              <w:spacing w:after="0"/>
              <w:rPr>
                <w:sz w:val="16"/>
                <w:szCs w:val="16"/>
                <w:color w:val="auto"/>
              </w:rPr>
            </w:pPr>
          </w:p>
        </w:tc>
        <w:tc>
          <w:tcPr>
            <w:tcW w:w="5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0000FF"/>
                <w:w w:val="94"/>
              </w:rPr>
              <w:t>Item 1.</w:t>
            </w:r>
          </w:p>
        </w:tc>
        <w:tc>
          <w:tcPr>
            <w:tcW w:w="180" w:type="dxa"/>
            <w:vAlign w:val="bottom"/>
            <w:gridSpan w:val="2"/>
          </w:tcPr>
          <w:p>
            <w:pPr>
              <w:spacing w:after="0"/>
              <w:rPr>
                <w:sz w:val="16"/>
                <w:szCs w:val="16"/>
                <w:color w:val="auto"/>
              </w:rPr>
            </w:pPr>
          </w:p>
        </w:tc>
        <w:tc>
          <w:tcPr>
            <w:tcW w:w="10000" w:type="dxa"/>
            <w:vAlign w:val="bottom"/>
            <w:gridSpan w:val="8"/>
          </w:tcPr>
          <w:p>
            <w:pPr>
              <w:ind w:left="620"/>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47</w:t>
            </w: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Item 1A.</w:t>
            </w: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r>
      <w:tr>
        <w:trPr>
          <w:trHeight w:val="20"/>
        </w:trPr>
        <w:tc>
          <w:tcPr>
            <w:tcW w:w="3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Item 2.</w:t>
            </w:r>
          </w:p>
        </w:tc>
        <w:tc>
          <w:tcPr>
            <w:tcW w:w="60" w:type="dxa"/>
            <w:vAlign w:val="bottom"/>
          </w:tcPr>
          <w:p>
            <w:pPr>
              <w:spacing w:after="0"/>
              <w:rPr>
                <w:sz w:val="18"/>
                <w:szCs w:val="18"/>
                <w:color w:val="auto"/>
              </w:rPr>
            </w:pP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r>
      <w:tr>
        <w:trPr>
          <w:trHeight w:val="20"/>
        </w:trPr>
        <w:tc>
          <w:tcPr>
            <w:tcW w:w="3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Item 3.</w:t>
            </w: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Default Upon Senior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r>
      <w:tr>
        <w:trPr>
          <w:trHeight w:val="20"/>
        </w:trPr>
        <w:tc>
          <w:tcPr>
            <w:tcW w:w="3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1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4.</w:t>
            </w:r>
          </w:p>
        </w:tc>
        <w:tc>
          <w:tcPr>
            <w:tcW w:w="180" w:type="dxa"/>
            <w:vAlign w:val="bottom"/>
            <w:gridSpan w:val="2"/>
          </w:tcPr>
          <w:p>
            <w:pPr>
              <w:spacing w:after="0"/>
              <w:rPr>
                <w:sz w:val="18"/>
                <w:szCs w:val="18"/>
                <w:color w:val="auto"/>
              </w:rPr>
            </w:pP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62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5.</w:t>
            </w:r>
          </w:p>
        </w:tc>
        <w:tc>
          <w:tcPr>
            <w:tcW w:w="180" w:type="dxa"/>
            <w:vAlign w:val="bottom"/>
            <w:gridSpan w:val="2"/>
          </w:tcPr>
          <w:p>
            <w:pPr>
              <w:spacing w:after="0"/>
              <w:rPr>
                <w:sz w:val="18"/>
                <w:szCs w:val="18"/>
                <w:color w:val="auto"/>
              </w:rPr>
            </w:pP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60" w:type="dxa"/>
            <w:vAlign w:val="bottom"/>
            <w:gridSpan w:val="4"/>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6.</w:t>
            </w:r>
          </w:p>
        </w:tc>
        <w:tc>
          <w:tcPr>
            <w:tcW w:w="180" w:type="dxa"/>
            <w:vAlign w:val="bottom"/>
            <w:gridSpan w:val="2"/>
          </w:tcPr>
          <w:p>
            <w:pPr>
              <w:spacing w:after="0"/>
              <w:rPr>
                <w:sz w:val="18"/>
                <w:szCs w:val="18"/>
                <w:color w:val="auto"/>
              </w:rPr>
            </w:pP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Exhibits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70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5"/>
              </w:rPr>
              <w:t>Signature</w:t>
            </w: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144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2,379,415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2,879,186</w:t>
            </w:r>
          </w:p>
        </w:tc>
        <w:tc>
          <w:tcPr>
            <w:tcW w:w="0" w:type="dxa"/>
            <w:vAlign w:val="bottom"/>
          </w:tcPr>
          <w:p>
            <w:pPr>
              <w:spacing w:after="0"/>
              <w:rPr>
                <w:sz w:val="1"/>
                <w:szCs w:val="1"/>
                <w:color w:val="auto"/>
              </w:rPr>
            </w:pPr>
          </w:p>
        </w:tc>
      </w:tr>
      <w:tr>
        <w:trPr>
          <w:trHeight w:val="211"/>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Investments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845,192</w:t>
            </w:r>
          </w:p>
        </w:tc>
        <w:tc>
          <w:tcPr>
            <w:tcW w:w="0" w:type="dxa"/>
            <w:vAlign w:val="bottom"/>
          </w:tcPr>
          <w:p>
            <w:pPr>
              <w:spacing w:after="0"/>
              <w:rPr>
                <w:sz w:val="1"/>
                <w:szCs w:val="1"/>
                <w:color w:val="auto"/>
              </w:rPr>
            </w:pPr>
          </w:p>
        </w:tc>
      </w:tr>
      <w:tr>
        <w:trPr>
          <w:trHeight w:val="211"/>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$39,491 and $40,075, respectively</w:t>
            </w:r>
          </w:p>
        </w:tc>
        <w:tc>
          <w:tcPr>
            <w:tcW w:w="24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317,643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341,712</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72,152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75,552</w:t>
            </w:r>
          </w:p>
        </w:tc>
        <w:tc>
          <w:tcPr>
            <w:tcW w:w="0" w:type="dxa"/>
            <w:vAlign w:val="bottom"/>
          </w:tcPr>
          <w:p>
            <w:pPr>
              <w:spacing w:after="0"/>
              <w:rPr>
                <w:sz w:val="1"/>
                <w:szCs w:val="1"/>
                <w:color w:val="auto"/>
              </w:rPr>
            </w:pPr>
          </w:p>
        </w:tc>
      </w:tr>
      <w:tr>
        <w:trPr>
          <w:trHeight w:val="211"/>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103,303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99,961</w:t>
            </w:r>
          </w:p>
        </w:tc>
        <w:tc>
          <w:tcPr>
            <w:tcW w:w="0" w:type="dxa"/>
            <w:vAlign w:val="bottom"/>
          </w:tcPr>
          <w:p>
            <w:pPr>
              <w:spacing w:after="0"/>
              <w:rPr>
                <w:sz w:val="1"/>
                <w:szCs w:val="1"/>
                <w:color w:val="auto"/>
              </w:rPr>
            </w:pPr>
          </w:p>
        </w:tc>
      </w:tr>
      <w:tr>
        <w:trPr>
          <w:trHeight w:val="214"/>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3,372,513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4,241,621</w:t>
            </w:r>
          </w:p>
        </w:tc>
        <w:tc>
          <w:tcPr>
            <w:tcW w:w="0" w:type="dxa"/>
            <w:vAlign w:val="bottom"/>
          </w:tcPr>
          <w:p>
            <w:pPr>
              <w:spacing w:after="0"/>
              <w:rPr>
                <w:sz w:val="1"/>
                <w:szCs w:val="1"/>
                <w:color w:val="auto"/>
              </w:rPr>
            </w:pPr>
          </w:p>
        </w:tc>
      </w:tr>
      <w:tr>
        <w:trPr>
          <w:trHeight w:val="21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6,492,579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6,688,479</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90,629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90,208</w:t>
            </w:r>
          </w:p>
        </w:tc>
        <w:tc>
          <w:tcPr>
            <w:tcW w:w="0" w:type="dxa"/>
            <w:vAlign w:val="bottom"/>
          </w:tcPr>
          <w:p>
            <w:pPr>
              <w:spacing w:after="0"/>
              <w:rPr>
                <w:sz w:val="1"/>
                <w:szCs w:val="1"/>
                <w:color w:val="auto"/>
              </w:rPr>
            </w:pPr>
          </w:p>
        </w:tc>
      </w:tr>
      <w:tr>
        <w:trPr>
          <w:trHeight w:val="21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24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310,694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329,708</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1,812,438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1,832,896</w:t>
            </w:r>
          </w:p>
        </w:tc>
        <w:tc>
          <w:tcPr>
            <w:tcW w:w="0" w:type="dxa"/>
            <w:vAlign w:val="bottom"/>
          </w:tcPr>
          <w:p>
            <w:pPr>
              <w:spacing w:after="0"/>
              <w:rPr>
                <w:sz w:val="1"/>
                <w:szCs w:val="1"/>
                <w:color w:val="auto"/>
              </w:rPr>
            </w:pPr>
          </w:p>
        </w:tc>
      </w:tr>
      <w:tr>
        <w:trPr>
          <w:trHeight w:val="21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4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478,570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500,877</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732,375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312,434</w:t>
            </w:r>
          </w:p>
        </w:tc>
        <w:tc>
          <w:tcPr>
            <w:tcW w:w="0" w:type="dxa"/>
            <w:vAlign w:val="bottom"/>
          </w:tcPr>
          <w:p>
            <w:pPr>
              <w:spacing w:after="0"/>
              <w:rPr>
                <w:sz w:val="1"/>
                <w:szCs w:val="1"/>
                <w:color w:val="auto"/>
              </w:rPr>
            </w:pPr>
          </w:p>
        </w:tc>
      </w:tr>
      <w:tr>
        <w:trPr>
          <w:trHeight w:val="206"/>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13,289,798</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13,996,223</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and construction payables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200,652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208,263</w:t>
            </w:r>
          </w:p>
        </w:tc>
        <w:tc>
          <w:tcPr>
            <w:tcW w:w="0" w:type="dxa"/>
            <w:vAlign w:val="bottom"/>
          </w:tcPr>
          <w:p>
            <w:pPr>
              <w:spacing w:after="0"/>
              <w:rPr>
                <w:sz w:val="1"/>
                <w:szCs w:val="1"/>
                <w:color w:val="auto"/>
              </w:rPr>
            </w:pPr>
          </w:p>
        </w:tc>
      </w:tr>
      <w:tr>
        <w:trPr>
          <w:trHeight w:val="211"/>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Customer deposits</w:t>
            </w:r>
          </w:p>
        </w:tc>
        <w:tc>
          <w:tcPr>
            <w:tcW w:w="24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488,567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543,288</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Gaming taxes payable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151,295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172,832</w:t>
            </w:r>
          </w:p>
        </w:tc>
        <w:tc>
          <w:tcPr>
            <w:tcW w:w="0" w:type="dxa"/>
            <w:vAlign w:val="bottom"/>
          </w:tcPr>
          <w:p>
            <w:pPr>
              <w:spacing w:after="0"/>
              <w:rPr>
                <w:sz w:val="1"/>
                <w:szCs w:val="1"/>
                <w:color w:val="auto"/>
              </w:rPr>
            </w:pPr>
          </w:p>
        </w:tc>
      </w:tr>
      <w:tr>
        <w:trPr>
          <w:trHeight w:val="211"/>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4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178,517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212,645</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interest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138,808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141,902</w:t>
            </w:r>
          </w:p>
        </w:tc>
        <w:tc>
          <w:tcPr>
            <w:tcW w:w="0" w:type="dxa"/>
            <w:vAlign w:val="bottom"/>
          </w:tcPr>
          <w:p>
            <w:pPr>
              <w:spacing w:after="0"/>
              <w:rPr>
                <w:sz w:val="1"/>
                <w:szCs w:val="1"/>
                <w:color w:val="auto"/>
              </w:rPr>
            </w:pPr>
          </w:p>
        </w:tc>
      </w:tr>
      <w:tr>
        <w:trPr>
          <w:trHeight w:val="211"/>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4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1,291,295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709,593</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151,892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211,931</w:t>
            </w:r>
          </w:p>
        </w:tc>
        <w:tc>
          <w:tcPr>
            <w:tcW w:w="0" w:type="dxa"/>
            <w:vAlign w:val="bottom"/>
          </w:tcPr>
          <w:p>
            <w:pPr>
              <w:spacing w:after="0"/>
              <w:rPr>
                <w:sz w:val="1"/>
                <w:szCs w:val="1"/>
                <w:color w:val="auto"/>
              </w:rPr>
            </w:pPr>
          </w:p>
        </w:tc>
      </w:tr>
      <w:tr>
        <w:trPr>
          <w:trHeight w:val="206"/>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4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2,601,026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2,200,454</w:t>
            </w:r>
          </w:p>
        </w:tc>
        <w:tc>
          <w:tcPr>
            <w:tcW w:w="0" w:type="dxa"/>
            <w:vAlign w:val="bottom"/>
          </w:tcPr>
          <w:p>
            <w:pPr>
              <w:spacing w:after="0"/>
              <w:rPr>
                <w:sz w:val="1"/>
                <w:szCs w:val="1"/>
                <w:color w:val="auto"/>
              </w:rPr>
            </w:pPr>
          </w:p>
        </w:tc>
      </w:tr>
      <w:tr>
        <w:trPr>
          <w:trHeight w:val="22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9,739,417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11,028,744</w:t>
            </w:r>
          </w:p>
        </w:tc>
        <w:tc>
          <w:tcPr>
            <w:tcW w:w="0" w:type="dxa"/>
            <w:vAlign w:val="bottom"/>
          </w:tcPr>
          <w:p>
            <w:pPr>
              <w:spacing w:after="0"/>
              <w:rPr>
                <w:sz w:val="1"/>
                <w:szCs w:val="1"/>
                <w:color w:val="auto"/>
              </w:rPr>
            </w:pPr>
          </w:p>
        </w:tc>
      </w:tr>
      <w:tr>
        <w:trPr>
          <w:trHeight w:val="21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4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1,616,898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1,631,749</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234,419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236,210</w:t>
            </w:r>
          </w:p>
        </w:tc>
        <w:tc>
          <w:tcPr>
            <w:tcW w:w="0" w:type="dxa"/>
            <w:vAlign w:val="bottom"/>
          </w:tcPr>
          <w:p>
            <w:pPr>
              <w:spacing w:after="0"/>
              <w:rPr>
                <w:sz w:val="1"/>
                <w:szCs w:val="1"/>
                <w:color w:val="auto"/>
              </w:rPr>
            </w:pPr>
          </w:p>
        </w:tc>
      </w:tr>
      <w:tr>
        <w:trPr>
          <w:trHeight w:val="206"/>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4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14,191,760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15,097,157</w:t>
            </w:r>
          </w:p>
        </w:tc>
        <w:tc>
          <w:tcPr>
            <w:tcW w:w="0" w:type="dxa"/>
            <w:vAlign w:val="bottom"/>
          </w:tcPr>
          <w:p>
            <w:pPr>
              <w:spacing w:after="0"/>
              <w:rPr>
                <w:sz w:val="1"/>
                <w:szCs w:val="1"/>
                <w:color w:val="auto"/>
              </w:rPr>
            </w:pPr>
          </w:p>
        </w:tc>
      </w:tr>
      <w:tr>
        <w:trPr>
          <w:trHeight w:val="22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15)</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Preferred stock, par value $0.01; 40,000,000 shares authorized; zero shares issued and outstanding</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2"/>
        </w:trPr>
        <w:tc>
          <w:tcPr>
            <w:tcW w:w="7960" w:type="dxa"/>
            <w:vAlign w:val="bottom"/>
          </w:tcPr>
          <w:p>
            <w:pPr>
              <w:ind w:left="360"/>
              <w:spacing w:after="0" w:line="152" w:lineRule="exact"/>
              <w:rPr>
                <w:sz w:val="20"/>
                <w:szCs w:val="20"/>
                <w:color w:val="auto"/>
              </w:rPr>
            </w:pPr>
            <w:r>
              <w:rPr>
                <w:rFonts w:ascii="Times New Roman" w:cs="Times New Roman" w:eastAsia="Times New Roman" w:hAnsi="Times New Roman"/>
                <w:sz w:val="16"/>
                <w:szCs w:val="16"/>
                <w:color w:val="auto"/>
              </w:rPr>
              <w:t>Common stock, par value $0.01; 400,000,000 shares authorized; 133,511,209 and 132,998,916 shares issued;</w:t>
            </w:r>
          </w:p>
        </w:tc>
        <w:tc>
          <w:tcPr>
            <w:tcW w:w="240" w:type="dxa"/>
            <w:vAlign w:val="bottom"/>
          </w:tcPr>
          <w:p>
            <w:pPr>
              <w:spacing w:after="0"/>
              <w:rPr>
                <w:sz w:val="13"/>
                <w:szCs w:val="13"/>
                <w:color w:val="auto"/>
              </w:rPr>
            </w:pPr>
          </w:p>
        </w:tc>
        <w:tc>
          <w:tcPr>
            <w:tcW w:w="13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1,335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0" w:type="dxa"/>
            <w:vAlign w:val="bottom"/>
          </w:tcPr>
          <w:p>
            <w:pPr>
              <w:spacing w:after="0"/>
              <w:rPr>
                <w:sz w:val="1"/>
                <w:szCs w:val="1"/>
                <w:color w:val="auto"/>
              </w:rPr>
            </w:pPr>
          </w:p>
        </w:tc>
      </w:tr>
      <w:tr>
        <w:trPr>
          <w:trHeight w:val="209"/>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111,375,062 and 111,737,245 shares outstanding, respectively</w:t>
            </w:r>
          </w:p>
        </w:tc>
        <w:tc>
          <w:tcPr>
            <w:tcW w:w="2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Treasury stock, at cost; 22,136,147 and 21,261,671 shares, respectively</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(1,918,595)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(1,836,326)</w:t>
            </w:r>
          </w:p>
        </w:tc>
        <w:tc>
          <w:tcPr>
            <w:tcW w:w="0" w:type="dxa"/>
            <w:vAlign w:val="bottom"/>
          </w:tcPr>
          <w:p>
            <w:pPr>
              <w:spacing w:after="0"/>
              <w:rPr>
                <w:sz w:val="1"/>
                <w:szCs w:val="1"/>
                <w:color w:val="auto"/>
              </w:rPr>
            </w:pPr>
          </w:p>
        </w:tc>
      </w:tr>
      <w:tr>
        <w:trPr>
          <w:trHeight w:val="211"/>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3,672,049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3,647,161</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3,406</w:t>
            </w:r>
          </w:p>
        </w:tc>
        <w:tc>
          <w:tcPr>
            <w:tcW w:w="0" w:type="dxa"/>
            <w:vAlign w:val="bottom"/>
          </w:tcPr>
          <w:p>
            <w:pPr>
              <w:spacing w:after="0"/>
              <w:rPr>
                <w:sz w:val="1"/>
                <w:szCs w:val="1"/>
                <w:color w:val="auto"/>
              </w:rPr>
            </w:pPr>
          </w:p>
        </w:tc>
      </w:tr>
      <w:tr>
        <w:trPr>
          <w:trHeight w:val="211"/>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(1,866,826)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(2,066,953)</w:t>
            </w:r>
          </w:p>
        </w:tc>
        <w:tc>
          <w:tcPr>
            <w:tcW w:w="0" w:type="dxa"/>
            <w:vAlign w:val="bottom"/>
          </w:tcPr>
          <w:p>
            <w:pPr>
              <w:spacing w:after="0"/>
              <w:rPr>
                <w:sz w:val="1"/>
                <w:szCs w:val="1"/>
                <w:color w:val="auto"/>
              </w:rPr>
            </w:pPr>
          </w:p>
        </w:tc>
      </w:tr>
      <w:tr>
        <w:trPr>
          <w:trHeight w:val="214"/>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Total Wynn Resorts, Limited stockholders' deficit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(109,824)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(251,382)</w:t>
            </w:r>
          </w:p>
        </w:tc>
        <w:tc>
          <w:tcPr>
            <w:tcW w:w="0" w:type="dxa"/>
            <w:vAlign w:val="bottom"/>
          </w:tcPr>
          <w:p>
            <w:pPr>
              <w:spacing w:after="0"/>
              <w:rPr>
                <w:sz w:val="1"/>
                <w:szCs w:val="1"/>
                <w:color w:val="auto"/>
              </w:rPr>
            </w:pPr>
          </w:p>
        </w:tc>
      </w:tr>
      <w:tr>
        <w:trPr>
          <w:trHeight w:val="211"/>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(792,138)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(849,552)</w:t>
            </w:r>
          </w:p>
        </w:tc>
        <w:tc>
          <w:tcPr>
            <w:tcW w:w="0" w:type="dxa"/>
            <w:vAlign w:val="bottom"/>
          </w:tcPr>
          <w:p>
            <w:pPr>
              <w:spacing w:after="0"/>
              <w:rPr>
                <w:sz w:val="1"/>
                <w:szCs w:val="1"/>
                <w:color w:val="auto"/>
              </w:rPr>
            </w:pPr>
          </w:p>
        </w:tc>
      </w:tr>
      <w:tr>
        <w:trPr>
          <w:trHeight w:val="214"/>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(901,962)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(1,100,934)</w:t>
            </w:r>
          </w:p>
        </w:tc>
        <w:tc>
          <w:tcPr>
            <w:tcW w:w="0" w:type="dxa"/>
            <w:vAlign w:val="bottom"/>
          </w:tcPr>
          <w:p>
            <w:pPr>
              <w:spacing w:after="0"/>
              <w:rPr>
                <w:sz w:val="1"/>
                <w:szCs w:val="1"/>
                <w:color w:val="auto"/>
              </w:rPr>
            </w:pPr>
          </w:p>
        </w:tc>
      </w:tr>
      <w:tr>
        <w:trPr>
          <w:trHeight w:val="206"/>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deficit</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13,289,798</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13,996,223</w:t>
            </w:r>
          </w:p>
        </w:tc>
        <w:tc>
          <w:tcPr>
            <w:tcW w:w="0" w:type="dxa"/>
            <w:vAlign w:val="bottom"/>
          </w:tcPr>
          <w:p>
            <w:pPr>
              <w:spacing w:after="0"/>
              <w:rPr>
                <w:sz w:val="1"/>
                <w:szCs w:val="1"/>
                <w:color w:val="auto"/>
              </w:rPr>
            </w:pPr>
          </w:p>
        </w:tc>
      </w:tr>
      <w:tr>
        <w:trPr>
          <w:trHeight w:val="24"/>
        </w:trPr>
        <w:tc>
          <w:tcPr>
            <w:tcW w:w="7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4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1,008,946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912,999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2,130,412</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1,679,991</w:t>
            </w:r>
          </w:p>
        </w:tc>
      </w:tr>
      <w:tr>
        <w:trPr>
          <w:trHeight w:val="229"/>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631,935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549,034</w:t>
            </w:r>
          </w:p>
        </w:tc>
      </w:tr>
      <w:tr>
        <w:trPr>
          <w:trHeight w:val="230"/>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548,342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489,647</w:t>
            </w:r>
          </w:p>
        </w:tc>
      </w:tr>
      <w:tr>
        <w:trPr>
          <w:trHeight w:val="229"/>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285,152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300,829</w:t>
            </w:r>
          </w:p>
        </w:tc>
      </w:tr>
      <w:tr>
        <w:trPr>
          <w:trHeight w:val="223"/>
        </w:trPr>
        <w:tc>
          <w:tcPr>
            <w:tcW w:w="54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1,732,932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1,595,822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3,595,841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3,019,501</w:t>
            </w:r>
          </w:p>
        </w:tc>
      </w:tr>
      <w:tr>
        <w:trPr>
          <w:trHeight w:val="20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543,643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1,289,957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1,017,028</w:t>
            </w:r>
          </w:p>
        </w:tc>
      </w:tr>
      <w:tr>
        <w:trPr>
          <w:trHeight w:val="230"/>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146,485</w:t>
            </w:r>
          </w:p>
        </w:tc>
      </w:tr>
      <w:tr>
        <w:trPr>
          <w:trHeight w:val="229"/>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427,164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384,541</w:t>
            </w:r>
          </w:p>
        </w:tc>
      </w:tr>
      <w:tr>
        <w:trPr>
          <w:trHeight w:val="230"/>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178,481</w:t>
            </w:r>
          </w:p>
        </w:tc>
      </w:tr>
      <w:tr>
        <w:trPr>
          <w:trHeight w:val="229"/>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536,343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517,093</w:t>
            </w:r>
          </w:p>
        </w:tc>
      </w:tr>
      <w:tr>
        <w:trPr>
          <w:trHeight w:val="229"/>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w:t>
            </w:r>
          </w:p>
        </w:tc>
      </w:tr>
      <w:tr>
        <w:trPr>
          <w:trHeight w:val="230"/>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Pre-opening</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w:t>
            </w:r>
          </w:p>
        </w:tc>
      </w:tr>
      <w:tr>
        <w:trPr>
          <w:trHeight w:val="229"/>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338,774</w:t>
            </w:r>
          </w:p>
        </w:tc>
      </w:tr>
      <w:tr>
        <w:trPr>
          <w:trHeight w:val="229"/>
        </w:trPr>
        <w:tc>
          <w:tcPr>
            <w:tcW w:w="5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55,763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18,477</w:t>
            </w:r>
          </w:p>
        </w:tc>
      </w:tr>
      <w:tr>
        <w:trPr>
          <w:trHeight w:val="223"/>
        </w:trPr>
        <w:tc>
          <w:tcPr>
            <w:tcW w:w="5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1,463,274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1,345,486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2,963,242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2,599,650</w:t>
            </w:r>
          </w:p>
        </w:tc>
      </w:tr>
      <w:tr>
        <w:trPr>
          <w:trHeight w:val="223"/>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269,658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250,336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632,599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419,851</w:t>
            </w: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84,320</w:t>
            </w:r>
          </w:p>
        </w:tc>
      </w:tr>
      <w:tr>
        <w:trPr>
          <w:trHeight w:val="229"/>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(377,983)</w:t>
            </w:r>
          </w:p>
        </w:tc>
      </w:tr>
      <w:tr>
        <w:trPr>
          <w:trHeight w:val="230"/>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47,382</w:t>
            </w:r>
          </w:p>
        </w:tc>
      </w:tr>
      <w:tr>
        <w:trPr>
          <w:trHeight w:val="230"/>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(15,611)</w:t>
            </w:r>
          </w:p>
        </w:tc>
      </w:tr>
      <w:tr>
        <w:trPr>
          <w:trHeight w:val="230"/>
        </w:trPr>
        <w:tc>
          <w:tcPr>
            <w:tcW w:w="5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(23,655)</w:t>
            </w:r>
          </w:p>
        </w:tc>
      </w:tr>
      <w:tr>
        <w:trPr>
          <w:trHeight w:val="223"/>
        </w:trPr>
        <w:tc>
          <w:tcPr>
            <w:tcW w:w="5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(115,450)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(118,196)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(281,879)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(285,547)</w:t>
            </w: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154,208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132,140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350,720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134,304</w:t>
            </w:r>
          </w:p>
        </w:tc>
      </w:tr>
      <w:tr>
        <w:trPr>
          <w:trHeight w:val="230"/>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w:t>
            </w: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146,273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127,835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322,771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128,981</w:t>
            </w:r>
          </w:p>
        </w:tc>
      </w:tr>
      <w:tr>
        <w:trPr>
          <w:trHeight w:val="230"/>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w:t>
            </w: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Wynn Resorts, Limited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111,943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105,184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256,159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117,516</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6"/>
        </w:trPr>
        <w:tc>
          <w:tcPr>
            <w:tcW w:w="5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and diluted net income per common share:</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5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r>
      <w:tr>
        <w:trPr>
          <w:trHeight w:val="229"/>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110,980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112,821</w:t>
            </w:r>
          </w:p>
        </w:tc>
      </w:tr>
      <w:tr>
        <w:trPr>
          <w:trHeight w:val="230"/>
        </w:trPr>
        <w:tc>
          <w:tcPr>
            <w:tcW w:w="5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111,222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113,143</w:t>
            </w: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42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128,981</w:t>
            </w: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 before and after tax</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11,568</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142,630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124,240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321,117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140,549</w:t>
            </w:r>
          </w:p>
        </w:tc>
      </w:tr>
      <w:tr>
        <w:trPr>
          <w:trHeight w:val="230"/>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(14,713)</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Wynn Resorts, Limited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109,326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102,625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254,966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125,836</w:t>
            </w:r>
          </w:p>
        </w:tc>
      </w:tr>
      <w:tr>
        <w:trPr>
          <w:trHeight w:val="21"/>
        </w:trPr>
        <w:tc>
          <w:tcPr>
            <w:tcW w:w="5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4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8"/>
          </w:tcPr>
          <w:p>
            <w:pPr>
              <w:ind w:left="640"/>
              <w:spacing w:after="0"/>
              <w:rPr>
                <w:sz w:val="20"/>
                <w:szCs w:val="20"/>
                <w:color w:val="auto"/>
              </w:rPr>
            </w:pPr>
            <w:r>
              <w:rPr>
                <w:rFonts w:ascii="Times New Roman" w:cs="Times New Roman" w:eastAsia="Times New Roman" w:hAnsi="Times New Roman"/>
                <w:sz w:val="13"/>
                <w:szCs w:val="13"/>
                <w:b w:val="1"/>
                <w:bCs w:val="1"/>
                <w:color w:val="auto"/>
                <w:w w:val="98"/>
              </w:rPr>
              <w:t>For the three months ended June 30, 2024</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162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9"/>
                <w:szCs w:val="9"/>
                <w:color w:val="auto"/>
              </w:rPr>
            </w:pPr>
          </w:p>
        </w:tc>
        <w:tc>
          <w:tcPr>
            <w:tcW w:w="10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Total Wynn</w:t>
            </w: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Resorts, Ltd.</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5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1"/>
                <w:szCs w:val="11"/>
                <w:color w:val="auto"/>
              </w:rPr>
            </w:pPr>
          </w:p>
        </w:tc>
        <w:tc>
          <w:tcPr>
            <w:tcW w:w="10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80" w:type="dxa"/>
            <w:vAlign w:val="bottom"/>
          </w:tcPr>
          <w:p>
            <w:pPr>
              <w:spacing w:after="0"/>
              <w:rPr>
                <w:sz w:val="11"/>
                <w:szCs w:val="11"/>
                <w:color w:val="auto"/>
              </w:rPr>
            </w:pPr>
          </w:p>
        </w:tc>
        <w:tc>
          <w:tcPr>
            <w:tcW w:w="10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00" w:type="dxa"/>
            <w:vAlign w:val="bottom"/>
          </w:tcPr>
          <w:p>
            <w:pPr>
              <w:spacing w:after="0"/>
              <w:rPr>
                <w:sz w:val="11"/>
                <w:szCs w:val="11"/>
                <w:color w:val="auto"/>
              </w:rPr>
            </w:pPr>
          </w:p>
        </w:tc>
        <w:tc>
          <w:tcPr>
            <w:tcW w:w="8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outstanding</w:t>
            </w:r>
          </w:p>
        </w:tc>
        <w:tc>
          <w:tcPr>
            <w:tcW w:w="12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12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74"/>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April 1, 2024</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112,071,149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(1,849,172)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3,656,809</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(1,950,755)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(136,953)</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(809,427)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(946,380)</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111,943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111,943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146,273</w:t>
            </w:r>
          </w:p>
        </w:tc>
        <w:tc>
          <w:tcPr>
            <w:tcW w:w="0" w:type="dxa"/>
            <w:vAlign w:val="bottom"/>
          </w:tcPr>
          <w:p>
            <w:pPr>
              <w:spacing w:after="0"/>
              <w:rPr>
                <w:sz w:val="1"/>
                <w:szCs w:val="1"/>
                <w:color w:val="auto"/>
              </w:rPr>
            </w:pPr>
          </w:p>
        </w:tc>
      </w:tr>
      <w:tr>
        <w:trPr>
          <w:trHeight w:val="18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(3,643)</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65,310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Cancellation of restricted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24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w w:val="99"/>
              </w:rPr>
              <w:t>Shares repurchased by the Company and held</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 treasury shares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(755,641)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(69,423)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(69,423)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(69,423)</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(28,014)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(28,014)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(14,376)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(42,390)</w:t>
            </w:r>
          </w:p>
        </w:tc>
        <w:tc>
          <w:tcPr>
            <w:tcW w:w="0" w:type="dxa"/>
            <w:vAlign w:val="bottom"/>
          </w:tcPr>
          <w:p>
            <w:pPr>
              <w:spacing w:after="0"/>
              <w:rPr>
                <w:sz w:val="1"/>
                <w:szCs w:val="1"/>
                <w:color w:val="auto"/>
              </w:rPr>
            </w:pPr>
          </w:p>
        </w:tc>
      </w:tr>
      <w:tr>
        <w:trPr>
          <w:trHeight w:val="18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 to noncontrolling interest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(2,645)</w:t>
            </w: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Transactions with subsidiary minority</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shareholders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15,314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15,314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16,246</w:t>
            </w:r>
          </w:p>
        </w:tc>
        <w:tc>
          <w:tcPr>
            <w:tcW w:w="0" w:type="dxa"/>
            <w:vAlign w:val="bottom"/>
          </w:tcPr>
          <w:p>
            <w:pPr>
              <w:spacing w:after="0"/>
              <w:rPr>
                <w:sz w:val="1"/>
                <w:szCs w:val="1"/>
                <w:color w:val="auto"/>
              </w:rPr>
            </w:pPr>
          </w:p>
        </w:tc>
      </w:tr>
      <w:tr>
        <w:trPr>
          <w:trHeight w:val="175"/>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June 30, 2024</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111,375,062</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1,335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(1,918,595)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3,672,049</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2,213</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(1,866,826)</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(109,824)</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(792,138)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(901,962)</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4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8"/>
          </w:tcPr>
          <w:p>
            <w:pPr>
              <w:ind w:left="640"/>
              <w:spacing w:after="0"/>
              <w:rPr>
                <w:sz w:val="20"/>
                <w:szCs w:val="20"/>
                <w:color w:val="auto"/>
              </w:rPr>
            </w:pPr>
            <w:r>
              <w:rPr>
                <w:rFonts w:ascii="Times New Roman" w:cs="Times New Roman" w:eastAsia="Times New Roman" w:hAnsi="Times New Roman"/>
                <w:sz w:val="13"/>
                <w:szCs w:val="13"/>
                <w:b w:val="1"/>
                <w:bCs w:val="1"/>
                <w:color w:val="auto"/>
                <w:w w:val="98"/>
              </w:rPr>
              <w:t>For the three months ended June 30, 2023</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162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9"/>
                <w:szCs w:val="9"/>
                <w:color w:val="auto"/>
              </w:rPr>
            </w:pPr>
          </w:p>
        </w:tc>
        <w:tc>
          <w:tcPr>
            <w:tcW w:w="10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Total Wynn</w:t>
            </w: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0"/>
                <w:szCs w:val="10"/>
                <w:color w:val="auto"/>
              </w:rPr>
            </w:pPr>
          </w:p>
        </w:tc>
        <w:tc>
          <w:tcPr>
            <w:tcW w:w="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Par</w:t>
            </w:r>
          </w:p>
        </w:tc>
        <w:tc>
          <w:tcPr>
            <w:tcW w:w="12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Resorts, Ltd.</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0"/>
                <w:szCs w:val="10"/>
                <w:color w:val="auto"/>
              </w:rPr>
            </w:pPr>
          </w:p>
        </w:tc>
        <w:tc>
          <w:tcPr>
            <w:tcW w:w="10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83"/>
        </w:trPr>
        <w:tc>
          <w:tcPr>
            <w:tcW w:w="240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outstanding</w:t>
            </w:r>
          </w:p>
        </w:tc>
        <w:tc>
          <w:tcPr>
            <w:tcW w:w="120" w:type="dxa"/>
            <w:vAlign w:val="bottom"/>
          </w:tcPr>
          <w:p>
            <w:pPr>
              <w:spacing w:after="0"/>
              <w:rPr>
                <w:sz w:val="15"/>
                <w:szCs w:val="15"/>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120" w:type="dxa"/>
            <w:vAlign w:val="bottom"/>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10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75"/>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April 1, 2023</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113,808,044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(1,634,706)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3,604,945</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(2,699,476)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(717,434)</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(898,936)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(1,616,370)</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105,184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105,184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127,835</w:t>
            </w:r>
          </w:p>
        </w:tc>
        <w:tc>
          <w:tcPr>
            <w:tcW w:w="0" w:type="dxa"/>
            <w:vAlign w:val="bottom"/>
          </w:tcPr>
          <w:p>
            <w:pPr>
              <w:spacing w:after="0"/>
              <w:rPr>
                <w:sz w:val="1"/>
                <w:szCs w:val="1"/>
                <w:color w:val="auto"/>
              </w:rPr>
            </w:pPr>
          </w:p>
        </w:tc>
      </w:tr>
      <w:tr>
        <w:trPr>
          <w:trHeight w:val="18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(3,595)</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9"/>
                <w:szCs w:val="19"/>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9"/>
                <w:szCs w:val="19"/>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478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478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0" w:type="dxa"/>
            <w:vAlign w:val="bottom"/>
          </w:tcPr>
          <w:p>
            <w:pPr>
              <w:spacing w:after="0"/>
              <w:rPr>
                <w:sz w:val="1"/>
                <w:szCs w:val="1"/>
                <w:color w:val="auto"/>
              </w:rPr>
            </w:pPr>
          </w:p>
        </w:tc>
      </w:tr>
      <w:tr>
        <w:trPr>
          <w:trHeight w:val="176"/>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147,628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Cancellation of restricted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24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w w:val="99"/>
              </w:rPr>
              <w:t>Shares repurchased by the Company and held</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 treasury shares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(11,528)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(1,260)</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(28,481)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(28,481)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(28,481)</w:t>
            </w:r>
          </w:p>
        </w:tc>
        <w:tc>
          <w:tcPr>
            <w:tcW w:w="0" w:type="dxa"/>
            <w:vAlign w:val="bottom"/>
          </w:tcPr>
          <w:p>
            <w:pPr>
              <w:spacing w:after="0"/>
              <w:rPr>
                <w:sz w:val="1"/>
                <w:szCs w:val="1"/>
                <w:color w:val="auto"/>
              </w:rPr>
            </w:pPr>
          </w:p>
        </w:tc>
      </w:tr>
      <w:tr>
        <w:trPr>
          <w:trHeight w:val="18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 to noncontrolling interest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(4,443)</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16,814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16,814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18,673</w:t>
            </w:r>
          </w:p>
        </w:tc>
        <w:tc>
          <w:tcPr>
            <w:tcW w:w="0" w:type="dxa"/>
            <w:vAlign w:val="bottom"/>
          </w:tcPr>
          <w:p>
            <w:pPr>
              <w:spacing w:after="0"/>
              <w:rPr>
                <w:sz w:val="1"/>
                <w:szCs w:val="1"/>
                <w:color w:val="auto"/>
              </w:rPr>
            </w:pPr>
          </w:p>
        </w:tc>
      </w:tr>
      <w:tr>
        <w:trPr>
          <w:trHeight w:val="200"/>
        </w:trPr>
        <w:tc>
          <w:tcPr>
            <w:tcW w:w="2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June 30, 2023</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113,942,935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(1,635,966)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3,619,241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7,916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(2,622,773)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(630,253)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(876,911)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(1,507,164)</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4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3"/>
                <w:szCs w:val="13"/>
                <w:b w:val="1"/>
                <w:bCs w:val="1"/>
                <w:color w:val="auto"/>
              </w:rPr>
              <w:t>For the six months ended June 30, 2024</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162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Total Wynn</w:t>
            </w: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Resorts, Ltd.</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5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100" w:type="dxa"/>
            <w:vAlign w:val="bottom"/>
          </w:tcPr>
          <w:p>
            <w:pPr>
              <w:spacing w:after="0"/>
              <w:rPr>
                <w:sz w:val="11"/>
                <w:szCs w:val="11"/>
                <w:color w:val="auto"/>
              </w:rPr>
            </w:pPr>
          </w:p>
        </w:tc>
        <w:tc>
          <w:tcPr>
            <w:tcW w:w="68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80" w:type="dxa"/>
            <w:vAlign w:val="bottom"/>
          </w:tcPr>
          <w:p>
            <w:pPr>
              <w:spacing w:after="0"/>
              <w:rPr>
                <w:sz w:val="11"/>
                <w:szCs w:val="11"/>
                <w:color w:val="auto"/>
              </w:rPr>
            </w:pPr>
          </w:p>
        </w:tc>
        <w:tc>
          <w:tcPr>
            <w:tcW w:w="10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00" w:type="dxa"/>
            <w:vAlign w:val="bottom"/>
          </w:tcPr>
          <w:p>
            <w:pPr>
              <w:spacing w:after="0"/>
              <w:rPr>
                <w:sz w:val="11"/>
                <w:szCs w:val="11"/>
                <w:color w:val="auto"/>
              </w:rPr>
            </w:pPr>
          </w:p>
        </w:tc>
        <w:tc>
          <w:tcPr>
            <w:tcW w:w="8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outstanding</w:t>
            </w:r>
          </w:p>
        </w:tc>
        <w:tc>
          <w:tcPr>
            <w:tcW w:w="12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12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4"/>
                <w:szCs w:val="14"/>
                <w:color w:val="auto"/>
              </w:rPr>
            </w:pPr>
          </w:p>
        </w:tc>
        <w:tc>
          <w:tcPr>
            <w:tcW w:w="6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74"/>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January 1, 2024</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111,737,245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(1,836,326)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3,647,161</w:t>
            </w: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(2,066,953)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(251,382)</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(849,552)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(1,100,934)</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256,159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256,159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66,612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322,771</w:t>
            </w:r>
          </w:p>
        </w:tc>
        <w:tc>
          <w:tcPr>
            <w:tcW w:w="0" w:type="dxa"/>
            <w:vAlign w:val="bottom"/>
          </w:tcPr>
          <w:p>
            <w:pPr>
              <w:spacing w:after="0"/>
              <w:rPr>
                <w:sz w:val="1"/>
                <w:szCs w:val="1"/>
                <w:color w:val="auto"/>
              </w:rPr>
            </w:pPr>
          </w:p>
        </w:tc>
      </w:tr>
      <w:tr>
        <w:trPr>
          <w:trHeight w:val="18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(1,654)</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17,285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1,017</w:t>
            </w:r>
          </w:p>
        </w:tc>
        <w:tc>
          <w:tcPr>
            <w:tcW w:w="0" w:type="dxa"/>
            <w:vAlign w:val="bottom"/>
          </w:tcPr>
          <w:p>
            <w:pPr>
              <w:spacing w:after="0"/>
              <w:rPr>
                <w:sz w:val="1"/>
                <w:szCs w:val="1"/>
                <w:color w:val="auto"/>
              </w:rPr>
            </w:pPr>
          </w:p>
        </w:tc>
      </w:tr>
      <w:tr>
        <w:trPr>
          <w:trHeight w:val="18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504,978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8,010</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8,015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8,015</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Cancellation of restricted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24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w w:val="99"/>
              </w:rPr>
              <w:t>Shares repurchased by the Company and held</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 treasury shares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(874,476)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(82,269)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(82,269)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(82,269)</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(56,032)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(56,032)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(14,376)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(70,408)</w:t>
            </w:r>
          </w:p>
        </w:tc>
        <w:tc>
          <w:tcPr>
            <w:tcW w:w="0" w:type="dxa"/>
            <w:vAlign w:val="bottom"/>
          </w:tcPr>
          <w:p>
            <w:pPr>
              <w:spacing w:after="0"/>
              <w:rPr>
                <w:sz w:val="1"/>
                <w:szCs w:val="1"/>
                <w:color w:val="auto"/>
              </w:rPr>
            </w:pPr>
          </w:p>
        </w:tc>
      </w:tr>
      <w:tr>
        <w:trPr>
          <w:trHeight w:val="18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 to noncontrolling interest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(8,641)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(8,641)</w:t>
            </w: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Transactions with subsidiary minority</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shareholders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(11,947)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(11,947)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11,947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27,808</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27,808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30,141</w:t>
            </w:r>
          </w:p>
        </w:tc>
        <w:tc>
          <w:tcPr>
            <w:tcW w:w="0" w:type="dxa"/>
            <w:vAlign w:val="bottom"/>
          </w:tcPr>
          <w:p>
            <w:pPr>
              <w:spacing w:after="0"/>
              <w:rPr>
                <w:sz w:val="1"/>
                <w:szCs w:val="1"/>
                <w:color w:val="auto"/>
              </w:rPr>
            </w:pPr>
          </w:p>
        </w:tc>
      </w:tr>
      <w:tr>
        <w:trPr>
          <w:trHeight w:val="169"/>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June 30, 2024</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111,375,062</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1,335</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(1,918,595)</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3,672,049</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2,213</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(1,866,826)</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(109,824)</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(792,138)</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(901,962)</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4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3"/>
                <w:szCs w:val="13"/>
                <w:b w:val="1"/>
                <w:bCs w:val="1"/>
                <w:color w:val="auto"/>
              </w:rPr>
              <w:t>For the six months ended June 30, 2023</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162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Total Wynn</w:t>
            </w: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0"/>
                <w:szCs w:val="10"/>
                <w:color w:val="auto"/>
              </w:rPr>
            </w:pPr>
          </w:p>
        </w:tc>
        <w:tc>
          <w:tcPr>
            <w:tcW w:w="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Par</w:t>
            </w:r>
          </w:p>
        </w:tc>
        <w:tc>
          <w:tcPr>
            <w:tcW w:w="12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Resorts, Ltd.</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17"/>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83"/>
        </w:trPr>
        <w:tc>
          <w:tcPr>
            <w:tcW w:w="240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outstanding</w:t>
            </w:r>
          </w:p>
        </w:tc>
        <w:tc>
          <w:tcPr>
            <w:tcW w:w="120" w:type="dxa"/>
            <w:vAlign w:val="bottom"/>
          </w:tcPr>
          <w:p>
            <w:pPr>
              <w:spacing w:after="0"/>
              <w:rPr>
                <w:sz w:val="15"/>
                <w:szCs w:val="15"/>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120" w:type="dxa"/>
            <w:vAlign w:val="bottom"/>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5"/>
                <w:szCs w:val="15"/>
                <w:color w:val="auto"/>
              </w:rPr>
            </w:pPr>
          </w:p>
        </w:tc>
        <w:tc>
          <w:tcPr>
            <w:tcW w:w="6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10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75"/>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January 1, 2023</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113,369,439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(1,623,872)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3,583,923</w:t>
            </w: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(2,711,808)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(750,838)</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(889,527)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(1,640,365)</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117,516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117,516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11,465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128,981</w:t>
            </w:r>
          </w:p>
        </w:tc>
        <w:tc>
          <w:tcPr>
            <w:tcW w:w="0" w:type="dxa"/>
            <w:vAlign w:val="bottom"/>
          </w:tcPr>
          <w:p>
            <w:pPr>
              <w:spacing w:after="0"/>
              <w:rPr>
                <w:sz w:val="1"/>
                <w:szCs w:val="1"/>
                <w:color w:val="auto"/>
              </w:rPr>
            </w:pPr>
          </w:p>
        </w:tc>
      </w:tr>
      <w:tr>
        <w:trPr>
          <w:trHeight w:val="18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8,320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11,568</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9"/>
                <w:szCs w:val="19"/>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1,965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1,965</w:t>
            </w:r>
          </w:p>
        </w:tc>
        <w:tc>
          <w:tcPr>
            <w:tcW w:w="0" w:type="dxa"/>
            <w:vAlign w:val="bottom"/>
          </w:tcPr>
          <w:p>
            <w:pPr>
              <w:spacing w:after="0"/>
              <w:rPr>
                <w:sz w:val="1"/>
                <w:szCs w:val="1"/>
                <w:color w:val="auto"/>
              </w:rPr>
            </w:pPr>
          </w:p>
        </w:tc>
      </w:tr>
      <w:tr>
        <w:trPr>
          <w:trHeight w:val="176"/>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668,329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6,632</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6,638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6,638</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Cancellation of restricted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(14,589)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24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w w:val="99"/>
              </w:rPr>
              <w:t>Shares repurchased by the Company and held</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 treasury shares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(118,709)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(12,094)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(12,094)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(12,094)</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(28,481)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(28,481)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(28,481)</w:t>
            </w:r>
          </w:p>
        </w:tc>
        <w:tc>
          <w:tcPr>
            <w:tcW w:w="0" w:type="dxa"/>
            <w:vAlign w:val="bottom"/>
          </w:tcPr>
          <w:p>
            <w:pPr>
              <w:spacing w:after="0"/>
              <w:rPr>
                <w:sz w:val="1"/>
                <w:szCs w:val="1"/>
                <w:color w:val="auto"/>
              </w:rPr>
            </w:pPr>
          </w:p>
        </w:tc>
      </w:tr>
      <w:tr>
        <w:trPr>
          <w:trHeight w:val="18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 to noncontrolling interest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(8,945)</w:t>
            </w:r>
          </w:p>
        </w:tc>
        <w:tc>
          <w:tcPr>
            <w:tcW w:w="0" w:type="dxa"/>
            <w:vAlign w:val="bottom"/>
          </w:tcPr>
          <w:p>
            <w:pPr>
              <w:spacing w:after="0"/>
              <w:rPr>
                <w:sz w:val="1"/>
                <w:szCs w:val="1"/>
                <w:color w:val="auto"/>
              </w:rPr>
            </w:pPr>
          </w:p>
        </w:tc>
      </w:tr>
      <w:tr>
        <w:trPr>
          <w:trHeight w:val="122"/>
        </w:trPr>
        <w:tc>
          <w:tcPr>
            <w:tcW w:w="24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Transactions with subsidiary minority</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shareholders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30,469</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30,469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33,569</w:t>
            </w:r>
          </w:p>
        </w:tc>
        <w:tc>
          <w:tcPr>
            <w:tcW w:w="0" w:type="dxa"/>
            <w:vAlign w:val="bottom"/>
          </w:tcPr>
          <w:p>
            <w:pPr>
              <w:spacing w:after="0"/>
              <w:rPr>
                <w:sz w:val="1"/>
                <w:szCs w:val="1"/>
                <w:color w:val="auto"/>
              </w:rPr>
            </w:pPr>
          </w:p>
        </w:tc>
      </w:tr>
      <w:tr>
        <w:trPr>
          <w:trHeight w:val="169"/>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June 30, 2023</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113,942,935</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1,329</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(1,635,966)</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3,619,241</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7,916</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(2,622,773)</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(630,253)</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(876,911)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(1,507,164)</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7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322,771</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128,981</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351,338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338,774</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30,536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32,995</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19,095</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debt financing transactions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15,611</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(7,184)</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derivatives fair value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(47,382)</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Property charges and other</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46,927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42,132</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Increase (decrease) in cash from changes in:</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Receivables, net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(9,489)</w:t>
            </w:r>
          </w:p>
        </w:tc>
      </w:tr>
      <w:tr>
        <w:trPr>
          <w:trHeight w:val="213"/>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Inventories, prepaid expenses and other</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r>
      <w:tr>
        <w:trPr>
          <w:trHeight w:val="219"/>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Customer deposits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(55,056)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(6,465)</w:t>
            </w:r>
          </w:p>
        </w:tc>
      </w:tr>
      <w:tr>
        <w:trPr>
          <w:trHeight w:val="213"/>
        </w:trPr>
        <w:tc>
          <w:tcPr>
            <w:tcW w:w="79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(109,580)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25,449</w:t>
            </w:r>
          </w:p>
        </w:tc>
      </w:tr>
      <w:tr>
        <w:trPr>
          <w:trHeight w:val="212"/>
        </w:trPr>
        <w:tc>
          <w:tcPr>
            <w:tcW w:w="79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667,854</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530,739</w:t>
            </w:r>
          </w:p>
        </w:tc>
      </w:tr>
      <w:tr>
        <w:trPr>
          <w:trHeight w:val="194"/>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8"/>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Capital expenditures, net of construction payables and retention</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(191,337)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(215,299)</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Investment in unconsolidated affiliates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(428,964)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(31,193)</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 of investments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(286,519)</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maturity of investments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 of intangible and other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(11,740)</w:t>
            </w:r>
          </w:p>
        </w:tc>
      </w:tr>
      <w:tr>
        <w:trPr>
          <w:trHeight w:val="213"/>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Proceeds from sale of assets and other</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w:t>
            </w:r>
          </w:p>
        </w:tc>
      </w:tr>
      <w:tr>
        <w:trPr>
          <w:trHeight w:val="212"/>
        </w:trPr>
        <w:tc>
          <w:tcPr>
            <w:tcW w:w="79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(271,626)</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(544,261)</w:t>
            </w:r>
          </w:p>
        </w:tc>
      </w:tr>
      <w:tr>
        <w:trPr>
          <w:trHeight w:val="194"/>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8"/>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412,000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1,200,000</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(1,129,136)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(1,112,500)</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(80,798)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(12,094)</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 to noncontrolling interest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(8,945)</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Dividends paid</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(70,126)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(28,709)</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Finance lease payments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(9,731)</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for financing costs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(41,020)</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(7,773)</w:t>
            </w:r>
          </w:p>
        </w:tc>
      </w:tr>
      <w:tr>
        <w:trPr>
          <w:trHeight w:val="208"/>
        </w:trPr>
        <w:tc>
          <w:tcPr>
            <w:tcW w:w="796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(895,791)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(18,807)</w:t>
            </w:r>
          </w:p>
        </w:tc>
      </w:tr>
      <w:tr>
        <w:trPr>
          <w:trHeight w:val="21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Effect of exchange rate on cash, cash equivalents and restricted cash</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(2,864)</w:t>
            </w:r>
          </w:p>
        </w:tc>
      </w:tr>
      <w:tr>
        <w:trPr>
          <w:trHeight w:val="214"/>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8"/>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Decrease in cash, cash equivalents and restricted cash</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(499,368)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(35,193)</w:t>
            </w:r>
          </w:p>
        </w:tc>
      </w:tr>
      <w:tr>
        <w:trPr>
          <w:trHeight w:val="214"/>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Balance, beginning of period</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2,969,412</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3,782,990</w:t>
            </w:r>
          </w:p>
        </w:tc>
      </w:tr>
      <w:tr>
        <w:trPr>
          <w:trHeight w:val="235"/>
        </w:trPr>
        <w:tc>
          <w:tcPr>
            <w:tcW w:w="7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2,470,044</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3,747,797</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Wynn Resorts, Limited, a Nevada corporation (together with its subsidiaries, "Wynn Resorts" or the "Company"), is a designer, developer, and operator of integrated resorts featuring luxury hotel rooms, high-end retail space, an array of dining and entertainment options, meeting and convention facilities, and gaming.</w:t>
      </w:r>
    </w:p>
    <w:p>
      <w:pPr>
        <w:spacing w:after="0" w:line="20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the Macau Special Administrative Region of the People's Republic of China ("Macau"), the Company owns approximately 72% of Wynn Macau, Limited ("WML"), which includes the operations of the Wynn Palace and Wynn Macau resorts. The Company refers to Wynn Palace and Wynn Macau as its Macau Operations. In Las Vegas, Nevada, the Company operates and, with the exception of certain retail space, owns 100% of Wynn Las Vegas. The Company is a 50.1% owner and managing member of a joint venture that owns and leases certain retail space at Wynn Las Vegas (the "Retail Joint Venture"). The Company refers to Wynn Las Vegas, Encore, an expansion at Wynn Las Vegas, and the Retail Joint Venture as its Las Vegas Operations. In Everett, Massachusetts, the Company operates Encore Boston Harbor, an integrated resort.</w:t>
      </w:r>
    </w:p>
    <w:p>
      <w:pPr>
        <w:spacing w:after="0" w:line="21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has a 40% equity interest in Island 3 AMI FZ-LLC ("Island 3"), an unconsolidated affiliate, which is constructing an integrated resort property ("Wynn Al Marjan Island") in Ras Al Khaimah, United Arab Emirates, currently expected to open in 2027.</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2 -</w:t>
        <w:tab/>
        <w:t>Basis of Presentation and Significant Accounting Policies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5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by the Company pursuant to the rules and regulations of the Securities and Exchange Commission.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herein are adequate to make the information presented not misleading. In the opinion of management, the accompanying condensed consolidated financial statements reflect all adjustments, which are of a normal recurring nature, necessary to a fair presentation of the results for the interim periods presented. The results for the three and six months ended June 30, 2024 are not necessarily indicative of results to be expected for any other interim period or the full fiscal year ending December 31, 2024. These condensed consolidated financial statements should be read in conjunction with the consolidated financial statements and notes thereto in the Company's Annual Report on Form 10-K for the year ended December 31, 2023.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5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its majority-owned subsidiaries, and entities the Company identifies as variable interest entities ("VIEs") of which the Company is determined to be the primary beneficiary. For information on the Company's VIEs, see Note 16, "Retail Joint Venture." If the entity does not qualify for consolidation and the Company has significant influence over the operating and financial decisions of the entity, the Company accounts for the entity under the equity method. All significant intercompany accounts and transactions have been eliminated. During the three months ended March 31, 2024, Wynn Interactive Ltd. no longer met the requirements for a reportable segment. As a result, its assets and results of operations are presented in Corporate and other and previous period amounts have been reclassified to be consistent with the current period presentation of the Company's reportable segments. These reclassifications had no effect on the previously reported net income or operating income. For information on the Company's reportable segments, see Note 17, "Segment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5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and assumptions reflected in the financial statements relate to and include, but are not limited to, inputs into the Company's estimated allowance for deferred tax assets and credit losses, estimates regarding the useful lives and recoverability of long-lived and intangible assets, valuations of derivatives, and litigation and contingency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Taxes</w:t>
      </w:r>
    </w:p>
    <w:p>
      <w:pPr>
        <w:spacing w:after="0" w:line="2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is subject to taxes based on gross gaming revenues in the jurisdictions in which it operates, subject to applicable jurisdictional adjustments. These gaming taxes are recorded as casino expenses in the accompanying Condensed Consolidated Statements of Income. These taxes totaled $436.9 million and $391.4 million for the three months ended June 30, 2024 and 2023, respectively, and $925.6 million and $701.8 million for the six months ended June 30, 2024 and 2023,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June 30, 2024, the Company held $500.0 million in fixed deposits, recorded at fair value. The Company received proceeds of $300.0 million upon the maturity of its investments in debt securities and $50.0 million upon the maturity of its investments in fixed deposits during the three months ended June 30, 2024.</w:t>
      </w:r>
    </w:p>
    <w:p>
      <w:pPr>
        <w:spacing w:after="0" w:line="189"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As of December 31, 2023, the Company held $550.0 million in fixed deposits, recorded at fair value, and $295.2 million in debt securities, recorded at amortized cost within Investments on the Condensed Consolidated Balance Sheets. The estimated fair value of the Company's debt securities as of December 31, 2023 was approximately $294.8 million and the gross unrecognized holding loss was $0.4 million. As of December 31, 2023, the Company had $8.7 million in accrued interest on its debt securities, recorded in Investments on the Condensed Consolidated Balance Sheets.</w:t>
      </w:r>
    </w:p>
    <w:p>
      <w:pPr>
        <w:spacing w:after="0" w:line="2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the balance sheet date, the Company evaluates whether the unrealized losses are attributable to credit losses or other factors. The Company considers the severity of the decline in value, creditworthiness of the issuer and other relevant factors and records an allowance for credit losses, limited to the excess of amortized cost over fair value, with a corresponding charge to earnings. The allowance may be subsequently increased or decreased based on the prevailing facts and circumstances. During the three and six months ended June 30, 2024 and 2023, no impairment was recognized.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the tangible and intangible assets acquired and the liabilities assumed. Goodwill is not amortized, but rather is subject to impairment testing annually, or more frequently if events or changes in circumstances indicate that this asset may be impaired. As of June 30, 2024 and December 31, 2023, the Company had a goodwill balance of $18.5 million, recorded in Goodwill and intangible assets, net on the Condensed Consolidated Balance Sheets. During the three and six months ended June 30, 2024, no impairment was recognized.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Unconsolidated Affiliate</w:t>
      </w:r>
    </w:p>
    <w:p>
      <w:pPr>
        <w:spacing w:after="0" w:line="2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accounts for its investment in Island 3 using the equity method. Under the equity method, the investment's carrying value is adjusted for the Company’s share of the investee's earnings and losses, capital contributions to and distributions from the investee, and capitalization of interest cost incurred by the Company during the investee's initial development period. As of June 30, 2024 and December 31, 2023, the Company had an investment in unconsolidated affiliate of $517.6 million and $90.9 million, respectively, recorded in noncurrent other assets in the accompanying Condensed Consolidated Balance Sheets.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4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Company’s management has evaluated the recently issued, but not yet effective, accounting standards that have been issued or proposed by the Financial Accounting Standards Board or other standard-setting bodies through the filing date of these financial statements and does not believe the future adoption of any such pronouncements will have a material effect on the Company’s financial position, results of operations and cash flows.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3 -</w:t>
        <w:tab/>
        <w:t>Cash, Cash Equivalents and Restricted Cash</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7960" w:type="dxa"/>
            <w:vAlign w:val="bottom"/>
          </w:tcPr>
          <w:p>
            <w:pPr>
              <w:ind w:left="160"/>
              <w:spacing w:after="0" w:line="230" w:lineRule="exact"/>
              <w:rPr>
                <w:sz w:val="20"/>
                <w:szCs w:val="20"/>
                <w:color w:val="auto"/>
              </w:rPr>
            </w:pPr>
            <w:r>
              <w:rPr>
                <w:rFonts w:ascii="Times New Roman" w:cs="Times New Roman" w:eastAsia="Times New Roman" w:hAnsi="Times New Roman"/>
                <w:sz w:val="18"/>
                <w:szCs w:val="18"/>
                <w:color w:val="auto"/>
              </w:rPr>
              <w:t xml:space="preserve">Cash </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1,137,449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1,076,474</w:t>
            </w:r>
          </w:p>
        </w:tc>
      </w:tr>
      <w:tr>
        <w:trPr>
          <w:trHeight w:val="229"/>
        </w:trPr>
        <w:tc>
          <w:tcPr>
            <w:tcW w:w="7960" w:type="dxa"/>
            <w:vAlign w:val="bottom"/>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1,241,966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1,802,712</w:t>
            </w:r>
          </w:p>
        </w:tc>
      </w:tr>
      <w:tr>
        <w:trPr>
          <w:trHeight w:val="223"/>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2,379,415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2,879,186</w:t>
            </w:r>
          </w:p>
        </w:tc>
      </w:tr>
      <w:tr>
        <w:trPr>
          <w:trHeight w:val="229"/>
        </w:trPr>
        <w:tc>
          <w:tcPr>
            <w:tcW w:w="7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Restricted cash </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90,629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90,226</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2,470,044</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2,969,412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-5080</wp:posOffset>
            </wp:positionV>
            <wp:extent cx="20828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ind w:left="220" w:hanging="194"/>
        <w:spacing w:after="0"/>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consists of cash on hand and bank deposits.</w:t>
      </w:r>
    </w:p>
    <w:p>
      <w:pPr>
        <w:spacing w:after="0" w:line="3" w:lineRule="exact"/>
        <w:rPr>
          <w:rFonts w:ascii="Times New Roman" w:cs="Times New Roman" w:eastAsia="Times New Roman" w:hAnsi="Times New Roman"/>
          <w:sz w:val="14"/>
          <w:szCs w:val="14"/>
          <w:color w:val="auto"/>
        </w:rPr>
      </w:pPr>
    </w:p>
    <w:p>
      <w:pPr>
        <w:ind w:left="220" w:hanging="194"/>
        <w:spacing w:after="0" w:line="201" w:lineRule="auto"/>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equivalents consist of bank time deposits and money market funds.</w:t>
      </w:r>
    </w:p>
    <w:p>
      <w:pPr>
        <w:ind w:left="240" w:hanging="214"/>
        <w:spacing w:after="0" w:line="221" w:lineRule="auto"/>
        <w:tabs>
          <w:tab w:leader="none" w:pos="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cash consists of cash subject to certain contractual restrictions, cash collateral associated with obligations, cash held in trusts in accordance with WML's share award plans, and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-269240</wp:posOffset>
            </wp:positionV>
            <wp:extent cx="20828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ind w:left="180" w:right="20"/>
        <w:spacing w:after="0" w:line="239" w:lineRule="auto"/>
        <w:rPr>
          <w:sz w:val="20"/>
          <w:szCs w:val="20"/>
          <w:color w:val="auto"/>
        </w:rPr>
      </w:pPr>
      <w:r>
        <w:rPr>
          <w:rFonts w:ascii="Times New Roman" w:cs="Times New Roman" w:eastAsia="Times New Roman" w:hAnsi="Times New Roman"/>
          <w:sz w:val="14"/>
          <w:szCs w:val="14"/>
          <w:color w:val="auto"/>
        </w:rPr>
        <w:t>of June 30, 2024 and December 31, 2023 included $87.0 million in the form of a first demand bank guarantee in favor of the Macau government to support the legal and contractual obligations of Wynn Resorts (Macau) S.A. ("Wynn Macau SA") through the term of Wynn Macau SA's gaming concession contract.</w:t>
      </w: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supplemental cash flow disclosures of the Company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3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346,055</w:t>
            </w: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settled with shares of common stock</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w:t>
            </w: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and construction payables related to property and equipment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49,014</w:t>
            </w:r>
          </w:p>
        </w:tc>
      </w:tr>
      <w:tr>
        <w:trPr>
          <w:trHeight w:val="230"/>
        </w:trPr>
        <w:tc>
          <w:tcPr>
            <w:tcW w:w="8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liabilities related to intangible assets </w:t>
            </w:r>
            <w:r>
              <w:rPr>
                <w:rFonts w:ascii="Times New Roman" w:cs="Times New Roman" w:eastAsia="Times New Roman" w:hAnsi="Times New Roman"/>
                <w:sz w:val="23"/>
                <w:szCs w:val="23"/>
                <w:color w:val="auto"/>
                <w:vertAlign w:val="superscript"/>
              </w:rPr>
              <w:t>(1)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200,251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205,875</w:t>
            </w: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settlement of liabilities in connection with an asset sale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 arising from obtaining finance lease 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r>
    </w:tbl>
    <w:p>
      <w:pPr>
        <w:spacing w:after="0" w:line="53" w:lineRule="exact"/>
        <w:rPr>
          <w:sz w:val="20"/>
          <w:szCs w:val="20"/>
          <w:color w:val="auto"/>
        </w:rPr>
      </w:pPr>
    </w:p>
    <w:p>
      <w:pPr>
        <w:ind w:left="180" w:hanging="172"/>
        <w:spacing w:after="0" w:line="302" w:lineRule="auto"/>
        <w:tabs>
          <w:tab w:leader="none" w:pos="233"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six months ended June 30, 2024 and 2023, included $198.8 million and $201.5 million, respectively, related to the Macau gaming premium in connection with Wynn Macau SA's gaming concession contract.</w:t>
      </w:r>
    </w:p>
    <w:p>
      <w:pPr>
        <w:spacing w:after="0" w:line="18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4 -</w:t>
        <w:tab/>
        <w:t>Receivables,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Credit Risk</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Receivables, net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Casino</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218,694</w:t>
            </w: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Hotel</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54,596</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127,909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108,497</w:t>
            </w:r>
          </w:p>
        </w:tc>
      </w:tr>
      <w:tr>
        <w:trPr>
          <w:trHeight w:val="223"/>
        </w:trPr>
        <w:tc>
          <w:tcPr>
            <w:tcW w:w="7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357,134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381,787</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(40,075)</w:t>
            </w:r>
          </w:p>
        </w:tc>
      </w:tr>
      <w:tr>
        <w:trPr>
          <w:trHeight w:val="223"/>
        </w:trPr>
        <w:tc>
          <w:tcPr>
            <w:tcW w:w="79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317,643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341,712</w:t>
            </w:r>
          </w:p>
        </w:tc>
      </w:tr>
      <w:tr>
        <w:trPr>
          <w:trHeight w:val="20"/>
        </w:trPr>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approximately 75.4% and 68.2%, respectively, of the Company's markers were due from customers residing outside the United States, primarily in Asia. Business or economic conditions or other significant events in the countries in which the Company's customers reside could affect the collectability of such receivables.</w:t>
      </w:r>
    </w:p>
    <w:p>
      <w:pPr>
        <w:spacing w:after="0" w:line="203"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The Company’s allowance for casino credit losses was 18.0% and 15.9% of gross casino receivables as of June 30, 2024 and December 31, 2023, respectively. Although the Company believes that its allowance is adequate, it is possible the estimated amounts of cash collections with respect to receivables could change. The Company’s allowance for credit losses from its hotel and other receivables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7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shows the movement in the Company's allowance for credit losses recognized for receivables that occurred during the periods presented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78,842</w:t>
            </w:r>
          </w:p>
        </w:tc>
        <w:tc>
          <w:tcPr>
            <w:tcW w:w="0" w:type="dxa"/>
            <w:vAlign w:val="bottom"/>
          </w:tcPr>
          <w:p>
            <w:pPr>
              <w:spacing w:after="0"/>
              <w:rPr>
                <w:sz w:val="1"/>
                <w:szCs w:val="1"/>
                <w:color w:val="auto"/>
              </w:rPr>
            </w:pPr>
          </w:p>
        </w:tc>
      </w:tr>
      <w:tr>
        <w:trPr>
          <w:trHeight w:val="230"/>
        </w:trPr>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(7,184)</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Write-offs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(22,862)</w:t>
            </w:r>
          </w:p>
        </w:tc>
        <w:tc>
          <w:tcPr>
            <w:tcW w:w="0" w:type="dxa"/>
            <w:vAlign w:val="bottom"/>
          </w:tcPr>
          <w:p>
            <w:pPr>
              <w:spacing w:after="0"/>
              <w:rPr>
                <w:sz w:val="1"/>
                <w:szCs w:val="1"/>
                <w:color w:val="auto"/>
              </w:rPr>
            </w:pPr>
          </w:p>
        </w:tc>
      </w:tr>
      <w:tr>
        <w:trPr>
          <w:trHeight w:val="229"/>
        </w:trPr>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Recoveries of receivables previously written off</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 of exchange rate</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39,491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57,261</w:t>
            </w:r>
          </w:p>
        </w:tc>
        <w:tc>
          <w:tcPr>
            <w:tcW w:w="0" w:type="dxa"/>
            <w:vAlign w:val="bottom"/>
          </w:tcPr>
          <w:p>
            <w:pPr>
              <w:spacing w:after="0"/>
              <w:rPr>
                <w:sz w:val="1"/>
                <w:szCs w:val="1"/>
                <w:color w:val="auto"/>
              </w:rPr>
            </w:pPr>
          </w:p>
        </w:tc>
      </w:tr>
      <w:tr>
        <w:trPr>
          <w:trHeight w:val="21"/>
        </w:trPr>
        <w:tc>
          <w:tcPr>
            <w:tcW w:w="7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 net</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7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8,490,529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8,459,085</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1,234,583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1,228,652</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3,366,334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3,311,478</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Airplanes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110,623</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169,259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162,592</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13,371,328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13,272,430</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(6,878,749)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(6,583,951)</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6,492,579</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6,688,479</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June 30, 2024 and December 31, 2023, construction in progress consisted primarily of costs capitalized for various capital enhancements at the Company's properties. During the three months ended June 30, 2024, the Company expensed $61.5 million of project costs related to a discontinued development project, inclusive of $4.7 million of internally allocated overhead, that had been previously capitalized. The expense was recorded in Property charges and other in the accompanying Condensed Consolidated Statements of Income.</w:t>
      </w:r>
    </w:p>
    <w:p>
      <w:pPr>
        <w:spacing w:after="0" w:line="20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June 30, 2024 and 2023 was $162.2 million and $154.8 million, respectively, and depreciation expense for the six months ended June 30, 2024 and 2023 was $320.3 million and $308.9 million,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6 -</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Macau Related:</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7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WM Cayman II Revolver, due 2025 </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1,186,448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1,497,610</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4 7/8% Senior Notes, due 2024</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WML 5 1/2% Senior Notes, due 2026</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5 1/2% Senior Notes, due 2027</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WML 5 5/8% Senior Notes, due 2028</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5 1/8% Senior Notes, due 2029</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9"/>
        </w:trPr>
        <w:tc>
          <w:tcPr>
            <w:tcW w:w="7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WML 4 1/2% Convertible Bonds, due 2029 </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57"/>
        </w:trPr>
        <w:tc>
          <w:tcPr>
            <w:tcW w:w="78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U.S. and Corporate Related:</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WRF Credit Facilities </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WRF Term Loan, due 2024</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73,683</w:t>
            </w:r>
          </w:p>
        </w:tc>
      </w:tr>
      <w:tr>
        <w:trPr>
          <w:trHeight w:val="23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WRF Term Loan, due 2027</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730,692</w:t>
            </w: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WLV 5 1/2% Senior Notes, due 2025</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1,380,001</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WLV 5 1/4% Senior Notes, due 2027</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880,000</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WRF 5 1/8% Senior Notes, due 2029</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WRF 7 1/8% Senior Notes, due 2031</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43"/>
        </w:trPr>
        <w:tc>
          <w:tcPr>
            <w:tcW w:w="782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Retail Term Loan, due 2025 </w:t>
            </w:r>
            <w:r>
              <w:rPr>
                <w:rFonts w:ascii="Times New Roman" w:cs="Times New Roman" w:eastAsia="Times New Roman" w:hAnsi="Times New Roman"/>
                <w:sz w:val="23"/>
                <w:szCs w:val="23"/>
                <w:color w:val="auto"/>
                <w:vertAlign w:val="superscript"/>
              </w:rPr>
              <w:t>(4)</w:t>
            </w: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615,000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615,000</w:t>
            </w:r>
          </w:p>
        </w:tc>
      </w:tr>
      <w:tr>
        <w:trPr>
          <w:trHeight w:val="223"/>
        </w:trPr>
        <w:tc>
          <w:tcPr>
            <w:tcW w:w="7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11,098,508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11,826,986</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WML Convertible Bond Conversion Option Derivative</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73,744</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 and original issue discounts and premium, net</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(162,393)</w:t>
            </w:r>
          </w:p>
        </w:tc>
      </w:tr>
      <w:tr>
        <w:trPr>
          <w:trHeight w:val="223"/>
        </w:trPr>
        <w:tc>
          <w:tcPr>
            <w:tcW w:w="7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11,030,712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11,738,337</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(1,291,295)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(709,593)</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 net of current portion</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9,739,417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11,028,744</w:t>
            </w: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left="180" w:hanging="172"/>
        <w:spacing w:after="0" w:line="261" w:lineRule="auto"/>
        <w:tabs>
          <w:tab w:leader="none" w:pos="22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2024, the borrowings under the WM Cayman II Revolver bear interest at the term secured overnight financing rate ("Term SOFR") plus a credit adjustment spread of 0.10% or HIBOR, in each case plus a margin of 1.875% to 2.875% per annum based on WM Cayman II’s leverage ratio on a consolidated basis. Approximately $247.4 million and $939.1 million of the WM Cayman II Revolver bears interest at a rate of Term SOFR plus 1.975% per year and HIBOR plus 1.875% per year, respectively. As of June 30, 2024, the weighted average interest rate was approximately 6.66%. As of June 30, 2024, the available borrowing capacity under the WM Cayman II Revolver was $312.2 million. In July 2024, the Company repaid approximately $40.0 million of outstanding WM Cayman II Revolver borrowings.</w:t>
      </w:r>
    </w:p>
    <w:p>
      <w:pPr>
        <w:spacing w:after="0" w:line="1" w:lineRule="exact"/>
        <w:rPr>
          <w:rFonts w:ascii="Times New Roman" w:cs="Times New Roman" w:eastAsia="Times New Roman" w:hAnsi="Times New Roman"/>
          <w:sz w:val="14"/>
          <w:szCs w:val="14"/>
          <w:color w:val="auto"/>
        </w:rPr>
      </w:pPr>
    </w:p>
    <w:p>
      <w:pPr>
        <w:jc w:val="both"/>
        <w:ind w:left="180" w:hanging="172"/>
        <w:spacing w:after="0" w:line="256" w:lineRule="auto"/>
        <w:tabs>
          <w:tab w:leader="none" w:pos="229"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2024, the net carrying amount of the WML Convertible Bonds was $488.8 million, with unamortized debt discount and debt issuance costs of $111.2 million. The Company recorded contractual interest expense of $6.8 million and $6.8 million and amortization of discounts and issuance costs of $4.7 million and $4.3 million during the three months ended June 30, 2024 and 2023, respectively, and contractual interest expense of $13.5 million and $8.6 million and amortization of discounts and issuance costs of $9.2 million and $5.4 million during the six months ended June 30, 2024 and 2023, respectively.</w:t>
      </w:r>
    </w:p>
    <w:p>
      <w:pPr>
        <w:spacing w:after="0" w:line="1" w:lineRule="exact"/>
        <w:rPr>
          <w:rFonts w:ascii="Times New Roman" w:cs="Times New Roman" w:eastAsia="Times New Roman" w:hAnsi="Times New Roman"/>
          <w:sz w:val="14"/>
          <w:szCs w:val="14"/>
          <w:color w:val="auto"/>
        </w:rPr>
      </w:pPr>
    </w:p>
    <w:p>
      <w:pPr>
        <w:ind w:left="180" w:hanging="172"/>
        <w:spacing w:after="0" w:line="261" w:lineRule="auto"/>
        <w:tabs>
          <w:tab w:leader="none" w:pos="231"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WRF Credit Facilities bear interest at a rate of Term SOFR plus 1.85% per year. As of June 30, 2024, the weighted average interest rate was approximately 7.19%. Additionally, as of June 30, 2024, the available borrowing capacity under the WRF Revolver was $735.3 million, net of $14.7 million in outstanding letters of credit.</w:t>
      </w:r>
    </w:p>
    <w:p>
      <w:pPr>
        <w:ind w:left="220" w:hanging="212"/>
        <w:spacing w:after="0"/>
        <w:tabs>
          <w:tab w:leader="none" w:pos="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Retail Term Loan bears interest at a rate of adjusted daily simple secured overnight financing rate ("SOFR") plus 1.80% per year. As of June 30, 2024, the interest rate was 5.47%.</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WRF Senior Notes</w:t>
      </w:r>
    </w:p>
    <w:p>
      <w:pPr>
        <w:spacing w:after="0" w:line="2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February 2024, Wynn Resorts Finance, LLC ("WRF") and its subsidiary, Wynn Resorts Capital Corp., issued an additional $400.0 million aggregate principal amount of 7 1/8% Senior Notes due 2031 (the "2031 WRF Add-On Senior Notes," and collectively with the 7 1/8% Senior Notes due 2031 (the "2031 WRF Senior Notes") and 5 1/8% Senior Notes due 2029 (the "2029 WRF Senior Notes"), the "WRF Senior Notes") pursuant to a supplemental indenture to the 2031 Senior Notes indenture dated as of February 16, 2023. The 2031 WRF Add-On Senior Notes were issued at a price equal to 103.00% of the principal amount plus accrued interest, resulting in net proceeds of $409.5 million. The net proceeds from the 2031 WRF Add-On Senior Notes, together with cash held by Wynn Resorts, were used to repurchase an aggregate $796.7 million of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principal amount of the 2025 WLV Senior Notes (as defined below) and to pay the applicable tender premium and related fees and expenses.</w:t>
      </w:r>
    </w:p>
    <w:p>
      <w:pPr>
        <w:spacing w:after="0" w:line="25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2031 WRF Add-On Senior Notes and the repurchase of the 2025 WLV Senior Notes (as further discussed below), the Company recognized a loss on debt financing transactions of $1.6 million within the accompanying Condensed Consolidated Statements of Income, and the Company recorded debt issuance costs of $5.6 million within the accompanying Condensed Consolidated Balance Sheet.</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WLV Senior Notes</w:t>
      </w:r>
    </w:p>
    <w:p>
      <w:pPr>
        <w:spacing w:after="0" w:line="25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February and March 2024, Wynn Las Vegas repurchased $800.0 million aggregate principal amount of its 5 1/2% Senior Notes due 2025 (the "2025 WLV Senior Notes"), which consisted of i) $681.0 million aggregate principal amount of validly tendered notes repurchased at a price equal to 97.2% of the principal amount, plus accrued interest and an early tender premium of $20.3 million, and ii) $119.0 million aggregate principal amount of notes repurchased on a pro-rata basis at a price equal of 100% of the principal amount, plus accrued interest, under the terms of its indenture. Included in the $119.0 million repurchase was $3.3 million aggregate principal amount of 2025 WLV Senior Notes held by Wynn Resorts. The Company used the net proceeds from the 2031 WRF Add-On Senior Notes and cash held by WRF to purchase such validly tendered 2025 WLV Senior Notes and to pay the early tender premium and related fees and expenses.</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Debt Covenant Compliance</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2024, management believes the Company was in compliance with all debt covenants.</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Fair Value of Long-Term Debt</w:t>
      </w:r>
    </w:p>
    <w:p>
      <w:pPr>
        <w:spacing w:after="0" w:line="2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estimated fair value of the Company's long-term debt as of June 30, 2024 and December 31, 2023 was approximately $10.85 billion and $11.49 billion, respectively, compared to its carrying value, excluding debt issuance costs and original issue discount and premium, of $11.10 billion and $11.83 billion, respectively. The estimated fair value of the Company's long-term debt is based on recent trades, if available, and indicative pricing from market information (Level 2 inputs).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WML Convertible Bond Conversion Option Derivative</w:t>
      </w:r>
    </w:p>
    <w:p>
      <w:pPr>
        <w:spacing w:after="0" w:line="256"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8"/>
          <w:szCs w:val="18"/>
          <w:color w:val="auto"/>
        </w:rPr>
        <w:t>The conversion feature contained within the WML Convertible Bonds (the "WML Convertible Bond Conversion Option Derivative") is not indexed to WML's equity and, as such, is required to be bifurcated from the debt host contract and accounted for as a free-standing derivative, reported at fair value as of the end of each reporting period, with changes recognized in the Condensed Consolidated Statements of Income. The following table sets forth the inputs to the lattice models that were used to value the WML Convertible Bond Conversion Option Derivative: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2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stock price</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HK$</w:t>
            </w: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HK$</w:t>
            </w:r>
          </w:p>
        </w:tc>
        <w:tc>
          <w:tcPr>
            <w:tcW w:w="15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6.43</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volatility</w:t>
            </w:r>
          </w:p>
        </w:tc>
        <w:tc>
          <w:tcPr>
            <w:tcW w:w="1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34.0 %</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400" w:type="dxa"/>
            <w:vAlign w:val="bottom"/>
          </w:tcPr>
          <w:p>
            <w:pPr>
              <w:spacing w:after="0"/>
              <w:rPr>
                <w:sz w:val="19"/>
                <w:szCs w:val="19"/>
                <w:color w:val="auto"/>
              </w:rPr>
            </w:pP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7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3"/>
                <w:szCs w:val="23"/>
                <w:color w:val="auto"/>
                <w:vertAlign w:val="superscript"/>
              </w:rPr>
              <w:t>(1)</w:t>
            </w:r>
          </w:p>
        </w:tc>
        <w:tc>
          <w:tcPr>
            <w:tcW w:w="14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bl>
    <w:p>
      <w:pPr>
        <w:spacing w:after="0" w:line="72" w:lineRule="exact"/>
        <w:rPr>
          <w:sz w:val="20"/>
          <w:szCs w:val="20"/>
          <w:color w:val="auto"/>
        </w:rPr>
      </w:pPr>
    </w:p>
    <w:p>
      <w:pPr>
        <w:ind w:left="180" w:hanging="172"/>
        <w:spacing w:after="0" w:line="282" w:lineRule="auto"/>
        <w:tabs>
          <w:tab w:leader="none" w:pos="243"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 yield is assumed to be zero in the lattice model used to value the WML Convertible Bond Conversion Option Derivative, due to a dividend protection feature in the WML Convertible Bond Agreement.</w:t>
      </w:r>
    </w:p>
    <w:p>
      <w:pPr>
        <w:spacing w:after="0" w:line="20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June 30, 2024 and December 31, 2023, the estimated fair value of the embedded derivative was a liability of $72.0 million and $73.7 million, respectively, recorded in Long-term debt in the accompanying Condensed Consolidated Balance Sheets. In connection with the change in fair value, the Company recorded a gain of $18.0 million and $21.6 million for the three months ended June 30, 2024 and 2023, respectively, and a gain of $1.7 million and $46.5 million for the six months ended June 30, 2024 and 2023, respectively, within Change in derivative fair value in the accompanying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Deficit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Repurchase Program</w:t>
      </w:r>
    </w:p>
    <w:p>
      <w:pPr>
        <w:spacing w:after="0" w:line="24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April 2016, the Company's Board of Directors authorized an equity repurchase program of up to $1.00 billion, which may include repurchases by the Company of its common stock from time to time through open market purchases, privately negotiated transactions, and under plans complying with Rules 10b5-1 and 10b-18 under the Securities Exchange Act of 1934, as amended. Any shares repurchased pursuant to the equity repurchase program are held as treasury shares. During the three and six months ended June 30, 2024, the Company repurchased 741,340 shares of its common stock at an average price of $91.72 per share, for an aggregate cost of $68.0 million under the equity repurchase program. No shares were repurchased during the three and six months ended June 30, 2023. As of June 30, 2024, the Company had $365.4 million in repurchase authority remaining under the program.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paid a cash dividend of $0.25 per share in each of the quarters ended March 31, 2024 and June 30, 2024 and recorded $28.0 million in each period against accumulated deficit.</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August 6, 2024, the Company's Board of Directors declared a cash dividend of $0.25 per share on its common stock, payable on August 30, 2024 to stockholders of record as of August 19,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Wynn Macau, Limited</w:t>
      </w:r>
    </w:p>
    <w:p>
      <w:pPr>
        <w:spacing w:after="0" w:line="2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June 19, 2024, WML paid a cash dividend of HK$0.075 per share for a total U.S. dollar equivalent of approximately $50.4 million. The Company's share of this dividend was $36.0 million, and the noncontrolling interest holders' share of this dividend was $14.4 million.</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WML Securities Lending Agreement</w:t>
      </w:r>
    </w:p>
    <w:p>
      <w:pPr>
        <w:spacing w:after="0" w:line="25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connection with the offering of the WML Convertible Bonds, WM Cayman Holdings I Limited ("WM Cayman I"), a wholly owned subsidiary of the Company and holder of our approximate 72% ownership interest in WML, entered into a stock borrowing and lending agreement with Goldman Sachs International (the "WML Stock Borrower") on March 2, 2023 (as amended on March 30, 2023, the "Securities Lending Agreement"), pursuant to which WM Cayman I has agreed to lend to the WML Stock Borrower up to 459,774,985 of its ordinary share holdings in WML, upon and subject to the terms and conditions in the Securities Lending Agreement. WM Cayman I may, at its sole discretion, terminate any stock loan by giving the WML Stock Borrower no less than five business days' notice. The Securities Lending Agreement terminates on the date on which the WML Convertible Bonds have been redeemed, or converted in full, whichever is the earlier. As of the date of this report, the WML Stock Borrower held 179,774,985 WML shares under the Securities Lending Agreement.</w:t>
      </w: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Retail Joint Venture</w:t>
      </w:r>
    </w:p>
    <w:p>
      <w:pPr>
        <w:spacing w:after="0" w:line="2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and 2023, the Retail Joint Venture made aggregate distributions of approximately $8.6 million and $8.9 million, respectively, to its non-controlling interest holder. For more information on the Retail Joint Venture, see Note 16, "Retail Joint Venture."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 Measurements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assets and liabilities carried at fair value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gridSpan w:val="6"/>
          </w:tcPr>
          <w:p>
            <w:pPr>
              <w:jc w:val="center"/>
              <w:ind w:left="94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240" w:type="dxa"/>
            <w:vAlign w:val="bottom"/>
          </w:tcPr>
          <w:p>
            <w:pPr>
              <w:spacing w:after="0"/>
              <w:rPr>
                <w:sz w:val="11"/>
                <w:szCs w:val="11"/>
                <w:color w:val="auto"/>
              </w:rPr>
            </w:pPr>
          </w:p>
        </w:tc>
        <w:tc>
          <w:tcPr>
            <w:tcW w:w="1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Market</w:t>
            </w: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40" w:type="dxa"/>
            <w:vAlign w:val="bottom"/>
          </w:tcPr>
          <w:p>
            <w:pPr>
              <w:spacing w:after="0"/>
              <w:rPr>
                <w:sz w:val="11"/>
                <w:szCs w:val="11"/>
                <w:color w:val="auto"/>
              </w:rPr>
            </w:pPr>
          </w:p>
        </w:tc>
        <w:tc>
          <w:tcPr>
            <w:tcW w:w="12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4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2"/>
                <w:szCs w:val="12"/>
                <w:color w:val="auto"/>
              </w:rPr>
            </w:pPr>
          </w:p>
        </w:tc>
        <w:tc>
          <w:tcPr>
            <w:tcW w:w="118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8"/>
        </w:trPr>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7"/>
                <w:szCs w:val="17"/>
                <w:color w:val="auto"/>
              </w:rPr>
            </w:pPr>
          </w:p>
        </w:tc>
        <w:tc>
          <w:tcPr>
            <w:tcW w:w="11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4"/>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1,241,966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1,241,966</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90,629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collar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WML Convertible Bond Conversion Option Derivative</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72,039</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72,039</w:t>
            </w:r>
          </w:p>
        </w:tc>
        <w:tc>
          <w:tcPr>
            <w:tcW w:w="0" w:type="dxa"/>
            <w:vAlign w:val="bottom"/>
          </w:tcPr>
          <w:p>
            <w:pPr>
              <w:spacing w:after="0"/>
              <w:rPr>
                <w:sz w:val="1"/>
                <w:szCs w:val="1"/>
                <w:color w:val="auto"/>
              </w:rPr>
            </w:pPr>
          </w:p>
        </w:tc>
      </w:tr>
      <w:tr>
        <w:trPr>
          <w:trHeight w:val="149"/>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(see Note 7)</w:t>
            </w:r>
          </w:p>
        </w:tc>
        <w:tc>
          <w:tcPr>
            <w:tcW w:w="12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5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5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540" w:type="dxa"/>
            <w:vAlign w:val="bottom"/>
            <w:gridSpan w:val="3"/>
            <w:shd w:val="clear" w:color="auto" w:fill="CCEEFF"/>
          </w:tcPr>
          <w:p>
            <w:pPr>
              <w:spacing w:after="0"/>
              <w:rPr>
                <w:sz w:val="22"/>
                <w:szCs w:val="22"/>
                <w:color w:val="auto"/>
              </w:rPr>
            </w:pPr>
          </w:p>
        </w:tc>
        <w:tc>
          <w:tcPr>
            <w:tcW w:w="340" w:type="dxa"/>
            <w:vAlign w:val="bottom"/>
            <w:gridSpan w:val="2"/>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6"/>
          </w:tcPr>
          <w:p>
            <w:pPr>
              <w:jc w:val="center"/>
              <w:ind w:left="94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240" w:type="dxa"/>
            <w:vAlign w:val="bottom"/>
          </w:tcPr>
          <w:p>
            <w:pPr>
              <w:spacing w:after="0"/>
              <w:rPr>
                <w:sz w:val="11"/>
                <w:szCs w:val="11"/>
                <w:color w:val="auto"/>
              </w:rPr>
            </w:pPr>
          </w:p>
        </w:tc>
        <w:tc>
          <w:tcPr>
            <w:tcW w:w="1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Market</w:t>
            </w: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40" w:type="dxa"/>
            <w:vAlign w:val="bottom"/>
          </w:tcPr>
          <w:p>
            <w:pPr>
              <w:spacing w:after="0"/>
              <w:rPr>
                <w:sz w:val="11"/>
                <w:szCs w:val="11"/>
                <w:color w:val="auto"/>
              </w:rPr>
            </w:pPr>
          </w:p>
        </w:tc>
        <w:tc>
          <w:tcPr>
            <w:tcW w:w="12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4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2"/>
                <w:szCs w:val="12"/>
                <w:color w:val="auto"/>
              </w:rPr>
            </w:pPr>
          </w:p>
        </w:tc>
        <w:tc>
          <w:tcPr>
            <w:tcW w:w="118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8"/>
        </w:trPr>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7"/>
                <w:szCs w:val="17"/>
                <w:color w:val="auto"/>
              </w:rPr>
            </w:pPr>
          </w:p>
        </w:tc>
        <w:tc>
          <w:tcPr>
            <w:tcW w:w="11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5"/>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1,802,712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1,802,712</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90,226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550,000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collar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WML Convertible Bond Conversion Option Derivative</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73,744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(see Note 7)</w:t>
            </w:r>
          </w:p>
        </w:tc>
        <w:tc>
          <w:tcPr>
            <w:tcW w:w="12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Customer Contract Liabilities</w:t>
      </w:r>
    </w:p>
    <w:p>
      <w:pPr>
        <w:spacing w:after="0" w:line="256"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In providing goods and services to its customers, there is often a timing difference between the Company receiving cash and the Company recording revenue for providing services or holding events.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primary liabilities associated with customer contracts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Increase /</w:t>
            </w:r>
          </w:p>
        </w:tc>
        <w:tc>
          <w:tcPr>
            <w:tcW w:w="14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2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9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Increase /</w:t>
            </w:r>
          </w:p>
        </w:tc>
        <w:tc>
          <w:tcPr>
            <w:tcW w:w="0" w:type="dxa"/>
            <w:vAlign w:val="bottom"/>
          </w:tcPr>
          <w:p>
            <w:pPr>
              <w:spacing w:after="0"/>
              <w:rPr>
                <w:sz w:val="1"/>
                <w:szCs w:val="1"/>
                <w:color w:val="auto"/>
              </w:rPr>
            </w:pPr>
          </w:p>
        </w:tc>
      </w:tr>
      <w:tr>
        <w:trPr>
          <w:trHeight w:val="195"/>
        </w:trPr>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66"/>
        </w:trPr>
        <w:tc>
          <w:tcPr>
            <w:tcW w:w="3720" w:type="dxa"/>
            <w:vAlign w:val="bottom"/>
            <w:tcBorders>
              <w:top w:val="single" w:sz="8" w:color="CCEEFF"/>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Casino outstanding chips and front money</w:t>
            </w:r>
          </w:p>
        </w:tc>
        <w:tc>
          <w:tcPr>
            <w:tcW w:w="1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72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deposits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405,153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433,269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390,531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Advance room deposits and ticket sales </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(11,502)</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gaming-related liabilities </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Loyalty program and related liabilities </w:t>
            </w:r>
            <w:r>
              <w:rPr>
                <w:rFonts w:ascii="Times New Roman" w:cs="Times New Roman" w:eastAsia="Times New Roman" w:hAnsi="Times New Roman"/>
                <w:sz w:val="23"/>
                <w:szCs w:val="23"/>
                <w:color w:val="auto"/>
                <w:vertAlign w:val="superscript"/>
              </w:rPr>
              <w:t>(4)</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37,799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519,693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578,979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(59,286)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538,463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541,898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(3,435)</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jc w:val="both"/>
        <w:ind w:left="260" w:hanging="252"/>
        <w:spacing w:after="0" w:line="262" w:lineRule="auto"/>
        <w:tabs>
          <w:tab w:leader="none" w:pos="229"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Casino outstanding chips generally represent amounts owed to gaming promoters and customers for chips in their possession, and casino front money deposits represent funds deposited by customers before gaming play occurs. These amounts are included in customer deposits on the Condensed Consolidated Balance Sheets and may be recognized as revenue or redeemed for cash in the future.</w:t>
      </w:r>
    </w:p>
    <w:p>
      <w:pPr>
        <w:spacing w:after="0" w:line="1" w:lineRule="exact"/>
        <w:rPr>
          <w:rFonts w:ascii="Times New Roman" w:cs="Times New Roman" w:eastAsia="Times New Roman" w:hAnsi="Times New Roman"/>
          <w:sz w:val="14"/>
          <w:szCs w:val="14"/>
          <w:color w:val="auto"/>
        </w:rPr>
      </w:pPr>
    </w:p>
    <w:p>
      <w:pPr>
        <w:jc w:val="both"/>
        <w:ind w:left="260" w:hanging="252"/>
        <w:spacing w:after="0" w:line="260" w:lineRule="auto"/>
        <w:tabs>
          <w:tab w:leader="none" w:pos="23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room deposits and ticket sales represent cash received in advance for goods or services to be provided in the future. These amounts are included in customer deposits on the Condensed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ind w:left="260" w:hanging="252"/>
        <w:spacing w:after="0" w:line="254" w:lineRule="auto"/>
        <w:tabs>
          <w:tab w:leader="none" w:pos="221"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gaming-related liabilities generally represent unpaid wagers primarily in the form of unredeemed slot, race and sportsbook tickets or wagers for future sporting events. The amounts are included in other accrued liabilities on the Condensed Consolidated Balance Sheets.</w:t>
      </w:r>
    </w:p>
    <w:p>
      <w:pPr>
        <w:ind w:left="260" w:right="20" w:hanging="252"/>
        <w:spacing w:after="0" w:line="278" w:lineRule="auto"/>
        <w:tabs>
          <w:tab w:leader="none" w:pos="221"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Loyalty program and related liabilities represent the deferral of revenue until the loyalty points or other complimentaries are redeemed. The amounts are included in other accrued liabilities on the Condensed Consolidated Balance Sheets and are expected to be recognized as revenue within one year of being earned by customers.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Stock-Based Compensation</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total compensation cost for stock-based compensation plans was recorded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4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Casino</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Rooms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beverage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24,918</w:t>
            </w:r>
          </w:p>
        </w:tc>
      </w:tr>
      <w:tr>
        <w:trPr>
          <w:trHeight w:val="223"/>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stock-based compensation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30,536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32,995</w:t>
            </w:r>
          </w:p>
        </w:tc>
      </w:tr>
      <w:tr>
        <w:trPr>
          <w:trHeight w:val="230"/>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capitalized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stock-based compensation costs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17,486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19,653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33,157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35,129</w:t>
            </w:r>
          </w:p>
        </w:tc>
      </w:tr>
      <w:tr>
        <w:trPr>
          <w:trHeight w:val="20"/>
        </w:trPr>
        <w:tc>
          <w:tcPr>
            <w:tcW w:w="5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recorded an income tax expense of $7.9 million and $4.3 million for the three months ended June 30, 2024 and 2023, respectively, and an income tax expense of $27.9 million and $5.3 million for the six months ended June 30, 2024 and 2023, respectively, primarily related to its U.S.-based operating profits.</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difference between the statutory tax rate of 21% and the effective tax rate of 8.0% is due to the exemption from Macau’s 12% Complementary Tax on casino gaming profits that Wynn Macau SA received.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w:t>
      </w:r>
    </w:p>
    <w:p>
      <w:pPr>
        <w:spacing w:after="0" w:line="25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attributable to Wynn Resorts by the weighted average number of common shares outstanding during the period. Diluted EPS is computed by dividing net income attributable to Wynn Resorts, adjusted for the potential dilutive impact assuming that the conversion of the WML Convertible Bonds occurred at the later of the date of issuance or beginning of the period presented under the if-converted method, by the weighted average number of common shares outstanding during the period increased to include the number of additional shares of common stock that would have been outstanding if the potential dilutive securities had been issued, to the extent such impact is not anti-dilutive. Other potentially dilutive securities include outstanding stock options and unvested restricted stock.</w:t>
      </w:r>
    </w:p>
    <w:p>
      <w:pPr>
        <w:spacing w:after="0" w:line="21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weighted average number of common and common equivalent shares used in the calculation of basic and diluted EPS consisted of the following (in thousands, except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attributable to Wynn Resorts, Limited - basic</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111,943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105,184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256,159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117,516</w:t>
            </w: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 of Wynn Resorts, Limited subsidiaries: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Assumed conversion of WML Convertible Bonds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(22,600)</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attributable to Wynn Resorts, Limited - diluted</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101,357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94,555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256,159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94,916</w:t>
            </w:r>
          </w:p>
        </w:tc>
        <w:tc>
          <w:tcPr>
            <w:tcW w:w="0" w:type="dxa"/>
            <w:vAlign w:val="bottom"/>
          </w:tcPr>
          <w:p>
            <w:pPr>
              <w:spacing w:after="0"/>
              <w:rPr>
                <w:sz w:val="1"/>
                <w:szCs w:val="1"/>
                <w:color w:val="auto"/>
              </w:rPr>
            </w:pPr>
          </w:p>
        </w:tc>
      </w:tr>
      <w:tr>
        <w:trPr>
          <w:trHeight w:val="270"/>
        </w:trPr>
        <w:tc>
          <w:tcPr>
            <w:tcW w:w="5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112,821</w:t>
            </w:r>
          </w:p>
        </w:tc>
        <w:tc>
          <w:tcPr>
            <w:tcW w:w="0" w:type="dxa"/>
            <w:vAlign w:val="bottom"/>
          </w:tcPr>
          <w:p>
            <w:pPr>
              <w:spacing w:after="0"/>
              <w:rPr>
                <w:sz w:val="1"/>
                <w:szCs w:val="1"/>
                <w:color w:val="auto"/>
              </w:rPr>
            </w:pPr>
          </w:p>
        </w:tc>
      </w:tr>
      <w:tr>
        <w:trPr>
          <w:trHeight w:val="176"/>
        </w:trPr>
        <w:tc>
          <w:tcPr>
            <w:tcW w:w="53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Potential dilutive effect of stock options, nonvested, and performance</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nonvested shares</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156"/>
        </w:trPr>
        <w:tc>
          <w:tcPr>
            <w:tcW w:w="5300" w:type="dxa"/>
            <w:vAlign w:val="bottom"/>
          </w:tcPr>
          <w:p>
            <w:pPr>
              <w:ind w:left="120"/>
              <w:spacing w:after="0" w:line="156" w:lineRule="exact"/>
              <w:rPr>
                <w:sz w:val="20"/>
                <w:szCs w:val="20"/>
                <w:color w:val="auto"/>
              </w:rPr>
            </w:pPr>
            <w:r>
              <w:rPr>
                <w:rFonts w:ascii="Times New Roman" w:cs="Times New Roman" w:eastAsia="Times New Roman" w:hAnsi="Times New Roman"/>
                <w:sz w:val="18"/>
                <w:szCs w:val="18"/>
                <w:b w:val="1"/>
                <w:bCs w:val="1"/>
                <w:color w:val="auto"/>
              </w:rPr>
              <w:t>Weighted average common and common equivalent shares</w:t>
            </w: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111,175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113,198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111,222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113,143</w:t>
            </w:r>
          </w:p>
        </w:tc>
        <w:tc>
          <w:tcPr>
            <w:tcW w:w="0" w:type="dxa"/>
            <w:vAlign w:val="bottom"/>
          </w:tcPr>
          <w:p>
            <w:pPr>
              <w:spacing w:after="0"/>
              <w:rPr>
                <w:sz w:val="1"/>
                <w:szCs w:val="1"/>
                <w:color w:val="auto"/>
              </w:rPr>
            </w:pPr>
          </w:p>
        </w:tc>
      </w:tr>
      <w:tr>
        <w:trPr>
          <w:trHeight w:val="216"/>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3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Net income attributable to Wynn Resorts, Limited per common share,</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1"/>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0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6"/>
                <w:szCs w:val="16"/>
                <w:color w:val="auto"/>
              </w:rPr>
              <w:t>Net income attributable to Wynn Resorts, Limited per common share,</w:t>
            </w: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r>
        <w:trPr>
          <w:trHeight w:val="236"/>
        </w:trPr>
        <w:tc>
          <w:tcPr>
            <w:tcW w:w="5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3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Anti-dilutive stock options, nonvested, and performance nonvested</w:t>
            </w: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36"/>
        </w:trPr>
        <w:tc>
          <w:tcPr>
            <w:tcW w:w="5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shares excluded from the calculation of diluted net income per share</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Leases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Arrangements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minimum and contingent operating lease income for the periods presented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42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37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3700" w:type="dxa"/>
            <w:vAlign w:val="bottom"/>
            <w:tcBorders>
              <w:bottom w:val="single" w:sz="8" w:color="CCEEFF"/>
            </w:tcBorders>
          </w:tcPr>
          <w:p>
            <w:pPr>
              <w:spacing w:after="0"/>
              <w:rPr>
                <w:sz w:val="16"/>
                <w:szCs w:val="16"/>
                <w:color w:val="auto"/>
              </w:rPr>
            </w:pPr>
          </w:p>
        </w:tc>
        <w:tc>
          <w:tcPr>
            <w:tcW w:w="20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rental income</w:t>
            </w:r>
          </w:p>
        </w:tc>
        <w:tc>
          <w:tcPr>
            <w:tcW w:w="20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65,649</w:t>
            </w:r>
          </w:p>
        </w:tc>
      </w:tr>
      <w:tr>
        <w:trPr>
          <w:trHeight w:val="230"/>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rental income</w:t>
            </w:r>
          </w:p>
        </w:tc>
        <w:tc>
          <w:tcPr>
            <w:tcW w:w="20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53,970</w:t>
            </w:r>
          </w:p>
        </w:tc>
      </w:tr>
      <w:tr>
        <w:trPr>
          <w:trHeight w:val="248"/>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rental income</w:t>
            </w:r>
          </w:p>
        </w:tc>
        <w:tc>
          <w:tcPr>
            <w:tcW w:w="2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104,880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119,619</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3700" w:type="dxa"/>
            <w:vAlign w:val="bottom"/>
          </w:tcPr>
          <w:p>
            <w:pPr>
              <w:spacing w:after="0"/>
              <w:rPr>
                <w:sz w:val="24"/>
                <w:szCs w:val="24"/>
                <w:color w:val="auto"/>
              </w:rPr>
            </w:pPr>
          </w:p>
        </w:tc>
        <w:tc>
          <w:tcPr>
            <w:tcW w:w="2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and 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w:t>
      </w:r>
    </w:p>
    <w:p>
      <w:pPr>
        <w:spacing w:after="0" w:line="254"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February 20, 2018, a putative securities class action was filed against the Company and certain current and former officers of the Company in the United States District Court, Southern District of New York (which was subsequently transferred to the United States District Court, District of Nevada) by John V. Ferris and Joann M. Ferris on behalf of all persons who purchased the Company's common stock between February 28, 2014 and January 25, 2018. The complaint alleges, among other things, certain violations of federal securities laws and seeks to recover unspecified damages as well as attorneys' fees, costs and related expenses for the plaintiffs. On April 15, 2019, the Company filed a motion to dismiss, which the court granted on May 27, 2020, with leave to amend. On July 1, 2020, the plaintiffs filed an amended complaint. On August 14, 2020, the Company filed a motion to dismiss the amended complaint. On July 28, 2021, the court granted in part, and denied in part, the Company's motion to dismiss the amended complaint, dismissing certain of plaintiffs' claims, including all claims against current CEO Craig Billings and the individual directors, and allowing other claims to proceed against the Company and several of the Company's former executive officers, including Matthew Maddox, Stephen A. Wynn, Kimmarie Sinatra, and Steven Cootey. On March 2, 2023, the court granted the plaintiffs' motion for class certification and appointed lead counsel. The parties are now proceeding with discovery.</w:t>
      </w:r>
    </w:p>
    <w:p>
      <w:pPr>
        <w:spacing w:after="0" w:line="2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defendants in this action intend to vigorously defend against the claims pleaded against them and believe that the claims are without merit. This action is in the preliminary stages and the Company has determined that based on proceedings to date, it is currently unable to determine the probability of the outcome of these actions or reasonably estimate the range of possible loss, if any.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Investigation</w:t>
      </w:r>
    </w:p>
    <w:p>
      <w:pPr>
        <w:spacing w:after="0" w:line="25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From time to time, the Company receives regulatory inquiries about compliance with anti-money laundering laws. The Company received requests for information from the U.S. Attorney’s Office for the Southern District of California relating to its anti-money laundering policies and procedures, and beginning in 2020 received several grand jury subpoenas regarding various transactions at Wynn Las Vegas relating to certain patrons and agents who reside or operate in foreign jurisdictions. The Company continues to cooperate with the U.S. Attorney's Office in its investigation, which remains ongoing. Because no charges or claims have been brought, the Company is unable to predict the outcome of the investigation, the extent of the materiality of the outcome, or reasonably estimate the possible range of loss, if any, which could be associated with the resolution of any possible charges or claims that may be brought against the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Retail Joint Venture</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June 30, 2024 and December 31, 2023, the Retail Joint Venture had total assets of $104.3 million and $102.5 million, respectively, and total liabilities of $621.8 million and $621.9 million, respectively. As of June 30, 2024 and December 31, 2023, the Retail Joint Venture's liabilities included long-term debt of $614.4 million and $614.1 million, respectively, net of debt issuance costs, related to the outstanding borrowings under the Retail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 Information</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has identified its reportable segments based on factors such as geography, regulatory environment, the information reviewed by its chief operating decision maker, and the Company's organizational and management reporting structure.</w:t>
      </w:r>
    </w:p>
    <w:p>
      <w:pPr>
        <w:spacing w:after="0" w:line="18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has identified the following reportable segments: (i) Wynn Macau, representing the aggregate of Wynn Macau and Encore, an expansion at Wynn Macau, which are managed as a single integrated resort; (ii) Wynn Palace; (iii) Las Vegas Operations, representing the aggregate of Wynn Las Vegas, Encore, an expansion at Wynn Las Vegas, and the Retail Joint Venture, which are managed as a single integrated resort; and (iv) Encore Boston Harbor. For geographical reporting purposes, Wynn Macau, Wynn Palace, and Other Macau (which represents the assets of the Company's Macau holding company and other ancillary entities) have been aggregated into Macau Operations. The assets and results of operations of Wynn Interactive are presented in Corporate and other.</w:t>
      </w:r>
    </w:p>
    <w:p>
      <w:pPr>
        <w:sectPr>
          <w:pgSz w:w="11900" w:h="16838" w:orient="portrait"/>
          <w:cols w:equalWidth="0" w:num="1">
            <w:col w:w="11240"/>
          </w:cols>
          <w:pgMar w:left="320" w:top="118" w:right="339" w:bottom="10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095"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the Company's segment information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Macau Operations: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Palace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444,964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365,277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918,745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635,964</w:t>
            </w:r>
          </w:p>
        </w:tc>
      </w:tr>
      <w:tr>
        <w:trPr>
          <w:trHeight w:val="230"/>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104,142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97,002</w:t>
            </w:r>
          </w:p>
        </w:tc>
      </w:tr>
      <w:tr>
        <w:trPr>
          <w:trHeight w:val="229"/>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48,813</w:t>
            </w:r>
          </w:p>
        </w:tc>
      </w:tr>
      <w:tr>
        <w:trPr>
          <w:trHeight w:val="229"/>
        </w:trPr>
        <w:tc>
          <w:tcPr>
            <w:tcW w:w="53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Entertainment, retail and other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55,934</w:t>
            </w:r>
          </w:p>
        </w:tc>
      </w:tr>
      <w:tr>
        <w:trPr>
          <w:trHeight w:val="223"/>
        </w:trPr>
        <w:tc>
          <w:tcPr>
            <w:tcW w:w="53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548,049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468,350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1,134,950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837,713</w:t>
            </w:r>
          </w:p>
        </w:tc>
      </w:tr>
      <w:tr>
        <w:trPr>
          <w:trHeight w:val="20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Macau</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627,070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419,333</w:t>
            </w:r>
          </w:p>
        </w:tc>
      </w:tr>
      <w:tr>
        <w:trPr>
          <w:trHeight w:val="229"/>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48,101</w:t>
            </w:r>
          </w:p>
        </w:tc>
      </w:tr>
      <w:tr>
        <w:trPr>
          <w:trHeight w:val="229"/>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28,968</w:t>
            </w:r>
          </w:p>
        </w:tc>
      </w:tr>
      <w:tr>
        <w:trPr>
          <w:trHeight w:val="230"/>
        </w:trPr>
        <w:tc>
          <w:tcPr>
            <w:tcW w:w="53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Entertainment, retail and other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35,917</w:t>
            </w:r>
          </w:p>
        </w:tc>
      </w:tr>
      <w:tr>
        <w:trPr>
          <w:trHeight w:val="223"/>
        </w:trPr>
        <w:tc>
          <w:tcPr>
            <w:tcW w:w="53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337,269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301,593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749,013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532,319</w:t>
            </w:r>
          </w:p>
        </w:tc>
      </w:tr>
      <w:tr>
        <w:trPr>
          <w:trHeight w:val="223"/>
        </w:trPr>
        <w:tc>
          <w:tcPr>
            <w:tcW w:w="5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885,318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769,943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1,883,963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1,370,032</w:t>
            </w:r>
          </w:p>
        </w:tc>
      </w:tr>
      <w:tr>
        <w:trPr>
          <w:trHeight w:val="250"/>
        </w:trPr>
        <w:tc>
          <w:tcPr>
            <w:tcW w:w="5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Las Vegas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264,837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292,476</w:t>
            </w:r>
          </w:p>
        </w:tc>
      </w:tr>
      <w:tr>
        <w:trPr>
          <w:trHeight w:val="229"/>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429,948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362,874</w:t>
            </w:r>
          </w:p>
        </w:tc>
      </w:tr>
      <w:tr>
        <w:trPr>
          <w:trHeight w:val="230"/>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402,028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367,629</w:t>
            </w:r>
          </w:p>
        </w:tc>
      </w:tr>
      <w:tr>
        <w:trPr>
          <w:trHeight w:val="230"/>
        </w:trPr>
        <w:tc>
          <w:tcPr>
            <w:tcW w:w="53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Entertainment, retail and other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168,389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141,857</w:t>
            </w:r>
          </w:p>
        </w:tc>
      </w:tr>
      <w:tr>
        <w:trPr>
          <w:trHeight w:val="223"/>
        </w:trPr>
        <w:tc>
          <w:tcPr>
            <w:tcW w:w="534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Total Las Vegas Operations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628,654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578,072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1,265,202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1,164,836</w:t>
            </w:r>
          </w:p>
        </w:tc>
      </w:tr>
      <w:tr>
        <w:trPr>
          <w:trHeight w:val="250"/>
        </w:trPr>
        <w:tc>
          <w:tcPr>
            <w:tcW w:w="53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Encore Boston Harbor:</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319,760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332,218</w:t>
            </w:r>
          </w:p>
        </w:tc>
      </w:tr>
      <w:tr>
        <w:trPr>
          <w:trHeight w:val="230"/>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41,057</w:t>
            </w:r>
          </w:p>
        </w:tc>
      </w:tr>
      <w:tr>
        <w:trPr>
          <w:trHeight w:val="230"/>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44,237</w:t>
            </w:r>
          </w:p>
        </w:tc>
      </w:tr>
      <w:tr>
        <w:trPr>
          <w:trHeight w:val="230"/>
        </w:trPr>
        <w:tc>
          <w:tcPr>
            <w:tcW w:w="534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Entertainment, retail and other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20,726</w:t>
            </w:r>
          </w:p>
        </w:tc>
      </w:tr>
      <w:tr>
        <w:trPr>
          <w:trHeight w:val="223"/>
        </w:trPr>
        <w:tc>
          <w:tcPr>
            <w:tcW w:w="5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 Encore Boston Harbor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212,608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221,932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430,392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438,238</w:t>
            </w:r>
          </w:p>
        </w:tc>
      </w:tr>
      <w:tr>
        <w:trPr>
          <w:trHeight w:val="250"/>
        </w:trPr>
        <w:tc>
          <w:tcPr>
            <w:tcW w:w="5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46,395</w:t>
            </w:r>
          </w:p>
        </w:tc>
      </w:tr>
      <w:tr>
        <w:trPr>
          <w:trHeight w:val="223"/>
        </w:trPr>
        <w:tc>
          <w:tcPr>
            <w:tcW w:w="5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Corporate and 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16,284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46,395</w:t>
            </w:r>
          </w:p>
        </w:tc>
      </w:tr>
      <w:tr>
        <w:trPr>
          <w:trHeight w:val="250"/>
        </w:trPr>
        <w:tc>
          <w:tcPr>
            <w:tcW w:w="53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1,732,932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1,595,822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3,595,841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3,019,501</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lease revenue accounted for under lease accounting guidance. For more information on leases, see Note 14, "Leases."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4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28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8"/>
                <w:szCs w:val="18"/>
                <w:b w:val="1"/>
                <w:bCs w:val="1"/>
                <w:color w:val="auto"/>
              </w:rPr>
              <w:t xml:space="preserve">Adjusted Property EBITDAR </w:t>
            </w:r>
            <w:r>
              <w:rPr>
                <w:rFonts w:ascii="Times New Roman" w:cs="Times New Roman" w:eastAsia="Times New Roman" w:hAnsi="Times New Roman"/>
                <w:sz w:val="23"/>
                <w:szCs w:val="23"/>
                <w:b w:val="1"/>
                <w:bCs w:val="1"/>
                <w:color w:val="auto"/>
                <w:vertAlign w:val="superscript"/>
              </w:rPr>
              <w:t>(1)</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Macau Operations: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Wynn Palace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184,459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267,665</w:t>
            </w:r>
          </w:p>
        </w:tc>
      </w:tr>
      <w:tr>
        <w:trPr>
          <w:trHeight w:val="230"/>
        </w:trPr>
        <w:tc>
          <w:tcPr>
            <w:tcW w:w="5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Wynn Macau</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95,911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233,097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134,335</w:t>
            </w:r>
          </w:p>
        </w:tc>
      </w:tr>
      <w:tr>
        <w:trPr>
          <w:trHeight w:val="223"/>
        </w:trPr>
        <w:tc>
          <w:tcPr>
            <w:tcW w:w="5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280,370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246,197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619,926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402,000</w:t>
            </w:r>
          </w:p>
        </w:tc>
      </w:tr>
      <w:tr>
        <w:trPr>
          <w:trHeight w:val="229"/>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Las Vegas Operations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230,333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476,595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455,718</w:t>
            </w:r>
          </w:p>
        </w:tc>
      </w:tr>
      <w:tr>
        <w:trPr>
          <w:trHeight w:val="230"/>
        </w:trPr>
        <w:tc>
          <w:tcPr>
            <w:tcW w:w="5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Encore Boston Harbor</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125,266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132,518</w:t>
            </w:r>
          </w:p>
        </w:tc>
      </w:tr>
      <w:tr>
        <w:trPr>
          <w:trHeight w:val="229"/>
        </w:trPr>
        <w:tc>
          <w:tcPr>
            <w:tcW w:w="52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Corporate and other</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(36,032)</w:t>
            </w:r>
          </w:p>
        </w:tc>
      </w:tr>
      <w:tr>
        <w:trPr>
          <w:trHeight w:val="223"/>
        </w:trPr>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571,655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524,458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1,218,190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954,204</w:t>
            </w: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operating expenses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Pre-opening</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w:t>
            </w:r>
          </w:p>
        </w:tc>
      </w:tr>
      <w:tr>
        <w:trPr>
          <w:trHeight w:val="229"/>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176,405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338,774</w:t>
            </w:r>
          </w:p>
        </w:tc>
      </w:tr>
      <w:tr>
        <w:trPr>
          <w:trHeight w:val="229"/>
        </w:trPr>
        <w:tc>
          <w:tcPr>
            <w:tcW w:w="52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Property charges and other </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18,477</w:t>
            </w: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expenses and other</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73,615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67,238</w:t>
            </w: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32,995</w:t>
            </w:r>
          </w:p>
        </w:tc>
      </w:tr>
      <w:tr>
        <w:trPr>
          <w:trHeight w:val="229"/>
        </w:trPr>
        <w:tc>
          <w:tcPr>
            <w:tcW w:w="5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Triple-net operating lease rent expense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35,342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70,746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70,914</w:t>
            </w:r>
          </w:p>
        </w:tc>
      </w:tr>
      <w:tr>
        <w:trPr>
          <w:trHeight w:val="223"/>
        </w:trPr>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other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301,997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274,122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585,591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534,353</w:t>
            </w:r>
          </w:p>
        </w:tc>
      </w:tr>
      <w:tr>
        <w:trPr>
          <w:trHeight w:val="22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269,658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250,336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632,599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419,851</w:t>
            </w:r>
          </w:p>
        </w:tc>
      </w:tr>
      <w:tr>
        <w:trPr>
          <w:trHeight w:val="20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non-operating income and expenses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84,320</w:t>
            </w:r>
          </w:p>
        </w:tc>
      </w:tr>
      <w:tr>
        <w:trPr>
          <w:trHeight w:val="23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(377,983)</w:t>
            </w:r>
          </w:p>
        </w:tc>
      </w:tr>
      <w:tr>
        <w:trPr>
          <w:trHeight w:val="229"/>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47,382</w:t>
            </w:r>
          </w:p>
        </w:tc>
      </w:tr>
      <w:tr>
        <w:trPr>
          <w:trHeight w:val="23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(15,611)</w:t>
            </w:r>
          </w:p>
        </w:tc>
      </w:tr>
      <w:tr>
        <w:trPr>
          <w:trHeight w:val="230"/>
        </w:trPr>
        <w:tc>
          <w:tcPr>
            <w:tcW w:w="5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(23,655)</w:t>
            </w:r>
          </w:p>
        </w:tc>
      </w:tr>
      <w:tr>
        <w:trPr>
          <w:trHeight w:val="223"/>
        </w:trPr>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other non-operating income and expenses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(115,450)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(118,196)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(281,879)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(285,547)</w:t>
            </w: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154,208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132,140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350,720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134,304</w:t>
            </w:r>
          </w:p>
        </w:tc>
      </w:tr>
      <w:tr>
        <w:trPr>
          <w:trHeight w:val="23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w:t>
            </w: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146,273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127,835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322,771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128,981</w:t>
            </w:r>
          </w:p>
        </w:tc>
      </w:tr>
      <w:tr>
        <w:trPr>
          <w:trHeight w:val="23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w:t>
            </w: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Wynn Resorts, Limited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111,943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105,184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256,159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117,516</w:t>
            </w:r>
          </w:p>
        </w:tc>
      </w:tr>
      <w:tr>
        <w:trPr>
          <w:trHeight w:val="20"/>
        </w:trPr>
        <w:tc>
          <w:tcPr>
            <w:tcW w:w="5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left="260" w:hanging="252"/>
        <w:spacing w:after="0" w:line="258" w:lineRule="auto"/>
        <w:tabs>
          <w:tab w:leader="none" w:pos="231"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Property EBITDAR" is net income before interest, income taxes, depreciation and amortization, pre-opening expenses, property charges and other, triple-net operating lease rent expense related to Encore Boston Harbor, management and license fees, corporate expenses and other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The Company also presents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EBITDAR does not include depreciation or interest expense and therefore does not reflect current or future capital expenditures or the cost of capital. The Company has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the Company's calculation of Adjusted Property EBITDAR may be different from the calculation methods used by other companies and, therefore, comparability may be limited.</w:t>
      </w:r>
    </w:p>
    <w:p>
      <w:pPr>
        <w:spacing w:after="0" w:line="6" w:lineRule="exact"/>
        <w:rPr>
          <w:rFonts w:ascii="Times New Roman" w:cs="Times New Roman" w:eastAsia="Times New Roman" w:hAnsi="Times New Roman"/>
          <w:sz w:val="14"/>
          <w:szCs w:val="14"/>
          <w:color w:val="auto"/>
        </w:rPr>
      </w:pPr>
    </w:p>
    <w:p>
      <w:pPr>
        <w:ind w:left="260" w:hanging="252"/>
        <w:spacing w:after="0" w:line="283" w:lineRule="auto"/>
        <w:tabs>
          <w:tab w:leader="none" w:pos="239"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of the three and six months ended June 30, 2024, includes $61.5 million of expensed project costs related to a discontinued development project, partially offset by a gain of $24.6 million related to the sale of certain Wynn Interactive assets, both included in Corporate and other.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Macau Operations: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Wynn Palace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2,849,362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2,936,264</w:t>
            </w:r>
          </w:p>
        </w:tc>
      </w:tr>
      <w:tr>
        <w:trPr>
          <w:trHeight w:val="229"/>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Wynn Macau</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1,848,162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1,864,211</w:t>
            </w:r>
          </w:p>
        </w:tc>
      </w:tr>
      <w:tr>
        <w:trPr>
          <w:trHeight w:val="230"/>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Macau</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886,175</w:t>
            </w:r>
          </w:p>
        </w:tc>
      </w:tr>
      <w:tr>
        <w:trPr>
          <w:trHeight w:val="223"/>
        </w:trPr>
        <w:tc>
          <w:tcPr>
            <w:tcW w:w="77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5,459,136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5,686,650</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Las Vegas Operations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3,073,105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3,173,247</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Encore Boston Harbor</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1,957,746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2,006,565</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2,799,811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3,129,761</w:t>
            </w:r>
          </w:p>
        </w:tc>
      </w:tr>
      <w:tr>
        <w:trPr>
          <w:trHeight w:val="223"/>
        </w:trPr>
        <w:tc>
          <w:tcPr>
            <w:tcW w:w="77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13,289,798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13,996,223</w:t>
            </w:r>
          </w:p>
        </w:tc>
      </w:tr>
      <w:tr>
        <w:trPr>
          <w:trHeight w:val="21"/>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8" w:right="5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and is qualified in its entirety by, the unaudited condensed consolidated financial statements and the notes thereto included elsewhere in this Quarterly Report on Form 10-Q and the audited consolidated financial statements appearing in our Annual Report on Form 10-K for the year ended December 31, 2023.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"Forward-Looking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21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 — "Risk Factors" of our Annual Report on Form 10-K for the year ended December 31, 2023 and other factors we describe from time to time in our periodic filings with the Securities and Exchange Commission ("SEC"), such as:</w:t>
      </w:r>
    </w:p>
    <w:p>
      <w:pPr>
        <w:spacing w:after="0" w:line="207"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our business and the cost of compliance or failure to comply with applicable laws and regulations;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future investigations, litigation and other disputes;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key managers and employees;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gaming licenses and concessions and comply with applicable gaming law;</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relations, national security policies, anticorruption campaigns and other geopolitical events, which may impact the number of visitors to our properties and the amount of money they are willing to spend;</w:t>
      </w:r>
    </w:p>
    <w:p>
      <w:pPr>
        <w:jc w:val="both"/>
        <w:ind w:left="1300" w:hanging="644"/>
        <w:spacing w:after="0" w:line="250" w:lineRule="auto"/>
        <w:tabs>
          <w:tab w:leader="none" w:pos="129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disruptions caused by, and the impact on regional demand for casino resorts and inbound tourism and the travel and leisure industry more generally from, events outside of our control, including an outbreak of an infectious disease (such as the COVID-19 pandemic), public incidents of violence, mass shootings, riots, demonstrations, extreme weather patterns or natural disasters, military conflicts, civil unrest, and any future security alerts or terrorist attacks;</w:t>
      </w: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of our resorts and the level of service we provide;</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resorts and locations for all of our cash flow and our subsidiaries' ability to pay us dividends and distributions;</w:t>
      </w:r>
    </w:p>
    <w:p>
      <w:pPr>
        <w:ind w:left="1300" w:right="20" w:hanging="644"/>
        <w:spacing w:after="0" w:line="250"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casino/hotel and resort industries and actions taken by our competitors, including new development and construction activities of competitors;</w:t>
      </w: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customer relationships and collect and enforce gaming receivables;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 rates for our gaming operations;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and regulatory risks associated with our current and future construction projects or co-investments in such projects;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violations by us of various anti-money laundering laws or the Foreign Corrupt Practices Act;</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environmental requirements and potential cleanup responsibility and liability as an owner or operator of property;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incidents or adverse publicity concerning our resorts or our corporate responsibilities;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the gaming laws or regulations in the various jurisdictions in which we operate;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regulations related to taxation, including changes in the rates of taxation;</w:t>
      </w:r>
    </w:p>
    <w:p>
      <w:pPr>
        <w:spacing w:after="0" w:line="9"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collection and use of personal data and our level of compliance with applicable governmental regulations, credit card industry standards and other applicable data security standards;</w:t>
      </w:r>
    </w:p>
    <w:p>
      <w:pPr>
        <w:ind w:left="1300" w:hanging="644"/>
        <w:spacing w:after="0" w:line="250"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including cyber and physical security breaches, system failure, computer viruses, and negligent or intentional misuse by customers, company employees, or employees of third-party vendors;</w:t>
      </w: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actions and other labor problems;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insurance coverage levels;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specifically associated with our Macau Operations;</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indebtedness and our ability to meet our debt service obligations (including sensitivity to fluctuations in interest rates); and</w:t>
      </w: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the covenants in our debt agreements.</w:t>
      </w:r>
    </w:p>
    <w:p>
      <w:pPr>
        <w:spacing w:after="0" w:line="23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Further information on potential factors that could affect our business, financial condition, results of operations and cash flows are included elsewhere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are a designer, developer, and operator of integrated resorts featuring luxury hotel rooms, high-end retail space, an array of dining and entertainment options, meeting and convention facilities, and gaming, all supported by an unparalleled focus on our guests, our people, and our community. Through our approximately 72% ownership of Wynn Macau, Limited ("WML"), our concessionaire Wynn Resorts (Macau) S.A. ("Wynn Macau SA") operates two integrated resorts in the Macau Special Administrative Region of the People's Republic of China ("Macau"), Wynn Palace and Wynn Macau (collectively, our "Macau Operations"). In Las Vegas, Nevada, we operate and, with the exception of certain retail space, own 100% of Wynn Las Vegas. We are a 50.1% owner and managing member of a joint venture that owns and leases certain retail space at Wynn Las Vegas (the "Retail Joint Venture"). We refer to Wynn Las Vegas, Encore, an expansion at Wynn Las Vegas, and the Retail Joint Venture as our Las Vegas Operations. In Everett, Massachusetts, we operate Encore Boston Harbor, an integrated resort. The results of Wynn Interactive Ltd. ("Wynn Interactive") are included in Corporate and other.</w:t>
      </w:r>
    </w:p>
    <w:p>
      <w:pPr>
        <w:spacing w:after="0" w:line="21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has a 40% equity interest in Island 3 AMI FZ-LLC ("Island 3"), an unconsolidated affiliate, which is constructing an integrated resort property ("Wynn Al Marjan Island") in Ras Al Khaimah, United Arab Emirates.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Measures</w:t>
      </w:r>
    </w:p>
    <w:p>
      <w:pPr>
        <w:spacing w:after="0" w:line="256"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Certain key operating measures specific to the gaming industry are included in our discussion of our operational performance for the periods for which the Condensed Consolidated Statements of Income are presented. These key operating measures are presented as supplemental disclosures because management and/or certain investors use these measures to better understand period-over-period fluctuations in our casino and hotel operating revenues. These key operating measures are defined below:</w:t>
      </w:r>
    </w:p>
    <w:p>
      <w:pPr>
        <w:spacing w:after="0" w:line="204" w:lineRule="exact"/>
        <w:rPr>
          <w:sz w:val="20"/>
          <w:szCs w:val="20"/>
          <w:color w:val="auto"/>
        </w:rPr>
      </w:pPr>
    </w:p>
    <w:p>
      <w:pPr>
        <w:ind w:left="1300" w:hanging="644"/>
        <w:spacing w:after="0" w:line="261"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in mass market for our Macau Operations is the amount of cash that is deposited in a gaming table's drop box plus cash chips purchased at the casino cage.</w:t>
      </w: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for our Las Vegas Operations is the amount of cash and net markers issued that are deposited in a gaming table's drop box.</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for Encore Boston Harbor is the amount of cash and gross markers issued that are deposited in a gaming table's drop box.</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Rolling chips are non-negotiable identifiable chips that are used to track turnover for purposes of calculating incentives within our Macau Operations' VIP program.</w:t>
      </w: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Turnover is the sum of all losing rolling chip wagers within our Macau Operations' VIP program.</w:t>
      </w:r>
    </w:p>
    <w:p>
      <w:pPr>
        <w:spacing w:after="0" w:line="9"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games win is the amount of table drop or turnover that is retained and recorded as casino revenues. Table games win is before discounts, commissions and the allocation of casino revenues to rooms, food and beverage and other revenues for services provided to casino customers on a complimentary basis. Table games win does not include poker rake.</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spacing w:after="0" w:line="1" w:lineRule="exact"/>
        <w:rPr>
          <w:rFonts w:ascii="Times New Roman" w:cs="Times New Roman" w:eastAsia="Times New Roman" w:hAnsi="Times New Roman"/>
          <w:sz w:val="18"/>
          <w:szCs w:val="18"/>
          <w:color w:val="auto"/>
        </w:rPr>
      </w:pPr>
    </w:p>
    <w:p>
      <w:pPr>
        <w:ind w:left="1300" w:hanging="644"/>
        <w:spacing w:after="0" w:line="260"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Poker rake is the portion of cash wagered by patrons in our poker rooms that is retained by the casino as a service fee, after adjustment for progressive accruals, but before the allocation of casino revenues to rooms,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00"/>
        <w:spacing w:after="0" w:line="261" w:lineRule="auto"/>
        <w:rPr>
          <w:sz w:val="20"/>
          <w:szCs w:val="20"/>
          <w:color w:val="auto"/>
        </w:rPr>
      </w:pPr>
      <w:r>
        <w:rPr>
          <w:rFonts w:ascii="Times New Roman" w:cs="Times New Roman" w:eastAsia="Times New Roman" w:hAnsi="Times New Roman"/>
          <w:sz w:val="18"/>
          <w:szCs w:val="18"/>
          <w:color w:val="auto"/>
        </w:rPr>
        <w:t>food and beverage and other revenues for services provided to casino customers on a complimentary basis. Poker tables are not included in our measure of average number of table games.</w:t>
      </w:r>
    </w:p>
    <w:p>
      <w:pPr>
        <w:ind w:left="1300" w:right="20" w:hanging="644"/>
        <w:spacing w:after="0" w:line="250"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is calculated by dividing total room revenues, including complimentaries (less service charges, if any), by total rooms occupied.</w:t>
      </w:r>
    </w:p>
    <w:p>
      <w:pPr>
        <w:ind w:left="1300" w:hanging="644"/>
        <w:spacing w:after="0" w:line="250"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is calculated by dividing total room revenues, including complimentaries (less service charges, if any), by total rooms available.</w:t>
      </w: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is calculated by dividing total occupied rooms, including complimentary rooms, by the total rooms available.</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a discussion of the methodologies used to calculate win percentages at our resorts.</w:t>
      </w:r>
    </w:p>
    <w:p>
      <w:pPr>
        <w:spacing w:after="0" w:line="25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our mass market operations in Macau, customers may purchase cash chips at either the gaming tables or at the casino cage. 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spacing w:after="0" w:line="21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typically expect our win as a percentage of turnover from these operations to be within the range of 3.1% to 3.4%.</w:t>
      </w:r>
    </w:p>
    <w:p>
      <w:pPr>
        <w:spacing w:after="0" w:line="2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Las Vegas, customers purchase chips at the gaming tables in exchange for cash and markers. Customers may then redeem markers at the gaming tables or at the casino cage. The cash and markers, net of redemptions, used to purchase chips are deposited in the gaming table's drop box. This is the base of measurement that we use for calculating win percentage. Each type of table game has its own theoretical win percentage. Our expected table games win percentage is 22% to 26%.</w:t>
      </w:r>
    </w:p>
    <w:p>
      <w:pPr>
        <w:spacing w:after="0" w:line="2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At Encore Boston Harbor, customers purchase chips at the gaming tables in exchange for cash and markers. Customers may then redeem markers only at the casino cage. The cash and gross markers used to purchase chips are deposited in the gaming table's drop box. This is the base of measurement that we use for calculating win percentage. Each type of table game has its own theoretical win percentage. Our expected table games win percentage is 18% to 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second quarter 2024 results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financial results for the periods presented (dollars in thousands, except per share data):</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86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240" w:type="dxa"/>
            <w:vAlign w:val="bottom"/>
          </w:tcPr>
          <w:p>
            <w:pPr>
              <w:spacing w:after="0"/>
              <w:rPr>
                <w:sz w:val="10"/>
                <w:szCs w:val="10"/>
                <w:color w:val="auto"/>
              </w:rPr>
            </w:pPr>
          </w:p>
        </w:tc>
        <w:tc>
          <w:tcPr>
            <w:tcW w:w="94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116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6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1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1,732,932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1,595,822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137,110</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3,595,841</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3,019,501</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576,340</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175"/>
        </w:trPr>
        <w:tc>
          <w:tcPr>
            <w:tcW w:w="1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attributable to Wynn</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Resorts, Limited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105,184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256,159</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117,516</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138,643</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175"/>
        </w:trPr>
        <w:tc>
          <w:tcPr>
            <w:tcW w:w="1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Diluted net income</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increase in operating revenues for the three months ended June 30, 2024 was primarily driven by increases of $79.7 million and $35.7 million from Wynn Palace and Wynn Macau, respectively, resulting from an increase in mass market gaming volumes and covers at our restaurants. Since the elimination of COVID-19 related protective measures by Macau authorities in January 2023, visitation to Macau and to our Macau Operations has continued to improve, resulting in increased business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volumes at our Macau Operations for the three months ended June 30, 2024. Operating revenues at our Las Vegas Operations also increased $50.6 million primarily due to increases in ADR and restaurant covers.</w:t>
      </w:r>
    </w:p>
    <w:p>
      <w:pPr>
        <w:spacing w:after="0" w:line="189"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increase in net income attributable to Wynn Resorts, Limited for the three months ended June 30, 2024 was primarily due to increased operating revenues at our Macau Operations and our Las Vegas Operations, partially offset by an increase in operating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three months ended June 30, 2024 compared to the three months ended June 30, 2023.</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revenues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our operating revenues (dollars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7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Macau Operations: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Wynn Palace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79,699</w:t>
            </w:r>
          </w:p>
        </w:tc>
        <w:tc>
          <w:tcPr>
            <w:tcW w:w="1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Wynn Macau</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35,676</w:t>
            </w:r>
          </w:p>
        </w:tc>
        <w:tc>
          <w:tcPr>
            <w:tcW w:w="130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885,318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769,943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115,375</w:t>
            </w:r>
          </w:p>
        </w:tc>
        <w:tc>
          <w:tcPr>
            <w:tcW w:w="1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Las Vegas Operations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578,072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50,582</w:t>
            </w: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Encore Boston Harbor</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(19,523)</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1,732,932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1,595,822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137,110</w:t>
            </w:r>
          </w:p>
        </w:tc>
        <w:tc>
          <w:tcPr>
            <w:tcW w:w="1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our casino and non-casino operating revenues (dollars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5"/>
              <w:spacing w:after="0" w:line="15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5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Casino revenues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1,008,946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912,999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95,947</w:t>
            </w: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Non-casino revenues: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Rooms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28,016</w:t>
            </w: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Food and beverage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24,368</w:t>
            </w:r>
          </w:p>
        </w:tc>
        <w:tc>
          <w:tcPr>
            <w:tcW w:w="1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(11,221)</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 non-casino revenues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723,986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682,823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41,163</w:t>
            </w:r>
          </w:p>
        </w:tc>
        <w:tc>
          <w:tcPr>
            <w:tcW w:w="1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1,732,932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1,595,822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137,110</w:t>
            </w: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Casino revenues for the three months ended June 30, 2024 were 58.2% of operating revenues, compared to 57.2% for the same period of 2023. Non-casino revenues for the three months ended June 30, 2024 were 41.8% of operating revenues, compared to 42.8% for the same period of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Casino revenues</w:t>
      </w:r>
    </w:p>
    <w:p>
      <w:pPr>
        <w:spacing w:after="0" w:line="2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Casino revenues increased primarily due to higher mass market volumes at our Macau Operations which continued to benefit from higher visitation following the elimination of COVID-19 related protective measures by Macau authorities in January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sets forth our casino revenues and associated key operating measures (dollars in thousands, except for win per unit per day):</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Wynn Palace: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444,964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365,277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9"/>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VIP:</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turnover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2,810,016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3,042,338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(232,322)</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VIP 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115,297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129,030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22,092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24,728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Mass market:</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1,738,260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1,507,148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231,112</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409,409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305,817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29"/>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18,484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13,980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642,713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579,626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25,590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27,583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Poker rake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Wynn Macau:</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280,717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242,950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37,767</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VIP:</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VIP turnover</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1,164,075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1,390,272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table games win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25,473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57,828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(32,355)</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9,449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13,257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Mass market: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1,602,920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1,223,311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379,609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280,830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216,405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64,425</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13,905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11,388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801,813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519,807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282,006</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25,978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15,452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29"/>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Poker rake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129,674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137,946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(8,272)</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536,461</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559,701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117,496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128,012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5,529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1,598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1,648,364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1,522,525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125,839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110,017</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103,357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Poker rake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7,501</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6,460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Encore Boston Harbor: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153,591</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166,826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(13,235)</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358,857</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354,365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70,471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79,072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4,186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2,590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1,420,607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1,300,237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120,370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105,558</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106,726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4"/>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Poker rake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5,307</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5,211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Non-casino revenues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sets forth our room revenues and associated key operating measures: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Wynn Palace</w:t>
            </w:r>
            <w:r>
              <w:rPr>
                <w:rFonts w:ascii="Times New Roman" w:cs="Times New Roman" w:eastAsia="Times New Roman" w:hAnsi="Times New Roman"/>
                <w:sz w:val="14"/>
                <w:szCs w:val="14"/>
                <w:color w:val="auto"/>
              </w:rPr>
              <w:t>:</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50,206</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50,092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Wynn Macau:</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23,742</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26,130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205,872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177,765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Encore Boston Harbor:</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24,701</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22,518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Room revenues increased $28.0 million, primarily due to higher ADR at our Las Vegas Operations.</w:t>
      </w:r>
    </w:p>
    <w:p>
      <w:pPr>
        <w:spacing w:after="0" w:line="25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Food and beverage revenues increased $24.4 million, primarily due to increased restaurant covers and average check amounts at our Las Vegas Operations and our Macau Operations.</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Entertainment, retail and other revenues decreased $11.2 million, primarily due to a decrease in operating revenues at Wynn Interactive of $19.5 million following the closure of Wynn Interactive's digital sports betting and casino gaming business in certain jurisdictions, partially offset by a $10.7 million increase in operating revenues from entertainment venue and convention-related sales at our Las Vegas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operating expenses (dollars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7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614,518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543,643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30"/>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Pre-opening</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22,796</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1,463,274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1,345,486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117,788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increase in total operating expenses was primarily due to increased operating costs associated with higher business volumes at our properties, partially offset by decreased entertainment, retail and other expenses related to Wynn Interactive following the closure of WynnBET, Wynn Interactive's digital sports betting and casino gaming business, in certain jurisdictions.</w:t>
      </w:r>
    </w:p>
    <w:p>
      <w:pPr>
        <w:spacing w:after="0" w:line="20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Casino expenses increased $43.5 million and $22.5 million at Wynn Palace and Wynn Macau, respectively. These increases resulted from higher operating costs, including $36.3 million and $17.0 million in incremental gaming tax expense at Wynn Palace and Wynn Macau, respectively, driven by the increase in casino revenues.</w:t>
      </w:r>
    </w:p>
    <w:p>
      <w:pPr>
        <w:spacing w:after="0" w:line="20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Room expenses increased $6.5 million at our Las Vegas Operations as a result of higher operating costs, commensurate with the increase in room revenues.</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Food and beverage expenses increased $11.0 million and $6.0 million at our Las Vegas Operations and Macau Operations, respectively, as a result of higher operating costs related to increases in food and beverage revenues.</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Entertainment, retail and other expenses decreased $35.5 million at Corporate and other as a result of decreased operating costs related to Wynn Interactive. This decrease is partially offset by an increase of $12.8 million at our Las Vegas Operations primarily due to increased entertainment venue and convention-related revenue.</w:t>
      </w:r>
    </w:p>
    <w:p>
      <w:pPr>
        <w:spacing w:after="0" w:line="203"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primarily due to an increase of $9.5 million at our Las Vegas Operations attributable to payroll, marketing-related costs, and other general and administrative expenses. This increase was partially offset by decreases of $2.9 million and $1.3 million at Encore Boston Harbor and our Macau Operations, respectively.</w:t>
      </w:r>
    </w:p>
    <w:p>
      <w:pPr>
        <w:spacing w:after="0" w:line="20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Property charges and other expenses for the three months ended June 30, 2024 consisted primarily of $61.5 million of expensed project costs related to a discontinued development project, partially offset by a gain of $24.6 million related to the sale of certain Wynn Interactive assets, both included in Corporate and other. Property charges and other expenses for the three months ended June 30, 2023 consisted primarily of asset abandonments of $6.6 million and $1.1 million at our Las Vegas Operations and Wynn Palace, respectively, as well as contract termination and other expenses of $6.5 million at Wynn Macau.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non-operating income and expenses</w:t>
      </w:r>
    </w:p>
    <w:p>
      <w:pPr>
        <w:spacing w:after="0" w:line="2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Interest expense, net of capitalized interest, decreased $15.6 million primarily due to a decrease in the weighted average debt balance, from $12.50 billion for the three months ended June 30, 2023, to $11.43 billion for the three months ended June 30, 2024.</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recorded interest income of $34.9 million and $44.1 million in the three months ended June 30, 2024 and 2023, respectively, primarily related to interest earned on cash and cash equivalents held at financial institutions.</w:t>
      </w:r>
    </w:p>
    <w:p>
      <w:pPr>
        <w:spacing w:after="0" w:line="189"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We incurred a foreign currency remeasurement gain of $8.7 million and $7.0 million for the three months ended June 30, 2024 and 2023, respectively. The impact of the exchange rate fluctuation of the Macau pataca, in relation to the U.S. dollar, on the remeasurements of U.S. dollar denominated debt and other obligations from our Macau-related entities drove the variability between periods.</w:t>
      </w:r>
    </w:p>
    <w:p>
      <w:pPr>
        <w:spacing w:after="0" w:line="20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recorded a gain of $15.5 million and $24.3 million for the three months ended June 30, 2024 and 2023, respectively, from change in derivatives fair value, primarily related to the conversion feature of the WML Convertible Bonds.</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recorded a $3.4 million loss on debt financing transactions for the three months ended June 30, 2023, primarily related to the issuance of the 2031 WRF Senior Notes and the repurchase of the tendered 2025 WRF Senior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recorded an income tax expense of $7.9 million and $4.3 million for the three months ended June 30, 2024 and 2023, respectively, primarily related to our U.S. based operating profits.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p>
      <w:pPr>
        <w:spacing w:after="0" w:line="2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Net income attributable to noncontrolling interests was $34.3 million and $22.7 million for the three months ended June 30, 2024 and 2023, respectively. These amounts are primarily related to the noncontrolling interests' share of net income attributable to WML.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six months ended June 30, 2024 compared to the six months ended June 30, 2023.</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revenues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our operating revenues (dollars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Macau Operations: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Wynn Palace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1,134,950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837,713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297,237</w:t>
            </w:r>
          </w:p>
        </w:tc>
        <w:tc>
          <w:tcPr>
            <w:tcW w:w="1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Wynn Macau</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749,013</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532,319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216,694</w:t>
            </w:r>
          </w:p>
        </w:tc>
        <w:tc>
          <w:tcPr>
            <w:tcW w:w="130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1,883,963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1,370,032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513,931</w:t>
            </w:r>
          </w:p>
        </w:tc>
        <w:tc>
          <w:tcPr>
            <w:tcW w:w="1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29"/>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Las Vegas Operations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1,265,202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1,164,836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100,366</w:t>
            </w: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Encore Boston Harbor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46,395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(30,111)</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3,595,841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3,019,501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576,340</w:t>
            </w:r>
          </w:p>
        </w:tc>
        <w:tc>
          <w:tcPr>
            <w:tcW w:w="1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our casino and non-casino operating revenues (dollars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5"/>
              <w:spacing w:after="0" w:line="15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5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Casino revenues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2,130,412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1,679,991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450,421</w:t>
            </w: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Non-casino revenues: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Rooms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82,901</w:t>
            </w: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Food and beverage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58,695</w:t>
            </w:r>
          </w:p>
        </w:tc>
        <w:tc>
          <w:tcPr>
            <w:tcW w:w="1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(15,677)</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Total non-casino revenues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1,465,429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1,339,510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125,919</w:t>
            </w:r>
          </w:p>
        </w:tc>
        <w:tc>
          <w:tcPr>
            <w:tcW w:w="1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3,595,841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3,019,501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576,340</w:t>
            </w: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Casino revenues for the six months ended June 30, 2024 were 59.2% of operating revenues, compared to 55.6% for the same period of 2023. Non-casino revenues for the six months ended June 30, 2024 were 40.8% of operating revenues, compared to 44.4% for the same period of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Casino revenues</w:t>
      </w:r>
    </w:p>
    <w:p>
      <w:pPr>
        <w:spacing w:after="0" w:line="2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Casino revenues increased primarily due to higher gaming volumes at our Macau Operations which continued to benefit from higher visitation following the elimination of COVID-19 related protective measures by Macau authorities in January 2023.</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sets forth our casino revenues and associated key operating measures (dollars in thousands, except for win per unit per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54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9"/>
        </w:trPr>
        <w:tc>
          <w:tcPr>
            <w:tcW w:w="1020" w:type="dxa"/>
            <w:vAlign w:val="bottom"/>
            <w:tcBorders>
              <w:top w:val="single" w:sz="8" w:color="0000FF"/>
            </w:tcBorders>
          </w:tcPr>
          <w:p>
            <w:pPr>
              <w:spacing w:after="0"/>
              <w:rPr>
                <w:sz w:val="24"/>
                <w:szCs w:val="24"/>
                <w:color w:val="auto"/>
              </w:rPr>
            </w:pPr>
          </w:p>
        </w:tc>
        <w:tc>
          <w:tcPr>
            <w:tcW w:w="4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4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Wynn Palace: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918,745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635,964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282,781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29"/>
        </w:trPr>
        <w:tc>
          <w:tcPr>
            <w:tcW w:w="5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VIP:</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5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VIP turnover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6,731,100</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5,335,696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1,395,404</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VIP 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244,712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191,478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29"/>
        </w:trPr>
        <w:tc>
          <w:tcPr>
            <w:tcW w:w="5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23,195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19,697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9"/>
        </w:trPr>
        <w:tc>
          <w:tcPr>
            <w:tcW w:w="5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Mass market:</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5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3,520,444</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2,689,146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831,298</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846,732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566,683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280,049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30"/>
        </w:trPr>
        <w:tc>
          <w:tcPr>
            <w:tcW w:w="5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19,039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29"/>
        </w:trPr>
        <w:tc>
          <w:tcPr>
            <w:tcW w:w="5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1,238,334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1,126,224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112,110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5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56,560</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53,008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5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Poker rake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Wynn Macau:</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627,070</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419,333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207,737</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VIP:</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VIP turnover</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2,753,760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2,534,496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219,264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5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VIP table games win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79,379</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88,579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14,629</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9,808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Mass market: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3,286,071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2,213,299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1,072,772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30"/>
        </w:trPr>
        <w:tc>
          <w:tcPr>
            <w:tcW w:w="5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607,150</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384,831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222,319</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15,048</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9,997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0"/>
        </w:trPr>
        <w:tc>
          <w:tcPr>
            <w:tcW w:w="5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1,532,202</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989,576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542,626</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52,170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31,749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30"/>
        </w:trPr>
        <w:tc>
          <w:tcPr>
            <w:tcW w:w="5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Poker rake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8,626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9,312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9"/>
        </w:trPr>
        <w:tc>
          <w:tcPr>
            <w:tcW w:w="1020" w:type="dxa"/>
            <w:vAlign w:val="bottom"/>
            <w:tcBorders>
              <w:top w:val="single" w:sz="8" w:color="0000FF"/>
            </w:tcBorders>
          </w:tcPr>
          <w:p>
            <w:pPr>
              <w:spacing w:after="0"/>
              <w:rPr>
                <w:sz w:val="24"/>
                <w:szCs w:val="24"/>
                <w:color w:val="auto"/>
              </w:rPr>
            </w:pPr>
          </w:p>
        </w:tc>
        <w:tc>
          <w:tcPr>
            <w:tcW w:w="4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8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264,837</w:t>
            </w:r>
          </w:p>
        </w:tc>
        <w:tc>
          <w:tcPr>
            <w:tcW w:w="8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292,476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(27,639)</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5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1,140,635</w:t>
            </w:r>
          </w:p>
        </w:tc>
        <w:tc>
          <w:tcPr>
            <w:tcW w:w="8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1,160,447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(19,812)</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274,107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274,022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6,444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5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1,608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3,144,442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3,095,260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5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209,773</w:t>
            </w:r>
          </w:p>
        </w:tc>
        <w:tc>
          <w:tcPr>
            <w:tcW w:w="8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210,145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717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5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Poker rake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12,023</w:t>
            </w:r>
          </w:p>
        </w:tc>
        <w:tc>
          <w:tcPr>
            <w:tcW w:w="8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10,574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Encore Boston Harbor: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319,760</w:t>
            </w:r>
          </w:p>
        </w:tc>
        <w:tc>
          <w:tcPr>
            <w:tcW w:w="8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332,218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(12,458)</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5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725,668</w:t>
            </w:r>
          </w:p>
        </w:tc>
        <w:tc>
          <w:tcPr>
            <w:tcW w:w="8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720,406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153,449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158,615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5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4,576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5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2,613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2,823,454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2,596,664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226,790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5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210,223</w:t>
            </w:r>
          </w:p>
        </w:tc>
        <w:tc>
          <w:tcPr>
            <w:tcW w:w="8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210,799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4"/>
        </w:trPr>
        <w:tc>
          <w:tcPr>
            <w:tcW w:w="5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Poker rake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11,088</w:t>
            </w:r>
          </w:p>
        </w:tc>
        <w:tc>
          <w:tcPr>
            <w:tcW w:w="8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10,893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Non-casino revenues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sets forth our room revenues and associated key operating measures: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5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Wynn Palace:</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104,142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97,002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98.9 %</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Wynn Macau:</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52,361</w:t>
            </w:r>
          </w:p>
        </w:tc>
        <w:tc>
          <w:tcPr>
            <w:tcW w:w="8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48,101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99.4 %</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429,948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362,874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89.4 %</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Encore Boston Harbor:</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45,484</w:t>
            </w:r>
          </w:p>
        </w:tc>
        <w:tc>
          <w:tcPr>
            <w:tcW w:w="8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41,057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93.1 %</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Room revenues increased $82.9 million, primarily due to higher occupancy and ADR at our Macau Operations and higher ADR at our Las Vegas Operations.</w:t>
      </w:r>
    </w:p>
    <w:p>
      <w:pPr>
        <w:spacing w:after="0" w:line="18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Food and beverage revenues increased $58.7 million, primarily due to increased restaurant covers and average check amounts at our Las Vegas Operations and our Macau Operations.</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Entertainment, retail and other revenues decreased $15.7 million primarily due to $30.1 million of decreased operating revenues at Wynn Interactive following the closure of Wynn Interactive's digital sports betting and casino gaming business in certain jurisdictions, partially offset by a $13.7 million increase in operating revenues from entertainment venue and convention-related sales at our Las Vegas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presents operating expenses (dollars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1,289,957</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1,017,028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272,929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162,615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9"/>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427,164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133,953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30"/>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536,343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Pre-opening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351,338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55,763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37,286</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2,963,242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2,599,650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363,592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increase in total operating expenses was primarily due to increased operating costs associated with higher business volumes at our properties, partially offset by decreased entertainment, retail and other expenses related to Wynn Interactive following the closure of WynnBET, Wynn Interactive's digital sports betting and casino gaming business, in certain jurisdictions.</w:t>
      </w:r>
    </w:p>
    <w:p>
      <w:pPr>
        <w:spacing w:after="0" w:line="20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Casino expenses increased $154.6 million and $105.8 million at Wynn Palace and Wynn Macau, respectively. These increases resulted from higher operating costs, including increases of $138.6 million and $95.6 million in incremental gaming tax expense at Wynn Palace and Wynn Macau, respectively, driven by the increase in casino revenues.</w:t>
      </w:r>
    </w:p>
    <w:p>
      <w:pPr>
        <w:spacing w:after="0" w:line="20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Room expenses increased $14.3 million at our Las Vegas Operations as a result of higher operating costs, commensurate with the increase in room revenues.</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Food and beverage expenses increased $29.0 million and $13.3 million at our Las Vegas Operations and our Macau Operations, respectively, as a result of higher operating costs related to increases in food and beverage revenues.</w:t>
      </w:r>
    </w:p>
    <w:p>
      <w:pPr>
        <w:spacing w:after="0" w:line="189"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Entertainment, retail and other expenses decreased $66.7 million at Corporate and other as a result of decreased operating costs related to Wynn Interactive. This decrease is partially offset by an increase of $17.9 million at our Las Vegas Operations primarily due to entertainment venue and convention-related revenue.</w:t>
      </w:r>
    </w:p>
    <w:p>
      <w:pPr>
        <w:spacing w:after="0" w:line="20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primarily due to an increase of $11.9 million at our Las Vegas Operations, attributable to payroll, including stock-based compensation, marketing-related costs, and other general and administrative expenses. In addition, general and administrative expenses increased $9.3 million at Corporate and other, primarily due to an increase in payroll and other general and administrative expenses.</w:t>
      </w:r>
    </w:p>
    <w:p>
      <w:pPr>
        <w:spacing w:after="0" w:line="20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Property charges and other expenses for the six months ended June 30, 2024 consisted primarily of $61.5 million of expensed project costs related to a discontinued development project, partially offset by a gain of $24.6 million related to the sale of certain Wynn Interactive assets, both included in Corporate and other. Property charges and other expenses for the six months ended June 30, 2023 consisted primarily of asset abandonments of $6.7 million and $3.4 million at our Las Vegas Operations and Wynn Palace, respectively, as well as contract termination and other expenses of $6.5 million at Wynn Macau.</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non-operating income and expenses</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Interest expense, net of capitalized interest, decreased $21.0 million primarily due to a decrease in the weighted average debt balance, from $12.55 billion for the six months ended June 30, 2023, to $11.68 billion for the six months ended June 30, 2024, the effect of which was partially offset by an increase in the weighted average interest rate from 6.02% for the six months ended June 30, 2023, to 6.11% for the six months ended June 30, 2024.</w:t>
      </w:r>
    </w:p>
    <w:p>
      <w:pPr>
        <w:spacing w:after="0" w:line="20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recorded interest income of $75.1 million and $84.3 million in the six months ended June 30, 2024 and 2023, respectively, primarily related to interest earned on cash and cash equivalents held at financial institutions.</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incurred a foreign currency remeasurement gain of $4.0 million and a loss of $23.7 million for the six months ended June 30, 2024 and 2023, respectively. The impact of the exchange rate fluctuation of the Macau pataca, in relation to the U.S. dollar, on the remeasurements of U.S. dollar denominated debt and other obligations from our Macau-related entities primarily drove the variability between periods.</w:t>
      </w:r>
    </w:p>
    <w:p>
      <w:pPr>
        <w:spacing w:after="0" w:line="20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recorded a loss of $2.4 million for the six months ended June 30, 2024, from change in derivatives fair value, primarily related to the interest rate collar on the Retail Term Loan. We recorded a gain of $47.4 million for the six months ended June 30, 2023, from change in derivatives fair value, primarily related to the conversion feature of the WML Convertible Bonds.</w:t>
      </w:r>
    </w:p>
    <w:p>
      <w:pPr>
        <w:spacing w:after="0" w:line="20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recorded a $1.6 million loss on debt financing transactions for the six months ended June 30, 2024, primarily related to the issuance of the 2031 Add-On WRF Senior Notes and the repurchase of the tendered 2025 WLV Senior Notes. We recorded a $15.6 million loss on debt financing transactions for the six months ended June 30, 2023, primarily related to the issuance of the 2031 WRF Senior Notes and the repurchase of the early tendered 2025 WRF Senior Notes.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3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recorded income tax expense of $27.9 million and $5.3 million for the six months ended June 30, 2024 and 2023, respectively. Income tax expense in 2024 and 2023 primarily related to U.S. operating profits.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p>
      <w:pPr>
        <w:spacing w:after="0" w:line="2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Net income attributable to noncontrolling interests was $66.6 million and $11.5 million for the six months ended June 30, 2024 and 2023, respectively. These amounts are primarily related to the noncontrolling interests' share of net income from WML.</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56"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As further described in Item 1—"Notes to Condensed Consolidated Financial Statements," Note 17, "Segment Information," we use Adjusted Property EBITDAR to manage the operating results of our segments. Adjusted Property EBITDAR is net income before interest, income taxes, depreciation and amortization, pre-opening expenses, property charges and other, triple-net operating lease rent expense related to Encore Boston Harbor, management and license fees, corporate expenses and other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We also present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EBITDAR does not include depreciation or interest expense and therefore does not reflect current or future capital expenditures or the cost of capital. We have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our calculation of Adjusted Property EBITDAR may be different from the calculation methods used by other companies and, therefore, comparability may be limited.</w:t>
      </w:r>
    </w:p>
    <w:p>
      <w:pPr>
        <w:spacing w:after="0" w:line="21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following table summarizes Adjusted Property EBITDAR (dollars in thousands) for Wynn Palace, Wynn Macau, Las Vegas Operations, Encore Boston Harbor, and Corporate and other as reviewed by management and summarized in Item 1—"Notes to Condensed Consolidated Financial Statements," Note 17, "Segment Information." That footnote also presents a reconciliation of Adjusted Property EBITDAR to net income attributable to Wynn Resorts, Limited.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gridSpan w:val="5"/>
          </w:tcPr>
          <w:p>
            <w:pPr>
              <w:ind w:left="16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9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960" w:type="dxa"/>
            <w:vAlign w:val="bottom"/>
            <w:gridSpan w:val="2"/>
          </w:tcPr>
          <w:p>
            <w:pPr>
              <w:ind w:left="200"/>
              <w:spacing w:after="0" w:line="124"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860" w:type="dxa"/>
            <w:vAlign w:val="bottom"/>
          </w:tcPr>
          <w:p>
            <w:pPr>
              <w:jc w:val="right"/>
              <w:ind w:right="122"/>
              <w:spacing w:after="0" w:line="124"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6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4"/>
        </w:trPr>
        <w:tc>
          <w:tcPr>
            <w:tcW w:w="1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Wynn Palace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184,459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156,607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27,852</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386,829</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267,665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119,164</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0" w:type="dxa"/>
            <w:vAlign w:val="bottom"/>
          </w:tcPr>
          <w:p>
            <w:pPr>
              <w:spacing w:after="0"/>
              <w:rPr>
                <w:sz w:val="1"/>
                <w:szCs w:val="1"/>
                <w:color w:val="auto"/>
              </w:rPr>
            </w:pPr>
          </w:p>
        </w:tc>
      </w:tr>
      <w:tr>
        <w:trPr>
          <w:trHeight w:val="213"/>
        </w:trPr>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Wynn Macau</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89,590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6,321</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233,097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134,335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98,762</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Las Vegas Operations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224,121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476,595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455,718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3"/>
        </w:trPr>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Encore Boston Harbor</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69,104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(6,973)</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125,266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132,518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(7,252)</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13,785</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NM</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(36,032)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32,435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4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Adjusted Property EBITDAR at Wynn Palace and Wynn Macau increased $27.9 million and $6.3 million for the three months ended June 30, 2024, respectively, and $119.2 million and $98.8 million for the six months ended June 30, 2024, respectively, primarily due to an increase in operating revenues of $79.7 million and $35.7 million for the three months ended June 30, 2024, respectively, and $297.2 million and $216.7 million for the six months ended June 30, 2024, respectively, partially offset by an increase in operating expenses. Since the elimination of COVID-19 related protective measures by Macau authorities in January 2023, visitation to Macau and to our Macau Operations has improved, resulting in increased business volumes at our Macau Operations for the six months ended June 30, 2024.</w:t>
      </w:r>
    </w:p>
    <w:p>
      <w:pPr>
        <w:spacing w:after="0" w:line="21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Adjusted Property EBITDAR at our Las Vegas Operations increased $6.2 million and $20.9 million for the three and six months ended June 30, 2024, respectively, primarily due to an increase in non-casino revenues of $58.9 million and $128.0 million, respectively, partially offset by an increase in operating expenses.</w:t>
      </w:r>
    </w:p>
    <w:p>
      <w:pPr>
        <w:spacing w:after="0" w:line="20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Adjusted Property EBITDAR at Encore Boston Harbor decreased $7.0 million and $7.3 million for the three and six months ended June 30, 2024, respectively, primarily due to a decrease in casino revenues of $13.2 million and $12.5 million, respectively, partially offset by a decrease in operating expenses.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Adjusted Property EBITDAR at Corporate and other increased $13.8 million and $32.4 million for the three and six months ended June 30, 2024, respectively, primarily due to a decrease in marketing and promotional expense of $10.9 million and $26.4 million, respectively, related to Wynn Interactive following our decision, announced in August 2023, to close WynnBET, Wynn Interactive's digital sports betting and casino gaming business, in certain jurisdictions.</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Refer to the discussions above regarding the specific details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cash flows were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Flows - Summary</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940" w:type="dxa"/>
            <w:vAlign w:val="bottom"/>
            <w:tcBorders>
              <w:bottom w:val="single" w:sz="8" w:color="CCEEFF"/>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667,854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530,739</w:t>
            </w:r>
          </w:p>
        </w:tc>
        <w:tc>
          <w:tcPr>
            <w:tcW w:w="0" w:type="dxa"/>
            <w:vAlign w:val="bottom"/>
          </w:tcPr>
          <w:p>
            <w:pPr>
              <w:spacing w:after="0"/>
              <w:rPr>
                <w:sz w:val="1"/>
                <w:szCs w:val="1"/>
                <w:color w:val="auto"/>
              </w:rPr>
            </w:pPr>
          </w:p>
        </w:tc>
      </w:tr>
      <w:tr>
        <w:trPr>
          <w:trHeight w:val="270"/>
        </w:trPr>
        <w:tc>
          <w:tcPr>
            <w:tcW w:w="7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 net of construction payables and retention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(215,299)</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(31,193)</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investments</w:t>
            </w:r>
          </w:p>
        </w:tc>
        <w:tc>
          <w:tcPr>
            <w:tcW w:w="3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(286,519)</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maturity of investments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intangible and other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assets and other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23"/>
        </w:trPr>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(271,626)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(544,261)</w:t>
            </w:r>
          </w:p>
        </w:tc>
        <w:tc>
          <w:tcPr>
            <w:tcW w:w="0" w:type="dxa"/>
            <w:vAlign w:val="bottom"/>
          </w:tcPr>
          <w:p>
            <w:pPr>
              <w:spacing w:after="0"/>
              <w:rPr>
                <w:sz w:val="1"/>
                <w:szCs w:val="1"/>
                <w:color w:val="auto"/>
              </w:rPr>
            </w:pPr>
          </w:p>
        </w:tc>
      </w:tr>
      <w:tr>
        <w:trPr>
          <w:trHeight w:val="270"/>
        </w:trPr>
        <w:tc>
          <w:tcPr>
            <w:tcW w:w="79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(1,129,136)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(1,112,500)</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(12,094)</w:t>
            </w: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to noncontrolling interest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(28,709)</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payments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(9,731)</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for financing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0" w:type="dxa"/>
            <w:vAlign w:val="bottom"/>
          </w:tcPr>
          <w:p>
            <w:pPr>
              <w:spacing w:after="0"/>
              <w:rPr>
                <w:sz w:val="1"/>
                <w:szCs w:val="1"/>
                <w:color w:val="auto"/>
              </w:rPr>
            </w:pPr>
          </w:p>
        </w:tc>
      </w:tr>
      <w:tr>
        <w:trPr>
          <w:trHeight w:val="223"/>
        </w:trPr>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(895,791)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(18,807)</w:t>
            </w:r>
          </w:p>
        </w:tc>
        <w:tc>
          <w:tcPr>
            <w:tcW w:w="0" w:type="dxa"/>
            <w:vAlign w:val="bottom"/>
          </w:tcPr>
          <w:p>
            <w:pPr>
              <w:spacing w:after="0"/>
              <w:rPr>
                <w:sz w:val="1"/>
                <w:szCs w:val="1"/>
                <w:color w:val="auto"/>
              </w:rPr>
            </w:pPr>
          </w:p>
        </w:tc>
      </w:tr>
      <w:tr>
        <w:trPr>
          <w:trHeight w:val="270"/>
        </w:trPr>
        <w:tc>
          <w:tcPr>
            <w:tcW w:w="79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on cash, cash equivalents and restricted cash</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(2,864)</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Decrease increase in cash, cash equivalents and restricted cash</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(499,368)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(35,193)</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operating cash flows primarily consist of operating income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customers who gamble on credit. The ability to collect these gaming receivables may impact our operating cash flow for the period. Our rooms, food and beverage, and entertainment, retail and other revenue is conducted on a cash and credit basis. Accordingly, operating cash flows will be impacted by changes in operating income and accounts receivable, net.</w:t>
      </w:r>
    </w:p>
    <w:p>
      <w:pPr>
        <w:spacing w:after="0" w:line="21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2024, the increase in cash flows from operating activities was primarily due to increased revenues from our Macau Operations and our Las Vegas Operations, which was partially offset by an increase in operating expenses associated with higher business volumes. During the six months ended June 30, 2023, the increase in cash flows from operating activities was primarily due to increased revenues from our Macau Operations, our Las Vegas Operations, and Encore Boston Harbor, which was partially offset by an increase in operating expenses associated with higher business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investing activities primarily consist of project capital expenditures and maintenance capital expenditures associated with maintaining and continually refining our world-class integrated resort properties.</w:t>
      </w:r>
    </w:p>
    <w:p>
      <w:pPr>
        <w:spacing w:after="0" w:line="175"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8"/>
          <w:szCs w:val="18"/>
          <w:color w:val="auto"/>
        </w:rPr>
        <w:t>During the six months ended June 30, 2024, we incurred capital expenditures of $59.1 million at our Las Vegas Operations, $22.1 million at Encore Boston Harbor, $49.4 million at Wynn Palace, and $28.3 million at Wynn Macau primarily related to maintenance capital expenditures, and $32.4 million at Corporate and other primarily related to future development projects. In addition, during the six months ended June 30, 2024, we contributed $429.0 million in cash to Island 3 and received proceeds of $300.0 million and $50.0 million upon the maturity of our investments in debt securities and fixed deposits, respectively.</w:t>
      </w:r>
    </w:p>
    <w:p>
      <w:pPr>
        <w:spacing w:after="0" w:line="212" w:lineRule="exact"/>
        <w:rPr>
          <w:sz w:val="20"/>
          <w:szCs w:val="20"/>
          <w:color w:val="auto"/>
        </w:rPr>
      </w:pPr>
    </w:p>
    <w:p>
      <w:pPr>
        <w:jc w:val="both"/>
        <w:ind w:firstLine="405"/>
        <w:spacing w:after="0"/>
        <w:rPr>
          <w:sz w:val="20"/>
          <w:szCs w:val="20"/>
          <w:color w:val="auto"/>
        </w:rPr>
      </w:pPr>
      <w:r>
        <w:rPr>
          <w:rFonts w:ascii="Times New Roman" w:cs="Times New Roman" w:eastAsia="Times New Roman" w:hAnsi="Times New Roman"/>
          <w:sz w:val="18"/>
          <w:szCs w:val="18"/>
          <w:color w:val="auto"/>
        </w:rPr>
        <w:t>During the six months ended June 30, 2023, we incurred capital expenditures of $96.1 million at our Las Vegas Operations, $41.3 million at Encore Boston Harbor, $14.1 million at Wynn Palace, and $8.9 million at Wynn Macau primarily related to maintenance capital expenditures, and $55.0 million at Corporate and other primarily related to future development projects. In addition, during the six months ended June 30, 2023, we purchased $286.5 million in investment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8"/>
          <w:szCs w:val="18"/>
          <w:color w:val="auto"/>
        </w:rPr>
        <w:t>The below table presents proceeds from the issuance, repayments, and repurchases of the specified debt instruments during the six months ended June 30, 2024 (in thousands):</w:t>
      </w:r>
    </w:p>
    <w:tbl>
      <w:tblPr>
        <w:tblLayout w:type="fixed"/>
        <w:tblInd w:w="0" w:type="dxa"/>
        <w:tblCellMar>
          <w:top w:w="0" w:type="dxa"/>
          <w:left w:w="0" w:type="dxa"/>
          <w:bottom w:w="0" w:type="dxa"/>
          <w:right w:w="0" w:type="dxa"/>
        </w:tblCellMar>
      </w:tblPr>
      <w:tr>
        <w:trPr>
          <w:trHeight w:val="149"/>
        </w:trPr>
        <w:tc>
          <w:tcPr>
            <w:tcW w:w="7940" w:type="dxa"/>
            <w:vAlign w:val="bottom"/>
          </w:tcPr>
          <w:p>
            <w:pPr>
              <w:spacing w:after="0"/>
              <w:rPr>
                <w:sz w:val="12"/>
                <w:szCs w:val="12"/>
                <w:color w:val="auto"/>
              </w:rPr>
            </w:pPr>
          </w:p>
        </w:tc>
        <w:tc>
          <w:tcPr>
            <w:tcW w:w="16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Proceeds from issuance</w:t>
            </w:r>
          </w:p>
        </w:tc>
        <w:tc>
          <w:tcPr>
            <w:tcW w:w="200" w:type="dxa"/>
            <w:vAlign w:val="bottom"/>
          </w:tcPr>
          <w:p>
            <w:pPr>
              <w:spacing w:after="0"/>
              <w:rPr>
                <w:sz w:val="12"/>
                <w:szCs w:val="12"/>
                <w:color w:val="auto"/>
              </w:rPr>
            </w:pPr>
          </w:p>
        </w:tc>
        <w:tc>
          <w:tcPr>
            <w:tcW w:w="1400" w:type="dxa"/>
            <w:vAlign w:val="bottom"/>
          </w:tcPr>
          <w:p>
            <w:pPr>
              <w:jc w:val="right"/>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Repayments and</w:t>
            </w:r>
          </w:p>
        </w:tc>
        <w:tc>
          <w:tcPr>
            <w:tcW w:w="0" w:type="dxa"/>
            <w:vAlign w:val="bottom"/>
          </w:tcPr>
          <w:p>
            <w:pPr>
              <w:spacing w:after="0"/>
              <w:rPr>
                <w:sz w:val="1"/>
                <w:szCs w:val="1"/>
                <w:color w:val="auto"/>
              </w:rPr>
            </w:pPr>
          </w:p>
        </w:tc>
      </w:tr>
      <w:tr>
        <w:trPr>
          <w:trHeight w:val="195"/>
        </w:trPr>
        <w:tc>
          <w:tcPr>
            <w:tcW w:w="7940" w:type="dxa"/>
            <w:vAlign w:val="bottom"/>
          </w:tcPr>
          <w:p>
            <w:pPr>
              <w:spacing w:after="0"/>
              <w:rPr>
                <w:sz w:val="16"/>
                <w:szCs w:val="16"/>
                <w:color w:val="auto"/>
              </w:rPr>
            </w:pPr>
          </w:p>
        </w:tc>
        <w:tc>
          <w:tcPr>
            <w:tcW w:w="16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repurchases</w:t>
            </w:r>
          </w:p>
        </w:tc>
        <w:tc>
          <w:tcPr>
            <w:tcW w:w="0" w:type="dxa"/>
            <w:vAlign w:val="bottom"/>
          </w:tcPr>
          <w:p>
            <w:pPr>
              <w:spacing w:after="0"/>
              <w:rPr>
                <w:sz w:val="1"/>
                <w:szCs w:val="1"/>
                <w:color w:val="auto"/>
              </w:rPr>
            </w:pPr>
          </w:p>
        </w:tc>
      </w:tr>
      <w:tr>
        <w:trPr>
          <w:trHeight w:val="228"/>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WRF 7 1/8% Senior Notes, due 2031</w:t>
            </w:r>
          </w:p>
        </w:tc>
        <w:tc>
          <w:tcPr>
            <w:tcW w:w="52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 Cayman II Revolver, due 2025</w:t>
            </w:r>
          </w:p>
        </w:tc>
        <w:tc>
          <w:tcPr>
            <w:tcW w:w="5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311,820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WLV 5 1/2% Senior Notes, due 2025</w:t>
            </w:r>
          </w:p>
        </w:tc>
        <w:tc>
          <w:tcPr>
            <w:tcW w:w="5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796,691</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WRF Credit Facilities:</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WRF Term Loan, due 2024</w:t>
            </w:r>
          </w:p>
        </w:tc>
        <w:tc>
          <w:tcPr>
            <w:tcW w:w="5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0" w:type="dxa"/>
            <w:vAlign w:val="bottom"/>
          </w:tcPr>
          <w:p>
            <w:pPr>
              <w:spacing w:after="0"/>
              <w:rPr>
                <w:sz w:val="1"/>
                <w:szCs w:val="1"/>
                <w:color w:val="auto"/>
              </w:rPr>
            </w:pPr>
          </w:p>
        </w:tc>
      </w:tr>
      <w:tr>
        <w:trPr>
          <w:trHeight w:val="230"/>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WRF Term Loan, due 2027</w:t>
            </w:r>
          </w:p>
        </w:tc>
        <w:tc>
          <w:tcPr>
            <w:tcW w:w="5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18,736</w:t>
            </w:r>
          </w:p>
        </w:tc>
        <w:tc>
          <w:tcPr>
            <w:tcW w:w="0" w:type="dxa"/>
            <w:vAlign w:val="bottom"/>
          </w:tcPr>
          <w:p>
            <w:pPr>
              <w:spacing w:after="0"/>
              <w:rPr>
                <w:sz w:val="1"/>
                <w:szCs w:val="1"/>
                <w:color w:val="auto"/>
              </w:rPr>
            </w:pPr>
          </w:p>
        </w:tc>
      </w:tr>
      <w:tr>
        <w:trPr>
          <w:trHeight w:val="248"/>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1,129,136</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below table presents proceeds from the issuance, repayments, and repurchases of the specified debt instruments during the six months ended June 30, 2023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16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Proceeds from issuance</w:t>
            </w:r>
          </w:p>
        </w:tc>
        <w:tc>
          <w:tcPr>
            <w:tcW w:w="200" w:type="dxa"/>
            <w:vAlign w:val="bottom"/>
          </w:tcPr>
          <w:p>
            <w:pPr>
              <w:spacing w:after="0"/>
              <w:rPr>
                <w:sz w:val="13"/>
                <w:szCs w:val="13"/>
                <w:color w:val="auto"/>
              </w:rPr>
            </w:pPr>
          </w:p>
        </w:tc>
        <w:tc>
          <w:tcPr>
            <w:tcW w:w="14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Repayments and</w:t>
            </w:r>
          </w:p>
        </w:tc>
        <w:tc>
          <w:tcPr>
            <w:tcW w:w="0" w:type="dxa"/>
            <w:vAlign w:val="bottom"/>
          </w:tcPr>
          <w:p>
            <w:pPr>
              <w:spacing w:after="0"/>
              <w:rPr>
                <w:sz w:val="1"/>
                <w:szCs w:val="1"/>
                <w:color w:val="auto"/>
              </w:rPr>
            </w:pPr>
          </w:p>
        </w:tc>
      </w:tr>
      <w:tr>
        <w:trPr>
          <w:trHeight w:val="195"/>
        </w:trPr>
        <w:tc>
          <w:tcPr>
            <w:tcW w:w="7940" w:type="dxa"/>
            <w:vAlign w:val="bottom"/>
          </w:tcPr>
          <w:p>
            <w:pPr>
              <w:spacing w:after="0"/>
              <w:rPr>
                <w:sz w:val="16"/>
                <w:szCs w:val="16"/>
                <w:color w:val="auto"/>
              </w:rPr>
            </w:pPr>
          </w:p>
        </w:tc>
        <w:tc>
          <w:tcPr>
            <w:tcW w:w="16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repurchases</w:t>
            </w:r>
          </w:p>
        </w:tc>
        <w:tc>
          <w:tcPr>
            <w:tcW w:w="0" w:type="dxa"/>
            <w:vAlign w:val="bottom"/>
          </w:tcPr>
          <w:p>
            <w:pPr>
              <w:spacing w:after="0"/>
              <w:rPr>
                <w:sz w:val="1"/>
                <w:szCs w:val="1"/>
                <w:color w:val="auto"/>
              </w:rPr>
            </w:pPr>
          </w:p>
        </w:tc>
      </w:tr>
      <w:tr>
        <w:trPr>
          <w:trHeight w:val="228"/>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WRF 7 1/8% Senior Notes, due 2031</w:t>
            </w:r>
          </w:p>
        </w:tc>
        <w:tc>
          <w:tcPr>
            <w:tcW w:w="44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WML 4 1/2% Convertible Bonds, due 2029</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WRF 7 3/4% Senior Notes, due 2025</w:t>
            </w:r>
          </w:p>
        </w:tc>
        <w:tc>
          <w:tcPr>
            <w:tcW w:w="4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WLV 4 1/4% Senior Notes, due 2023</w:t>
            </w:r>
          </w:p>
        </w:tc>
        <w:tc>
          <w:tcPr>
            <w:tcW w:w="4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WLV 5 1/2% Senior Notes, due 2025</w:t>
            </w:r>
          </w:p>
        </w:tc>
        <w:tc>
          <w:tcPr>
            <w:tcW w:w="4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WRF Term Loan, due 2024</w:t>
            </w:r>
          </w:p>
        </w:tc>
        <w:tc>
          <w:tcPr>
            <w:tcW w:w="4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0" w:type="dxa"/>
            <w:vAlign w:val="bottom"/>
          </w:tcPr>
          <w:p>
            <w:pPr>
              <w:spacing w:after="0"/>
              <w:rPr>
                <w:sz w:val="1"/>
                <w:szCs w:val="1"/>
                <w:color w:val="auto"/>
              </w:rPr>
            </w:pPr>
          </w:p>
        </w:tc>
      </w:tr>
      <w:tr>
        <w:trPr>
          <w:trHeight w:val="248"/>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1,112,500</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56" w:lineRule="exact"/>
        <w:rPr>
          <w:sz w:val="20"/>
          <w:szCs w:val="20"/>
          <w:color w:val="auto"/>
        </w:rPr>
      </w:pPr>
    </w:p>
    <w:p>
      <w:pPr>
        <w:ind w:firstLine="405"/>
        <w:spacing w:after="0" w:line="270" w:lineRule="auto"/>
        <w:rPr>
          <w:sz w:val="20"/>
          <w:szCs w:val="20"/>
          <w:color w:val="auto"/>
        </w:rPr>
      </w:pPr>
      <w:r>
        <w:rPr>
          <w:rFonts w:ascii="Times New Roman" w:cs="Times New Roman" w:eastAsia="Times New Roman" w:hAnsi="Times New Roman"/>
          <w:sz w:val="18"/>
          <w:szCs w:val="18"/>
          <w:color w:val="auto"/>
        </w:rPr>
        <w:t>The following table summarizes our unrestricted cash and cash equivalents, investments, and available revolver borrowing capacity, excluding capacity under intercompany loan agreements, presented by significant financing entity as of June 30, 2024 (in thousands):</w:t>
      </w:r>
    </w:p>
    <w:tbl>
      <w:tblPr>
        <w:tblLayout w:type="fixed"/>
        <w:tblInd w:w="0" w:type="dxa"/>
        <w:tblCellMar>
          <w:top w:w="0" w:type="dxa"/>
          <w:left w:w="0" w:type="dxa"/>
          <w:bottom w:w="0" w:type="dxa"/>
          <w:right w:w="0" w:type="dxa"/>
        </w:tblCellMar>
      </w:tblP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Total Cash and Cash</w:t>
            </w:r>
          </w:p>
        </w:tc>
        <w:tc>
          <w:tcPr>
            <w:tcW w:w="220" w:type="dxa"/>
            <w:vAlign w:val="bottom"/>
          </w:tcPr>
          <w:p>
            <w:pPr>
              <w:spacing w:after="0"/>
              <w:rPr>
                <w:sz w:val="12"/>
                <w:szCs w:val="12"/>
                <w:color w:val="auto"/>
              </w:rPr>
            </w:pP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Investments </w:t>
            </w:r>
            <w:r>
              <w:rPr>
                <w:rFonts w:ascii="Times New Roman" w:cs="Times New Roman" w:eastAsia="Times New Roman" w:hAnsi="Times New Roman"/>
                <w:sz w:val="23"/>
                <w:szCs w:val="23"/>
                <w:b w:val="1"/>
                <w:bCs w:val="1"/>
                <w:color w:val="auto"/>
                <w:vertAlign w:val="superscript"/>
              </w:rPr>
              <w:t>(1)</w:t>
            </w:r>
          </w:p>
        </w:tc>
        <w:tc>
          <w:tcPr>
            <w:tcW w:w="140" w:type="dxa"/>
            <w:vAlign w:val="bottom"/>
          </w:tcPr>
          <w:p>
            <w:pPr>
              <w:spacing w:after="0"/>
              <w:rPr>
                <w:sz w:val="12"/>
                <w:szCs w:val="12"/>
                <w:color w:val="auto"/>
              </w:rPr>
            </w:pPr>
          </w:p>
        </w:tc>
        <w:tc>
          <w:tcPr>
            <w:tcW w:w="1460" w:type="dxa"/>
            <w:vAlign w:val="bottom"/>
          </w:tcPr>
          <w:p>
            <w:pPr>
              <w:jc w:val="right"/>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Revolver Borrowing</w:t>
            </w:r>
          </w:p>
        </w:tc>
        <w:tc>
          <w:tcPr>
            <w:tcW w:w="0" w:type="dxa"/>
            <w:vAlign w:val="bottom"/>
          </w:tcPr>
          <w:p>
            <w:pPr>
              <w:spacing w:after="0"/>
              <w:rPr>
                <w:sz w:val="1"/>
                <w:szCs w:val="1"/>
                <w:color w:val="auto"/>
              </w:rPr>
            </w:pPr>
          </w:p>
        </w:tc>
      </w:tr>
      <w:tr>
        <w:trPr>
          <w:trHeight w:val="200"/>
        </w:trPr>
        <w:tc>
          <w:tcPr>
            <w:tcW w:w="6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2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0" w:type="dxa"/>
            <w:vAlign w:val="bottom"/>
          </w:tcPr>
          <w:p>
            <w:pPr>
              <w:spacing w:after="0"/>
              <w:rPr>
                <w:sz w:val="1"/>
                <w:szCs w:val="1"/>
                <w:color w:val="auto"/>
              </w:rPr>
            </w:pP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Macau, Limited and subsidiaries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1,382,651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312,229</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Wynn Resorts Finance, LLC </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735,306</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Resorts, Limited and other</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2,379,415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500,000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1,047,535</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20" w:hanging="212"/>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consist of investments in fixed deposits maturing in less than one year.</w:t>
      </w:r>
    </w:p>
    <w:p>
      <w:pPr>
        <w:spacing w:after="0" w:line="1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Excluding Wynn Macau, Limited and subsidiaries.</w:t>
      </w:r>
    </w:p>
    <w:p>
      <w:pPr>
        <w:spacing w:after="0" w:line="24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Wynn Macau, Limited and subsidiaries</w:t>
      </w:r>
      <w:r>
        <w:rPr>
          <w:rFonts w:ascii="Times New Roman" w:cs="Times New Roman" w:eastAsia="Times New Roman" w:hAnsi="Times New Roman"/>
          <w:sz w:val="18"/>
          <w:szCs w:val="18"/>
          <w:color w:val="auto"/>
        </w:rPr>
        <w:t>. WML generates cash from our Macau Operations and may utilize proceeds from the WM Cayman 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Revolver to fund working capital requirements as needed. We expect to use this cash to service our WML Senior Notes, WM Cayman II Revolver, and WML Convertible Bonds, to pay dividends to shareholders of WML (of which we own approximately 72%), and to fund working capital and capital expenditure requirements at WML and our Macau Operations. In July 2024, the Company repaid approximately $40.0 million of outstanding WM Cayman II Revolver borrowings.</w:t>
      </w:r>
    </w:p>
    <w:p>
      <w:pPr>
        <w:spacing w:after="0" w:line="199"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8"/>
          <w:szCs w:val="18"/>
          <w:color w:val="auto"/>
        </w:rPr>
        <w:t>WML is a holding company and, as a result, its ability to pay dividends to WRF is dependent on WML receiving distributions from its subsidiaries. WML, as guarantor under the WM Cayman II Revolver facility agreement, may be subject to certain restrictions on payments of dividends or distributions to its shareholders, unless certain financial criteria have been satisfied. The WM Cayman II Revolver facility agreement contains representations, warranties, covenants and events of default customary for similar financings, including, but not limited to, restrictions on indebtedness to be incurred by WM Cayman II or its subsidiaries.</w:t>
      </w:r>
    </w:p>
    <w:p>
      <w:pPr>
        <w:spacing w:after="0" w:line="22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May 2024, the WML Board of Directors announced an amendment to WML's dividend policy, pursuant to which the WML Board of Directors will meet semiannually to consider the declaration of dividends, and may also meet at any time during the year as the WML Board of Directors deems fit to consider the declaration of special dividends. On June 19, 2024, WML paid a cash dividend of HK$0.075 per share for a total U.S. dollar equivalent of approximately $50.4 million in respect of the year ended December 31, 2023. Our share of this dividend was $36.0 million.</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If our portion of cash available for repatriation was repatriated on June 30, 2024, it would be subject to minimal U.S. taxes.</w:t>
      </w:r>
    </w:p>
    <w:p>
      <w:pPr>
        <w:spacing w:after="0" w:line="25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Wynn Resorts Finance, LLC and subsidiaries. </w:t>
      </w:r>
      <w:r>
        <w:rPr>
          <w:rFonts w:ascii="Times New Roman" w:cs="Times New Roman" w:eastAsia="Times New Roman" w:hAnsi="Times New Roman"/>
          <w:sz w:val="18"/>
          <w:szCs w:val="18"/>
          <w:color w:val="auto"/>
        </w:rPr>
        <w:t>Wynn Resorts Finance, LLC ("WRF" or "Wynn Resorts Finance") generates cash from distributions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its subsidiaries, which include our Macau Operations, Wynn Las Vegas, and Encore Boston Harbor, and capital contributions from Wynn Resorts, as required. In addition, WRF may utilize its available revolving borrowing capacity as needed. We expect to use this cash to service our WRF Credit Facilities, the WRF Senior Notes, and the Wynn Las Vegas Senior Notes, and to fund working capital and capital expenditure requirements as needed.</w:t>
      </w:r>
    </w:p>
    <w:p>
      <w:pPr>
        <w:spacing w:after="0" w:line="20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WRF is a holding company and, as a result, its ability to pay dividends to Wynn Resorts is dependent on WRF receiving distributions from its subsidiaries. The WRF Credit Agreement contains customary negative and financial covenants, including, but not limited to, covenants that restrict WRF's ability to pay dividends or distributions and incur additional indebtedness.</w:t>
      </w:r>
    </w:p>
    <w:p>
      <w:pPr>
        <w:spacing w:after="0" w:line="20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February 2024, WRF issued an additional $400.0 million aggregate principal amount of 7 1/8% Senior Notes due 2031 (the "2031 WRF Add-On Senior Notes") in a private offering. The 2031 WRF Add-On Senior Notes were issued at a price equal to 103.0% of the principal amount, for net proceeds of approximately $409.5 million.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February and March 2024, we repurchased $800.0 million aggregate principal amount of our 5 1/2% Senior Notes due 2025 (the "2025 WLV Senior Notes"), which consisted of i) $681.0 million aggregate principal amount of validly tendered notes repurchased at a price equal to 97.2% of the principal amount, plus accrued interest and an early tender premium of $20.3 million, and ii) $119.0 million aggregate principal amount of notes repurchased on a pro-rata basis at a price equal of 100% of the principal amount plus accrued interest under the terms of its indenture. Included in the $119.0 million repurchase was $3.3 million aggregate principal amount of 2025 WLV Senior Notes held by Wynn Resorts. We used the net proceeds from the 2031 WRF Add-On Senior Notes and cash held by WRF to purchase such validly tendered 2025 WLV Senior Notes and to pay the early tender premium and related fees and expenses.</w:t>
      </w:r>
    </w:p>
    <w:p>
      <w:pPr>
        <w:spacing w:after="0" w:line="21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Wynn Resorts, Limited and other subsidiaries. </w:t>
      </w:r>
      <w:r>
        <w:rPr>
          <w:rFonts w:ascii="Times New Roman" w:cs="Times New Roman" w:eastAsia="Times New Roman" w:hAnsi="Times New Roman"/>
          <w:sz w:val="18"/>
          <w:szCs w:val="18"/>
          <w:color w:val="auto"/>
        </w:rPr>
        <w:t>Wynn Resorts, Limited is a holding company and, as a result, our ability to pay dividends is 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ability to obtain funds and our subsidiaries' ability to provide funds to us. Wynn Resorts, Limited and other primarily generates cash from royalty (including intellectual property license) and management agreements with our resorts, dividends and distributions from our subsidiaries, and the operations of the Retail Joint Venture of which we own 50.1%. Fees payable by Wynn Macau SA to Wynn Resorts, Limited under its intellectual property license agreement are capped at $140.0 million for the year ending December 31, 2024. We expect to use cash held by Wynn Resorts, Limited and other to service our Retail Term Loan, to fund working capital needs of our subsidiaries, pay dividends, make required capital contributions to the entity which owns the Wynn Al Marjan Island development, and for general corporate purposes.</w:t>
      </w:r>
    </w:p>
    <w:p>
      <w:pPr>
        <w:spacing w:after="0" w:line="21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the Company determined not to proceed with its planned phased development project adjacent to Encore Boston Harbor, and expensed $61.5 million of costs, including $4.7 million of internally allocated overhead, that had been previously capitalized.</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second quarter of 2024, the Company contributed $356.5 million of cash into Island 3, bringing our life-to-date cash contributions to $514.4 million. The cash contributed in the quarter was used primarily to fund our pro rata portion of the purchase of approximately 155 acres of land underlying the Wynn Al Marjan Island integrated resort development site, including the remaining 70 acres of land on Island 3 for potential future development (the "Marjan Land Bank"). We estimate our remaining 40% pro-rata share of the required equity is approximately $900 million, inclusive of capitalized interest, fees, and certain improvements on the Island. Wynn Al Marjan Island is currently expected to open in 2027.</w:t>
      </w:r>
    </w:p>
    <w:p>
      <w:pPr>
        <w:spacing w:after="0" w:line="21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paid a cash dividend of $0.25 per share in each of the quarters ended March 31, 2024 and June 30, 2024 and recorded $28.0 million in each period, against accumulated deficit. On August 6, 2024, the Company's Board of Directors declared a cash dividend of $0.25 per share on its common stock, payable on August 30, 2024 to stockholders of record as of August 19, 2024.</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Factors Affecting Liquidity</w:t>
      </w:r>
    </w:p>
    <w:p>
      <w:pPr>
        <w:spacing w:after="0" w:line="2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may refinance all or a portion of our indebtedness on or before maturity. We cannot assure you that we will be able to refinance any of the indebtedness on acceptable terms or at all.</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Note 15, "Commitments and Contingencies."</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April 2016, our Board of Directors authorized an equity repurchase program of up to $1.00 billion. Under the equity repurchase program, we may repurchase the Company's outstanding shares from time to time through open market purchases, in privately negotiated transactions, and under plans complying with Rules 10b5-1 and 10b-18 under the Securities Exchange Act of 1934, as amended (the "Exchange Act"). As of June 30, 2024, we had $365.4 million in repurchase authority remaining under the program.</w:t>
      </w:r>
    </w:p>
    <w:p>
      <w:pPr>
        <w:spacing w:after="0" w:line="20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in the past repurchased, and in the future, we may periodically consider repurchasing our outstanding notes for cash. The amount of any shares and/or notes to be repurchased, as well as the timing of any repurchases, will be based on business, market and other conditions and factors, including price, contractual requirements or consents, and capital availability.</w:t>
      </w:r>
    </w:p>
    <w:p>
      <w:pPr>
        <w:spacing w:after="0" w:line="203"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may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require us to obtain additional financing. We may decide to conduct any such development through Wynn Resorts, Limited or through subsidiaries separate from the Las Vegas, Boston or Macau-related entities.</w:t>
      </w:r>
    </w:p>
    <w:p>
      <w:pPr>
        <w:ind w:left="180"/>
        <w:spacing w:after="0"/>
        <w:rPr>
          <w:sz w:val="20"/>
          <w:szCs w:val="20"/>
          <w:color w:val="auto"/>
        </w:rPr>
      </w:pPr>
      <w:r>
        <w:rPr>
          <w:rFonts w:ascii="Times New Roman" w:cs="Times New Roman" w:eastAsia="Times New Roman" w:hAnsi="Times New Roman"/>
          <w:sz w:val="18"/>
          <w:szCs w:val="18"/>
          <w:i w:val="1"/>
          <w:iCs w:val="1"/>
          <w:color w:val="auto"/>
        </w:rPr>
        <w:t>Contractual Commitments</w:t>
      </w:r>
    </w:p>
    <w:p>
      <w:pPr>
        <w:spacing w:after="0" w:line="23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except as described below, there have been no material changes to the contractual obligations previously reported in our Annual Report on Form 10-K for the year ended December 31, 2023.</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our fixed interest rate long-term debt obligations decreased by a net amount of $396.7 million, as a result of $796.7 million in debt repayments in connection with the repurchase of the 2025 WLV Senior Notes, net of $400.0 million in long-term debt issuances in connection with the issuance of the 2031 Add-On Senior Notes, as described above. As a result, our annual fixed interest payments are expected to decrease $12.5 million for 2024, and increase $21.2 million in 2025, $28.5 million in each of 2026, 2027, and 2028, and $60.6 million thereafter.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description of our critical accounting policies is included in Item 7 of our Annual Report on Form 10-K for the year ended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to these policies for the six months ended June 30, 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 and Accounting Standards Issued But Not Yet Adopted</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related disclosure in Note 2, "Basis of Presentation and Significant Accounting Policies" of Part I in this Quarterly Report on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w:t>
      </w:r>
    </w:p>
    <w:p>
      <w:pPr>
        <w:spacing w:after="0" w:line="189" w:lineRule="exact"/>
        <w:rPr>
          <w:sz w:val="20"/>
          <w:szCs w:val="20"/>
          <w:color w:val="auto"/>
        </w:rPr>
      </w:pPr>
    </w:p>
    <w:p>
      <w:pPr>
        <w:jc w:val="both"/>
        <w:ind w:firstLine="202"/>
        <w:spacing w:after="0" w:line="282" w:lineRule="auto"/>
        <w:rPr>
          <w:sz w:val="20"/>
          <w:szCs w:val="20"/>
          <w:color w:val="auto"/>
        </w:rPr>
      </w:pPr>
      <w:r>
        <w:rPr>
          <w:rFonts w:ascii="Times New Roman" w:cs="Times New Roman" w:eastAsia="Times New Roman" w:hAnsi="Times New Roman"/>
          <w:sz w:val="18"/>
          <w:szCs w:val="18"/>
          <w:color w:val="auto"/>
        </w:rPr>
        <w:t>Additional information about market risks to which we are exposed is included within our Annual Report on Form 10-K for the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Risks</w:t>
      </w:r>
    </w:p>
    <w:p>
      <w:pPr>
        <w:spacing w:after="0" w:line="256"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241"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As of June 30, 2024, approximately 77% of our long-term debt was based on fixed rates. Based on our outstanding borrowings as of June 30, 2024 and an interest rate collar on the Retail Term Loan, an assumed 100 basis point change in the variable rates would cause our annual interest expense to change by $19.7 million.</w:t>
      </w:r>
    </w:p>
    <w:p>
      <w:pPr>
        <w:spacing w:after="0" w:line="21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order to mitigate exposure to interest rate fluctuations on the Retail Term Loan, the Company entered into an interest rate collar with a notional value of $615.0 million. The interest rate collar establishes a range whereby the Company will pay the counterparty if one-month SOFR falls below the established floor rate of 1.00%, and the counterparty will pay the Company if one-month SOFR exceeds the ceiling rate of 3.67%.</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Risks</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expect most of the revenues and expenses for any casino that we operate in Macau will be denominated in Hong Kong dollars or Macau patacas; however, a significant portion of the debt issued by WML is denominated in U.S. dollars. Fluctuations in the exchange rates resulting in weakening of the Macau pataca or the Hong Kong dollar in relation to the U.S. dollar could have materially adverse effects on our results, financial condition and ability to service debt. Based on our balances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an assumed 1% change in the U.S. dollar/Hong Kong dollar exchange rate would cause a foreign currency transaction gain/loss of $46.5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("CEO") and Chief Financial Officer ("CFO"), has evaluated the effectiveness of the Company's disclosure controls and procedures (as such term is defined in Rules 13a-15(e) and 15d-15(e) under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CEO and CFO have concluded that, as of the period covered by this report, the Company's disclosure controls and procedures were effective, at the reasonable assurance level, in recording, processing, summarizing and reporting, on a timely basis, information required to be disclosed by the Company in the reports that it files or furnishes under the Exchange Act and were effective in ensuring that information required to be disclosed by the Company in the reports that it files or furnishes under the Exchange Act is accumulated and communicated to the Company's management, including the Company's CEO and CFO, as appropriate to allow timely decisions regarding required disclosure.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15, "Commitments and Contingencies" of Part I in this Quarterly Report on Form 10-Q.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 description of our risk factors can be found in Item 1A, Part I of our Annual Report on Form 10-K for the year ended December 31, 2023. There were no material changes to those risk factors during the six months ended June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share repurchases made by the Company during the three months ended June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198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6"/>
        </w:trPr>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2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2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20" w:type="dxa"/>
            <w:vAlign w:val="bottom"/>
          </w:tcPr>
          <w:p>
            <w:pPr>
              <w:spacing w:after="0"/>
              <w:rPr>
                <w:sz w:val="12"/>
                <w:szCs w:val="12"/>
                <w:color w:val="auto"/>
              </w:rPr>
            </w:pPr>
          </w:p>
        </w:tc>
        <w:tc>
          <w:tcPr>
            <w:tcW w:w="19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203"/>
        </w:trPr>
        <w:tc>
          <w:tcPr>
            <w:tcW w:w="2540" w:type="dxa"/>
            <w:vAlign w:val="bottom"/>
            <w:gridSpan w:val="2"/>
            <w:vMerge w:val="continue"/>
          </w:tcPr>
          <w:p>
            <w:pPr>
              <w:spacing w:after="0"/>
              <w:rPr>
                <w:sz w:val="17"/>
                <w:szCs w:val="17"/>
                <w:color w:val="auto"/>
              </w:rPr>
            </w:pPr>
          </w:p>
        </w:tc>
        <w:tc>
          <w:tcPr>
            <w:tcW w:w="220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4"/>
                <w:szCs w:val="14"/>
                <w:b w:val="1"/>
                <w:bCs w:val="1"/>
                <w:color w:val="auto"/>
                <w:w w:val="94"/>
              </w:rPr>
              <w:t xml:space="preserve">Purchased </w:t>
            </w:r>
            <w:r>
              <w:rPr>
                <w:rFonts w:ascii="Times New Roman" w:cs="Times New Roman" w:eastAsia="Times New Roman" w:hAnsi="Times New Roman"/>
                <w:sz w:val="23"/>
                <w:szCs w:val="23"/>
                <w:b w:val="1"/>
                <w:bCs w:val="1"/>
                <w:color w:val="auto"/>
                <w:w w:val="94"/>
                <w:vertAlign w:val="superscript"/>
              </w:rPr>
              <w:t>(1) (2)</w:t>
            </w:r>
          </w:p>
        </w:tc>
        <w:tc>
          <w:tcPr>
            <w:tcW w:w="120" w:type="dxa"/>
            <w:vAlign w:val="bottom"/>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220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Announced Plans or Programs </w:t>
            </w:r>
            <w:r>
              <w:rPr>
                <w:rFonts w:ascii="Times New Roman" w:cs="Times New Roman" w:eastAsia="Times New Roman" w:hAnsi="Times New Roman"/>
                <w:sz w:val="23"/>
                <w:szCs w:val="23"/>
                <w:b w:val="1"/>
                <w:bCs w:val="1"/>
                <w:color w:val="auto"/>
                <w:vertAlign w:val="superscript"/>
              </w:rPr>
              <w:t>(2)</w:t>
            </w:r>
          </w:p>
        </w:tc>
        <w:tc>
          <w:tcPr>
            <w:tcW w:w="120" w:type="dxa"/>
            <w:vAlign w:val="bottom"/>
          </w:tcPr>
          <w:p>
            <w:pPr>
              <w:spacing w:after="0"/>
              <w:rPr>
                <w:sz w:val="17"/>
                <w:szCs w:val="17"/>
                <w:color w:val="auto"/>
              </w:rPr>
            </w:pPr>
          </w:p>
        </w:tc>
        <w:tc>
          <w:tcPr>
            <w:tcW w:w="198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Programs (in thousands)</w:t>
            </w:r>
          </w:p>
        </w:tc>
        <w:tc>
          <w:tcPr>
            <w:tcW w:w="0" w:type="dxa"/>
            <w:vAlign w:val="bottom"/>
          </w:tcPr>
          <w:p>
            <w:pPr>
              <w:spacing w:after="0"/>
              <w:rPr>
                <w:sz w:val="1"/>
                <w:szCs w:val="1"/>
                <w:color w:val="auto"/>
              </w:rPr>
            </w:pPr>
          </w:p>
        </w:tc>
      </w:tr>
      <w:tr>
        <w:trPr>
          <w:trHeight w:val="223"/>
        </w:trPr>
        <w:tc>
          <w:tcPr>
            <w:tcW w:w="24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April 1, 2024 to April 30, 2024</w:t>
            </w:r>
          </w:p>
        </w:tc>
        <w:tc>
          <w:tcPr>
            <w:tcW w:w="8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May 1, 2024 to May 31, 2024</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223,635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1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220,738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412,360</w:t>
            </w: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June 1, 2024 to June 30, 2024</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521,796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w:t>
            </w: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365,378</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firstLine="8"/>
        <w:spacing w:after="0" w:line="261" w:lineRule="auto"/>
        <w:tabs>
          <w:tab w:leader="none" w:pos="21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purchased in April 2024, May 2024, and June 2024 include 10,210, 2,897 and 1,194 shares, respectively, purchased in satisfaction of employee tax withholding obligations on vested restricted stock granted under our stock incentive plans. Refer to Note 13, "Stock-Based Compensation" to our Consolidated Financial Statements included in our 2023 Form 10-K for additional details on our stock incentive plans.</w:t>
      </w:r>
    </w:p>
    <w:p>
      <w:pPr>
        <w:jc w:val="both"/>
        <w:ind w:firstLine="8"/>
        <w:spacing w:after="0" w:line="272" w:lineRule="auto"/>
        <w:tabs>
          <w:tab w:leader="none" w:pos="213"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20, 2016, the Company announced that the Board of Directors authorized an equity repurchase program of up to $1.0 billion of our common stock, with no expiration. Under the program, repurchases may be made at the discretion of the Company from time to time on the open market or in privately negotiated transactions. The Company is not obligated to make any repurchases, and the repurchase program may be discontinued at any time. Any shares acquired are held as treasury shares and available for general corporate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 Upon Senior Securities.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None of the Company’s directors or officers (as defined in Section 16 of the Exchange Act) adopted, modified or terminated a “Rule 10b5-1 trading arrangement” or a “non-Rule 10b5-1 trading arrangement” (each as defined in Item 408(a) and (c) of Regulation S-K) during the Company’s fiscal quarter ended June 30,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ind w:left="820" w:hanging="650"/>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44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18" w:lineRule="exact"/>
        <w:rPr>
          <w:sz w:val="20"/>
          <w:szCs w:val="20"/>
          <w:color w:val="auto"/>
        </w:rPr>
      </w:pPr>
    </w:p>
    <w:p>
      <w:pPr>
        <w:ind w:left="860"/>
        <w:spacing w:after="0"/>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61">
        <w:r>
          <w:rPr>
            <w:rFonts w:ascii="Times New Roman" w:cs="Times New Roman" w:eastAsia="Times New Roman" w:hAnsi="Times New Roman"/>
            <w:sz w:val="18"/>
            <w:szCs w:val="18"/>
            <w:u w:val="single" w:color="auto"/>
            <w:color w:val="0000FF"/>
          </w:rPr>
          <w:t>Third Amended and Restated Articles of Incorporation of the Registrant. (Incorporated by reference from the Quarterly Report on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940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ind w:left="1220"/>
        <w:spacing w:after="0"/>
        <w:rPr>
          <w:rFonts w:ascii="Times New Roman" w:cs="Times New Roman" w:eastAsia="Times New Roman" w:hAnsi="Times New Roman"/>
          <w:sz w:val="18"/>
          <w:szCs w:val="18"/>
          <w:u w:val="single" w:color="auto"/>
          <w:color w:val="0000FF"/>
        </w:rPr>
      </w:pPr>
      <w:hyperlink r:id="rId61">
        <w:r>
          <w:rPr>
            <w:rFonts w:ascii="Times New Roman" w:cs="Times New Roman" w:eastAsia="Times New Roman" w:hAnsi="Times New Roman"/>
            <w:sz w:val="18"/>
            <w:szCs w:val="18"/>
            <w:u w:val="single" w:color="auto"/>
            <w:color w:val="0000FF"/>
          </w:rPr>
          <w:t>10-Q filed by the Registrant on May 8, 2015.)</w:t>
        </w:r>
      </w:hyperlink>
    </w:p>
    <w:p>
      <w:pPr>
        <w:spacing w:after="0" w:line="7" w:lineRule="exact"/>
        <w:rPr>
          <w:sz w:val="20"/>
          <w:szCs w:val="20"/>
          <w:color w:val="auto"/>
        </w:rPr>
      </w:pPr>
    </w:p>
    <w:p>
      <w:pPr>
        <w:ind w:left="1220" w:right="340" w:hanging="368"/>
        <w:spacing w:after="0" w:line="242"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63">
        <w:r>
          <w:rPr>
            <w:rFonts w:ascii="Times New Roman" w:cs="Times New Roman" w:eastAsia="Times New Roman" w:hAnsi="Times New Roman"/>
            <w:sz w:val="18"/>
            <w:szCs w:val="18"/>
            <w:u w:val="single" w:color="auto"/>
            <w:color w:val="0000FF"/>
          </w:rPr>
          <w:t>Ninth Amended and Restated Bylaws of the Registrant. (Incorporated by reference from the Annual Report on Form 10-K filed by the</w:t>
        </w:r>
      </w:hyperlink>
      <w:r>
        <w:rPr>
          <w:rFonts w:ascii="Times New Roman" w:cs="Times New Roman" w:eastAsia="Times New Roman" w:hAnsi="Times New Roman"/>
          <w:sz w:val="18"/>
          <w:szCs w:val="18"/>
          <w:u w:val="single" w:color="auto"/>
          <w:color w:val="0000FF"/>
        </w:rPr>
        <w:t xml:space="preserve"> </w:t>
      </w:r>
      <w:hyperlink r:id="rId63">
        <w:r>
          <w:rPr>
            <w:rFonts w:ascii="Times New Roman" w:cs="Times New Roman" w:eastAsia="Times New Roman" w:hAnsi="Times New Roman"/>
            <w:sz w:val="18"/>
            <w:szCs w:val="18"/>
            <w:u w:val="single" w:color="auto"/>
            <w:color w:val="0000FF"/>
          </w:rPr>
          <w:t>Registrant on February 28, 2020.)</w:t>
        </w:r>
      </w:hyperlink>
    </w:p>
    <w:p>
      <w:pPr>
        <w:spacing w:after="0" w:line="1" w:lineRule="exact"/>
        <w:rPr>
          <w:sz w:val="20"/>
          <w:szCs w:val="20"/>
          <w:color w:val="auto"/>
        </w:rPr>
      </w:pPr>
    </w:p>
    <w:p>
      <w:pPr>
        <w:ind w:left="680"/>
        <w:spacing w:after="0"/>
        <w:tabs>
          <w:tab w:leader="none" w:pos="12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of Periodic Report Pursuant to Rule 13a – 14(a) and Rule 15d – 14(a).</w:t>
      </w:r>
    </w:p>
    <w:p>
      <w:pPr>
        <w:spacing w:after="0" w:line="23" w:lineRule="exact"/>
        <w:rPr>
          <w:sz w:val="20"/>
          <w:szCs w:val="20"/>
          <w:color w:val="auto"/>
        </w:rPr>
      </w:pPr>
    </w:p>
    <w:p>
      <w:pPr>
        <w:ind w:left="680"/>
        <w:spacing w:after="0"/>
        <w:tabs>
          <w:tab w:leader="none" w:pos="12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of Periodic Report Pursuant to Rule 13a – 14(a) and Rule 15d – 14(a).</w:t>
      </w:r>
    </w:p>
    <w:p>
      <w:pPr>
        <w:spacing w:after="0" w:line="23" w:lineRule="exact"/>
        <w:rPr>
          <w:sz w:val="20"/>
          <w:szCs w:val="20"/>
          <w:color w:val="auto"/>
        </w:rPr>
      </w:pPr>
    </w:p>
    <w:p>
      <w:pPr>
        <w:ind w:left="1220" w:hanging="316"/>
        <w:spacing w:after="0"/>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CEO and CFO Pursuant to 18 U.S.C. Section 1350 (furnished herewith).</w:t>
      </w:r>
    </w:p>
    <w:p>
      <w:pPr>
        <w:spacing w:after="0" w:line="23" w:lineRule="exact"/>
        <w:rPr>
          <w:sz w:val="20"/>
          <w:szCs w:val="20"/>
          <w:color w:val="auto"/>
        </w:rPr>
      </w:pPr>
    </w:p>
    <w:p>
      <w:pPr>
        <w:jc w:val="both"/>
        <w:ind w:left="1220" w:right="20" w:hanging="406"/>
        <w:spacing w:after="0" w:line="217" w:lineRule="auto"/>
        <w:tabs>
          <w:tab w:leader="none" w:pos="1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 from Wynn Resorts, Limited's Quarterly Report on Form 10-Q, formatted in Inline XBRL (Inline Extensible Business Reporting Language): (i) the Condensed Consolidated Balance Sheets as of June 30, 2024 and December 31, 2023; (ii) the Condensed Consolidated Statements of Income for the three and six months ended June 30, 2024 and 2023; (iii) the Condensed Consolidated Statements of Comprehensive Income for the three and six months ended June 30, 2024 and 2023; (iv) the Condensed Consolidated Statements of Stockholders' Deficit for the three and six months ended June 30, 2024 and 2023; (v) the Condensed Consolidated Statements of Cash Flows for the six months ended June 30, 2024 and 2023; and (vi) Notes to Condensed Consolidated Financial Statements. The instance document does not appear in the Interactive Data File because its XBRL tags are embedded within the Inline XBRL document.</w:t>
      </w:r>
    </w:p>
    <w:p>
      <w:pPr>
        <w:spacing w:after="0" w:line="1" w:lineRule="exact"/>
        <w:rPr>
          <w:sz w:val="20"/>
          <w:szCs w:val="20"/>
          <w:color w:val="auto"/>
        </w:rPr>
      </w:pPr>
    </w:p>
    <w:p>
      <w:pPr>
        <w:ind w:left="820"/>
        <w:spacing w:after="0"/>
        <w:tabs>
          <w:tab w:leader="none" w:pos="1200" w:val="left"/>
        </w:tabs>
        <w:rPr>
          <w:sz w:val="20"/>
          <w:szCs w:val="20"/>
          <w:color w:val="auto"/>
        </w:rPr>
      </w:pPr>
      <w:r>
        <w:rPr>
          <w:rFonts w:ascii="Times New Roman" w:cs="Times New Roman" w:eastAsia="Times New Roman" w:hAnsi="Times New Roman"/>
          <w:sz w:val="18"/>
          <w:szCs w:val="18"/>
          <w:color w:val="auto"/>
        </w:rPr>
        <w:t>104</w:t>
        <w:tab/>
        <w:t>Cover Page Interactive Data File - The cover page XBRL tags are embedded within the Inline XBRL document.</w:t>
      </w: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Wynn Resorts, Limited agrees to furnish to the U.S. Securities and Exchange Commission, upon request, a copy of each agreement with respect to long-term debt not filed herewith in reliance upon the exemption from filing applicable to any series of debt which does not exceed 10% of the total consolidated assets of the Company.</w:t>
      </w:r>
    </w:p>
    <w:p>
      <w:pPr>
        <w:spacing w:after="0" w:line="135"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WYNN RESORTS, LIMITED</w:t>
            </w:r>
          </w:p>
        </w:tc>
      </w:tr>
      <w:tr>
        <w:trPr>
          <w:trHeight w:val="28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6, 2024</w:t>
            </w:r>
          </w:p>
        </w:tc>
        <w:tc>
          <w:tcPr>
            <w:tcW w:w="3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Julie Cameron-Doe</w:t>
            </w:r>
          </w:p>
        </w:tc>
      </w:tr>
      <w:tr>
        <w:trPr>
          <w:trHeight w:val="218"/>
        </w:trPr>
        <w:tc>
          <w:tcPr>
            <w:tcW w:w="35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Julie Cameron-Doe</w:t>
            </w:r>
          </w:p>
        </w:tc>
      </w:tr>
      <w:tr>
        <w:trPr>
          <w:trHeight w:val="230"/>
        </w:trPr>
        <w:tc>
          <w:tcPr>
            <w:tcW w:w="35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04"/>
        </w:trPr>
        <w:tc>
          <w:tcPr>
            <w:tcW w:w="3580" w:type="dxa"/>
            <w:vAlign w:val="bottom"/>
          </w:tcPr>
          <w:p>
            <w:pPr>
              <w:spacing w:after="0"/>
              <w:rPr>
                <w:sz w:val="24"/>
                <w:szCs w:val="24"/>
                <w:color w:val="auto"/>
              </w:rPr>
            </w:pPr>
          </w:p>
        </w:tc>
        <w:tc>
          <w:tcPr>
            <w:tcW w:w="346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49</w:t>
            </w:r>
          </w:p>
        </w:tc>
        <w:tc>
          <w:tcPr>
            <w:tcW w:w="4160" w:type="dxa"/>
            <w:vAlign w:val="bottom"/>
          </w:tcPr>
          <w:p>
            <w:pPr>
              <w:spacing w:after="0"/>
              <w:rPr>
                <w:sz w:val="24"/>
                <w:szCs w:val="24"/>
                <w:color w:val="auto"/>
              </w:rPr>
            </w:pPr>
          </w:p>
        </w:tc>
      </w:tr>
    </w:tbl>
    <w:p>
      <w:pPr>
        <w:sectPr>
          <w:pgSz w:w="11900" w:h="16838" w:orient="portrait"/>
          <w:cols w:equalWidth="0" w:num="1">
            <w:col w:w="11220"/>
          </w:cols>
          <w:pgMar w:left="320" w:top="118" w:right="35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S. Billings, certify that:</w:t>
      </w:r>
    </w:p>
    <w:p>
      <w:pPr>
        <w:spacing w:after="0" w:line="63" w:lineRule="exact"/>
        <w:rPr>
          <w:sz w:val="20"/>
          <w:szCs w:val="20"/>
          <w:color w:val="auto"/>
        </w:rPr>
      </w:pPr>
    </w:p>
    <w:p>
      <w:pPr>
        <w:ind w:left="980" w:hanging="972"/>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Resorts, Limited;</w:t>
      </w:r>
    </w:p>
    <w:p>
      <w:pPr>
        <w:spacing w:after="0" w:line="63" w:lineRule="exact"/>
        <w:rPr>
          <w:rFonts w:ascii="Times New Roman" w:cs="Times New Roman" w:eastAsia="Times New Roman" w:hAnsi="Times New Roman"/>
          <w:sz w:val="18"/>
          <w:szCs w:val="18"/>
          <w:color w:val="auto"/>
        </w:rPr>
      </w:pPr>
    </w:p>
    <w:p>
      <w:pPr>
        <w:jc w:val="both"/>
        <w:ind w:left="980" w:right="60" w:hanging="972"/>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980" w:right="20" w:hanging="972"/>
        <w:spacing w:after="0" w:line="281"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980" w:hanging="972"/>
        <w:spacing w:after="0" w:line="276" w:lineRule="auto"/>
        <w:tabs>
          <w:tab w:leader="none" w:pos="9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44" w:lineRule="exact"/>
        <w:rPr>
          <w:rFonts w:ascii="Times New Roman" w:cs="Times New Roman" w:eastAsia="Times New Roman" w:hAnsi="Times New Roman"/>
          <w:sz w:val="17"/>
          <w:szCs w:val="17"/>
          <w:color w:val="auto"/>
        </w:rPr>
      </w:pPr>
    </w:p>
    <w:p>
      <w:pPr>
        <w:ind w:left="1960" w:right="80" w:hanging="980"/>
        <w:spacing w:after="0" w:line="266" w:lineRule="auto"/>
        <w:tabs>
          <w:tab w:leader="none" w:pos="195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960" w:right="220" w:hanging="980"/>
        <w:spacing w:after="0" w:line="266" w:lineRule="auto"/>
        <w:tabs>
          <w:tab w:leader="none" w:pos="194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1960" w:hanging="980"/>
        <w:spacing w:after="0" w:line="266" w:lineRule="auto"/>
        <w:tabs>
          <w:tab w:leader="none" w:pos="195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 w:lineRule="exact"/>
        <w:rPr>
          <w:rFonts w:ascii="Times New Roman" w:cs="Times New Roman" w:eastAsia="Times New Roman" w:hAnsi="Times New Roman"/>
          <w:sz w:val="18"/>
          <w:szCs w:val="18"/>
          <w:color w:val="auto"/>
        </w:rPr>
      </w:pPr>
    </w:p>
    <w:p>
      <w:pPr>
        <w:ind w:left="1960" w:right="320" w:hanging="980"/>
        <w:spacing w:after="0" w:line="266" w:lineRule="auto"/>
        <w:tabs>
          <w:tab w:leader="none" w:pos="194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980" w:right="140" w:hanging="972"/>
        <w:spacing w:after="0" w:line="298" w:lineRule="auto"/>
        <w:tabs>
          <w:tab w:leader="none" w:pos="9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960" w:right="80" w:hanging="980"/>
        <w:spacing w:after="0" w:line="266" w:lineRule="auto"/>
        <w:tabs>
          <w:tab w:leader="none" w:pos="195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1960" w:right="100" w:hanging="980"/>
        <w:spacing w:after="0" w:line="282" w:lineRule="auto"/>
        <w:tabs>
          <w:tab w:leader="none" w:pos="194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2024</w:t>
            </w:r>
          </w:p>
        </w:tc>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 Billings</w:t>
            </w:r>
          </w:p>
        </w:tc>
        <w:tc>
          <w:tcPr>
            <w:tcW w:w="100" w:type="dxa"/>
            <w:vAlign w:val="bottom"/>
          </w:tcPr>
          <w:p>
            <w:pPr>
              <w:spacing w:after="0"/>
              <w:rPr>
                <w:sz w:val="18"/>
                <w:szCs w:val="18"/>
                <w:color w:val="auto"/>
              </w:rPr>
            </w:pPr>
          </w:p>
        </w:tc>
      </w:tr>
      <w:tr>
        <w:trPr>
          <w:trHeight w:val="196"/>
        </w:trPr>
        <w:tc>
          <w:tcPr>
            <w:tcW w:w="5860" w:type="dxa"/>
            <w:vAlign w:val="bottom"/>
          </w:tcPr>
          <w:p>
            <w:pPr>
              <w:spacing w:after="0"/>
              <w:rPr>
                <w:sz w:val="17"/>
                <w:szCs w:val="17"/>
                <w:color w:val="auto"/>
              </w:rPr>
            </w:pPr>
          </w:p>
        </w:tc>
        <w:tc>
          <w:tcPr>
            <w:tcW w:w="21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Craig S. Billings</w:t>
            </w:r>
          </w:p>
        </w:tc>
      </w:tr>
      <w:tr>
        <w:trPr>
          <w:trHeight w:val="175"/>
        </w:trPr>
        <w:tc>
          <w:tcPr>
            <w:tcW w:w="5860" w:type="dxa"/>
            <w:vAlign w:val="bottom"/>
          </w:tcPr>
          <w:p>
            <w:pPr>
              <w:spacing w:after="0"/>
              <w:rPr>
                <w:sz w:val="15"/>
                <w:szCs w:val="15"/>
                <w:color w:val="auto"/>
              </w:rPr>
            </w:pPr>
          </w:p>
        </w:tc>
        <w:tc>
          <w:tcPr>
            <w:tcW w:w="21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86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bl>
    <w:p>
      <w:pPr>
        <w:sectPr>
          <w:pgSz w:w="11900" w:h="16838" w:orient="portrait"/>
          <w:cols w:equalWidth="0" w:num="1">
            <w:col w:w="11240"/>
          </w:cols>
          <w:pgMar w:left="320" w:top="1044"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Julie Cameron-Doe, certify that:</w:t>
      </w:r>
    </w:p>
    <w:p>
      <w:pPr>
        <w:spacing w:after="0" w:line="63" w:lineRule="exact"/>
        <w:rPr>
          <w:sz w:val="20"/>
          <w:szCs w:val="20"/>
          <w:color w:val="auto"/>
        </w:rPr>
      </w:pPr>
    </w:p>
    <w:p>
      <w:pPr>
        <w:ind w:left="980" w:hanging="972"/>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Resorts, Limited;</w:t>
      </w:r>
    </w:p>
    <w:p>
      <w:pPr>
        <w:spacing w:after="0" w:line="63" w:lineRule="exact"/>
        <w:rPr>
          <w:rFonts w:ascii="Times New Roman" w:cs="Times New Roman" w:eastAsia="Times New Roman" w:hAnsi="Times New Roman"/>
          <w:sz w:val="18"/>
          <w:szCs w:val="18"/>
          <w:color w:val="auto"/>
        </w:rPr>
      </w:pPr>
    </w:p>
    <w:p>
      <w:pPr>
        <w:jc w:val="both"/>
        <w:ind w:left="980" w:right="60" w:hanging="972"/>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980" w:right="20" w:hanging="972"/>
        <w:spacing w:after="0" w:line="281"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980" w:hanging="972"/>
        <w:spacing w:after="0" w:line="276" w:lineRule="auto"/>
        <w:tabs>
          <w:tab w:leader="none" w:pos="9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44" w:lineRule="exact"/>
        <w:rPr>
          <w:rFonts w:ascii="Times New Roman" w:cs="Times New Roman" w:eastAsia="Times New Roman" w:hAnsi="Times New Roman"/>
          <w:sz w:val="17"/>
          <w:szCs w:val="17"/>
          <w:color w:val="auto"/>
        </w:rPr>
      </w:pPr>
    </w:p>
    <w:p>
      <w:pPr>
        <w:ind w:left="1960" w:right="80" w:hanging="980"/>
        <w:spacing w:after="0" w:line="266" w:lineRule="auto"/>
        <w:tabs>
          <w:tab w:leader="none" w:pos="195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960" w:right="220" w:hanging="980"/>
        <w:spacing w:after="0" w:line="266" w:lineRule="auto"/>
        <w:tabs>
          <w:tab w:leader="none" w:pos="19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1960" w:hanging="980"/>
        <w:spacing w:after="0" w:line="266" w:lineRule="auto"/>
        <w:tabs>
          <w:tab w:leader="none" w:pos="195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 w:lineRule="exact"/>
        <w:rPr>
          <w:rFonts w:ascii="Times New Roman" w:cs="Times New Roman" w:eastAsia="Times New Roman" w:hAnsi="Times New Roman"/>
          <w:sz w:val="18"/>
          <w:szCs w:val="18"/>
          <w:color w:val="auto"/>
        </w:rPr>
      </w:pPr>
    </w:p>
    <w:p>
      <w:pPr>
        <w:ind w:left="1960" w:right="320" w:hanging="980"/>
        <w:spacing w:after="0" w:line="266" w:lineRule="auto"/>
        <w:tabs>
          <w:tab w:leader="none" w:pos="19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980" w:right="140" w:hanging="972"/>
        <w:spacing w:after="0" w:line="298" w:lineRule="auto"/>
        <w:tabs>
          <w:tab w:leader="none" w:pos="9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960" w:right="80" w:hanging="980"/>
        <w:spacing w:after="0" w:line="266" w:lineRule="auto"/>
        <w:tabs>
          <w:tab w:leader="none" w:pos="195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1960" w:right="100" w:hanging="980"/>
        <w:spacing w:after="0" w:line="282" w:lineRule="auto"/>
        <w:tabs>
          <w:tab w:leader="none" w:pos="19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2024</w:t>
            </w:r>
          </w:p>
        </w:tc>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Julie Cameron-Doe</w:t>
            </w:r>
          </w:p>
        </w:tc>
        <w:tc>
          <w:tcPr>
            <w:tcW w:w="1040" w:type="dxa"/>
            <w:vAlign w:val="bottom"/>
          </w:tcPr>
          <w:p>
            <w:pPr>
              <w:spacing w:after="0"/>
              <w:rPr>
                <w:sz w:val="18"/>
                <w:szCs w:val="18"/>
                <w:color w:val="auto"/>
              </w:rPr>
            </w:pPr>
          </w:p>
        </w:tc>
      </w:tr>
      <w:tr>
        <w:trPr>
          <w:trHeight w:val="196"/>
        </w:trPr>
        <w:tc>
          <w:tcPr>
            <w:tcW w:w="5860" w:type="dxa"/>
            <w:vAlign w:val="bottom"/>
          </w:tcPr>
          <w:p>
            <w:pPr>
              <w:spacing w:after="0"/>
              <w:rPr>
                <w:sz w:val="17"/>
                <w:szCs w:val="17"/>
                <w:color w:val="auto"/>
              </w:rPr>
            </w:pPr>
          </w:p>
        </w:tc>
        <w:tc>
          <w:tcPr>
            <w:tcW w:w="3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Julie Cameron-Doe</w:t>
            </w:r>
          </w:p>
        </w:tc>
      </w:tr>
      <w:tr>
        <w:trPr>
          <w:trHeight w:val="175"/>
        </w:trPr>
        <w:tc>
          <w:tcPr>
            <w:tcW w:w="5860" w:type="dxa"/>
            <w:vAlign w:val="bottom"/>
          </w:tcPr>
          <w:p>
            <w:pPr>
              <w:spacing w:after="0"/>
              <w:rPr>
                <w:sz w:val="15"/>
                <w:szCs w:val="15"/>
                <w:color w:val="auto"/>
              </w:rPr>
            </w:pPr>
          </w:p>
        </w:tc>
        <w:tc>
          <w:tcPr>
            <w:tcW w:w="32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86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r>
    </w:tbl>
    <w:p>
      <w:pPr>
        <w:sectPr>
          <w:pgSz w:w="11900" w:h="16838" w:orient="portrait"/>
          <w:cols w:equalWidth="0" w:num="1">
            <w:col w:w="11240"/>
          </w:cols>
          <w:pgMar w:left="320" w:top="1044"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the Chief Executive Officer and the Chief Financial Officer Pursuant to 18 U.S.C. Section 1350, as Adopted Pursuant to Section 906 of the Sarbanes-Oxley Act of 2002</w:t>
      </w:r>
    </w:p>
    <w:p>
      <w:pPr>
        <w:spacing w:after="0" w:line="132" w:lineRule="exact"/>
        <w:rPr>
          <w:sz w:val="20"/>
          <w:szCs w:val="20"/>
          <w:color w:val="auto"/>
        </w:rPr>
      </w:pPr>
    </w:p>
    <w:p>
      <w:pPr>
        <w:ind w:right="160" w:firstLine="97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Wynn Resorts, Limited (the “Company”) for the quarter ended June 30, 2024 as filed with the Securities and Exchange Commission on the date hereof (the “Report”), Craig S. Billings, as Chief Executive Officer of the Company, and Julie Cameron-Doe, as Chief Financial Officer of the Company, each hereby certifies, pursuant to 18 U.S.C. Section 1350, as adopted pursuant to Section 906 of the Sarbanes-Oxley Act of 2002, that, to the best of their knowledge:</w:t>
      </w:r>
    </w:p>
    <w:p>
      <w:pPr>
        <w:spacing w:after="0" w:line="126" w:lineRule="exact"/>
        <w:rPr>
          <w:sz w:val="20"/>
          <w:szCs w:val="20"/>
          <w:color w:val="auto"/>
        </w:rPr>
      </w:pPr>
    </w:p>
    <w:p>
      <w:pPr>
        <w:ind w:left="980" w:hanging="972"/>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980" w:right="600" w:hanging="972"/>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S. Billings</w:t>
            </w:r>
          </w:p>
        </w:tc>
        <w:tc>
          <w:tcPr>
            <w:tcW w:w="0" w:type="dxa"/>
            <w:vAlign w:val="bottom"/>
          </w:tcPr>
          <w:p>
            <w:pPr>
              <w:spacing w:after="0"/>
              <w:rPr>
                <w:sz w:val="1"/>
                <w:szCs w:val="1"/>
                <w:color w:val="auto"/>
              </w:rPr>
            </w:pPr>
          </w:p>
        </w:tc>
      </w:tr>
      <w:tr>
        <w:trPr>
          <w:trHeight w:val="218"/>
        </w:trPr>
        <w:tc>
          <w:tcPr>
            <w:tcW w:w="760" w:type="dxa"/>
            <w:vAlign w:val="bottom"/>
            <w:vMerge w:val="continue"/>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S. Billings</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6, 2024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Julie Cameron-Doe</w:t>
            </w:r>
          </w:p>
        </w:tc>
        <w:tc>
          <w:tcPr>
            <w:tcW w:w="0" w:type="dxa"/>
            <w:vAlign w:val="bottom"/>
          </w:tcPr>
          <w:p>
            <w:pPr>
              <w:spacing w:after="0"/>
              <w:rPr>
                <w:sz w:val="1"/>
                <w:szCs w:val="1"/>
                <w:color w:val="auto"/>
              </w:rPr>
            </w:pPr>
          </w:p>
        </w:tc>
      </w:tr>
      <w:tr>
        <w:trPr>
          <w:trHeight w:val="218"/>
        </w:trPr>
        <w:tc>
          <w:tcPr>
            <w:tcW w:w="760" w:type="dxa"/>
            <w:vAlign w:val="bottom"/>
            <w:vMerge w:val="continue"/>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Julie Cameron-Doe</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6, 2024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32"/>
    </w:lvl>
  </w:abstractNum>
  <w:abstractNum w:abstractNumId="16">
    <w:nsid w:val="7C83E458"/>
    <w:multiLevelType w:val="hybridMultilevel"/>
    <w:lvl w:ilvl="0">
      <w:lvlJc w:val="left"/>
      <w:lvlText w:val="%1"/>
      <w:numFmt w:val="decimal"/>
      <w:start w:val="10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2" Type="http://schemas.openxmlformats.org/officeDocument/2006/relationships/image" Target="media/image54.png"/><Relationship Id="rId64" Type="http://schemas.openxmlformats.org/officeDocument/2006/relationships/image" Target="media/image55.png"/><Relationship Id="rId61" Type="http://schemas.openxmlformats.org/officeDocument/2006/relationships/hyperlink" Target="https://www.sec.gov/Archives/edgar/data/1174922/000117492215000044/ex-31.htm" TargetMode="External"/><Relationship Id="rId63" Type="http://schemas.openxmlformats.org/officeDocument/2006/relationships/hyperlink" Target="https://www.sec.gov/Archives/edgar/data/1174922/000117492220000024/ex32-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2024-08-06T16:19:36Z</dcterms:created>
  <dcterms:modified xsi:type="dcterms:W3CDTF">2024-08-06T16:19:36Z</dcterms:modified>
</cp:coreProperties>
</file>