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253365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253365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38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8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22"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Paul D. Tosetti</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Donald J. Campbell</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6"/>
              </w:rPr>
              <w:t>Latham &amp; Watkins, LLP</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Campbell &amp; Williams</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355 South Grand Avenue, Suite 100</w:t>
            </w:r>
          </w:p>
        </w:tc>
        <w:tc>
          <w:tcPr>
            <w:tcW w:w="34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700 South 7th Street</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89"/>
              </w:rPr>
              <w:t>Los Angeles, CA 90071</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Las Vegas, NV 89101</w:t>
            </w:r>
          </w:p>
        </w:tc>
      </w:tr>
      <w:tr>
        <w:trPr>
          <w:trHeight w:val="234"/>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2"/>
              </w:rPr>
              <w:t>(213) 891-8770</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(702) 382-5222</w:t>
            </w:r>
          </w:p>
        </w:tc>
      </w:tr>
    </w:tbl>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February 15, 2018</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253365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4"/>
          <w:szCs w:val="24"/>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ind w:right="4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15 hereby amends and supplements the Schedule 13D filed with the Securities and Exchange Commission (the “Commission”) on November 13, 2002, as amended to date (the “Schedule 13D”) relating to the common stock, par value $0.01 (the “Common Stock”) of Wynn Resorts, Limited (the “Company”). Capitalized terms used but not defined herein shall have the respective meanings set forth in the Schedule 13D.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with the following information: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February 15, 2018, Mr. Wynn, Wynn Resorts, Limited (the “Company”) and Wynn Resorts Holdings, LLC entered into a Separation Agreement (the “Separation Agreement”) setting forth the terms of Mr. Wynn’s separation from the Company.</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terms of the Separation Agreement, the Company has agreed to enter into a registration rights agreement with Mr. Wynn. Pursuant to the registration rights agreement, the Company will grant Mr. Wynn six demand registration rights, six piggyback registration rights and the right to require the Company to file and maintain the effectiveness of a shelf registration statement with respect to the shares of the Company owned by Mr. Wynn (the “Registration Rights”), and Mr. Wynn has agreed to reimburse the Company for the reasonable expenses it incurs directly in connection with the exercise of any such Registration Rights. The registration rights agreement also will provide that Mr. Wynn may not sell pursuant to any registration statement during any quarter after the date of such agreement more than one-third of the Common Stock he holds as of the date of such agreement. This limitation does not apply to any sales of Common Stock other than those made pursuant to such a registration statement (e.g., private sales of shares of Common Stock).</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Mr. Wynn has informed the Company that he has no immediate plans to sell Common Stock that he owns and that if he elects to sell any such Common Stock over time, he will seek to conduct such sales in an orderly fashion.</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the Reporting Persons previously disclosed, the Reporting Persons’ decision to acquire or dispose of shares of Common Stock, either alone or in concert with others, will depend on a number of considerations, including the price and availability of the Common Stock, subsequent developments affecting the Company, the business prospects of the Company, general stock market and economic conditions, tax considerations, regulatory approvals, available liquidity and other factors. Although the Reporting Persons may take certain actions described in this paragraph, the future plans of the Reporting Persons are subject to change at any time.</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description of the Separation Agreement does not purport to be complete and is qualified in its entirety by reference to the full text of the Separation Agreement, which is filed as an exhibit to this Schedule 13D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supplemented with the following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above summarizes certain provisions of the Separation Agreement and is incorporated herein by reference. A copy of the Separation Agreement is attached as an exhibit to this Schedule 13D, and is incorporated herein by reference.</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Except as set forth in this Item 6, as amended and supplemented, none of the Reporting Persons has any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2"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ind w:left="1220" w:right="240" w:hanging="1212"/>
        <w:spacing w:after="0" w:line="264"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Joint Filing Agreement, dated February 8, 2018, between Stephen A. Wynn and Wynn Family Limited Partnership (previously filed as Exhibit 14 to the Schedule 13D/A of Stephen A. Wynn and Wynn Family Limited Partnership, filed February 12, 2018 and incorporated herein by reference).</w:t>
      </w:r>
    </w:p>
    <w:p>
      <w:pPr>
        <w:spacing w:after="0" w:line="73" w:lineRule="exact"/>
        <w:rPr>
          <w:rFonts w:ascii="Arial" w:cs="Arial" w:eastAsia="Arial" w:hAnsi="Arial"/>
          <w:sz w:val="18"/>
          <w:szCs w:val="18"/>
          <w:color w:val="auto"/>
        </w:rPr>
      </w:pPr>
    </w:p>
    <w:p>
      <w:pPr>
        <w:ind w:left="1220" w:hanging="1212"/>
        <w:spacing w:after="0" w:line="264"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Separation Agreement, dated February 15, 2018, among Wynn Resorts, Limited, Stephen A. Wynn and Wynn Resorts Holdings, LLC (incorporated by reference to Exhibit 10.1 to the Current Report on Form 8-K, Commission File No. 000-50028, filed on February 16, 2018 by Wynn Resorts, Limited).</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4" w:right="37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240" w:top="270" w:right="7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FAMILY LIMITED PARTNERSHIP</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GP, LLC, its general partner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U/D/T/ Dated June 24, 2010, its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Trustee</w:t>
      </w:r>
    </w:p>
    <w:p>
      <w:pPr>
        <w:spacing w:after="0" w:line="1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2019-12-06T19:42:16Z</dcterms:created>
  <dcterms:modified xsi:type="dcterms:W3CDTF">2019-12-06T19:42:16Z</dcterms:modified>
</cp:coreProperties>
</file>