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365125</wp:posOffset>
            </wp:positionV>
            <wp:extent cx="2847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91440</wp:posOffset>
            </wp:positionV>
            <wp:extent cx="2847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247015</wp:posOffset>
            </wp:positionV>
            <wp:extent cx="2847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2"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45"/>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Arial" w:cs="Arial" w:eastAsia="Arial" w:hAnsi="Arial"/>
                <w:sz w:val="17"/>
                <w:szCs w:val="17"/>
                <w:b w:val="1"/>
                <w:bCs w:val="1"/>
                <w:color w:val="auto"/>
                <w:w w:val="94"/>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Arial" w:cs="Arial" w:eastAsia="Arial" w:hAnsi="Arial"/>
                <w:sz w:val="17"/>
                <w:szCs w:val="17"/>
                <w:b w:val="1"/>
                <w:bCs w:val="1"/>
                <w:color w:val="auto"/>
                <w:w w:val="94"/>
              </w:rPr>
              <w:t>Not Applicable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76835</wp:posOffset>
            </wp:positionV>
            <wp:extent cx="2847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020" w:type="dxa"/>
            <w:vAlign w:val="bottom"/>
            <w:gridSpan w:val="2"/>
          </w:tcPr>
          <w:p>
            <w:pPr>
              <w:jc w:val="center"/>
              <w:ind w:right="1680"/>
              <w:spacing w:after="0"/>
              <w:rPr>
                <w:sz w:val="20"/>
                <w:szCs w:val="20"/>
                <w:color w:val="auto"/>
              </w:rPr>
            </w:pPr>
            <w:r>
              <w:rPr>
                <w:rFonts w:ascii="Arial" w:cs="Arial" w:eastAsia="Arial" w:hAnsi="Arial"/>
                <w:sz w:val="17"/>
                <w:szCs w:val="17"/>
                <w:b w:val="1"/>
                <w:bCs w:val="1"/>
                <w:color w:val="auto"/>
                <w:w w:val="88"/>
              </w:rPr>
              <w:t>Title of each class</w:t>
            </w:r>
          </w:p>
        </w:tc>
        <w:tc>
          <w:tcPr>
            <w:tcW w:w="228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3"/>
              </w:rPr>
              <w:t>Trading Symbol(s)</w:t>
            </w:r>
          </w:p>
        </w:tc>
        <w:tc>
          <w:tcPr>
            <w:tcW w:w="4140" w:type="dxa"/>
            <w:vAlign w:val="bottom"/>
            <w:gridSpan w:val="2"/>
          </w:tcPr>
          <w:p>
            <w:pPr>
              <w:jc w:val="center"/>
              <w:ind w:left="81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9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3880" w:type="dxa"/>
            <w:vAlign w:val="bottom"/>
            <w:gridSpan w:val="3"/>
          </w:tcPr>
          <w:p>
            <w:pPr>
              <w:jc w:val="center"/>
              <w:ind w:right="840"/>
              <w:spacing w:after="0"/>
              <w:rPr>
                <w:sz w:val="20"/>
                <w:szCs w:val="20"/>
                <w:color w:val="auto"/>
              </w:rPr>
            </w:pPr>
            <w:r>
              <w:rPr>
                <w:rFonts w:ascii="Arial" w:cs="Arial" w:eastAsia="Arial" w:hAnsi="Arial"/>
                <w:sz w:val="17"/>
                <w:szCs w:val="17"/>
                <w:color w:val="auto"/>
                <w:w w:val="93"/>
              </w:rPr>
              <w:t>Common stock, par value $0.01</w:t>
            </w:r>
          </w:p>
        </w:tc>
        <w:tc>
          <w:tcPr>
            <w:tcW w:w="2280" w:type="dxa"/>
            <w:vAlign w:val="bottom"/>
            <w:gridSpan w:val="2"/>
          </w:tcPr>
          <w:p>
            <w:pPr>
              <w:jc w:val="center"/>
              <w:ind w:right="900"/>
              <w:spacing w:after="0"/>
              <w:rPr>
                <w:sz w:val="20"/>
                <w:szCs w:val="20"/>
                <w:color w:val="auto"/>
              </w:rPr>
            </w:pPr>
            <w:r>
              <w:rPr>
                <w:rFonts w:ascii="Arial" w:cs="Arial" w:eastAsia="Arial" w:hAnsi="Arial"/>
                <w:sz w:val="17"/>
                <w:szCs w:val="17"/>
                <w:color w:val="auto"/>
              </w:rPr>
              <w:t>WYNN</w:t>
            </w:r>
          </w:p>
        </w:tc>
        <w:tc>
          <w:tcPr>
            <w:tcW w:w="9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4"/>
              </w:rPr>
              <w:t>Nasdaq Global Select Market</w:t>
            </w:r>
          </w:p>
        </w:tc>
        <w:tc>
          <w:tcPr>
            <w:tcW w:w="940" w:type="dxa"/>
            <w:vAlign w:val="bottom"/>
          </w:tcPr>
          <w:p>
            <w:pPr>
              <w:spacing w:after="0"/>
              <w:rPr>
                <w:sz w:val="21"/>
                <w:szCs w:val="21"/>
                <w:color w:val="auto"/>
              </w:rPr>
            </w:pPr>
          </w:p>
        </w:tc>
      </w:tr>
      <w:tr>
        <w:trPr>
          <w:trHeight w:val="203"/>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3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On November 12, 2021, Wynn Resorts, Limited ("Wynn Resorts") and Austerlitz Acquisition Corporation I ("Austerlitz I") announced that the companies have mutually agreed to terminate their previously announced agreement and plan of merger, which contemplated the combination of Austerlitz I and Wynn Interactive Ltd., a subsidiary of Wynn Resorts. The termination is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512445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8220"/>
        <w:spacing w:after="0"/>
        <w:rPr>
          <w:sz w:val="20"/>
          <w:szCs w:val="20"/>
          <w:color w:val="auto"/>
        </w:rPr>
      </w:pPr>
      <w:r>
        <w:rPr>
          <w:rFonts w:ascii="Arial" w:cs="Arial" w:eastAsia="Arial" w:hAnsi="Arial"/>
          <w:sz w:val="17"/>
          <w:szCs w:val="17"/>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8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Dated: November 12, 2021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24130</wp:posOffset>
            </wp:positionV>
            <wp:extent cx="2343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315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5980" w:space="720"/>
            <w:col w:w="800" w:space="720"/>
            <w:col w:w="3020"/>
          </w:cols>
          <w:pgMar w:left="320" w:top="869" w:right="339" w:bottom="1440" w:gutter="0" w:footer="0" w:header="0"/>
          <w:type w:val="continuous"/>
        </w:sectPr>
      </w:pPr>
    </w:p>
    <w:p>
      <w:pPr>
        <w:ind w:left="6820"/>
        <w:spacing w:after="0"/>
        <w:rPr>
          <w:sz w:val="20"/>
          <w:szCs w:val="20"/>
          <w:color w:val="auto"/>
        </w:rPr>
      </w:pPr>
      <w:r>
        <w:rPr>
          <w:rFonts w:ascii="Arial" w:cs="Arial" w:eastAsia="Arial" w:hAnsi="Arial"/>
          <w:sz w:val="17"/>
          <w:szCs w:val="17"/>
          <w:color w:val="auto"/>
        </w:rPr>
        <w:t>Craig S. Billings</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6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2021-11-12T09:27:12Z</dcterms:created>
  <dcterms:modified xsi:type="dcterms:W3CDTF">2021-11-12T09:27:12Z</dcterms:modified>
</cp:coreProperties>
</file>