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339090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384175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474345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347980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90"/>
              </w:rPr>
              <w:t>Nevada</w:t>
            </w:r>
          </w:p>
        </w:tc>
        <w:tc>
          <w:tcPr>
            <w:tcW w:w="4800" w:type="dxa"/>
            <w:vAlign w:val="bottom"/>
          </w:tcPr>
          <w:p>
            <w:pPr>
              <w:ind w:left="190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80"/>
        </w:trPr>
        <w:tc>
          <w:tcPr>
            <w:tcW w:w="280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(State or other jurisdiction</w:t>
            </w:r>
          </w:p>
        </w:tc>
        <w:tc>
          <w:tcPr>
            <w:tcW w:w="4800" w:type="dxa"/>
            <w:vAlign w:val="bottom"/>
          </w:tcPr>
          <w:p>
            <w:pPr>
              <w:ind w:left="188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of incorporation)</w:t>
            </w:r>
          </w:p>
        </w:tc>
        <w:tc>
          <w:tcPr>
            <w:tcW w:w="4800" w:type="dxa"/>
            <w:vAlign w:val="bottom"/>
          </w:tcPr>
          <w:p>
            <w:pPr>
              <w:ind w:left="186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561"/>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3131 Las Vegas Boulevard South</w:t>
            </w:r>
          </w:p>
        </w:tc>
        <w:tc>
          <w:tcPr>
            <w:tcW w:w="4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0" w:type="dxa"/>
            <w:vAlign w:val="bottom"/>
          </w:tcPr>
          <w:p>
            <w:pPr>
              <w:jc w:val="center"/>
              <w:ind w:right="199"/>
              <w:spacing w:after="0"/>
              <w:rPr>
                <w:sz w:val="20"/>
                <w:szCs w:val="20"/>
                <w:color w:val="auto"/>
              </w:rPr>
            </w:pPr>
            <w:r>
              <w:rPr>
                <w:rFonts w:ascii="Arial" w:cs="Arial" w:eastAsia="Arial" w:hAnsi="Arial"/>
                <w:sz w:val="18"/>
                <w:szCs w:val="18"/>
                <w:b w:val="1"/>
                <w:bCs w:val="1"/>
                <w:color w:val="auto"/>
                <w:w w:val="88"/>
              </w:rPr>
              <w:t>Las Vegas, Nevada</w:t>
            </w:r>
          </w:p>
        </w:tc>
        <w:tc>
          <w:tcPr>
            <w:tcW w:w="480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218"/>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00" w:type="dxa"/>
            <w:vAlign w:val="bottom"/>
          </w:tcPr>
          <w:p>
            <w:pPr>
              <w:spacing w:after="0"/>
              <w:rPr>
                <w:sz w:val="18"/>
                <w:szCs w:val="18"/>
                <w:color w:val="auto"/>
              </w:rPr>
            </w:pPr>
          </w:p>
        </w:tc>
        <w:tc>
          <w:tcPr>
            <w:tcW w:w="1800" w:type="dxa"/>
            <w:vAlign w:val="bottom"/>
            <w:vMerge w:val="restart"/>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68"/>
        </w:trPr>
        <w:tc>
          <w:tcPr>
            <w:tcW w:w="2800" w:type="dxa"/>
            <w:vAlign w:val="bottom"/>
          </w:tcPr>
          <w:p>
            <w:pPr>
              <w:spacing w:after="0"/>
              <w:rPr>
                <w:sz w:val="5"/>
                <w:szCs w:val="5"/>
                <w:color w:val="auto"/>
              </w:rPr>
            </w:pPr>
          </w:p>
        </w:tc>
        <w:tc>
          <w:tcPr>
            <w:tcW w:w="48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800" w:type="dxa"/>
            <w:vAlign w:val="bottom"/>
          </w:tcPr>
          <w:p>
            <w:pPr>
              <w:jc w:val="center"/>
              <w:ind w:right="3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800" w:type="dxa"/>
            <w:vAlign w:val="bottom"/>
          </w:tcPr>
          <w:p>
            <w:pPr>
              <w:jc w:val="center"/>
              <w:ind w:right="2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222250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679" w:right="359" w:bottom="1440" w:gutter="0" w:footer="0" w:header="0"/>
        </w:sectPr>
      </w:pPr>
    </w:p>
    <w:bookmarkStart w:id="1" w:name="page2"/>
    <w:bookmarkEnd w:id="1"/>
    <w:p>
      <w:pPr>
        <w:ind w:left="40"/>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On April 24, 2015, Wynn Resorts, Limited (the “Company”) held its 2015 Annual Meeting of Stockholders (the “Annual Meeting”). Set forth below are the preliminary voting totals as provided by IVS Associates, Inc. (“IVS”), the independent inspector of elections for the Annual Meeting. The results are preliminary and are subject to change pursuant to a customary review and challenge period, after which IVS will certify the results. We will file an amendment to this Current Report on Form 8-K to disclose the final voting results after we receive a certified report from IVS.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1: Election of Directors</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To elect two Class I directors, each to serve until the 2018 Annual Meeting of Stockholders and until his or her successor has been duly elected and qualified, or until such director’s earlier resignation, death or removal: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ind w:left="40"/>
              <w:spacing w:after="0"/>
              <w:rPr>
                <w:sz w:val="20"/>
                <w:szCs w:val="20"/>
                <w:color w:val="auto"/>
              </w:rPr>
            </w:pPr>
            <w:r>
              <w:rPr>
                <w:rFonts w:ascii="Arial" w:cs="Arial" w:eastAsia="Arial" w:hAnsi="Arial"/>
                <w:sz w:val="18"/>
                <w:szCs w:val="18"/>
                <w:b w:val="1"/>
                <w:bCs w:val="1"/>
                <w:color w:val="auto"/>
              </w:rPr>
              <w:t>Director Nominees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Votes For</w:t>
            </w:r>
          </w:p>
        </w:tc>
        <w:tc>
          <w:tcPr>
            <w:tcW w:w="1940" w:type="dxa"/>
            <w:vAlign w:val="bottom"/>
            <w:gridSpan w:val="2"/>
          </w:tcPr>
          <w:p>
            <w:pPr>
              <w:ind w:left="320"/>
              <w:spacing w:after="0"/>
              <w:rPr>
                <w:sz w:val="20"/>
                <w:szCs w:val="20"/>
                <w:color w:val="auto"/>
              </w:rPr>
            </w:pPr>
            <w:r>
              <w:rPr>
                <w:rFonts w:ascii="Arial" w:cs="Arial" w:eastAsia="Arial" w:hAnsi="Arial"/>
                <w:sz w:val="18"/>
                <w:szCs w:val="18"/>
                <w:b w:val="1"/>
                <w:bCs w:val="1"/>
                <w:color w:val="auto"/>
              </w:rPr>
              <w:t>Votes Withheld</w:t>
            </w:r>
          </w:p>
        </w:tc>
        <w:tc>
          <w:tcPr>
            <w:tcW w:w="1820" w:type="dxa"/>
            <w:vAlign w:val="bottom"/>
          </w:tcPr>
          <w:p>
            <w:pPr>
              <w:ind w:left="22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John J. Hagenbuch</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46,636,765</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12,371,646</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1,964,362</w:t>
            </w:r>
          </w:p>
        </w:tc>
      </w:tr>
      <w:tr>
        <w:trPr>
          <w:trHeight w:val="270"/>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J. Edward Virtue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51,063,278</w:t>
            </w:r>
          </w:p>
        </w:tc>
        <w:tc>
          <w:tcPr>
            <w:tcW w:w="1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15,057,825</w:t>
            </w: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1,964,362</w:t>
            </w:r>
          </w:p>
        </w:tc>
      </w:tr>
      <w:tr>
        <w:trPr>
          <w:trHeight w:val="270"/>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Elaine P. Wynn</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26,617,589</w:t>
            </w:r>
          </w:p>
        </w:tc>
        <w:tc>
          <w:tcPr>
            <w:tcW w:w="1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100,203</w:t>
            </w: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5"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The Company’s Board of Directors nominated John J. Hagenbuch and J. Edward Virtue. Elaine P. Wynn nominated herself. The 26,617,589 votes received by Ms. Wynn include 9,539,077 shares owned by Elaine P. Wynn and 10,066,023 shares owned by the Wynn Family Holding Company LLC (Mr. Wynn’s shares) voted by Mr. Wynn in favor of Elaine P. Wynn in accordance with the terms of the Amended and Restated Stockholders Agreement.</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2: Ratification of Appointment of Independent Registered Public Accounting Firm</w:t>
      </w:r>
    </w:p>
    <w:p>
      <w:pPr>
        <w:spacing w:after="0" w:line="17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To ratify the Audit Committee’s appointment of Ernst &amp; Young LLP as the independent registered public accounting firm for the Company and its subsidiaries for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950"/>
              <w:spacing w:after="0"/>
              <w:rPr>
                <w:sz w:val="20"/>
                <w:szCs w:val="20"/>
                <w:color w:val="auto"/>
              </w:rPr>
            </w:pPr>
            <w:r>
              <w:rPr>
                <w:rFonts w:ascii="Arial" w:cs="Arial" w:eastAsia="Arial" w:hAnsi="Arial"/>
                <w:sz w:val="18"/>
                <w:szCs w:val="18"/>
                <w:color w:val="auto"/>
              </w:rPr>
              <w:t>87,383,242</w:t>
            </w:r>
          </w:p>
        </w:tc>
        <w:tc>
          <w:tcPr>
            <w:tcW w:w="120" w:type="dxa"/>
            <w:vAlign w:val="bottom"/>
          </w:tcPr>
          <w:p>
            <w:pPr>
              <w:spacing w:after="0"/>
              <w:rPr>
                <w:sz w:val="20"/>
                <w:szCs w:val="20"/>
                <w:color w:val="auto"/>
              </w:rPr>
            </w:pPr>
          </w:p>
        </w:tc>
        <w:tc>
          <w:tcPr>
            <w:tcW w:w="2740" w:type="dxa"/>
            <w:vAlign w:val="bottom"/>
          </w:tcPr>
          <w:p>
            <w:pPr>
              <w:jc w:val="right"/>
              <w:ind w:right="990"/>
              <w:spacing w:after="0"/>
              <w:rPr>
                <w:sz w:val="20"/>
                <w:szCs w:val="20"/>
                <w:color w:val="auto"/>
              </w:rPr>
            </w:pPr>
            <w:r>
              <w:rPr>
                <w:rFonts w:ascii="Arial" w:cs="Arial" w:eastAsia="Arial" w:hAnsi="Arial"/>
                <w:sz w:val="18"/>
                <w:szCs w:val="18"/>
                <w:color w:val="auto"/>
              </w:rPr>
              <w:t>225,595</w:t>
            </w:r>
          </w:p>
        </w:tc>
        <w:tc>
          <w:tcPr>
            <w:tcW w:w="120" w:type="dxa"/>
            <w:vAlign w:val="bottom"/>
          </w:tcPr>
          <w:p>
            <w:pPr>
              <w:spacing w:after="0"/>
              <w:rPr>
                <w:sz w:val="20"/>
                <w:szCs w:val="20"/>
                <w:color w:val="auto"/>
              </w:rPr>
            </w:pPr>
          </w:p>
        </w:tc>
        <w:tc>
          <w:tcPr>
            <w:tcW w:w="2720" w:type="dxa"/>
            <w:vAlign w:val="bottom"/>
          </w:tcPr>
          <w:p>
            <w:pPr>
              <w:ind w:left="1060"/>
              <w:spacing w:after="0"/>
              <w:rPr>
                <w:sz w:val="20"/>
                <w:szCs w:val="20"/>
                <w:color w:val="auto"/>
              </w:rPr>
            </w:pPr>
            <w:r>
              <w:rPr>
                <w:rFonts w:ascii="Arial" w:cs="Arial" w:eastAsia="Arial" w:hAnsi="Arial"/>
                <w:sz w:val="18"/>
                <w:szCs w:val="18"/>
                <w:color w:val="auto"/>
              </w:rPr>
              <w:t>219,197</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3: Approval of Articles Amendment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approve an amendment to the Company’s Second Amended and Restated Articles of Incorporation (the “Articles Amendment”) to provide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with additional flexibility in making distributions to its stockholders: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950"/>
              <w:spacing w:after="0"/>
              <w:rPr>
                <w:sz w:val="20"/>
                <w:szCs w:val="20"/>
                <w:color w:val="auto"/>
              </w:rPr>
            </w:pPr>
            <w:r>
              <w:rPr>
                <w:rFonts w:ascii="Arial" w:cs="Arial" w:eastAsia="Arial" w:hAnsi="Arial"/>
                <w:sz w:val="18"/>
                <w:szCs w:val="18"/>
                <w:color w:val="auto"/>
              </w:rPr>
              <w:t>72,411,355</w:t>
            </w:r>
          </w:p>
        </w:tc>
        <w:tc>
          <w:tcPr>
            <w:tcW w:w="120" w:type="dxa"/>
            <w:vAlign w:val="bottom"/>
          </w:tcPr>
          <w:p>
            <w:pPr>
              <w:spacing w:after="0"/>
              <w:rPr>
                <w:sz w:val="20"/>
                <w:szCs w:val="20"/>
                <w:color w:val="auto"/>
              </w:rPr>
            </w:pPr>
          </w:p>
        </w:tc>
        <w:tc>
          <w:tcPr>
            <w:tcW w:w="2740" w:type="dxa"/>
            <w:vAlign w:val="bottom"/>
          </w:tcPr>
          <w:p>
            <w:pPr>
              <w:jc w:val="right"/>
              <w:ind w:right="890"/>
              <w:spacing w:after="0"/>
              <w:rPr>
                <w:sz w:val="20"/>
                <w:szCs w:val="20"/>
                <w:color w:val="auto"/>
              </w:rPr>
            </w:pPr>
            <w:r>
              <w:rPr>
                <w:rFonts w:ascii="Arial" w:cs="Arial" w:eastAsia="Arial" w:hAnsi="Arial"/>
                <w:sz w:val="18"/>
                <w:szCs w:val="18"/>
                <w:color w:val="auto"/>
              </w:rPr>
              <w:t>13,263,297</w:t>
            </w:r>
          </w:p>
        </w:tc>
        <w:tc>
          <w:tcPr>
            <w:tcW w:w="120" w:type="dxa"/>
            <w:vAlign w:val="bottom"/>
          </w:tcPr>
          <w:p>
            <w:pPr>
              <w:spacing w:after="0"/>
              <w:rPr>
                <w:sz w:val="20"/>
                <w:szCs w:val="20"/>
                <w:color w:val="auto"/>
              </w:rPr>
            </w:pPr>
          </w:p>
        </w:tc>
        <w:tc>
          <w:tcPr>
            <w:tcW w:w="2720" w:type="dxa"/>
            <w:vAlign w:val="bottom"/>
          </w:tcPr>
          <w:p>
            <w:pPr>
              <w:ind w:left="1060"/>
              <w:spacing w:after="0"/>
              <w:rPr>
                <w:sz w:val="20"/>
                <w:szCs w:val="20"/>
                <w:color w:val="auto"/>
              </w:rPr>
            </w:pPr>
            <w:r>
              <w:rPr>
                <w:rFonts w:ascii="Arial" w:cs="Arial" w:eastAsia="Arial" w:hAnsi="Arial"/>
                <w:sz w:val="18"/>
                <w:szCs w:val="18"/>
                <w:color w:val="auto"/>
              </w:rPr>
              <w:t>189,020</w:t>
            </w:r>
          </w:p>
        </w:tc>
        <w:tc>
          <w:tcPr>
            <w:tcW w:w="120" w:type="dxa"/>
            <w:vAlign w:val="bottom"/>
          </w:tcPr>
          <w:p>
            <w:pPr>
              <w:spacing w:after="0"/>
              <w:rPr>
                <w:sz w:val="20"/>
                <w:szCs w:val="20"/>
                <w:color w:val="auto"/>
              </w:rPr>
            </w:pPr>
          </w:p>
        </w:tc>
        <w:tc>
          <w:tcPr>
            <w:tcW w:w="2720" w:type="dxa"/>
            <w:vAlign w:val="bottom"/>
          </w:tcPr>
          <w:p>
            <w:pPr>
              <w:jc w:val="right"/>
              <w:ind w:right="910"/>
              <w:spacing w:after="0"/>
              <w:rPr>
                <w:sz w:val="20"/>
                <w:szCs w:val="20"/>
                <w:color w:val="auto"/>
              </w:rPr>
            </w:pPr>
            <w:r>
              <w:rPr>
                <w:rFonts w:ascii="Arial" w:cs="Arial" w:eastAsia="Arial" w:hAnsi="Arial"/>
                <w:sz w:val="18"/>
                <w:szCs w:val="18"/>
                <w:color w:val="auto"/>
              </w:rPr>
              <w:t>1,964,362</w:t>
            </w:r>
          </w:p>
        </w:tc>
      </w:tr>
    </w:tbl>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April 27, 2015, the Company implemented the Articles Amendment by filing a Certificate of Third Amended and Restated Articles of Incorporation with the Nevada Secretary of State.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4: Stockholder Proposal Regarding A Political Contributions Report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request that the Company provide a political contributions report, updated semiannually, setting forth specified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950"/>
              <w:spacing w:after="0"/>
              <w:rPr>
                <w:sz w:val="20"/>
                <w:szCs w:val="20"/>
                <w:color w:val="auto"/>
              </w:rPr>
            </w:pPr>
            <w:r>
              <w:rPr>
                <w:rFonts w:ascii="Arial" w:cs="Arial" w:eastAsia="Arial" w:hAnsi="Arial"/>
                <w:sz w:val="18"/>
                <w:szCs w:val="18"/>
                <w:color w:val="auto"/>
              </w:rPr>
              <w:t>16,488,366</w:t>
            </w:r>
          </w:p>
        </w:tc>
        <w:tc>
          <w:tcPr>
            <w:tcW w:w="120" w:type="dxa"/>
            <w:vAlign w:val="bottom"/>
          </w:tcPr>
          <w:p>
            <w:pPr>
              <w:spacing w:after="0"/>
              <w:rPr>
                <w:sz w:val="20"/>
                <w:szCs w:val="20"/>
                <w:color w:val="auto"/>
              </w:rPr>
            </w:pPr>
          </w:p>
        </w:tc>
        <w:tc>
          <w:tcPr>
            <w:tcW w:w="2740" w:type="dxa"/>
            <w:vAlign w:val="bottom"/>
          </w:tcPr>
          <w:p>
            <w:pPr>
              <w:jc w:val="right"/>
              <w:ind w:right="890"/>
              <w:spacing w:after="0"/>
              <w:rPr>
                <w:sz w:val="20"/>
                <w:szCs w:val="20"/>
                <w:color w:val="auto"/>
              </w:rPr>
            </w:pPr>
            <w:r>
              <w:rPr>
                <w:rFonts w:ascii="Arial" w:cs="Arial" w:eastAsia="Arial" w:hAnsi="Arial"/>
                <w:sz w:val="18"/>
                <w:szCs w:val="18"/>
                <w:color w:val="auto"/>
              </w:rPr>
              <w:t>66,021,852</w:t>
            </w:r>
          </w:p>
        </w:tc>
        <w:tc>
          <w:tcPr>
            <w:tcW w:w="120" w:type="dxa"/>
            <w:vAlign w:val="bottom"/>
          </w:tcPr>
          <w:p>
            <w:pPr>
              <w:spacing w:after="0"/>
              <w:rPr>
                <w:sz w:val="20"/>
                <w:szCs w:val="20"/>
                <w:color w:val="auto"/>
              </w:rPr>
            </w:pPr>
          </w:p>
        </w:tc>
        <w:tc>
          <w:tcPr>
            <w:tcW w:w="2720" w:type="dxa"/>
            <w:vAlign w:val="bottom"/>
          </w:tcPr>
          <w:p>
            <w:pPr>
              <w:jc w:val="right"/>
              <w:ind w:right="910"/>
              <w:spacing w:after="0"/>
              <w:rPr>
                <w:sz w:val="20"/>
                <w:szCs w:val="20"/>
                <w:color w:val="auto"/>
              </w:rPr>
            </w:pPr>
            <w:r>
              <w:rPr>
                <w:rFonts w:ascii="Arial" w:cs="Arial" w:eastAsia="Arial" w:hAnsi="Arial"/>
                <w:sz w:val="18"/>
                <w:szCs w:val="18"/>
                <w:color w:val="auto"/>
              </w:rPr>
              <w:t>3,212,254</w:t>
            </w:r>
          </w:p>
        </w:tc>
        <w:tc>
          <w:tcPr>
            <w:tcW w:w="120" w:type="dxa"/>
            <w:vAlign w:val="bottom"/>
          </w:tcPr>
          <w:p>
            <w:pPr>
              <w:spacing w:after="0"/>
              <w:rPr>
                <w:sz w:val="20"/>
                <w:szCs w:val="20"/>
                <w:color w:val="auto"/>
              </w:rPr>
            </w:pPr>
          </w:p>
        </w:tc>
        <w:tc>
          <w:tcPr>
            <w:tcW w:w="2720" w:type="dxa"/>
            <w:vAlign w:val="bottom"/>
          </w:tcPr>
          <w:p>
            <w:pPr>
              <w:jc w:val="right"/>
              <w:ind w:right="910"/>
              <w:spacing w:after="0"/>
              <w:rPr>
                <w:sz w:val="20"/>
                <w:szCs w:val="20"/>
                <w:color w:val="auto"/>
              </w:rPr>
            </w:pPr>
            <w:r>
              <w:rPr>
                <w:rFonts w:ascii="Arial" w:cs="Arial" w:eastAsia="Arial" w:hAnsi="Arial"/>
                <w:sz w:val="18"/>
                <w:szCs w:val="18"/>
                <w:color w:val="auto"/>
              </w:rPr>
              <w:t>1,964,362</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480" w:type="dxa"/>
            <w:vAlign w:val="bottom"/>
            <w:gridSpan w:val="2"/>
          </w:tcPr>
          <w:p>
            <w:pPr>
              <w:ind w:left="2400"/>
              <w:spacing w:after="0"/>
              <w:rPr>
                <w:sz w:val="20"/>
                <w:szCs w:val="20"/>
                <w:color w:val="auto"/>
              </w:rPr>
            </w:pPr>
            <w:r>
              <w:rPr>
                <w:rFonts w:ascii="Arial" w:cs="Arial" w:eastAsia="Arial" w:hAnsi="Arial"/>
                <w:sz w:val="18"/>
                <w:szCs w:val="18"/>
                <w:b w:val="1"/>
                <w:bCs w:val="1"/>
                <w:color w:val="auto"/>
              </w:rPr>
              <w:t>WYNN RESORTS, LIMITED</w:t>
            </w:r>
          </w:p>
        </w:tc>
      </w:tr>
      <w:tr>
        <w:trPr>
          <w:trHeight w:val="594"/>
        </w:trPr>
        <w:tc>
          <w:tcPr>
            <w:tcW w:w="3900" w:type="dxa"/>
            <w:vAlign w:val="bottom"/>
          </w:tcPr>
          <w:p>
            <w:pPr>
              <w:spacing w:after="0"/>
              <w:rPr>
                <w:sz w:val="20"/>
                <w:szCs w:val="20"/>
                <w:color w:val="auto"/>
              </w:rPr>
            </w:pPr>
            <w:r>
              <w:rPr>
                <w:rFonts w:ascii="Arial" w:cs="Arial" w:eastAsia="Arial" w:hAnsi="Arial"/>
                <w:sz w:val="18"/>
                <w:szCs w:val="18"/>
                <w:color w:val="auto"/>
              </w:rPr>
              <w:t>Date: April 30, 2015</w:t>
            </w:r>
          </w:p>
        </w:tc>
        <w:tc>
          <w:tcPr>
            <w:tcW w:w="3500" w:type="dxa"/>
            <w:vAlign w:val="bottom"/>
          </w:tcPr>
          <w:p>
            <w:pPr>
              <w:ind w:left="2400"/>
              <w:spacing w:after="0"/>
              <w:rPr>
                <w:sz w:val="20"/>
                <w:szCs w:val="20"/>
                <w:color w:val="auto"/>
              </w:rPr>
            </w:pPr>
            <w:r>
              <w:rPr>
                <w:rFonts w:ascii="Arial" w:cs="Arial" w:eastAsia="Arial" w:hAnsi="Arial"/>
                <w:sz w:val="18"/>
                <w:szCs w:val="18"/>
                <w:color w:val="auto"/>
              </w:rPr>
              <w:t>By:</w:t>
            </w:r>
          </w:p>
        </w:tc>
        <w:tc>
          <w:tcPr>
            <w:tcW w:w="3980" w:type="dxa"/>
            <w:vAlign w:val="bottom"/>
          </w:tcPr>
          <w:p>
            <w:pPr>
              <w:ind w:left="20"/>
              <w:spacing w:after="0"/>
              <w:rPr>
                <w:sz w:val="20"/>
                <w:szCs w:val="20"/>
                <w:color w:val="auto"/>
              </w:rPr>
            </w:pPr>
            <w:r>
              <w:rPr>
                <w:rFonts w:ascii="Arial" w:cs="Arial" w:eastAsia="Arial" w:hAnsi="Arial"/>
                <w:sz w:val="18"/>
                <w:szCs w:val="18"/>
                <w:color w:val="auto"/>
              </w:rPr>
              <w:t>/s/ Kim Sinatra</w:t>
            </w:r>
          </w:p>
        </w:tc>
      </w:tr>
      <w:tr>
        <w:trPr>
          <w:trHeight w:val="27"/>
        </w:trPr>
        <w:tc>
          <w:tcPr>
            <w:tcW w:w="39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3500" w:type="dxa"/>
            <w:vAlign w:val="bottom"/>
          </w:tcPr>
          <w:p>
            <w:pPr>
              <w:ind w:left="2400"/>
              <w:spacing w:after="0"/>
              <w:rPr>
                <w:sz w:val="20"/>
                <w:szCs w:val="20"/>
                <w:color w:val="auto"/>
              </w:rPr>
            </w:pPr>
            <w:r>
              <w:rPr>
                <w:rFonts w:ascii="Arial" w:cs="Arial" w:eastAsia="Arial" w:hAnsi="Arial"/>
                <w:sz w:val="18"/>
                <w:szCs w:val="18"/>
                <w:color w:val="auto"/>
              </w:rPr>
              <w:t>Name:</w:t>
            </w:r>
          </w:p>
        </w:tc>
        <w:tc>
          <w:tcPr>
            <w:tcW w:w="3980" w:type="dxa"/>
            <w:vAlign w:val="bottom"/>
          </w:tcPr>
          <w:p>
            <w:pPr>
              <w:ind w:left="20"/>
              <w:spacing w:after="0"/>
              <w:rPr>
                <w:sz w:val="20"/>
                <w:szCs w:val="20"/>
                <w:color w:val="auto"/>
              </w:rPr>
            </w:pPr>
            <w:r>
              <w:rPr>
                <w:rFonts w:ascii="Arial" w:cs="Arial" w:eastAsia="Arial" w:hAnsi="Arial"/>
                <w:sz w:val="18"/>
                <w:szCs w:val="18"/>
                <w:color w:val="auto"/>
              </w:rPr>
              <w:t>Kim Sinatra</w:t>
            </w:r>
          </w:p>
        </w:tc>
      </w:tr>
      <w:tr>
        <w:trPr>
          <w:trHeight w:val="270"/>
        </w:trPr>
        <w:tc>
          <w:tcPr>
            <w:tcW w:w="3900" w:type="dxa"/>
            <w:vAlign w:val="bottom"/>
          </w:tcPr>
          <w:p>
            <w:pPr>
              <w:spacing w:after="0"/>
              <w:rPr>
                <w:sz w:val="23"/>
                <w:szCs w:val="23"/>
                <w:color w:val="auto"/>
              </w:rPr>
            </w:pPr>
          </w:p>
        </w:tc>
        <w:tc>
          <w:tcPr>
            <w:tcW w:w="3500" w:type="dxa"/>
            <w:vAlign w:val="bottom"/>
          </w:tcPr>
          <w:p>
            <w:pPr>
              <w:ind w:left="2400"/>
              <w:spacing w:after="0"/>
              <w:rPr>
                <w:sz w:val="20"/>
                <w:szCs w:val="20"/>
                <w:color w:val="auto"/>
              </w:rPr>
            </w:pPr>
            <w:r>
              <w:rPr>
                <w:rFonts w:ascii="Arial" w:cs="Arial" w:eastAsia="Arial" w:hAnsi="Arial"/>
                <w:sz w:val="18"/>
                <w:szCs w:val="18"/>
                <w:color w:val="auto"/>
              </w:rPr>
              <w:t>Title:</w:t>
            </w:r>
          </w:p>
        </w:tc>
        <w:tc>
          <w:tcPr>
            <w:tcW w:w="3980" w:type="dxa"/>
            <w:vAlign w:val="bottom"/>
          </w:tcPr>
          <w:p>
            <w:pPr>
              <w:ind w:left="20"/>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2019-12-08T01:28:57Z</dcterms:created>
  <dcterms:modified xsi:type="dcterms:W3CDTF">2019-12-08T01:28:57Z</dcterms:modified>
</cp:coreProperties>
</file>