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0001656005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WYNN RESORTS, LIMITED</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000-50028</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3131 Las Vegas Boulevard South</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Las Vegas</w:t>
      </w:r>
    </w:p>
    <w:p>
      <w:pPr>
        <w:spacing w:after="0" w:line="230" w:lineRule="auto"/>
        <w:rPr>
          <w:sz w:val="20"/>
          <w:szCs w:val="20"/>
          <w:color w:val="auto"/>
        </w:rPr>
      </w:pPr>
      <w:r>
        <w:rPr>
          <w:rFonts w:ascii="Arial" w:cs="Arial" w:eastAsia="Arial" w:hAnsi="Arial"/>
          <w:sz w:val="22"/>
          <w:szCs w:val="22"/>
          <w:color w:val="auto"/>
        </w:rPr>
        <w:t>NEVADA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89109</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(702) 770-7555</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MULROY FAMILY TRUST</w:t>
      </w:r>
    </w:p>
    <w:p>
      <w:pPr>
        <w:spacing w:after="0" w:line="44" w:lineRule="exact"/>
        <w:rPr>
          <w:sz w:val="24"/>
          <w:szCs w:val="24"/>
          <w:color w:val="auto"/>
        </w:rPr>
      </w:pPr>
    </w:p>
    <w:p>
      <w:pPr>
        <w:sectPr>
          <w:pgSz w:w="11900" w:h="16838" w:orient="portrait"/>
          <w:cols w:equalWidth="0" w:num="2">
            <w:col w:w="6740" w:space="720"/>
            <w:col w:w="37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500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48805.30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Arial" w:cs="Arial" w:eastAsia="Arial" w:hAnsi="Arial"/>
                <w:sz w:val="22"/>
                <w:szCs w:val="22"/>
                <w:color w:val="auto"/>
                <w:w w:val="85"/>
              </w:rPr>
              <w:t>113936334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09/14/2023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Arial" w:cs="Arial" w:eastAsia="Arial" w:hAnsi="Arial"/>
                <w:sz w:val="22"/>
                <w:szCs w:val="22"/>
                <w:b w:val="1"/>
                <w:bCs w:val="1"/>
                <w:color w:val="auto"/>
              </w:rPr>
              <w:t>Class</w:t>
            </w:r>
          </w:p>
        </w:tc>
        <w:tc>
          <w:tcPr>
            <w:tcW w:w="126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166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460" w:type="dxa"/>
            <w:vAlign w:val="bottom"/>
          </w:tcPr>
          <w:p>
            <w:pPr>
              <w:jc w:val="center"/>
              <w:ind w:left="1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20" w:type="dxa"/>
            <w:vAlign w:val="bottom"/>
          </w:tcPr>
          <w:p>
            <w:pPr>
              <w:jc w:val="center"/>
              <w:spacing w:after="0"/>
              <w:rPr>
                <w:sz w:val="20"/>
                <w:szCs w:val="20"/>
                <w:color w:val="auto"/>
              </w:rPr>
            </w:pPr>
            <w:r>
              <w:rPr>
                <w:rFonts w:ascii="Arial" w:cs="Arial" w:eastAsia="Arial" w:hAnsi="Arial"/>
                <w:sz w:val="22"/>
                <w:szCs w:val="22"/>
                <w:b w:val="1"/>
                <w:bCs w:val="1"/>
                <w:color w:val="auto"/>
                <w:w w:val="92"/>
              </w:rPr>
              <w:t>Donor</w:t>
            </w:r>
          </w:p>
        </w:tc>
        <w:tc>
          <w:tcPr>
            <w:tcW w:w="1200" w:type="dxa"/>
            <w:vAlign w:val="bottom"/>
          </w:tcPr>
          <w:p>
            <w:pPr>
              <w:ind w:left="200"/>
              <w:spacing w:after="0"/>
              <w:rPr>
                <w:sz w:val="20"/>
                <w:szCs w:val="20"/>
                <w:color w:val="auto"/>
              </w:rPr>
            </w:pPr>
            <w:r>
              <w:rPr>
                <w:rFonts w:ascii="Arial" w:cs="Arial" w:eastAsia="Arial" w:hAnsi="Arial"/>
                <w:sz w:val="22"/>
                <w:szCs w:val="22"/>
                <w:b w:val="1"/>
                <w:bCs w:val="1"/>
                <w:color w:val="auto"/>
                <w:w w:val="93"/>
              </w:rPr>
              <w:t>Securities</w:t>
            </w:r>
          </w:p>
        </w:tc>
        <w:tc>
          <w:tcPr>
            <w:tcW w:w="126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ind w:left="220"/>
              <w:spacing w:after="0" w:line="243" w:lineRule="exact"/>
              <w:rPr>
                <w:sz w:val="20"/>
                <w:szCs w:val="20"/>
                <w:color w:val="auto"/>
              </w:rPr>
            </w:pPr>
            <w:r>
              <w:rPr>
                <w:rFonts w:ascii="Arial" w:cs="Arial" w:eastAsia="Arial" w:hAnsi="Arial"/>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60" w:type="dxa"/>
            <w:vAlign w:val="bottom"/>
            <w:vMerge w:val="restart"/>
          </w:tcPr>
          <w:p>
            <w:pPr>
              <w:jc w:val="center"/>
              <w:ind w:left="112"/>
              <w:spacing w:after="0"/>
              <w:rPr>
                <w:sz w:val="20"/>
                <w:szCs w:val="20"/>
                <w:color w:val="auto"/>
              </w:rPr>
            </w:pPr>
            <w:r>
              <w:rPr>
                <w:rFonts w:ascii="Arial" w:cs="Arial" w:eastAsia="Arial" w:hAnsi="Arial"/>
                <w:sz w:val="22"/>
                <w:szCs w:val="22"/>
                <w:color w:val="auto"/>
                <w:w w:val="90"/>
              </w:rPr>
              <w:t>05/15/2020</w:t>
            </w:r>
          </w:p>
        </w:tc>
        <w:tc>
          <w:tcPr>
            <w:tcW w:w="1660" w:type="dxa"/>
            <w:vAlign w:val="bottom"/>
          </w:tcPr>
          <w:p>
            <w:pPr>
              <w:ind w:left="20"/>
              <w:spacing w:after="0"/>
              <w:rPr>
                <w:sz w:val="20"/>
                <w:szCs w:val="20"/>
                <w:color w:val="auto"/>
              </w:rPr>
            </w:pPr>
            <w:r>
              <w:rPr>
                <w:rFonts w:ascii="Arial" w:cs="Arial" w:eastAsia="Arial" w:hAnsi="Arial"/>
                <w:sz w:val="22"/>
                <w:szCs w:val="22"/>
                <w:color w:val="auto"/>
                <w:w w:val="93"/>
              </w:rPr>
              <w:t>Compensation for</w:t>
            </w:r>
          </w:p>
        </w:tc>
        <w:tc>
          <w:tcPr>
            <w:tcW w:w="146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vMerge w:val="restart"/>
          </w:tcPr>
          <w:p>
            <w:pPr>
              <w:ind w:left="20"/>
              <w:spacing w:after="0"/>
              <w:rPr>
                <w:sz w:val="20"/>
                <w:szCs w:val="20"/>
                <w:color w:val="auto"/>
              </w:rPr>
            </w:pPr>
            <w:r>
              <w:rPr>
                <w:rFonts w:ascii="Arial" w:cs="Arial" w:eastAsia="Arial" w:hAnsi="Arial"/>
                <w:sz w:val="22"/>
                <w:szCs w:val="22"/>
                <w:color w:val="auto"/>
              </w:rPr>
              <w:t>58</w:t>
            </w:r>
          </w:p>
        </w:tc>
        <w:tc>
          <w:tcPr>
            <w:tcW w:w="2480" w:type="dxa"/>
            <w:vAlign w:val="bottom"/>
            <w:gridSpan w:val="2"/>
            <w:vMerge w:val="restart"/>
          </w:tcPr>
          <w:p>
            <w:pPr>
              <w:ind w:left="120"/>
              <w:spacing w:after="0"/>
              <w:rPr>
                <w:sz w:val="20"/>
                <w:szCs w:val="20"/>
                <w:color w:val="auto"/>
              </w:rPr>
            </w:pPr>
            <w:r>
              <w:rPr>
                <w:rFonts w:ascii="Arial" w:cs="Arial" w:eastAsia="Arial" w:hAnsi="Arial"/>
                <w:sz w:val="22"/>
                <w:szCs w:val="22"/>
                <w:color w:val="auto"/>
                <w:w w:val="90"/>
              </w:rPr>
              <w:t>05/15/2020 Compensation</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Past Services</w:t>
            </w:r>
          </w:p>
        </w:tc>
        <w:tc>
          <w:tcPr>
            <w:tcW w:w="146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vMerge w:val="continue"/>
          </w:tcPr>
          <w:p>
            <w:pPr>
              <w:spacing w:after="0"/>
              <w:rPr>
                <w:sz w:val="23"/>
                <w:szCs w:val="23"/>
                <w:color w:val="auto"/>
              </w:rPr>
            </w:pPr>
          </w:p>
        </w:tc>
        <w:tc>
          <w:tcPr>
            <w:tcW w:w="24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60" w:type="dxa"/>
            <w:vAlign w:val="bottom"/>
            <w:vMerge w:val="restart"/>
          </w:tcPr>
          <w:p>
            <w:pPr>
              <w:jc w:val="center"/>
              <w:ind w:left="112"/>
              <w:spacing w:after="0"/>
              <w:rPr>
                <w:sz w:val="20"/>
                <w:szCs w:val="20"/>
                <w:color w:val="auto"/>
              </w:rPr>
            </w:pPr>
            <w:r>
              <w:rPr>
                <w:rFonts w:ascii="Arial" w:cs="Arial" w:eastAsia="Arial" w:hAnsi="Arial"/>
                <w:sz w:val="22"/>
                <w:szCs w:val="22"/>
                <w:color w:val="auto"/>
                <w:w w:val="90"/>
              </w:rPr>
              <w:t>05/06/2020</w:t>
            </w:r>
          </w:p>
        </w:tc>
        <w:tc>
          <w:tcPr>
            <w:tcW w:w="1660" w:type="dxa"/>
            <w:vAlign w:val="bottom"/>
          </w:tcPr>
          <w:p>
            <w:pPr>
              <w:ind w:left="20"/>
              <w:spacing w:after="0"/>
              <w:rPr>
                <w:sz w:val="20"/>
                <w:szCs w:val="20"/>
                <w:color w:val="auto"/>
              </w:rPr>
            </w:pPr>
            <w:r>
              <w:rPr>
                <w:rFonts w:ascii="Arial" w:cs="Arial" w:eastAsia="Arial" w:hAnsi="Arial"/>
                <w:sz w:val="22"/>
                <w:szCs w:val="22"/>
                <w:color w:val="auto"/>
                <w:w w:val="93"/>
              </w:rPr>
              <w:t>Compensation for</w:t>
            </w:r>
          </w:p>
        </w:tc>
        <w:tc>
          <w:tcPr>
            <w:tcW w:w="146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vMerge w:val="restart"/>
          </w:tcPr>
          <w:p>
            <w:pPr>
              <w:ind w:left="20"/>
              <w:spacing w:after="0"/>
              <w:rPr>
                <w:sz w:val="20"/>
                <w:szCs w:val="20"/>
                <w:color w:val="auto"/>
              </w:rPr>
            </w:pPr>
            <w:r>
              <w:rPr>
                <w:rFonts w:ascii="Arial" w:cs="Arial" w:eastAsia="Arial" w:hAnsi="Arial"/>
                <w:sz w:val="22"/>
                <w:szCs w:val="22"/>
                <w:color w:val="auto"/>
              </w:rPr>
              <w:t>442</w:t>
            </w:r>
          </w:p>
        </w:tc>
        <w:tc>
          <w:tcPr>
            <w:tcW w:w="2480" w:type="dxa"/>
            <w:vAlign w:val="bottom"/>
            <w:gridSpan w:val="2"/>
            <w:vMerge w:val="restart"/>
          </w:tcPr>
          <w:p>
            <w:pPr>
              <w:ind w:left="120"/>
              <w:spacing w:after="0"/>
              <w:rPr>
                <w:sz w:val="20"/>
                <w:szCs w:val="20"/>
                <w:color w:val="auto"/>
              </w:rPr>
            </w:pPr>
            <w:r>
              <w:rPr>
                <w:rFonts w:ascii="Arial" w:cs="Arial" w:eastAsia="Arial" w:hAnsi="Arial"/>
                <w:sz w:val="22"/>
                <w:szCs w:val="22"/>
                <w:color w:val="auto"/>
                <w:w w:val="90"/>
              </w:rPr>
              <w:t>05/06/2020 Compensation</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Past Services</w:t>
            </w:r>
          </w:p>
        </w:tc>
        <w:tc>
          <w:tcPr>
            <w:tcW w:w="146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vMerge w:val="continue"/>
          </w:tcPr>
          <w:p>
            <w:pPr>
              <w:spacing w:after="0"/>
              <w:rPr>
                <w:sz w:val="23"/>
                <w:szCs w:val="23"/>
                <w:color w:val="auto"/>
              </w:rPr>
            </w:pPr>
          </w:p>
        </w:tc>
        <w:tc>
          <w:tcPr>
            <w:tcW w:w="24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-228600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Elizabeth P Mulroy</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3131 Las Vegas Boulevard South</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08/14/2023 250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24983.00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Las Vegas  NV  89109</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Elizabeth Mulroy</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3131 Las Vegas Boulevard South</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06/20/2023 1000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104902.00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Las Vegas  NV  89109</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480" w:type="dxa"/>
            <w:vAlign w:val="bottom"/>
          </w:tcPr>
          <w:p>
            <w:pPr>
              <w:spacing w:after="0"/>
              <w:rPr>
                <w:sz w:val="20"/>
                <w:szCs w:val="20"/>
                <w:color w:val="auto"/>
              </w:rPr>
            </w:pPr>
            <w:r>
              <w:rPr>
                <w:rFonts w:ascii="Arial" w:cs="Arial" w:eastAsia="Arial" w:hAnsi="Arial"/>
                <w:sz w:val="22"/>
                <w:szCs w:val="22"/>
                <w:color w:val="auto"/>
              </w:rPr>
              <w:t>Remarks</w:t>
            </w:r>
          </w:p>
        </w:tc>
        <w:tc>
          <w:tcPr>
            <w:tcW w:w="2160" w:type="dxa"/>
            <w:vAlign w:val="bottom"/>
          </w:tcPr>
          <w:p>
            <w:pPr>
              <w:spacing w:after="0"/>
              <w:rPr>
                <w:sz w:val="23"/>
                <w:szCs w:val="23"/>
                <w:color w:val="auto"/>
              </w:rPr>
            </w:pPr>
          </w:p>
        </w:tc>
      </w:tr>
      <w:tr>
        <w:trPr>
          <w:trHeight w:val="297"/>
        </w:trPr>
        <w:tc>
          <w:tcPr>
            <w:tcW w:w="2480" w:type="dxa"/>
            <w:vAlign w:val="bottom"/>
          </w:tcPr>
          <w:p>
            <w:pPr>
              <w:spacing w:after="0"/>
              <w:rPr>
                <w:sz w:val="20"/>
                <w:szCs w:val="20"/>
                <w:color w:val="auto"/>
              </w:rPr>
            </w:pPr>
            <w:r>
              <w:rPr>
                <w:rFonts w:ascii="Arial" w:cs="Arial" w:eastAsia="Arial" w:hAnsi="Arial"/>
                <w:sz w:val="22"/>
                <w:szCs w:val="22"/>
                <w:color w:val="auto"/>
              </w:rPr>
              <w:t>Date of Notice</w:t>
            </w:r>
          </w:p>
        </w:tc>
        <w:tc>
          <w:tcPr>
            <w:tcW w:w="2160" w:type="dxa"/>
            <w:vAlign w:val="bottom"/>
          </w:tcPr>
          <w:p>
            <w:pPr>
              <w:jc w:val="right"/>
              <w:spacing w:after="0"/>
              <w:rPr>
                <w:sz w:val="20"/>
                <w:szCs w:val="20"/>
                <w:color w:val="auto"/>
              </w:rPr>
            </w:pPr>
            <w:r>
              <w:rPr>
                <w:rFonts w:ascii="Arial" w:cs="Arial" w:eastAsia="Arial" w:hAnsi="Arial"/>
                <w:sz w:val="22"/>
                <w:szCs w:val="22"/>
                <w:color w:val="auto"/>
              </w:rPr>
              <w:t>09/14/2023</w:t>
            </w:r>
          </w:p>
        </w:tc>
      </w:tr>
      <w:tr>
        <w:trPr>
          <w:trHeight w:val="297"/>
        </w:trPr>
        <w:tc>
          <w:tcPr>
            <w:tcW w:w="24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1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6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Elizabeth P Mulroy, Trustee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2023-09-14T15:22:51Z</dcterms:created>
  <dcterms:modified xsi:type="dcterms:W3CDTF">2023-09-14T15:22:51Z</dcterms:modified>
</cp:coreProperties>
</file>