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STRZEMP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11/01/2004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Chief Financial Officer</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640" w:type="dxa"/>
            <w:vAlign w:val="bottom"/>
            <w:gridSpan w:val="6"/>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gridSpan w:val="3"/>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40"/>
              <w:spacing w:after="0"/>
              <w:rPr>
                <w:sz w:val="20"/>
                <w:szCs w:val="20"/>
                <w:color w:val="auto"/>
              </w:rPr>
            </w:pPr>
            <w:r>
              <w:rPr>
                <w:rFonts w:ascii="Arial" w:cs="Arial" w:eastAsia="Arial" w:hAnsi="Arial"/>
                <w:sz w:val="18"/>
                <w:szCs w:val="18"/>
                <w:color w:val="0000FF"/>
              </w:rPr>
              <w:t>11/01/2004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8"/>
              </w:rPr>
              <w:t>70,000</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57.5025</w:t>
            </w:r>
          </w:p>
        </w:tc>
        <w:tc>
          <w:tcPr>
            <w:tcW w:w="122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8"/>
                <w:szCs w:val="18"/>
                <w:color w:val="0000FF"/>
              </w:rPr>
              <w:t>119,723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vMerge w:val="restart"/>
          </w:tcPr>
          <w:p>
            <w:pPr>
              <w:jc w:val="center"/>
              <w:ind w:right="357"/>
              <w:spacing w:after="0"/>
              <w:rPr>
                <w:sz w:val="20"/>
                <w:szCs w:val="20"/>
                <w:color w:val="auto"/>
              </w:rPr>
            </w:pPr>
            <w:r>
              <w:rPr>
                <w:rFonts w:ascii="Arial" w:cs="Arial" w:eastAsia="Arial" w:hAnsi="Arial"/>
                <w:sz w:val="18"/>
                <w:szCs w:val="18"/>
                <w:color w:val="0000FF"/>
                <w:w w:val="83"/>
              </w:rPr>
              <w:t>500</w:t>
            </w:r>
            <w:r>
              <w:rPr>
                <w:rFonts w:ascii="Arial" w:cs="Arial" w:eastAsia="Arial" w:hAnsi="Arial"/>
                <w:sz w:val="22"/>
                <w:szCs w:val="22"/>
                <w:color w:val="008000"/>
                <w:w w:val="83"/>
                <w:vertAlign w:val="superscript"/>
              </w:rPr>
              <w:t>(2)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mother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5840" w:type="dxa"/>
            <w:vAlign w:val="bottom"/>
            <w:tcBorders>
              <w:bottom w:val="single" w:sz="8" w:color="2C2C2C"/>
            </w:tcBorders>
            <w:gridSpan w:val="11"/>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00" w:type="dxa"/>
            <w:vAlign w:val="bottom"/>
            <w:gridSpan w:val="9"/>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were sold pursuant to a trading plan that was entered into on September 17, 2004 and is intended to comply with Rule 10b5-1 of the Securities and Exchange Act of 1934, as amended.</w:t>
      </w:r>
    </w:p>
    <w:p>
      <w:pPr>
        <w:spacing w:after="0" w:line="64" w:lineRule="exact"/>
        <w:rPr>
          <w:rFonts w:ascii="Arial" w:cs="Arial" w:eastAsia="Arial" w:hAnsi="Arial"/>
          <w:sz w:val="12"/>
          <w:szCs w:val="12"/>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0000FF"/>
                <w:w w:val="85"/>
              </w:rPr>
              <w:t>/s/ John Strzemp</w:t>
            </w:r>
          </w:p>
        </w:tc>
        <w:tc>
          <w:tcPr>
            <w:tcW w:w="94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11/03/2004</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4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2019-12-24T00:43:27Z</dcterms:created>
  <dcterms:modified xsi:type="dcterms:W3CDTF">2019-12-24T00:43:27Z</dcterms:modified>
</cp:coreProperties>
</file>