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2809240</wp:posOffset>
            </wp:positionH>
            <wp:positionV relativeFrom="paragraph">
              <wp:posOffset>150495</wp:posOffset>
            </wp:positionV>
            <wp:extent cx="16465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9"/>
          <w:szCs w:val="19"/>
          <w:color w:val="auto"/>
        </w:rPr>
        <w:t>Date of Report (Date of earliest event reported): February 18, 2012</w:t>
      </w: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WYNN RESORTS, LIMITED</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320"/>
          </w:cols>
          <w:pgMar w:left="240" w:top="679" w:right="339" w:bottom="1440" w:gutter="0" w:footer="0" w:header="0"/>
        </w:sectPr>
      </w:pPr>
    </w:p>
    <w:p>
      <w:pPr>
        <w:spacing w:after="0" w:line="95" w:lineRule="exact"/>
        <w:rPr>
          <w:sz w:val="24"/>
          <w:szCs w:val="24"/>
          <w:color w:val="auto"/>
        </w:rPr>
      </w:pPr>
    </w:p>
    <w:p>
      <w:pPr>
        <w:jc w:val="center"/>
        <w:ind w:left="800"/>
        <w:spacing w:after="0"/>
        <w:rPr>
          <w:sz w:val="20"/>
          <w:szCs w:val="20"/>
          <w:color w:val="auto"/>
        </w:rPr>
      </w:pPr>
      <w:r>
        <w:rPr>
          <w:rFonts w:ascii="Arial" w:cs="Arial" w:eastAsia="Arial" w:hAnsi="Arial"/>
          <w:sz w:val="19"/>
          <w:szCs w:val="19"/>
          <w:b w:val="1"/>
          <w:bCs w:val="1"/>
          <w:color w:val="auto"/>
        </w:rPr>
        <w:t>Nevada</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000-50028</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2000"/>
        <w:spacing w:after="0"/>
        <w:rPr>
          <w:sz w:val="20"/>
          <w:szCs w:val="20"/>
          <w:color w:val="auto"/>
        </w:rPr>
      </w:pPr>
      <w:r>
        <w:rPr>
          <w:rFonts w:ascii="Arial" w:cs="Arial" w:eastAsia="Arial" w:hAnsi="Arial"/>
          <w:sz w:val="19"/>
          <w:szCs w:val="19"/>
          <w:b w:val="1"/>
          <w:bCs w:val="1"/>
          <w:color w:val="auto"/>
        </w:rPr>
        <w:t>46-0484987</w:t>
      </w:r>
    </w:p>
    <w:p>
      <w:pPr>
        <w:spacing w:after="0" w:line="62" w:lineRule="exact"/>
        <w:rPr>
          <w:sz w:val="24"/>
          <w:szCs w:val="24"/>
          <w:color w:val="auto"/>
        </w:rPr>
      </w:pPr>
    </w:p>
    <w:p>
      <w:pPr>
        <w:sectPr>
          <w:pgSz w:w="11900" w:h="16838" w:orient="portrait"/>
          <w:cols w:equalWidth="0" w:num="3">
            <w:col w:w="4580" w:space="720"/>
            <w:col w:w="2260" w:space="720"/>
            <w:col w:w="3040"/>
          </w:cols>
          <w:pgMar w:left="240" w:top="679" w:right="339" w:bottom="1440" w:gutter="0" w:footer="0" w:header="0"/>
          <w:type w:val="continuous"/>
        </w:sectPr>
      </w:pPr>
    </w:p>
    <w:p>
      <w:pPr>
        <w:jc w:val="center"/>
        <w:ind w:left="1220"/>
        <w:spacing w:after="0"/>
        <w:rPr>
          <w:sz w:val="20"/>
          <w:szCs w:val="20"/>
          <w:color w:val="auto"/>
        </w:rPr>
      </w:pPr>
      <w:r>
        <w:rPr>
          <w:rFonts w:ascii="Arial" w:cs="Arial" w:eastAsia="Arial" w:hAnsi="Arial"/>
          <w:sz w:val="14"/>
          <w:szCs w:val="14"/>
          <w:color w:val="auto"/>
        </w:rPr>
        <w:t>(State or other jurisdiction</w:t>
      </w:r>
    </w:p>
    <w:p>
      <w:pPr>
        <w:spacing w:after="0" w:line="26" w:lineRule="exact"/>
        <w:rPr>
          <w:sz w:val="24"/>
          <w:szCs w:val="24"/>
          <w:color w:val="auto"/>
        </w:rPr>
      </w:pPr>
    </w:p>
    <w:p>
      <w:pPr>
        <w:jc w:val="center"/>
        <w:ind w:left="122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11" w:lineRule="exact"/>
        <w:rPr>
          <w:sz w:val="24"/>
          <w:szCs w:val="24"/>
          <w:color w:val="auto"/>
        </w:rPr>
      </w:pPr>
    </w:p>
    <w:p>
      <w:pPr>
        <w:sectPr>
          <w:pgSz w:w="11900" w:h="16838" w:orient="portrait"/>
          <w:cols w:equalWidth="0" w:num="3">
            <w:col w:w="4160" w:space="720"/>
            <w:col w:w="2600" w:space="720"/>
            <w:col w:w="3120"/>
          </w:cols>
          <w:pgMar w:left="240" w:top="679" w:right="339" w:bottom="1440" w:gutter="0" w:footer="0" w:header="0"/>
          <w:type w:val="continuous"/>
        </w:sectPr>
      </w:pPr>
    </w:p>
    <w:p>
      <w:pPr>
        <w:spacing w:after="0" w:line="391" w:lineRule="exact"/>
        <w:rPr>
          <w:sz w:val="24"/>
          <w:szCs w:val="24"/>
          <w:color w:val="auto"/>
        </w:rPr>
      </w:pPr>
    </w:p>
    <w:p>
      <w:pPr>
        <w:jc w:val="center"/>
        <w:ind w:left="240"/>
        <w:spacing w:after="0"/>
        <w:rPr>
          <w:sz w:val="20"/>
          <w:szCs w:val="20"/>
          <w:color w:val="auto"/>
        </w:rPr>
      </w:pPr>
      <w:r>
        <w:rPr>
          <w:rFonts w:ascii="Arial" w:cs="Arial" w:eastAsia="Arial" w:hAnsi="Arial"/>
          <w:sz w:val="19"/>
          <w:szCs w:val="19"/>
          <w:b w:val="1"/>
          <w:bCs w:val="1"/>
          <w:color w:val="auto"/>
        </w:rPr>
        <w:t>3131 Las Vegas Boulevard South</w:t>
      </w:r>
    </w:p>
    <w:p>
      <w:pPr>
        <w:spacing w:after="0" w:line="49" w:lineRule="exact"/>
        <w:rPr>
          <w:sz w:val="24"/>
          <w:szCs w:val="24"/>
          <w:color w:val="auto"/>
        </w:rPr>
      </w:pPr>
    </w:p>
    <w:p>
      <w:pPr>
        <w:jc w:val="center"/>
        <w:ind w:left="240"/>
        <w:spacing w:after="0"/>
        <w:rPr>
          <w:sz w:val="20"/>
          <w:szCs w:val="20"/>
          <w:color w:val="auto"/>
        </w:rPr>
      </w:pPr>
      <w:r>
        <w:rPr>
          <w:rFonts w:ascii="Arial" w:cs="Arial" w:eastAsia="Arial" w:hAnsi="Arial"/>
          <w:sz w:val="22"/>
          <w:szCs w:val="22"/>
          <w:b w:val="1"/>
          <w:bCs w:val="1"/>
          <w:color w:val="auto"/>
        </w:rPr>
        <w:t>Las Vegas, 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89109</w:t>
      </w:r>
    </w:p>
    <w:p>
      <w:pPr>
        <w:spacing w:after="0" w:line="82" w:lineRule="exact"/>
        <w:rPr>
          <w:sz w:val="24"/>
          <w:szCs w:val="24"/>
          <w:color w:val="auto"/>
        </w:rPr>
      </w:pPr>
    </w:p>
    <w:p>
      <w:pPr>
        <w:sectPr>
          <w:pgSz w:w="11900" w:h="16838" w:orient="portrait"/>
          <w:cols w:equalWidth="0" w:num="2">
            <w:col w:w="7840" w:space="720"/>
            <w:col w:w="2760"/>
          </w:cols>
          <w:pgMar w:left="240" w:top="679" w:right="339" w:bottom="1440" w:gutter="0" w:footer="0" w:header="0"/>
          <w:type w:val="continuous"/>
        </w:sectPr>
      </w:pPr>
    </w:p>
    <w:p>
      <w:pPr>
        <w:ind w:left="2220"/>
        <w:spacing w:after="0"/>
        <w:rPr>
          <w:sz w:val="20"/>
          <w:szCs w:val="20"/>
          <w:color w:val="auto"/>
        </w:rPr>
      </w:pPr>
      <w:r>
        <w:rPr>
          <w:rFonts w:ascii="Arial" w:cs="Arial" w:eastAsia="Arial" w:hAnsi="Arial"/>
          <w:sz w:val="14"/>
          <w:szCs w:val="14"/>
          <w:color w:val="auto"/>
        </w:rPr>
        <w:t>(Address of principal executive offices of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7740" w:space="720"/>
            <w:col w:w="2860"/>
          </w:cols>
          <w:pgMar w:left="240" w:top="679" w:right="339" w:bottom="1440" w:gutter="0" w:footer="0" w:header="0"/>
          <w:type w:val="continuous"/>
        </w:sect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(702) 770-7555</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ectPr>
          <w:pgSz w:w="11900" w:h="16838" w:orient="portrait"/>
          <w:cols w:equalWidth="0" w:num="1">
            <w:col w:w="11320"/>
          </w:cols>
          <w:pgMar w:left="240" w:top="679" w:right="339" w:bottom="1440" w:gutter="0" w:footer="0" w:header="0"/>
          <w:type w:val="continuous"/>
        </w:sectPr>
      </w:pP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Not Applicable</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0" w:lineRule="exact"/>
        <w:rPr>
          <w:sz w:val="24"/>
          <w:szCs w:val="24"/>
          <w:color w:val="auto"/>
        </w:rPr>
      </w:pPr>
    </w:p>
    <w:p>
      <w:pPr>
        <w:spacing w:after="0" w:line="392"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880" w:hanging="775"/>
        <w:spacing w:after="0"/>
        <w:tabs>
          <w:tab w:leader="none" w:pos="88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215" w:lineRule="exact"/>
        <w:rPr>
          <w:rFonts w:ascii="Arial" w:cs="Arial" w:eastAsia="Arial" w:hAnsi="Arial"/>
          <w:sz w:val="20"/>
          <w:szCs w:val="20"/>
          <w:color w:val="auto"/>
        </w:rPr>
      </w:pPr>
    </w:p>
    <w:p>
      <w:pPr>
        <w:ind w:left="880" w:hanging="775"/>
        <w:spacing w:after="0"/>
        <w:tabs>
          <w:tab w:leader="none" w:pos="88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15" w:lineRule="exact"/>
        <w:rPr>
          <w:rFonts w:ascii="Arial" w:cs="Arial" w:eastAsia="Arial" w:hAnsi="Arial"/>
          <w:sz w:val="20"/>
          <w:szCs w:val="20"/>
          <w:color w:val="auto"/>
        </w:rPr>
      </w:pPr>
    </w:p>
    <w:p>
      <w:pPr>
        <w:ind w:left="880" w:right="3440" w:hanging="775"/>
        <w:spacing w:after="0" w:line="260" w:lineRule="auto"/>
        <w:tabs>
          <w:tab w:leader="none" w:pos="88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176" w:lineRule="exact"/>
        <w:rPr>
          <w:rFonts w:ascii="Arial" w:cs="Arial" w:eastAsia="Arial" w:hAnsi="Arial"/>
          <w:sz w:val="20"/>
          <w:szCs w:val="20"/>
          <w:color w:val="auto"/>
        </w:rPr>
      </w:pPr>
    </w:p>
    <w:p>
      <w:pPr>
        <w:ind w:left="880" w:right="3480" w:hanging="775"/>
        <w:spacing w:after="0" w:line="260" w:lineRule="auto"/>
        <w:tabs>
          <w:tab w:leader="none" w:pos="88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679" w:right="3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22"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As disclosed in the Current Report on Form 8-K filed by Wynn Resorts, Limited (the “Company”) on February 21, 2012, the Company redeemed 24,549,222 shares of the Company’s common stock held by Aruze USA, Inc. on February 18, 2012. As a result of the redemption, the total number of outstanding shares of the Company’s common stock is 100,527,776.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603" w:right="45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23, 2012</w:t>
      </w:r>
    </w:p>
    <w:p>
      <w:pPr>
        <w:spacing w:after="0" w:line="216"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32" w:lineRule="exact"/>
        <w:rPr>
          <w:sz w:val="20"/>
          <w:szCs w:val="20"/>
          <w:color w:val="auto"/>
        </w:rPr>
      </w:pPr>
    </w:p>
    <w:p>
      <w:pPr>
        <w:ind w:left="3580"/>
        <w:spacing w:after="0"/>
        <w:tabs>
          <w:tab w:leader="none" w:pos="41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-14605</wp:posOffset>
            </wp:positionV>
            <wp:extent cx="2472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2055" cy="8890"/>
                    </a:xfrm>
                    <a:prstGeom prst="rect">
                      <a:avLst/>
                    </a:prstGeom>
                    <a:noFill/>
                  </pic:spPr>
                </pic:pic>
              </a:graphicData>
            </a:graphic>
          </wp:anchor>
        </w:drawing>
      </w:r>
    </w:p>
    <w:p>
      <w:pPr>
        <w:ind w:left="4160"/>
        <w:spacing w:after="0" w:line="227" w:lineRule="auto"/>
        <w:rPr>
          <w:sz w:val="20"/>
          <w:szCs w:val="20"/>
          <w:color w:val="auto"/>
        </w:rPr>
      </w:pPr>
      <w:r>
        <w:rPr>
          <w:rFonts w:ascii="Arial" w:cs="Arial" w:eastAsia="Arial" w:hAnsi="Arial"/>
          <w:sz w:val="20"/>
          <w:szCs w:val="20"/>
          <w:color w:val="auto"/>
        </w:rPr>
        <w:t>Matt Maddox</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547370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00"/>
      </w:cols>
      <w:pgMar w:left="240" w:top="81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2019-12-09T15:38:01Z</dcterms:created>
  <dcterms:modified xsi:type="dcterms:W3CDTF">2019-12-09T15:38:01Z</dcterms:modified>
</cp:coreProperties>
</file>