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UNITED STATES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-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SECURITIES AND EXCHANGE COMMISSION</w:t>
      </w:r>
    </w:p>
    <w:p>
      <w:pPr>
        <w:jc w:val="center"/>
        <w:ind w:right="-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Washington, D.C. 20549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jc w:val="center"/>
        <w:ind w:right="-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FORM 8-K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-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CURRENT REPORT</w:t>
      </w:r>
    </w:p>
    <w:p>
      <w:pPr>
        <w:jc w:val="center"/>
        <w:ind w:right="-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Pursuant to Section 13 or 15(d) of</w:t>
      </w:r>
    </w:p>
    <w:p>
      <w:pPr>
        <w:jc w:val="center"/>
        <w:ind w:right="-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The Securities Exchange Act of 1934</w:t>
      </w:r>
    </w:p>
    <w:p>
      <w:pPr>
        <w:spacing w:after="0" w:line="227" w:lineRule="exact"/>
        <w:rPr>
          <w:sz w:val="24"/>
          <w:szCs w:val="24"/>
          <w:color w:val="auto"/>
        </w:rPr>
      </w:pPr>
    </w:p>
    <w:p>
      <w:pPr>
        <w:jc w:val="center"/>
        <w:ind w:right="-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Date of Report (Date of Earliest Event Reported):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July 10, 2008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jc w:val="center"/>
        <w:ind w:right="-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Wynn Resorts, Limited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(Exact Name of Registrant as specified in Charter)</w:t>
      </w:r>
    </w:p>
    <w:p>
      <w:pPr>
        <w:sectPr>
          <w:pgSz w:w="11900" w:h="16838" w:orient="portrait"/>
          <w:cols w:equalWidth="0" w:num="1">
            <w:col w:w="11320"/>
          </w:cols>
          <w:pgMar w:left="240" w:top="225" w:right="339" w:bottom="1440" w:gutter="0" w:footer="0" w:header="0"/>
        </w:sect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1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Nevada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(State or Other Jurisdiction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2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of Incorporation)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jc w:val="center"/>
        <w:ind w:righ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000-50028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(Commission File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center"/>
        <w:ind w:righ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Number)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jc w:val="center"/>
        <w:ind w:right="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46-0484987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(I.R.S. Employer</w:t>
      </w:r>
    </w:p>
    <w:p>
      <w:pPr>
        <w:jc w:val="center"/>
        <w:ind w:right="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Identification Number)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560" w:space="720"/>
            <w:col w:w="2880" w:space="720"/>
            <w:col w:w="2440"/>
          </w:cols>
          <w:pgMar w:left="240" w:top="225" w:right="339" w:bottom="1440" w:gutter="0" w:footer="0" w:header="0"/>
          <w:type w:val="continuous"/>
        </w:sectPr>
      </w:pP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-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3131 Las Vegas Boulevard South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-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Las Vegas, Nevada 89109</w:t>
      </w:r>
    </w:p>
    <w:p>
      <w:pPr>
        <w:jc w:val="center"/>
        <w:ind w:right="-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(Address of principal executive offices) (Zip Code)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jc w:val="center"/>
        <w:ind w:right="-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(702) 770-7555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(Registrant’s telephone number, including area code)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jc w:val="center"/>
        <w:ind w:right="-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Not applicable.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(Former name or former address, if changed since last report)</w:t>
      </w:r>
    </w:p>
    <w:p>
      <w:pPr>
        <w:sectPr>
          <w:pgSz w:w="11900" w:h="16838" w:orient="portrait"/>
          <w:cols w:equalWidth="0" w:num="1">
            <w:col w:w="11320"/>
          </w:cols>
          <w:pgMar w:left="240" w:top="225" w:right="339" w:bottom="1440" w:gutter="0" w:footer="0" w:header="0"/>
          <w:type w:val="continuous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pacing w:after="0" w:line="26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Check the appropriate box below if the Form 8-K filing is intended to simultaneously satisfy the filing obligation of the registrant under any of the following provisions:</w:t>
      </w:r>
    </w:p>
    <w:p>
      <w:pPr>
        <w:spacing w:after="0" w:line="199" w:lineRule="exact"/>
        <w:rPr>
          <w:sz w:val="24"/>
          <w:szCs w:val="24"/>
          <w:color w:val="auto"/>
        </w:rPr>
      </w:pPr>
    </w:p>
    <w:p>
      <w:pPr>
        <w:ind w:left="240" w:hanging="232"/>
        <w:spacing w:after="0"/>
        <w:tabs>
          <w:tab w:leader="none" w:pos="240" w:val="left"/>
        </w:tabs>
        <w:numPr>
          <w:ilvl w:val="0"/>
          <w:numId w:val="1"/>
        </w:numPr>
        <w:rPr>
          <w:rFonts w:ascii="Arial" w:cs="Arial" w:eastAsia="Arial" w:hAnsi="Arial"/>
          <w:sz w:val="22"/>
          <w:szCs w:val="22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 xml:space="preserve">] </w:t>
      </w:r>
      <w:r>
        <w:rPr>
          <w:rFonts w:ascii="Arial" w:cs="Arial" w:eastAsia="Arial" w:hAnsi="Arial"/>
          <w:sz w:val="19"/>
          <w:szCs w:val="19"/>
          <w:color w:val="auto"/>
        </w:rPr>
        <w:t>Written communications pursuant to Rule 425 under the Securities Act (17 CFR 230.425)</w:t>
      </w: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ind w:left="240" w:hanging="232"/>
        <w:spacing w:after="0"/>
        <w:tabs>
          <w:tab w:leader="none" w:pos="240" w:val="left"/>
        </w:tabs>
        <w:numPr>
          <w:ilvl w:val="0"/>
          <w:numId w:val="2"/>
        </w:numPr>
        <w:rPr>
          <w:rFonts w:ascii="Arial" w:cs="Arial" w:eastAsia="Arial" w:hAnsi="Arial"/>
          <w:sz w:val="22"/>
          <w:szCs w:val="22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 xml:space="preserve">] </w:t>
      </w:r>
      <w:r>
        <w:rPr>
          <w:rFonts w:ascii="Arial" w:cs="Arial" w:eastAsia="Arial" w:hAnsi="Arial"/>
          <w:sz w:val="19"/>
          <w:szCs w:val="19"/>
          <w:color w:val="auto"/>
        </w:rPr>
        <w:t>Soliciting material pursuant to Rule 14a-12 under the Exchange Act (17 CFR 240.14a-12)</w:t>
      </w: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ind w:left="240" w:hanging="232"/>
        <w:spacing w:after="0"/>
        <w:tabs>
          <w:tab w:leader="none" w:pos="240" w:val="left"/>
        </w:tabs>
        <w:numPr>
          <w:ilvl w:val="0"/>
          <w:numId w:val="3"/>
        </w:numPr>
        <w:rPr>
          <w:rFonts w:ascii="Arial" w:cs="Arial" w:eastAsia="Arial" w:hAnsi="Arial"/>
          <w:sz w:val="22"/>
          <w:szCs w:val="22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 xml:space="preserve">] </w:t>
      </w:r>
      <w:r>
        <w:rPr>
          <w:rFonts w:ascii="Arial" w:cs="Arial" w:eastAsia="Arial" w:hAnsi="Arial"/>
          <w:sz w:val="19"/>
          <w:szCs w:val="19"/>
          <w:color w:val="auto"/>
        </w:rPr>
        <w:t>Pre-commencement communications pursuant to Rule 14d-2(b) under the Exchange Act (17 CFR 240.14d-2(b))</w:t>
      </w: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 xml:space="preserve">[  ] </w:t>
      </w:r>
      <w:r>
        <w:rPr>
          <w:rFonts w:ascii="Arial" w:cs="Arial" w:eastAsia="Arial" w:hAnsi="Arial"/>
          <w:sz w:val="19"/>
          <w:szCs w:val="19"/>
          <w:color w:val="auto"/>
        </w:rPr>
        <w:t>Pre-commencement communications pursuant to Rule 13e-4(c) under the Exchange Act (17 CFR 240.13e-4(c))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880110</wp:posOffset>
            </wp:positionV>
            <wp:extent cx="7250430" cy="215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320"/>
          </w:cols>
          <w:pgMar w:left="240" w:top="225" w:right="3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ITEM 8.01. OTHER EVENTS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jc w:val="both"/>
        <w:ind w:right="100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On July 10, 2008, Wynn Resorts, Limited issued a press release announcing that its Board of Directors authorized an increase of its previously announced equity repurchase program of up to an additional $500 million. A copy of the press release is attached hereto as Exhibit 99.1 and is hereby incorporated by reference.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ITEM 9.01. EXHIBITS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ind w:left="580" w:hanging="572"/>
        <w:spacing w:after="0"/>
        <w:tabs>
          <w:tab w:leader="none" w:pos="580" w:val="left"/>
        </w:tabs>
        <w:numPr>
          <w:ilvl w:val="0"/>
          <w:numId w:val="4"/>
        </w:numPr>
        <w:rPr>
          <w:rFonts w:ascii="Arial" w:cs="Arial" w:eastAsia="Arial" w:hAnsi="Arial"/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Exhibits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6"/>
        </w:trPr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Exhibit No.</w:t>
            </w:r>
          </w:p>
        </w:tc>
        <w:tc>
          <w:tcPr>
            <w:tcW w:w="102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Description</w:t>
            </w:r>
          </w:p>
        </w:tc>
      </w:tr>
      <w:tr>
        <w:trPr>
          <w:trHeight w:val="459"/>
        </w:trPr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99.1</w:t>
            </w:r>
          </w:p>
        </w:tc>
        <w:tc>
          <w:tcPr>
            <w:tcW w:w="102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Press release, dated July 10, 2008, of Wynn Resorts, Limited.</w:t>
            </w:r>
          </w:p>
        </w:tc>
      </w:tr>
      <w:tr>
        <w:trPr>
          <w:trHeight w:val="2113"/>
        </w:trPr>
        <w:tc>
          <w:tcPr>
            <w:tcW w:w="1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-14605</wp:posOffset>
            </wp:positionV>
            <wp:extent cx="1270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-14605</wp:posOffset>
            </wp:positionV>
            <wp:extent cx="1270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995" w:right="239" w:bottom="1440" w:gutter="0" w:footer="0" w:header="0"/>
        </w:sectPr>
      </w:pPr>
    </w:p>
    <w:bookmarkStart w:id="2" w:name="page3"/>
    <w:bookmarkEnd w:id="2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SIGNATURES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ind w:firstLine="360"/>
        <w:spacing w:after="0" w:line="26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Pursuant to the requirements of the Securities Exchange Act of 1934, the registrant has duly caused this report to be signed on its behalf by the undersigned thereunto duly authorized.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Date:  July 10, 2008</w:t>
      </w: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jc w:val="center"/>
        <w:ind w:right="-1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WYNN RESORTS, LIMITED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ind w:left="4580"/>
        <w:spacing w:after="0"/>
        <w:tabs>
          <w:tab w:leader="none" w:pos="50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By: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auto"/>
        </w:rPr>
        <w:t>/s/ Matt Maddox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3203575</wp:posOffset>
            </wp:positionH>
            <wp:positionV relativeFrom="paragraph">
              <wp:posOffset>10160</wp:posOffset>
            </wp:positionV>
            <wp:extent cx="231521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52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5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Matt Maddox</w:t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ind w:left="5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Chief Financial Officer and</w:t>
      </w:r>
    </w:p>
    <w:p>
      <w:pPr>
        <w:ind w:left="5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Treasurer</w:t>
      </w:r>
    </w:p>
    <w:p>
      <w:pPr>
        <w:sectPr>
          <w:pgSz w:w="11900" w:h="16838" w:orient="portrait"/>
          <w:cols w:equalWidth="0" w:num="1">
            <w:col w:w="11420"/>
          </w:cols>
          <w:pgMar w:left="240" w:top="751" w:right="239" w:bottom="1440" w:gutter="0" w:footer="0" w:header="0"/>
        </w:sectPr>
      </w:pPr>
    </w:p>
    <w:bookmarkStart w:id="3" w:name="page4"/>
    <w:bookmarkEnd w:id="3"/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Exhibit 99.1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Wynn Resorts, Limited Announces Increase to Equity Repurchase Program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2" w:lineRule="exact"/>
        <w:rPr>
          <w:sz w:val="20"/>
          <w:szCs w:val="20"/>
          <w:color w:val="auto"/>
        </w:rPr>
      </w:pPr>
    </w:p>
    <w:p>
      <w:pPr>
        <w:ind w:right="80"/>
        <w:spacing w:after="0" w:line="29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July 10, 2008 Las Vegas, NV--(BUSINESS WIRE)—Wynn Resorts, Limited (NASDAQ: WYNN) announced today that its Board of Directors has authorized an increase of up to $500 million to its previously announced $1.2 billion equity repurchase program. The repurchase program may include repurchases from time to time through open market purchases or negotiated transactions, depending upon market conditions.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ind w:right="100"/>
        <w:spacing w:after="0" w:line="27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Wynn Resorts, Limited is traded on the Nasdaq Global Select Market under the ticker symbol WYNN and is part of the NASDAQ-100 Index. Wynn Resorts owns and operates Wynn Las Vegas (http://www.wynnlasvegas.com) and Wynn Macau (http://www.wynnmacau.com). Wynn Las Vegas, a luxury hotel and destination casino resort located on the Las Vegas Strip features 2,716 luxurious guest rooms and suites; an approximately 111,000 square foot casino; 22 food and beverage outlets; an on-site 18-hole golf course; approximately 223,000 square feet of meeting space; an on-site Ferrari and Maserati dealership; and approximately 74,000 square feet of retail space. Wynn Macau is a destination casino resort in the Macau Special Administrative Region of the People's Republic of China and currently features 600 deluxe hotel rooms and suites; approximately 205,000 square foot casino; casual and fine dining in five restaurants; approximately 46,000 square feet of retail space; a health club, pool and spa, along with lounges and meeting facilities.</w:t>
      </w:r>
    </w:p>
    <w:p>
      <w:pPr>
        <w:spacing w:after="0" w:line="19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CONTACT: Wynn Resorts, Limited, Las Vegas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Samanta Stewart, 702-770-7555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investorrelations@wynnresorts.com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SOURCE: Wynn Resorts, Limited</w:t>
      </w:r>
    </w:p>
    <w:sectPr>
      <w:pgSz w:w="11900" w:h="16838" w:orient="portrait"/>
      <w:cols w:equalWidth="0" w:num="1">
        <w:col w:w="11420"/>
      </w:cols>
      <w:pgMar w:left="240" w:top="116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["/>
      <w:numFmt w:val="bullet"/>
      <w:start w:val="1"/>
    </w:lvl>
  </w:abstractNum>
  <w:abstractNum w:abstractNumId="1">
    <w:nsid w:val="19495CFF"/>
    <w:multiLevelType w:val="hybridMultilevel"/>
    <w:lvl w:ilvl="0">
      <w:lvlJc w:val="left"/>
      <w:lvlText w:val="["/>
      <w:numFmt w:val="bullet"/>
      <w:start w:val="1"/>
    </w:lvl>
  </w:abstractNum>
  <w:abstractNum w:abstractNumId="2">
    <w:nsid w:val="2AE8944A"/>
    <w:multiLevelType w:val="hybridMultilevel"/>
    <w:lvl w:ilvl="0">
      <w:lvlJc w:val="left"/>
      <w:lvlText w:val="[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(%1)"/>
      <w:numFmt w:val="lowerLetter"/>
      <w:start w:val="4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2019-12-15T07:39:54Z</dcterms:created>
  <dcterms:modified xsi:type="dcterms:W3CDTF">2019-12-15T07:39:54Z</dcterms:modified>
</cp:coreProperties>
</file>