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pPr>
      <w:r>
        <w:rPr>
          <w:color w:val="000000"/>
        </w:rPr>
        <w:t> </w:t>
      </w: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000-50028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48"/>
        </w:rPr>
        <w:t>WYNN RESORTS, LIMITED</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3131 Las Vegas Boulevard South - Las Vegas, Nevada 89109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590" w:type="dxa"/>
        <w:jc w:val="left"/>
        <w:tblInd w:w="0" w:type="dxa"/>
        <w:tblLayout w:type="fixed"/>
        <w:tblCellMar>
          <w:top w:w="28" w:type="dxa"/>
          <w:left w:w="28" w:type="dxa"/>
          <w:bottom w:w="28" w:type="dxa"/>
          <w:right w:w="28" w:type="dxa"/>
        </w:tblCellMar>
      </w:tblPr>
      <w:tblGrid>
        <w:gridCol w:w="973"/>
        <w:gridCol w:w="858"/>
        <w:gridCol w:w="868"/>
        <w:gridCol w:w="109"/>
        <w:gridCol w:w="109"/>
        <w:gridCol w:w="109"/>
        <w:gridCol w:w="749"/>
        <w:gridCol w:w="749"/>
        <w:gridCol w:w="1066"/>
      </w:tblGrid>
      <w:tr>
        <w:trPr/>
        <w:tc>
          <w:tcPr>
            <w:tcW w:w="9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at October 29, 2024</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109,814,972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3048"/>
        <w:gridCol w:w="2982"/>
        <w:gridCol w:w="2991"/>
        <w:gridCol w:w="109"/>
        <w:gridCol w:w="109"/>
        <w:gridCol w:w="15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
              <w:r>
                <w:rPr>
                  <w:rStyle w:val="InternetLink"/>
                  <w:rFonts w:ascii="Times New Roman;sans-serif" w:hAnsi="Times New Roman;sans-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
              <w:r>
                <w:rPr>
                  <w:rStyle w:val="InternetLink"/>
                  <w:rFonts w:ascii="Times New Roman;sans-serif" w:hAnsi="Times New Roman;sans-serif"/>
                  <w:b w:val="false"/>
                  <w:color w:val="0000FF"/>
                  <w:sz w:val="20"/>
                  <w:u w:val="single"/>
                </w:rPr>
                <w:t>Financial Statements</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6">
              <w:r>
                <w:rPr>
                  <w:rStyle w:val="InternetLink"/>
                  <w:rFonts w:ascii="Times New Roman;sans-serif" w:hAnsi="Times New Roman;sans-serif"/>
                  <w:b w:val="false"/>
                  <w:color w:val="000080"/>
                  <w:sz w:val="20"/>
                  <w:u w:val="single"/>
                </w:rPr>
                <w:t xml:space="preserve">Condensed Consolidated Balance Sheets - </w:t>
              </w:r>
            </w:hyperlink>
            <w:hyperlink w:anchor="i108496054dae401198aa293de2d20010_16">
              <w:r>
                <w:rPr>
                  <w:rStyle w:val="InternetLink"/>
                  <w:rFonts w:ascii="Times New Roman;sans-serif" w:hAnsi="Times New Roman;sans-serif"/>
                  <w:b w:val="false"/>
                  <w:color w:val="000080"/>
                  <w:sz w:val="20"/>
                  <w:u w:val="single"/>
                </w:rPr>
                <w:t>Septem</w:t>
              </w:r>
            </w:hyperlink>
            <w:hyperlink w:anchor="i108496054dae401198aa293de2d20010_16">
              <w:r>
                <w:rPr>
                  <w:rStyle w:val="InternetLink"/>
                  <w:rFonts w:ascii="Times New Roman;sans-serif" w:hAnsi="Times New Roman;sans-serif"/>
                  <w:b w:val="false"/>
                  <w:color w:val="000080"/>
                  <w:sz w:val="20"/>
                  <w:u w:val="single"/>
                </w:rPr>
                <w:t>ber</w:t>
              </w:r>
            </w:hyperlink>
            <w:hyperlink w:anchor="i108496054dae401198aa293de2d20010_16">
              <w:r>
                <w:rPr>
                  <w:rStyle w:val="InternetLink"/>
                  <w:rFonts w:ascii="Times New Roman;sans-serif" w:hAnsi="Times New Roman;sans-serif"/>
                  <w:b w:val="false"/>
                  <w:color w:val="000080"/>
                  <w:sz w:val="20"/>
                  <w:u w:val="single"/>
                </w:rPr>
                <w:t xml:space="preserve"> 30, 2024 (unaudited) and December 31,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6">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9">
              <w:r>
                <w:rPr>
                  <w:rStyle w:val="InternetLink"/>
                  <w:rFonts w:ascii="Times New Roman;sans-serif" w:hAnsi="Times New Roman;sans-serif"/>
                  <w:b w:val="false"/>
                  <w:color w:val="000080"/>
                  <w:sz w:val="20"/>
                  <w:u w:val="single"/>
                </w:rPr>
                <w:t xml:space="preserve">Condensed Consolidated Statements of </w:t>
              </w:r>
            </w:hyperlink>
            <w:hyperlink w:anchor="i108496054dae401198aa293de2d20010_19">
              <w:r>
                <w:rPr>
                  <w:rStyle w:val="InternetLink"/>
                  <w:rFonts w:ascii="Times New Roman;sans-serif" w:hAnsi="Times New Roman;sans-serif"/>
                  <w:b w:val="false"/>
                  <w:color w:val="000080"/>
                  <w:sz w:val="20"/>
                  <w:u w:val="single"/>
                </w:rPr>
                <w:t>Operations</w:t>
              </w:r>
            </w:hyperlink>
            <w:hyperlink w:anchor="i108496054dae401198aa293de2d20010_19">
              <w:r>
                <w:rPr>
                  <w:rStyle w:val="InternetLink"/>
                  <w:rFonts w:ascii="Times New Roman;sans-serif" w:hAnsi="Times New Roman;sans-serif"/>
                  <w:b w:val="false"/>
                  <w:color w:val="000080"/>
                  <w:sz w:val="20"/>
                  <w:u w:val="single"/>
                </w:rPr>
                <w:t xml:space="preserve"> (unaudited) - Three and </w:t>
              </w:r>
            </w:hyperlink>
            <w:hyperlink w:anchor="i108496054dae401198aa293de2d20010_19">
              <w:r>
                <w:rPr>
                  <w:rStyle w:val="InternetLink"/>
                  <w:rFonts w:ascii="Times New Roman;sans-serif" w:hAnsi="Times New Roman;sans-serif"/>
                  <w:b w:val="false"/>
                  <w:color w:val="000080"/>
                  <w:sz w:val="20"/>
                  <w:u w:val="single"/>
                </w:rPr>
                <w:t>Nine</w:t>
              </w:r>
            </w:hyperlink>
            <w:hyperlink w:anchor="i108496054dae401198aa293de2d20010_19">
              <w:r>
                <w:rPr>
                  <w:rStyle w:val="InternetLink"/>
                  <w:rFonts w:ascii="Times New Roman;sans-serif" w:hAnsi="Times New Roman;sans-serif"/>
                  <w:b w:val="false"/>
                  <w:color w:val="000080"/>
                  <w:sz w:val="20"/>
                  <w:u w:val="single"/>
                </w:rPr>
                <w:t xml:space="preserve"> Months Ended </w:t>
              </w:r>
            </w:hyperlink>
            <w:hyperlink w:anchor="i108496054dae401198aa293de2d20010_19">
              <w:r>
                <w:rPr>
                  <w:rStyle w:val="InternetLink"/>
                  <w:rFonts w:ascii="Times New Roman;sans-serif" w:hAnsi="Times New Roman;sans-serif"/>
                  <w:b w:val="false"/>
                  <w:color w:val="000080"/>
                  <w:sz w:val="20"/>
                  <w:u w:val="single"/>
                </w:rPr>
                <w:t>September</w:t>
              </w:r>
            </w:hyperlink>
            <w:hyperlink w:anchor="i108496054dae401198aa293de2d20010_19">
              <w:r>
                <w:rPr>
                  <w:rStyle w:val="InternetLink"/>
                  <w:rFonts w:ascii="Times New Roman;sans-serif" w:hAnsi="Times New Roman;sans-serif"/>
                  <w:b w:val="false"/>
                  <w:color w:val="000080"/>
                  <w:sz w:val="20"/>
                  <w:u w:val="single"/>
                </w:rPr>
                <w:t xml:space="preserve"> 30,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9">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22">
              <w:r>
                <w:rPr>
                  <w:rStyle w:val="InternetLink"/>
                  <w:rFonts w:ascii="Times New Roman;sans-serif" w:hAnsi="Times New Roman;sans-serif"/>
                  <w:b w:val="false"/>
                  <w:color w:val="000080"/>
                  <w:sz w:val="20"/>
                  <w:u w:val="single"/>
                </w:rPr>
                <w:t>Condensed Consolidated Statements of Comprehensive Income</w:t>
              </w:r>
            </w:hyperlink>
            <w:hyperlink w:anchor="i108496054dae401198aa293de2d20010_22">
              <w:r>
                <w:rPr>
                  <w:rStyle w:val="InternetLink"/>
                  <w:rFonts w:ascii="Times New Roman;sans-serif" w:hAnsi="Times New Roman;sans-serif"/>
                  <w:b w:val="false"/>
                  <w:color w:val="000080"/>
                  <w:sz w:val="20"/>
                  <w:u w:val="single"/>
                </w:rPr>
                <w:t xml:space="preserve"> (Loss)</w:t>
              </w:r>
            </w:hyperlink>
            <w:hyperlink w:anchor="i108496054dae401198aa293de2d20010_22">
              <w:r>
                <w:rPr>
                  <w:rStyle w:val="InternetLink"/>
                  <w:rFonts w:ascii="Times New Roman;sans-serif" w:hAnsi="Times New Roman;sans-serif"/>
                  <w:b w:val="false"/>
                  <w:color w:val="000080"/>
                  <w:sz w:val="20"/>
                  <w:u w:val="single"/>
                </w:rPr>
                <w:t xml:space="preserve"> (unaudited) - Three and </w:t>
              </w:r>
            </w:hyperlink>
            <w:hyperlink w:anchor="i108496054dae401198aa293de2d20010_22">
              <w:r>
                <w:rPr>
                  <w:rStyle w:val="InternetLink"/>
                  <w:rFonts w:ascii="Times New Roman;sans-serif" w:hAnsi="Times New Roman;sans-serif"/>
                  <w:b w:val="false"/>
                  <w:color w:val="000080"/>
                  <w:sz w:val="20"/>
                  <w:u w:val="single"/>
                </w:rPr>
                <w:t>Nine</w:t>
              </w:r>
            </w:hyperlink>
            <w:hyperlink w:anchor="i108496054dae401198aa293de2d20010_22">
              <w:r>
                <w:rPr>
                  <w:rStyle w:val="InternetLink"/>
                  <w:rFonts w:ascii="Times New Roman;sans-serif" w:hAnsi="Times New Roman;sans-serif"/>
                  <w:b w:val="false"/>
                  <w:color w:val="000080"/>
                  <w:sz w:val="20"/>
                  <w:u w:val="single"/>
                </w:rPr>
                <w:t xml:space="preserve"> Months Ended </w:t>
              </w:r>
            </w:hyperlink>
            <w:hyperlink w:anchor="i108496054dae401198aa293de2d20010_22">
              <w:r>
                <w:rPr>
                  <w:rStyle w:val="InternetLink"/>
                  <w:rFonts w:ascii="Times New Roman;sans-serif" w:hAnsi="Times New Roman;sans-serif"/>
                  <w:b w:val="false"/>
                  <w:color w:val="000080"/>
                  <w:sz w:val="20"/>
                  <w:u w:val="single"/>
                </w:rPr>
                <w:t>September</w:t>
              </w:r>
            </w:hyperlink>
            <w:hyperlink w:anchor="i108496054dae401198aa293de2d20010_22">
              <w:r>
                <w:rPr>
                  <w:rStyle w:val="InternetLink"/>
                  <w:rFonts w:ascii="Times New Roman;sans-serif" w:hAnsi="Times New Roman;sans-serif"/>
                  <w:b w:val="false"/>
                  <w:color w:val="000080"/>
                  <w:sz w:val="20"/>
                  <w:u w:val="single"/>
                </w:rPr>
                <w:t xml:space="preserve"> 30,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22">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25">
              <w:r>
                <w:rPr>
                  <w:rStyle w:val="InternetLink"/>
                  <w:rFonts w:ascii="Times New Roman;sans-serif" w:hAnsi="Times New Roman;sans-serif"/>
                  <w:b w:val="false"/>
                  <w:color w:val="000080"/>
                  <w:sz w:val="20"/>
                  <w:u w:val="single"/>
                </w:rPr>
                <w:t xml:space="preserve">Condensed Consolidated Statements of Stockholders’ Deficit (unaudited) - Three and </w:t>
              </w:r>
            </w:hyperlink>
            <w:hyperlink w:anchor="i108496054dae401198aa293de2d20010_25">
              <w:r>
                <w:rPr>
                  <w:rStyle w:val="InternetLink"/>
                  <w:rFonts w:ascii="Times New Roman;sans-serif" w:hAnsi="Times New Roman;sans-serif"/>
                  <w:b w:val="false"/>
                  <w:color w:val="000080"/>
                  <w:sz w:val="20"/>
                  <w:u w:val="single"/>
                </w:rPr>
                <w:t>Nine</w:t>
              </w:r>
            </w:hyperlink>
            <w:hyperlink w:anchor="i108496054dae401198aa293de2d20010_25">
              <w:r>
                <w:rPr>
                  <w:rStyle w:val="InternetLink"/>
                  <w:rFonts w:ascii="Times New Roman;sans-serif" w:hAnsi="Times New Roman;sans-serif"/>
                  <w:b w:val="false"/>
                  <w:color w:val="000080"/>
                  <w:sz w:val="20"/>
                  <w:u w:val="single"/>
                </w:rPr>
                <w:t xml:space="preserve"> Months Ended </w:t>
              </w:r>
            </w:hyperlink>
            <w:hyperlink w:anchor="i108496054dae401198aa293de2d20010_25">
              <w:r>
                <w:rPr>
                  <w:rStyle w:val="InternetLink"/>
                  <w:rFonts w:ascii="Times New Roman;sans-serif" w:hAnsi="Times New Roman;sans-serif"/>
                  <w:b w:val="false"/>
                  <w:color w:val="000080"/>
                  <w:sz w:val="20"/>
                  <w:u w:val="single"/>
                </w:rPr>
                <w:t>September</w:t>
              </w:r>
            </w:hyperlink>
            <w:hyperlink w:anchor="i108496054dae401198aa293de2d20010_25">
              <w:r>
                <w:rPr>
                  <w:rStyle w:val="InternetLink"/>
                  <w:rFonts w:ascii="Times New Roman;sans-serif" w:hAnsi="Times New Roman;sans-serif"/>
                  <w:b w:val="false"/>
                  <w:color w:val="000080"/>
                  <w:sz w:val="20"/>
                  <w:u w:val="single"/>
                </w:rPr>
                <w:t xml:space="preserve"> 30,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25">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28">
              <w:r>
                <w:rPr>
                  <w:rStyle w:val="InternetLink"/>
                  <w:rFonts w:ascii="Times New Roman;sans-serif" w:hAnsi="Times New Roman;sans-serif"/>
                  <w:b w:val="false"/>
                  <w:color w:val="000080"/>
                  <w:sz w:val="20"/>
                  <w:u w:val="single"/>
                </w:rPr>
                <w:t xml:space="preserve">Condensed Consolidated Statements of Cash Flows (unaudited) - </w:t>
              </w:r>
            </w:hyperlink>
            <w:hyperlink w:anchor="i108496054dae401198aa293de2d20010_28">
              <w:r>
                <w:rPr>
                  <w:rStyle w:val="InternetLink"/>
                  <w:rFonts w:ascii="Times New Roman;sans-serif" w:hAnsi="Times New Roman;sans-serif"/>
                  <w:b w:val="false"/>
                  <w:color w:val="000080"/>
                  <w:sz w:val="20"/>
                  <w:u w:val="single"/>
                </w:rPr>
                <w:t>Nine</w:t>
              </w:r>
            </w:hyperlink>
            <w:hyperlink w:anchor="i108496054dae401198aa293de2d20010_28">
              <w:r>
                <w:rPr>
                  <w:rStyle w:val="InternetLink"/>
                  <w:rFonts w:ascii="Times New Roman;sans-serif" w:hAnsi="Times New Roman;sans-serif"/>
                  <w:b w:val="false"/>
                  <w:color w:val="000080"/>
                  <w:sz w:val="20"/>
                  <w:u w:val="single"/>
                </w:rPr>
                <w:t xml:space="preserve"> Months Ended </w:t>
              </w:r>
            </w:hyperlink>
            <w:hyperlink w:anchor="i108496054dae401198aa293de2d20010_28">
              <w:r>
                <w:rPr>
                  <w:rStyle w:val="InternetLink"/>
                  <w:rFonts w:ascii="Times New Roman;sans-serif" w:hAnsi="Times New Roman;sans-serif"/>
                  <w:b w:val="false"/>
                  <w:color w:val="000080"/>
                  <w:sz w:val="20"/>
                  <w:u w:val="single"/>
                </w:rPr>
                <w:t>Se</w:t>
              </w:r>
            </w:hyperlink>
            <w:hyperlink w:anchor="i108496054dae401198aa293de2d20010_28">
              <w:r>
                <w:rPr>
                  <w:rStyle w:val="InternetLink"/>
                  <w:rFonts w:ascii="Times New Roman;sans-serif" w:hAnsi="Times New Roman;sans-serif"/>
                  <w:b w:val="false"/>
                  <w:color w:val="000080"/>
                  <w:sz w:val="20"/>
                  <w:u w:val="single"/>
                </w:rPr>
                <w:t>ptember</w:t>
              </w:r>
            </w:hyperlink>
            <w:hyperlink w:anchor="i108496054dae401198aa293de2d20010_28">
              <w:r>
                <w:rPr>
                  <w:rStyle w:val="InternetLink"/>
                  <w:rFonts w:ascii="Times New Roman;sans-serif" w:hAnsi="Times New Roman;sans-serif"/>
                  <w:b w:val="false"/>
                  <w:color w:val="000080"/>
                  <w:sz w:val="20"/>
                  <w:u w:val="single"/>
                </w:rPr>
                <w:t xml:space="preserve"> 30,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28">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108496054dae401198aa293de2d20010_31">
              <w:r>
                <w:rPr>
                  <w:rStyle w:val="InternetLink"/>
                  <w:rFonts w:ascii="Times New Roman;sans-serif" w:hAnsi="Times New Roman;sans-serif"/>
                  <w:b w:val="false"/>
                  <w:color w:val="0000FF"/>
                  <w:sz w:val="20"/>
                  <w:u w:val="single"/>
                </w:rPr>
                <w:t>Notes to Condensed Consolidated 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31">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88">
              <w:r>
                <w:rPr>
                  <w:rStyle w:val="InternetLink"/>
                  <w:rFonts w:ascii="Times New Roman;sans-serif" w:hAnsi="Times New Roman;sans-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88">
              <w:r>
                <w:rPr>
                  <w:rStyle w:val="InternetLink"/>
                  <w:rFonts w:ascii="Times New Roman;sans-serif" w:hAnsi="Times New Roman;sans-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15">
              <w:r>
                <w:rPr>
                  <w:rStyle w:val="InternetLink"/>
                  <w:rFonts w:ascii="Times New Roman;sans-serif" w:hAnsi="Times New Roman;sans-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15">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15">
              <w:r>
                <w:rPr>
                  <w:rStyle w:val="InternetLink"/>
                  <w:rFonts w:ascii="Times New Roman;sans-serif" w:hAnsi="Times New Roman;sans-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18">
              <w:r>
                <w:rPr>
                  <w:rStyle w:val="InternetLink"/>
                  <w:rFonts w:ascii="Times New Roman;sans-serif" w:hAnsi="Times New Roman;sans-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18">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18">
              <w:r>
                <w:rPr>
                  <w:rStyle w:val="InternetLink"/>
                  <w:rFonts w:ascii="Times New Roman;sans-serif" w:hAnsi="Times New Roman;sans-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24">
              <w:r>
                <w:rPr>
                  <w:rStyle w:val="InternetLink"/>
                  <w:rFonts w:ascii="Times New Roman;sans-serif" w:hAnsi="Times New Roman;sans-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24">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24">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27">
              <w:r>
                <w:rPr>
                  <w:rStyle w:val="InternetLink"/>
                  <w:rFonts w:ascii="Times New Roman;sans-serif" w:hAnsi="Times New Roman;sans-serif"/>
                  <w:b w:val="false"/>
                  <w:color w:val="0000FF"/>
                  <w:sz w:val="20"/>
                  <w:u w:val="single"/>
                </w:rPr>
                <w:t>Item 1A.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27">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27">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0">
              <w:r>
                <w:rPr>
                  <w:rStyle w:val="InternetLink"/>
                  <w:rFonts w:ascii="Times New Roman;sans-serif" w:hAnsi="Times New Roman;sans-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0">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30">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3">
              <w:r>
                <w:rPr>
                  <w:rStyle w:val="InternetLink"/>
                  <w:rFonts w:ascii="Times New Roman;sans-serif" w:hAnsi="Times New Roman;sans-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3">
              <w:r>
                <w:rPr>
                  <w:rStyle w:val="InternetLink"/>
                  <w:rFonts w:ascii="Times New Roman;sans-serif" w:hAnsi="Times New Roman;sans-serif"/>
                  <w:b w:val="false"/>
                  <w:color w:val="0000FF"/>
                  <w:sz w:val="20"/>
                  <w:u w:val="single"/>
                </w:rPr>
                <w:t>Default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30">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6">
              <w:r>
                <w:rPr>
                  <w:rStyle w:val="InternetLink"/>
                  <w:rFonts w:ascii="Times New Roman;sans-serif" w:hAnsi="Times New Roman;sans-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6">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30">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9">
              <w:r>
                <w:rPr>
                  <w:rStyle w:val="InternetLink"/>
                  <w:rFonts w:ascii="Times New Roman;sans-serif" w:hAnsi="Times New Roman;sans-serif"/>
                  <w:b w:val="false"/>
                  <w:color w:val="0000FF"/>
                  <w:sz w:val="20"/>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39">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39">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45">
              <w:r>
                <w:rPr>
                  <w:rStyle w:val="InternetLink"/>
                  <w:rFonts w:ascii="Times New Roman;sans-serif" w:hAnsi="Times New Roman;sans-serif"/>
                  <w:b w:val="false"/>
                  <w:color w:val="0000FF"/>
                  <w:sz w:val="20"/>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45">
              <w:r>
                <w:rPr>
                  <w:rStyle w:val="InternetLink"/>
                  <w:rFonts w:ascii="Times New Roman;sans-serif" w:hAnsi="Times New Roman;sans-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45">
              <w:r>
                <w:rPr>
                  <w:rStyle w:val="InternetLink"/>
                  <w:rFonts w:ascii="Times New Roman;sans-serif" w:hAnsi="Times New Roman;sans-serif"/>
                  <w:b w:val="false"/>
                  <w:color w:val="0000FF"/>
                  <w:sz w:val="20"/>
                  <w:u w:val="single"/>
                </w:rPr>
                <w:t>50</w:t>
              </w:r>
            </w:hyperlink>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08496054dae401198aa293de2d20010_148">
              <w:r>
                <w:rPr>
                  <w:rStyle w:val="InternetLink"/>
                  <w:rFonts w:ascii="Times New Roman;sans-serif" w:hAnsi="Times New Roman;sans-serif"/>
                  <w:b w:val="false"/>
                  <w:color w:val="0000FF"/>
                  <w:sz w:val="20"/>
                  <w:u w:val="single"/>
                </w:rPr>
                <w:t>Signature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8496054dae401198aa293de2d20010_148">
              <w:r>
                <w:rPr>
                  <w:rStyle w:val="InternetLink"/>
                  <w:rFonts w:ascii="Times New Roman;sans-serif" w:hAnsi="Times New Roman;sans-serif"/>
                  <w:b w:val="false"/>
                  <w:color w:val="0000FF"/>
                  <w:sz w:val="20"/>
                  <w:u w:val="single"/>
                </w:rPr>
                <w:t>51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00075"/>
                <wp:effectExtent l="0" t="0" r="0" b="0"/>
                <wp:wrapNone/>
                <wp:docPr id="2" name="Frame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8"/>
        <w:gridCol w:w="2095"/>
        <w:gridCol w:w="2107"/>
        <w:gridCol w:w="215"/>
        <w:gridCol w:w="1076"/>
        <w:gridCol w:w="119"/>
        <w:gridCol w:w="109"/>
        <w:gridCol w:w="109"/>
        <w:gridCol w:w="109"/>
        <w:gridCol w:w="211"/>
        <w:gridCol w:w="1056"/>
        <w:gridCol w:w="171"/>
      </w:tblGrid>
      <w:tr>
        <w:trPr/>
        <w:tc>
          <w:tcPr>
            <w:tcW w:w="2828"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2,407,289 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2,879,186 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1,205,930 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845,192 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of $39,186 and $40,075, respectively</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341,712 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4,190,673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4,241,621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6,517,830 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6,688,479 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1,803,441 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1,832,896 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14,111,399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13,996,223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construction payables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 payable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1,239,054 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709,593 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2,743,305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2,200,454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10,547,508 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11,028,744 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operating lease liabilities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15,176,877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15,097,157</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15)</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deficit:</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40,000,000 shares authorized; zero shares issued and outstanding</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400,000,000 shares authorized; 133,532,047 and 132,998,916 shares issued; 109,922,076 and 111,737,245 shares outstanding, respectively</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23,609,971 and 21,261,671 shares, respectively</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(2,037,046)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(1,836,326)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3,685,242 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3,647,161 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(1,926,524)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(2,066,953)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Wynn Resorts, Limited stockholders' deficit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(281,402)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(251,382)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(784,076)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(849,552)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(1,065,478)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(1,100,934)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14,111,399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13,996,223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0075"/>
                <wp:effectExtent l="0" t="0" r="0" b="0"/>
                <wp:wrapNone/>
                <wp:docPr id="3" name="Frame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272"/>
        <w:gridCol w:w="1274"/>
        <w:gridCol w:w="211"/>
        <w:gridCol w:w="976"/>
        <w:gridCol w:w="109"/>
        <w:gridCol w:w="109"/>
        <w:gridCol w:w="109"/>
        <w:gridCol w:w="109"/>
        <w:gridCol w:w="211"/>
        <w:gridCol w:w="884"/>
        <w:gridCol w:w="109"/>
        <w:gridCol w:w="109"/>
        <w:gridCol w:w="109"/>
        <w:gridCol w:w="109"/>
        <w:gridCol w:w="211"/>
        <w:gridCol w:w="976"/>
        <w:gridCol w:w="109"/>
        <w:gridCol w:w="109"/>
        <w:gridCol w:w="109"/>
        <w:gridCol w:w="109"/>
        <w:gridCol w:w="211"/>
        <w:gridCol w:w="976"/>
        <w:gridCol w:w="155"/>
      </w:tblGrid>
      <w:tr>
        <w:trPr/>
        <w:tc>
          <w:tcPr>
            <w:tcW w:w="154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1,671,936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5,289,164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4,691,437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1,560,086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1,609,341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4,523,328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4,208,991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765,836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482,446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debt financing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(403,404)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(471,432)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11,014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23"/>
        <w:gridCol w:w="1487"/>
        <w:gridCol w:w="1442"/>
        <w:gridCol w:w="211"/>
        <w:gridCol w:w="781"/>
        <w:gridCol w:w="109"/>
        <w:gridCol w:w="109"/>
        <w:gridCol w:w="109"/>
        <w:gridCol w:w="109"/>
        <w:gridCol w:w="211"/>
        <w:gridCol w:w="886"/>
        <w:gridCol w:w="109"/>
        <w:gridCol w:w="109"/>
        <w:gridCol w:w="109"/>
        <w:gridCol w:w="109"/>
        <w:gridCol w:w="219"/>
        <w:gridCol w:w="877"/>
        <w:gridCol w:w="113"/>
        <w:gridCol w:w="113"/>
        <w:gridCol w:w="113"/>
        <w:gridCol w:w="113"/>
        <w:gridCol w:w="219"/>
        <w:gridCol w:w="657"/>
        <w:gridCol w:w="168"/>
      </w:tblGrid>
      <w:tr>
        <w:trPr/>
        <w:tc>
          <w:tcPr>
            <w:tcW w:w="172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before and after tax</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(122,860)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306,388</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17,689</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Wynn Resorts, Limited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(38,675)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(118,376)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216,291</w:t>
            </w:r>
            <w:r>
              <w:rPr>
                <w:color w:val="000000"/>
              </w:rPr>
              <w:t>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7,460</w:t>
            </w:r>
            <w:r>
              <w:rPr>
                <w:color w:val="000000"/>
              </w:rPr>
              <w:t>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32"/>
        <w:gridCol w:w="618"/>
        <w:gridCol w:w="14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September 30,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July 1, 2024</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111,375,062 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(1,918,595)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(1,866,826)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(792,138)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(901,962)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(19,042)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(1,473,824)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September 30, 2024</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109,922,076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(2,037,046)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3,685,242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(4,409)</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(1,926,524)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(281,402)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(784,076)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(1,065,478)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September 30, 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July 1, 2023</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113,942,935 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(1,635,966)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(876,911)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(1,507,164)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(623,417)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September 30, 2023</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113,357,215</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(1,694,891)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3,633,517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6,218</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(2,767,938)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(821,764)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(887,285)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(1,709,049)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32"/>
        <w:gridCol w:w="618"/>
        <w:gridCol w:w="14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nine months ended September 30,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2024</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111,737,245 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(1,836,326)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(2,066,953)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(849,552)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(1,100,934)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Exercise of stock options </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544,858 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(2,348,300)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September 30, 2024</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109,922,076</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(2,037,046)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3,685,242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(4,409)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(1,926,524)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(281,402)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(784,076)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(1,065,478)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nine months ended September 30, 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2023</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113,369,439 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(1,623,872)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3,583,923 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(2,711,808)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(889,527)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(1,640,365)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Exercise of stock options </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32,284 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708,428 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(16,991)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(742,126)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September 30, 2023</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113,357,215</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(1,694,891)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3,633,517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6,218</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(2,767,938)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(821,764)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(887,285)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(1,709,049)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43" w:type="dxa"/>
        <w:jc w:val="center"/>
        <w:tblInd w:w="0" w:type="dxa"/>
        <w:tblLayout w:type="fixed"/>
        <w:tblCellMar>
          <w:top w:w="28" w:type="dxa"/>
          <w:left w:w="28" w:type="dxa"/>
          <w:bottom w:w="28" w:type="dxa"/>
          <w:right w:w="28" w:type="dxa"/>
        </w:tblCellMar>
      </w:tblPr>
      <w:tblGrid>
        <w:gridCol w:w="2097"/>
        <w:gridCol w:w="1839"/>
        <w:gridCol w:w="1853"/>
        <w:gridCol w:w="196"/>
        <w:gridCol w:w="886"/>
        <w:gridCol w:w="109"/>
        <w:gridCol w:w="109"/>
        <w:gridCol w:w="109"/>
        <w:gridCol w:w="109"/>
        <w:gridCol w:w="196"/>
        <w:gridCol w:w="88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derivatives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 and intangible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charges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from changes in: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prepaid expenses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947,175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806,550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net of construction payables and retention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unconsolidated affiliates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Purchase of investments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maturity of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(1,178,378)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interest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payments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(337,737)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(527,855)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exchange rate on cash, cash equivalents and restricted cash</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(3,721)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Increase (decrease) in cash, cash equivalents and 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739,301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(903,404)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2,969,412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3,782,990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3,708,713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2,879,586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Organization</w:t>
      </w:r>
    </w:p>
    <w:p>
      <w:pPr>
        <w:pStyle w:val="TextBody"/>
        <w:bidi w:val="0"/>
        <w:spacing w:before="0" w:after="0"/>
        <w:ind w:left="0" w:right="0" w:firstLine="22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40% equity interest in Island 3 AMI FZ-LLC ("Island 3"), an unconsolidated affiliate, which is constructing an integrated resort property ("Wynn Al Marjan Island") in Ras Al Khaimah, United Arab Emirates, currently expected to open in 2027.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2 -</w:t>
      </w:r>
      <w:r>
        <w:rPr>
          <w:color w:val="000000"/>
        </w:rPr>
        <w:t>    </w:t>
      </w:r>
      <w:r>
        <w:rPr>
          <w:rFonts w:ascii="Times New Roman;sans-serif" w:hAnsi="Times New Roman;sans-serif"/>
          <w:b/>
          <w:color w:val="000000"/>
          <w:sz w:val="20"/>
        </w:rPr>
        <w:t>Basis of Presentation and Significant Accounting Policies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2024 are not necessarily indicative of results to be expected for any other interim period or the full fiscal year ending December 31, 2024. These condensed consolidated financial statements should be read in conjunction with the consolidated financial statements and notes thereto in the Company's Annual Report on Form 10-K for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 Certain amounts in the condensed consolidated financial statements for the three and nine months ended September 30, 2023 have been reclassified to be consistent with the current period presentation. These reclassifications had no effect on previously reported net income or operating income.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Taxes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$437.2 million and $415.0 million for the three months ended September 30, 2024 and 2023, respectively, and $1.36 billion and $1.12 billion for the nine months ended September 30,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proceeds of $300.0 million upon the maturity of its investments in debt securities and $550.0 million upon the maturity of its investments in fixed deposits during the nine months ended September 30, 2024. The Company held no short-term investments as of September 30, 2024.</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held $550.0 million in fixed deposits, recorded at fair value, and $295.2 million in debt securities, recorded at amortized cost within Investments on the Condensed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Condensed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nine months ended September 30, 2024 and 2023, no impairment was recognized.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in a business combination over the fair value of the tangible and intangible assets acquired and the liabilities assumed. Goodwill is not amortized, but rather is subject to impairment testing annually, or more frequently if events or changes in circumstances indicate that this asset may be impaired. As of September 30, 2024 and December 31, 2023, the Company had a goodwill balance of $18.5 million, recorded in Goodwill and intangible assets, net on the Condensed Consolidated Balance Sheets. During the three and nine months ended September 30, 2024, no impairment was recognized.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 in Unconsolidated Affiliate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investment in Island 3 using the equity method. Under the equity method, the investment's carrying value is adjusted for the Company’s share of the investee's earnings and losses, capital contributions to and distributions from the investee, and capitalization of interest cost incurred by the Company during the investee's initial development period. As of September 30, 2024 and December 31, 2023, the Company had an investment in unconsolidated affiliate of $542.1 million and $90.9 million, respectively, recorded in non-current other assets in the accompanying Condensed Consolidated Balance Sheets.</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the recently issued, but not yet effective, accounting standards that have been issued or proposed by the Financial Accounting Standards Board or other standard-setting bodies through the filing date of these financial statements and does not believe the future adoption of any such pronouncements will have a material effect on the Company’s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Cash, Cash Equivalents and Restricted Cash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10205" w:type="dxa"/>
        <w:jc w:val="left"/>
        <w:tblInd w:w="0" w:type="dxa"/>
        <w:tblLayout w:type="fixed"/>
        <w:tblCellMar>
          <w:top w:w="28" w:type="dxa"/>
          <w:left w:w="28" w:type="dxa"/>
          <w:bottom w:w="28" w:type="dxa"/>
          <w:right w:w="28" w:type="dxa"/>
        </w:tblCellMar>
      </w:tblPr>
      <w:tblGrid>
        <w:gridCol w:w="1653"/>
        <w:gridCol w:w="1454"/>
        <w:gridCol w:w="1463"/>
        <w:gridCol w:w="403"/>
        <w:gridCol w:w="1897"/>
        <w:gridCol w:w="208"/>
        <w:gridCol w:w="191"/>
        <w:gridCol w:w="191"/>
        <w:gridCol w:w="191"/>
        <w:gridCol w:w="396"/>
        <w:gridCol w:w="1863"/>
        <w:gridCol w:w="295"/>
      </w:tblGrid>
      <w:tr>
        <w:trPr/>
        <w:tc>
          <w:tcPr>
            <w:tcW w:w="165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2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Cash </w:t>
            </w:r>
            <w:r>
              <w:rPr>
                <w:rFonts w:ascii="Times New Roman;sans-serif" w:hAnsi="Times New Roman;sans-serif"/>
                <w:b w:val="false"/>
                <w:color w:val="000000"/>
                <w:sz w:val="13"/>
              </w:rPr>
              <w:t>(1)</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1,895,060 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1,076,474 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Cash equivalents</w:t>
            </w:r>
            <w:r>
              <w:rPr>
                <w:color w:val="000000"/>
              </w:rPr>
              <w:t xml:space="preserve"> </w:t>
            </w:r>
            <w:r>
              <w:rPr>
                <w:rFonts w:ascii="Times New Roman;sans-serif" w:hAnsi="Times New Roman;sans-serif"/>
                <w:b w:val="false"/>
                <w:color w:val="000000"/>
                <w:sz w:val="13"/>
              </w:rPr>
              <w:t>(2)</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1,802,712 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cash and cash equivalents </w:t>
            </w:r>
          </w:p>
        </w:tc>
        <w:tc>
          <w:tcPr>
            <w:tcW w:w="2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2,407,289</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2,879,186</w:t>
            </w:r>
            <w:r>
              <w:rPr>
                <w:color w:val="000000"/>
              </w:rPr>
              <w:t>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Restricted cash</w:t>
            </w:r>
            <w:r>
              <w:rPr>
                <w:color w:val="000000"/>
              </w:rPr>
              <w:t xml:space="preserve"> </w:t>
            </w:r>
            <w:r>
              <w:rPr>
                <w:rFonts w:ascii="Times New Roman;sans-serif" w:hAnsi="Times New Roman;sans-serif"/>
                <w:b w:val="false"/>
                <w:color w:val="000000"/>
                <w:sz w:val="13"/>
              </w:rPr>
              <w:t>(3)</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3,708,713</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2,969,412</w:t>
            </w: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Cash consists of cash on hand and bank deposits. </w:t>
            </w:r>
          </w:p>
          <w:p>
            <w:pPr>
              <w:pStyle w:val="TableContents"/>
              <w:bidi w:val="0"/>
              <w:spacing w:lineRule="auto" w:line="240"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Cash equivalents consist of bank time deposits and money market funds.</w:t>
            </w:r>
          </w:p>
          <w:p>
            <w:pPr>
              <w:pStyle w:val="TableContents"/>
              <w:bidi w:val="0"/>
              <w:spacing w:lineRule="auto" w:line="240"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(3) Restricted cash consists of cash subject to certain contractual restrictions, cash collateral associated with obligations, cash held in trusts in accordance with WML's share award plans, and as of September 30, 2024 and December 31, 2023 included $87.5 million and $87.0 million in the form of a first demand bank guarantee in favor of the Macau government to support the legal and contractual obligations of Wynn Resorts (Macau) S.A. ("Wynn Macau SA") through the term of Wynn Macau SA's gaming concession contract. As of September 30, 2024, restricted cash also included $605.9 million and $600.0 million of cash held in trust accounts for the repurchase or payment of the Wynn Las Vegas 5 1/2% Senior Notes due 2025 and WML 4 7/8% Senior Notes due 2024, respectively, in October 2024. For additional information, see Note 6, "Long-Term Debt."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disclosures of the Company (in thousands):</w:t>
      </w:r>
    </w:p>
    <w:tbl>
      <w:tblPr>
        <w:tblW w:w="8528" w:type="dxa"/>
        <w:jc w:val="left"/>
        <w:tblInd w:w="0" w:type="dxa"/>
        <w:tblLayout w:type="fixed"/>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settled with shares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construction payables related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related to intangible assets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settlement of liabilities in connection with an asset sale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For the nine months ended September 30, 2024 and 2023, included $201.3 million and $204.2 million, respectively, related to the Macau gaming premium in connection with Wynn Macau SA's gaming concession contract.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4 -    Receivables,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Credit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net consisted of the following (in thousands): </w:t>
      </w:r>
    </w:p>
    <w:tbl>
      <w:tblPr>
        <w:tblW w:w="6130" w:type="dxa"/>
        <w:jc w:val="left"/>
        <w:tblInd w:w="0" w:type="dxa"/>
        <w:tblLayout w:type="fixed"/>
        <w:tblCellMar>
          <w:top w:w="28" w:type="dxa"/>
          <w:left w:w="28" w:type="dxa"/>
          <w:bottom w:w="28" w:type="dxa"/>
          <w:right w:w="28" w:type="dxa"/>
        </w:tblCellMar>
      </w:tblPr>
      <w:tblGrid>
        <w:gridCol w:w="982"/>
        <w:gridCol w:w="864"/>
        <w:gridCol w:w="868"/>
        <w:gridCol w:w="280"/>
        <w:gridCol w:w="1119"/>
        <w:gridCol w:w="145"/>
        <w:gridCol w:w="109"/>
        <w:gridCol w:w="109"/>
        <w:gridCol w:w="109"/>
        <w:gridCol w:w="270"/>
        <w:gridCol w:w="1078"/>
        <w:gridCol w:w="197"/>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225,754 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428,044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381,787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388,858</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341,712</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approximately 72.4% and 68.2%,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allowance for casino credit losses was 15.9% of gross casino receivables as of September 30, 2024 and December 31, 2023. Although the Company believes that its allowance is adequate, it is possible the estimated amounts of cash collections with respect to receivables could change. The Company’s allowance for credit losses from its hotel and other receivables is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45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following table shows the movement in the Company's allowance for credit losses recognized for receivables that occurred during the periods presented (in thousands):</w:t>
      </w:r>
      <w:r>
        <w:rPr>
          <w:color w:val="000000"/>
        </w:rPr>
        <w:t> </w:t>
      </w:r>
    </w:p>
    <w:p>
      <w:pPr>
        <w:pStyle w:val="TextBody"/>
        <w:bidi w:val="0"/>
        <w:spacing w:before="0" w:after="0"/>
        <w:ind w:left="0" w:right="0" w:firstLine="495"/>
        <w:jc w:val="both"/>
        <w:rPr/>
      </w:pPr>
      <w:r>
        <w:rPr/>
      </w:r>
    </w:p>
    <w:tbl>
      <w:tblPr>
        <w:tblW w:w="6653" w:type="dxa"/>
        <w:jc w:val="left"/>
        <w:tblInd w:w="0" w:type="dxa"/>
        <w:tblLayout w:type="fixed"/>
        <w:tblCellMar>
          <w:top w:w="28" w:type="dxa"/>
          <w:left w:w="28" w:type="dxa"/>
          <w:bottom w:w="28" w:type="dxa"/>
          <w:right w:w="28" w:type="dxa"/>
        </w:tblCellMar>
      </w:tblPr>
      <w:tblGrid>
        <w:gridCol w:w="1510"/>
        <w:gridCol w:w="1328"/>
        <w:gridCol w:w="1331"/>
        <w:gridCol w:w="211"/>
        <w:gridCol w:w="736"/>
        <w:gridCol w:w="109"/>
        <w:gridCol w:w="109"/>
        <w:gridCol w:w="109"/>
        <w:gridCol w:w="109"/>
        <w:gridCol w:w="211"/>
        <w:gridCol w:w="73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78,842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Recoveries of receivables previously written off</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39,186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59,618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p>
      <w:pPr>
        <w:pStyle w:val="TextBody"/>
        <w:bidi w:val="0"/>
        <w:spacing w:before="0" w:after="0"/>
        <w:ind w:left="0" w:right="0" w:firstLine="450"/>
        <w:jc w:val="left"/>
        <w:rPr/>
      </w:pPr>
      <w:r>
        <w:rPr/>
      </w:r>
    </w:p>
    <w:tbl>
      <w:tblPr>
        <w:tblW w:w="6250" w:type="dxa"/>
        <w:jc w:val="left"/>
        <w:tblInd w:w="0" w:type="dxa"/>
        <w:tblLayout w:type="fixed"/>
        <w:tblCellMar>
          <w:top w:w="28" w:type="dxa"/>
          <w:left w:w="28" w:type="dxa"/>
          <w:bottom w:w="28" w:type="dxa"/>
          <w:right w:w="28" w:type="dxa"/>
        </w:tblCellMar>
      </w:tblPr>
      <w:tblGrid>
        <w:gridCol w:w="1027"/>
        <w:gridCol w:w="902"/>
        <w:gridCol w:w="906"/>
        <w:gridCol w:w="248"/>
        <w:gridCol w:w="1168"/>
        <w:gridCol w:w="128"/>
        <w:gridCol w:w="109"/>
        <w:gridCol w:w="109"/>
        <w:gridCol w:w="109"/>
        <w:gridCol w:w="240"/>
        <w:gridCol w:w="1129"/>
        <w:gridCol w:w="175"/>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8,538,141 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8,459,085 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3,358,813 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3,311,478 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13,474,974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13,272,430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(6,957,144)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(6,583,951)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6,517,830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6,688,479</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construction in progress consisted primarily of costs capitalized for various capital enhancements at the Company's properties. During the nine months ended September 30, 2024, the Company expensed $61.5 million of project costs related to a discontinued development project, inclusive of $4.7 million of internally allocated overhead, that had been previously capitalized. The expense was recorded in Property charges and other expenses in the accompanying Condensed Consolidated Statements of Operations for the nine months ended September 30,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September 30, 2024 and 2023 was $142.6 million and $156.0 million, respectively, and depreciation expense for the nine months ended September 30, 2024 and 2023 was $462.9 million and $465.0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(in thousands):</w:t>
      </w:r>
    </w:p>
    <w:p>
      <w:pPr>
        <w:pStyle w:val="TextBody"/>
        <w:bidi w:val="0"/>
        <w:spacing w:lineRule="auto" w:line="288" w:before="0" w:after="0"/>
        <w:ind w:left="0" w:right="0" w:firstLine="45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65"/>
        <w:gridCol w:w="2160"/>
        <w:gridCol w:w="2169"/>
        <w:gridCol w:w="229"/>
        <w:gridCol w:w="1192"/>
        <w:gridCol w:w="118"/>
        <w:gridCol w:w="109"/>
        <w:gridCol w:w="109"/>
        <w:gridCol w:w="109"/>
        <w:gridCol w:w="222"/>
        <w:gridCol w:w="1156"/>
        <w:gridCol w:w="167"/>
      </w:tblGrid>
      <w:tr>
        <w:trPr/>
        <w:tc>
          <w:tcPr>
            <w:tcW w:w="246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Macau Related:</w:t>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 Cayman II Revolver, due 2028</w:t>
            </w:r>
            <w:r>
              <w:rPr>
                <w:color w:val="000000"/>
              </w:rPr>
              <w:t xml:space="preserve"> </w:t>
            </w:r>
            <w:r>
              <w:rPr>
                <w:rFonts w:ascii="Times New Roman;sans-serif" w:hAnsi="Times New Roman;sans-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WML 4 7/8% Senior Notes, due 2024 </w:t>
            </w:r>
            <w:r>
              <w:rPr>
                <w:rFonts w:ascii="Times New Roman;sans-serif" w:hAnsi="Times New Roman;sans-serif"/>
                <w:b w:val="false"/>
                <w:color w:val="000000"/>
                <w:sz w:val="13"/>
              </w:rPr>
              <w:t>(2)</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2026</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2027</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5/8% Senior Notes, due 2028</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1/8% Senior Notes, due 2029</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WML 4 1/2% Convertible Bonds, due 2029</w:t>
            </w:r>
            <w:r>
              <w:rPr>
                <w:color w:val="000000"/>
              </w:rPr>
              <w:t xml:space="preserve"> </w:t>
            </w:r>
            <w:r>
              <w:rPr>
                <w:rFonts w:ascii="Times New Roman;sans-serif" w:hAnsi="Times New Roman;sans-serif"/>
                <w:b w:val="false"/>
                <w:color w:val="000000"/>
                <w:sz w:val="13"/>
              </w:rPr>
              <w:t>(3)</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and Corporate Related:</w:t>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WRF Credit Facilities </w:t>
            </w:r>
            <w:r>
              <w:rPr>
                <w:rFonts w:ascii="Times New Roman;sans-serif" w:hAnsi="Times New Roman;sans-serif"/>
                <w:b w:val="false"/>
                <w:color w:val="000000"/>
                <w:sz w:val="13"/>
              </w:rPr>
              <w:t>(4)</w:t>
            </w:r>
            <w:r>
              <w:rPr>
                <w:rFonts w:ascii="Times New Roman;sans-serif" w:hAnsi="Times New Roman;sans-serif"/>
                <w:b w:val="false"/>
                <w:color w:val="000000"/>
                <w:sz w:val="20"/>
              </w:rPr>
              <w:t>:</w:t>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WLV 5 1/2% Senior Notes, due 2025 </w:t>
            </w:r>
            <w:r>
              <w:rPr>
                <w:rFonts w:ascii="Times New Roman;sans-serif" w:hAnsi="Times New Roman;sans-serif"/>
                <w:b w:val="false"/>
                <w:color w:val="000000"/>
                <w:sz w:val="13"/>
              </w:rPr>
              <w:t>(2)</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583,310 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1/4% Senior Notes, due 2027</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5 1/8% Senior Notes, due 2029</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6 1/4% Senior Notes, due 2033</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Retail Term Loan, due 2027</w:t>
            </w:r>
            <w:r>
              <w:rPr>
                <w:color w:val="000000"/>
              </w:rPr>
              <w:t xml:space="preserve"> </w:t>
            </w:r>
            <w:r>
              <w:rPr>
                <w:rFonts w:ascii="Times New Roman;sans-serif" w:hAnsi="Times New Roman;sans-serif"/>
                <w:b w:val="false"/>
                <w:color w:val="000000"/>
                <w:sz w:val="13"/>
              </w:rPr>
              <w:t>(5)</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11,852,710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11,826,986</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original issue discounts and premium, net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11,786,562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11,738,337</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10,547,508</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11,028,744</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As of September 30, 2024, the borrowings under the WM Cayman II Revolver bear interest at the term secured overnight financing rate ("Term SOFR") plus a credit adjustment spread of 0.10% or HIBOR, in each case plus a margin of 1.875% to 2.875% per annum based on WM Cayman II’s leverage ratio on a consolidated basis. Approximately $239.1 million and $911.9 million of the WM Cayman II Revolver bears interest at a rate of Term SOFR plus 1.975% per year and HIBOR plus 1.875% per year, respectively. As of September 30, 2024, the weighted average interest rate was approximately 6.33%. As of September 30, 2024, the available borrowing capacity under the WM Cayman II Revolver was $353.6 million.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 October 2024, the Company repaid or repurchased the 2024 WML Senior Notes and 2025 WLV Senior Notes using short-term restricted cash held at WML and WRF, respectively.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(3) As of September 30, 2024, the net carrying amount of the WML Convertible Bonds was $493.5 million, with unamortized debt discount and debt issuance costs of $106.5 million. The Company recorded contractual interest expense of $6.8 million and $6.8 million and amortization of discounts and issuance costs of $4.8 million and $4.4 million during the three months ended September 30, 2024 and 2023, respectively, and contractual interest expense of $20.3 million and $15.3 million and amortization of discounts and issuance costs of $14.0 million and $9.7 million during the nine months ended September 30, 2024 and 2023, respectively.</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The WRF Credit Facilities bear interest at a rate of Term SOFR plus 1.85% per year. As of September 30, 2024, the weighted average interest rate was approximately 6.70%. Additionally, as of September 30, 2024, the available borrowing capacity under the WRF Revolver was $735.3 million, net of $14.7 million in outstanding letters of credit. </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 As of September 30, 2024, the Retail Term Loan bore interest at a rate of adjusted daily simple secured overnight financing rate ("SOFR") plus 1.80% per year, for an all-in interest rate of 5.54%. On October 2, 2024, the borrowers amended the term loan agreement to, among other things, extend the scheduled maturity of the Retail Term Loan to 2027 and change the interest rate on the Retail Term Loan to one-month term SOFR plus 2.15% per year, as further described below. </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 Cayman II Revolver Facility Agreement Amendment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20, 2024, WM Cayman II, as borrower and WML, as guarantor, entered into an amendment agreement (the “Second Amendment Agreement”) to its existing facility agreement dated as of September 16, 2021, as amended on May 5, 2022 and as amended and restated on June 27, 2023 (the "Existing Facility Agreement"), to extend the maturity date of the outstanding loans under the Existing Facility Agreement from September 16, 2025 to September 16, 2028, or the immediately preceding business day if September 16, 2028 is not a business day. In connection with the Second Amendment Agreement, the Company recorded debt issuance costs of $19.2 million within the Condensed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WML Senior Notes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2024, WML paid the $600.0 million aggregate principal amount of WML's 4 7/8% Senior Notes due 2024 on their stated maturity date using short-term restricted cash held at WML.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WRF Credit Facility Agreement Amendment</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2024, Wynn Resorts Finance, LLC ("WRF") and certain of its subsidiaries entered into an amendment (the "WRF Credit Facility Agreement Amendment") to its existing credit agreement (the "WRF Credit Facility Agreement") among Deutsche Bank AG New York Branch, as administrative agent and collateral agent, and the other lenders party thereto.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Credit Facility Agreement Amendment extended the stated maturity of $68.7 million aggregate principal amount of revolving commitments and $71.8 million aggregate principal of term loan commitments from September 20, 2024 to September 20, 2027. In connection with the WRF Credit Facility Agreement Amendment, the Company recognized a loss on debt financing transactions of $0.1 million within the accompanying Condensed Consolidated Statement of Operations, and the Company recorded debt issuance costs of $0.5 million within the Condensed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WRF Senior Notes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WRF and its subsidiary, Wynn Resorts Capital Corp., issued an additional $400.0 million aggregate principal amount of 7 1/8% Senior Notes due 2031 (the "2031 WRF Add-On Senior Notes," and collectively with the 7 1/8% Senior Notes due 2031 (the "2031 WRF Senior Notes") and 5 1/8% Senior Notes due 2029 (the "2029 WRF Senior Notes"), the "WRF Senior Notes") pursuant to a supplemental indenture to the 2031 Senior Notes indenture dated as of February 16, 2023. The 2031 WRF Add-On Senior Notes were issued at a price equal to 103.00% of the principal amount plus accrued interest, resulting in net proceeds of $409.5 million. The net proceeds from the 2031 WRF Add-On Senior Notes, together with cash held by Wynn Resorts, were used to repurchase an aggregate $796.7 million of the outstanding principal amount of the 2025 WLV Senior Notes (as defined below) and to pay the applicable tender premium and related fees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2031 WRF Add-On Senior Notes and the repurchase of the 2025 WLV Senior Notes in February and March 2024 (as further discussed below), the Company recognized a loss on debt financing transactions of $1.6 million within the accompanying Condensed Consolidated Statements of Operations, and the Company recorded debt issuance costs of $5.6 million within the accompanying Condensed Consolidated Balance Sheet.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WRF and its subsidiary Wynn Resorts Capital Corp. (together the "WRF Issuers"), issued $800.0 million aggregate principal amount of 6 1/4% Senior Notes due 2033 (the "2033 WRF Senior Notes") pursuant to an indenture among the WRF Issuers, the guarantors party thereto, and U.S. Bank Trust Company, National Association, as trustee, in a private offering exempt from the registration requirements of the Securities Act of 1933, as amended. The 2033 WRF Senior Notes were issued at par, for proceeds of $795.0 million, net of $5.0 million of related fees and expenses. A portion of the proceeds from the offering of the 2033 WRF Senior Notes was classified as short-term restricted cash as of September 30, 2024 within the Condensed Consolidated Balance Sheet and was used in October 2024 to repurchase the remaining outstanding principal amount of the 2025 WLV Senior Notes (as defined below) in full. In connection with the issuance of the 2033 WRF Senior Notes, the Company recorded debt issuance costs of $8.2 million within the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WLV Senior Notes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2024, Wynn Las Vegas repurchased $800.0 million aggregate principal amount of its 5 1/2% Senior Notes due 2025 (the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of 100% of the principal amount, plus accrued interest, under the terms of its indenture. Included in the $119.0 million repurchase was $3.3 million aggregate principal amount of 2025 WLV Senior Notes held by Wynn Resorts. The Company used the net proceeds from the 2031 WRF Add-On Senior Notes and cash held by WRF to purchase such validly tendered 2025 WLV Senior Notes and to pay the early tender premium and related fees and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Wynn Las Vegas repurchased the remaining $600.0 million aggregate principal amount of its 2025 WLV Senior Notes at a price equal to 100.0% of the principal amount, plus a “make-whole” amount and accrued interest, under the terms of its indenture. Included in the $600.0 million repurchase was $16.7 million aggregate principal amount of 2025 WLV Senior Notes held by Wynn Resorts.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Term Loan Third Amendment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Wynn/CA Plaza Property Owner, LLC and Wynn/CA Property Owner, LLC (collectively, the "Borrowers") entered into a third amendment (the "Third Retail Term Loan Amendment") to their existing term loan agreement (the "Retail Term Loan Agreement" and, as amended by the Third Amendment, the "Extended Retail Term Loan Agreement"). The Third Retail Term Loan Amendment, which is effective as of October 2, 2024, amends the Retail Term Loan Agreement to, among other things: (i) extend the scheduled maturity date of the term loan to July 24, 2027; (ii) provide for an interest rate on the term loan equal to One Month Term SOFR (as defined in, and determined in accordance with, the Extended Retail Term Loan Agreement) plus a spread of 215 basis points; and (iii) require that the Borrowers meet a specified maximum loan to value ratio annually (which, if not met, triggers a mandatory excess cash sweep until such ratio has been achieved) as well as certain specified minimum debt yields. In connection with, and as provided under, the Third Retail Term Loan Amendment, the Borrowers (a) made a principal prepayment of the term loan in the amount of $15.0 million, and (b) to mitigate interest rate risk, entered into an interest rate swap agreement maturing in February 2027, which effectively fixes the variable component of the interest rate on the term loan at 3.385% through such date.</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Covenant Compliance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management believes the Company was in compliance with all debt covenants.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Long-Term Debt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long-term debt as of September 30, 2024 and December 31, 2023 was approximately $11.82 billion and $11.49 billion, respectively, compared to its carrying value, excluding debt issuance costs and original issue discount and premium, of $11.85 billion and $11.83 billion, respectively. The estimated fair value of the Company's long-term debt is based on recent trades, if available, and indicative pricing from market information (Level 2 inputs).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WML Convertible Bond Conversion Option Derivative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Operations. The following table sets forth the inputs to the lattice models that were used to value the WML Convertible Bond Conversion Option Derivative: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5289" w:type="dxa"/>
        <w:jc w:val="center"/>
        <w:tblInd w:w="0" w:type="dxa"/>
        <w:tblLayout w:type="fixed"/>
        <w:tblCellMar>
          <w:top w:w="28" w:type="dxa"/>
          <w:left w:w="28" w:type="dxa"/>
          <w:bottom w:w="28" w:type="dxa"/>
          <w:right w:w="28" w:type="dxa"/>
        </w:tblCellMar>
      </w:tblPr>
      <w:tblGrid>
        <w:gridCol w:w="677"/>
        <w:gridCol w:w="595"/>
        <w:gridCol w:w="602"/>
        <w:gridCol w:w="588"/>
        <w:gridCol w:w="625"/>
        <w:gridCol w:w="331"/>
        <w:gridCol w:w="109"/>
        <w:gridCol w:w="109"/>
        <w:gridCol w:w="109"/>
        <w:gridCol w:w="568"/>
        <w:gridCol w:w="603"/>
        <w:gridCol w:w="373"/>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stock price</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HK$</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volatility</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Dividend yield is assumed to be zero in the lattice model used to value the WML Convertible Bond Conversion Option Derivative, due to a dividend protection feature in the WML Convertible Bond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estimated fair value of the embedded derivative was a liability of $75.9 million and $73.7 million, respectively, recorded in Long-term debt in the accompanying Condensed Consolidated Balance Sheets. In connection with the change in fair value, the Company recorded a loss of $3.9 million and $48.8 million for the three months ended September 30, 2024 and 2023, respectively, and a loss of $2.2 million and $2.3 million for the nine months ended September 30, 2024 and 2023, respectively, within Change in derivative fair value in the accompanying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Stockholders' Deficit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2016, the Company's Board of Directors authorized an equity repurchase program of up to $1.00 billion, which may include repurchases by the Company of its common stock from time to time through open market purchases, privately negotiated transactions, and under plans complying with Rules 10b5-1 and 10b-18 under the Securities Exchange Act of 1934, as amended. Any shares repurchased pursuant to the equity repurchase program are held as treasury shares. During the three and nine months ended September 30, 2024, the Company repurchased 1,464,773 and 2,206,113 shares of its common stock, respectively, at average prices of $80.37 and $84.19 per share, respectively, for an aggregate cost of $117.7 million and $185.7 million, respectively, under the equity repurchase program. During the three and nine months ended September 30, 2023, the Company repurchased 596,948 shares of its common stock at an average price of $94.11 per share, for an aggregate cost of $56.2 million under the equity repurchase program. As of September 30, 2024, the Company had $247.7 million in repurchase authority remaining under the program.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a cash dividend of $0.25 per share in each of the quarters ended March 31, 2024, June 30, 2024, and September 30, 2024 and recorded $28.0 million in each of the quarters ended March 31, 2024 and June 30, 2024 and $27.7 million in the quarter ended September 30, 2024, against accumulated deficit.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2024, the Company's Board of Directors declared a cash dividend of $0.25 per share on its common stock, payable on November 27, 2024 to stockholders of record as of November 15, 2024.</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12, 2024, WML paid a cash dividend of HK$0.075 per share for a total U.S. dollar equivalent of approximately $50.5 million. The Company's share of this dividend was $36.1 million, and the noncontrolling interest holders' share of this dividend was $14.4 million.</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19, 2024, WML paid a cash dividend of HK$0.075 per share for a total U.S. dollar equivalent of approximately $50.4 million. The Company's share of this dividend was $36.0 million, and the noncontrolling interest holders' share of this dividend was $14.4 million.</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179,774,985 WML shares under the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Joint Venture</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and 2023, the Retail Joint Venture made aggregate distributions of approximately $10.6 million and $15.9 million, respectively, to its non-controlling interest holder. For more information on the Retail Joint Venture, see Note 16, "Retail Joint Venture."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9 - Fair Value Measurements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following tables present assets and liabilities carried at fair value (in thousands):</w:t>
      </w:r>
      <w:r>
        <w:rPr>
          <w:color w:val="000000"/>
        </w:rPr>
        <w:t>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461"/>
        <w:gridCol w:w="1278"/>
        <w:gridCol w:w="1289"/>
        <w:gridCol w:w="234"/>
        <w:gridCol w:w="1105"/>
        <w:gridCol w:w="121"/>
        <w:gridCol w:w="109"/>
        <w:gridCol w:w="109"/>
        <w:gridCol w:w="109"/>
        <w:gridCol w:w="211"/>
        <w:gridCol w:w="976"/>
        <w:gridCol w:w="109"/>
        <w:gridCol w:w="109"/>
        <w:gridCol w:w="109"/>
        <w:gridCol w:w="109"/>
        <w:gridCol w:w="211"/>
        <w:gridCol w:w="976"/>
        <w:gridCol w:w="109"/>
        <w:gridCol w:w="109"/>
        <w:gridCol w:w="109"/>
        <w:gridCol w:w="109"/>
        <w:gridCol w:w="221"/>
        <w:gridCol w:w="757"/>
        <w:gridCol w:w="166"/>
      </w:tblGrid>
      <w:tr>
        <w:trPr/>
        <w:tc>
          <w:tcPr>
            <w:tcW w:w="146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512,229</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1,301,424</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 (see Note 7)</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75,894</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1,802,712</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90,226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deposits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550,000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WML Convertible Bond Conversion Option Derivative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7)</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73,744</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10 - Customer Contract Liabilities </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liabilities associated with customer contracts are as follows (in thousands):</w:t>
      </w:r>
    </w:p>
    <w:tbl>
      <w:tblPr>
        <w:tblW w:w="10205" w:type="dxa"/>
        <w:jc w:val="left"/>
        <w:tblInd w:w="0" w:type="dxa"/>
        <w:tblLayout w:type="fixed"/>
        <w:tblCellMar>
          <w:top w:w="28" w:type="dxa"/>
          <w:left w:w="28" w:type="dxa"/>
          <w:bottom w:w="28" w:type="dxa"/>
          <w:right w:w="28" w:type="dxa"/>
        </w:tblCellMar>
      </w:tblPr>
      <w:tblGrid>
        <w:gridCol w:w="741"/>
        <w:gridCol w:w="447"/>
        <w:gridCol w:w="449"/>
        <w:gridCol w:w="217"/>
        <w:gridCol w:w="866"/>
        <w:gridCol w:w="112"/>
        <w:gridCol w:w="109"/>
        <w:gridCol w:w="109"/>
        <w:gridCol w:w="109"/>
        <w:gridCol w:w="216"/>
        <w:gridCol w:w="863"/>
        <w:gridCol w:w="111"/>
        <w:gridCol w:w="109"/>
        <w:gridCol w:w="109"/>
        <w:gridCol w:w="109"/>
        <w:gridCol w:w="221"/>
        <w:gridCol w:w="671"/>
        <w:gridCol w:w="114"/>
        <w:gridCol w:w="109"/>
        <w:gridCol w:w="109"/>
        <w:gridCol w:w="109"/>
        <w:gridCol w:w="217"/>
        <w:gridCol w:w="866"/>
        <w:gridCol w:w="112"/>
        <w:gridCol w:w="109"/>
        <w:gridCol w:w="109"/>
        <w:gridCol w:w="109"/>
        <w:gridCol w:w="216"/>
        <w:gridCol w:w="863"/>
        <w:gridCol w:w="111"/>
        <w:gridCol w:w="109"/>
        <w:gridCol w:w="109"/>
        <w:gridCol w:w="109"/>
        <w:gridCol w:w="220"/>
        <w:gridCol w:w="767"/>
        <w:gridCol w:w="170"/>
      </w:tblGrid>
      <w:tr>
        <w:trPr/>
        <w:tc>
          <w:tcPr>
            <w:tcW w:w="7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Casino outstanding chips and front money deposits </w:t>
            </w:r>
            <w:r>
              <w:rPr>
                <w:rFonts w:ascii="Times New Roman;sans-serif" w:hAnsi="Times New Roman;sans-serif"/>
                <w:b w:val="false"/>
                <w:color w:val="000000"/>
                <w:sz w:val="13"/>
              </w:rPr>
              <w:t>(1)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Advance room deposits and ticket sales </w:t>
            </w:r>
            <w:r>
              <w:rPr>
                <w:rFonts w:ascii="Times New Roman;sans-serif" w:hAnsi="Times New Roman;sans-serif"/>
                <w:b w:val="false"/>
                <w:color w:val="000000"/>
                <w:sz w:val="13"/>
              </w:rPr>
              <w:t>(2)</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gaming-related liabilities </w:t>
            </w:r>
            <w:r>
              <w:rPr>
                <w:rFonts w:ascii="Times New Roman;sans-serif" w:hAnsi="Times New Roman;sans-serif"/>
                <w:b w:val="false"/>
                <w:color w:val="000000"/>
                <w:sz w:val="13"/>
              </w:rPr>
              <w:t>(3)</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Loyalty program and related liabilities </w:t>
            </w:r>
            <w:r>
              <w:rPr>
                <w:rFonts w:ascii="Times New Roman;sans-serif" w:hAnsi="Times New Roman;sans-serif"/>
                <w:b w:val="false"/>
                <w:color w:val="000000"/>
                <w:sz w:val="13"/>
              </w:rPr>
              <w:t>(4)</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569,675</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578,979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(9,304)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554,956</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541,898</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13,058</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stock-based compensation plans was recorded as follows (in thousands):</w:t>
      </w:r>
    </w:p>
    <w:p>
      <w:pPr>
        <w:pStyle w:val="TextBody"/>
        <w:bidi w:val="0"/>
        <w:spacing w:before="0" w:after="0"/>
        <w:ind w:left="0" w:right="0" w:firstLine="450"/>
        <w:jc w:val="left"/>
        <w:rPr/>
      </w:pPr>
      <w:r>
        <w:rPr/>
      </w:r>
    </w:p>
    <w:tbl>
      <w:tblPr>
        <w:tblW w:w="9335" w:type="dxa"/>
        <w:jc w:val="left"/>
        <w:tblInd w:w="0" w:type="dxa"/>
        <w:tblLayout w:type="fixed"/>
        <w:tblCellMar>
          <w:top w:w="28" w:type="dxa"/>
          <w:left w:w="28" w:type="dxa"/>
          <w:bottom w:w="28" w:type="dxa"/>
          <w:right w:w="28" w:type="dxa"/>
        </w:tblCellMar>
      </w:tblPr>
      <w:tblGrid>
        <w:gridCol w:w="1332"/>
        <w:gridCol w:w="1171"/>
        <w:gridCol w:w="1186"/>
        <w:gridCol w:w="232"/>
        <w:gridCol w:w="810"/>
        <w:gridCol w:w="120"/>
        <w:gridCol w:w="120"/>
        <w:gridCol w:w="120"/>
        <w:gridCol w:w="120"/>
        <w:gridCol w:w="232"/>
        <w:gridCol w:w="810"/>
        <w:gridCol w:w="120"/>
        <w:gridCol w:w="109"/>
        <w:gridCol w:w="109"/>
        <w:gridCol w:w="109"/>
        <w:gridCol w:w="224"/>
        <w:gridCol w:w="782"/>
        <w:gridCol w:w="115"/>
        <w:gridCol w:w="115"/>
        <w:gridCol w:w="115"/>
        <w:gridCol w:w="115"/>
        <w:gridCol w:w="224"/>
        <w:gridCol w:w="782"/>
        <w:gridCol w:w="163"/>
      </w:tblGrid>
      <w:tr>
        <w:trP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expense</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13,670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16,144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44,206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49,139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capitalized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costs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15,002</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17,707</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48,159</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52,836</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12 - Income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expense of $17.1 million and an income tax benefit of $2.7 million for the three months ended September 30, 2024 and 2023, respectively, and an income tax expense of $45.1 million and $2.6 million for the nine months ended September 30, 2024 and 2023, respectively. The income tax expense for the three months and nine months ended September 30, 2024 primarily relates to U.S.-based operating profits as well as an increase in non-deductible expenses. The income tax benefit and expense from the three months and nine months ended September 30, 2023 primarily related to operating profits.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statutory tax rate of 21% and the effective tax rate of 12.4% is due to the exemption from Macau’s 12% Complementary Tax on casino gaming profits that Wynn Macau SA received partially offset by an increase in non-deductible expenses.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Earnings Per Share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outstanding stock options and unvested restricted stock.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weighted average number of common and common equivalent shares used in the calculation of basic and diluted EPS consisted of the following (in thousands, except per share amounts):</w:t>
      </w:r>
      <w:r>
        <w:rPr>
          <w:color w:val="000000"/>
        </w:rPr>
        <w:t> </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788"/>
        <w:gridCol w:w="1469"/>
        <w:gridCol w:w="1478"/>
        <w:gridCol w:w="211"/>
        <w:gridCol w:w="759"/>
        <w:gridCol w:w="109"/>
        <w:gridCol w:w="109"/>
        <w:gridCol w:w="109"/>
        <w:gridCol w:w="109"/>
        <w:gridCol w:w="211"/>
        <w:gridCol w:w="864"/>
        <w:gridCol w:w="109"/>
        <w:gridCol w:w="109"/>
        <w:gridCol w:w="109"/>
        <w:gridCol w:w="109"/>
        <w:gridCol w:w="219"/>
        <w:gridCol w:w="875"/>
        <w:gridCol w:w="113"/>
        <w:gridCol w:w="113"/>
        <w:gridCol w:w="113"/>
        <w:gridCol w:w="113"/>
        <w:gridCol w:w="245"/>
        <w:gridCol w:w="596"/>
        <w:gridCol w:w="166"/>
      </w:tblGrid>
      <w:tr>
        <w:trPr/>
        <w:tc>
          <w:tcPr>
            <w:tcW w:w="1788"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224,106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 of Wynn Resorts, Limited subsidiaries: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Assumed conversion of WML Convertible Bonds </w:t>
            </w:r>
            <w:r>
              <w:rPr>
                <w:rFonts w:ascii="Times New Roman;sans-serif" w:hAnsi="Times New Roman;sans-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224,106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effect of stock options, nonvested, and performance nonvested shares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and common equivalent shares outstanding</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110,810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113,132</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nonvested, and performance nonvested shares excluded from the calculation of diluted net income per share</w:t>
            </w:r>
          </w:p>
        </w:tc>
        <w:tc>
          <w:tcPr>
            <w:tcW w:w="97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assumed conversion of the WML Convertible Bonds had an anti-dilutive impact for the three and nine months ended September 30, 2024 and 2023. </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Note 14 - Leases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contingent operating lease income for the periods presented (in thousands):</w:t>
      </w:r>
    </w:p>
    <w:p>
      <w:pPr>
        <w:pStyle w:val="TextBody"/>
        <w:bidi w:val="0"/>
        <w:spacing w:before="0" w:after="0"/>
        <w:ind w:left="0" w:right="0" w:firstLine="450"/>
        <w:jc w:val="both"/>
        <w:rPr/>
      </w:pPr>
      <w:r>
        <w:rPr/>
      </w:r>
    </w:p>
    <w:tbl>
      <w:tblPr>
        <w:tblW w:w="7909" w:type="dxa"/>
        <w:jc w:val="left"/>
        <w:tblInd w:w="0" w:type="dxa"/>
        <w:tblLayout w:type="fixed"/>
        <w:tblCellMar>
          <w:top w:w="28" w:type="dxa"/>
          <w:left w:w="28" w:type="dxa"/>
          <w:bottom w:w="28" w:type="dxa"/>
          <w:right w:w="28" w:type="dxa"/>
        </w:tblCellMar>
      </w:tblPr>
      <w:tblGrid>
        <w:gridCol w:w="798"/>
        <w:gridCol w:w="701"/>
        <w:gridCol w:w="705"/>
        <w:gridCol w:w="232"/>
        <w:gridCol w:w="810"/>
        <w:gridCol w:w="120"/>
        <w:gridCol w:w="120"/>
        <w:gridCol w:w="120"/>
        <w:gridCol w:w="120"/>
        <w:gridCol w:w="232"/>
        <w:gridCol w:w="810"/>
        <w:gridCol w:w="120"/>
        <w:gridCol w:w="109"/>
        <w:gridCol w:w="109"/>
        <w:gridCol w:w="109"/>
        <w:gridCol w:w="211"/>
        <w:gridCol w:w="841"/>
        <w:gridCol w:w="109"/>
        <w:gridCol w:w="109"/>
        <w:gridCol w:w="109"/>
        <w:gridCol w:w="109"/>
        <w:gridCol w:w="211"/>
        <w:gridCol w:w="84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rental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rental income</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rental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48,364</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53,896</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153,244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173,515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Commitments and Contingencies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alleged, among other things, certain violations of federal securities laws and sought to recover unspecified damages as well as attorneys' fees, costs and related expenses for the plaintiffs. On July 28, 2021, the court dismissed certain of plaintiffs' claims, including all claims against current CEO Craig Billings and the individual directors, and allowed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On August 22, 2024, the parties reached an agreement to settle the action, in its entirety, for the amount of $70.0 million, of which the Company will contribute $9.4 million. The court preliminarily approved the settlement on October 10, 2024. The Company's $9.4 million net contribution toward the settlement is recorded within Property charges and other expenses within the accompanying Condensed Consolidated Statements of Operations for the three and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Investigation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receives regulatory inquiries about compliance with anti-money laundering laws. The Company received requests for information from the U.S. Attorney’s Office for the Southern District of California ("USAO") relating to its anti-money laundering policies and procedures, and beginning in 2020 received several grand jury subpoenas regarding various transactions at Wynn Las Vegas relating to certain patrons and agents who reside or operate in foreign jurisdictions. On September 6, 2024, Wynn Las Vegas entered into a non-prosecution agreement (the “NPA”) with the USAO and the United States Department of Justice (the “DOJ”) resolving such investigation. Pursuant to the NPA, Wynn Las Vegas agreed to forfeit $130.0 million in funds involved in transactions at issue and continue to make certain enhancements to its compliance program. The DOJ agreed that, subject to Wynn Las Vegas’s fulfillment of its obligations under the NPA, it will not bring any criminal charges against Wynn Las Vegas concerning the subject matter of its investigation, subject to standard reservations of rights and certain reserved claims. The NPA resolves all prior U.S. federal regulatory inquiries commenced in or about 2014 regarding compliance by Wynn Las Vegas with 18 U.S.C. § 1960 and the Bank Secrecy Act. The $130.0 million forfeiture is recorded within Property charges and other expenses within the accompanying Condensed Consolidated Statements of Operations for the three and nine months ended September 30, 2024.</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 Retail Joint Venture</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Retail Joint Venture had total assets of $109.9 million and $102.5 million, respectively, and total liabilities of $621.9 million. As of September 30, 2024 and December 31, 2023, the Retail Joint Venture's liabilities included total current and long-term debt of $614.5 million and $614.1 million, respectively, net of debt issuance costs, related to the outstanding borrowings under the Retail Term Loan.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 Segment Information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its reportable segments based on factors such as geography, regulatory environment, the information reviewed by its chief operating decision maker, and the Company's organizational and management reporting structure.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w:t>
      </w:r>
      <w:r>
        <w:rPr>
          <w:rFonts w:ascii="Times New Roman;sans-serif" w:hAnsi="Times New Roman;sans-serif"/>
          <w:b w:val="false"/>
          <w:color w:val="000000"/>
          <w:sz w:val="20"/>
          <w:shd w:fill="FFFFFF" w:val="clear"/>
        </w:rPr>
        <w:t>During the three months ended March 31, 2024, Wynn Interactive Ltd. no longer met the requirements for a reportable segment. As a result, its assets and results of operations are presented in Corporate and other and previous period amounts have been reclassified to be consistent with the current period presentation of the Company's reportable segments.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segment information (in thousands):</w:t>
      </w:r>
    </w:p>
    <w:p>
      <w:pPr>
        <w:pStyle w:val="TextBody"/>
        <w:bidi w:val="0"/>
        <w:spacing w:before="0" w:after="0"/>
        <w:ind w:left="0" w:right="0" w:firstLine="450"/>
        <w:jc w:val="both"/>
        <w:rPr/>
      </w:pPr>
      <w:r>
        <w:rPr/>
      </w:r>
    </w:p>
    <w:tbl>
      <w:tblPr>
        <w:tblW w:w="9555" w:type="dxa"/>
        <w:jc w:val="left"/>
        <w:tblInd w:w="0" w:type="dxa"/>
        <w:tblLayout w:type="fixed"/>
        <w:tblCellMar>
          <w:top w:w="28" w:type="dxa"/>
          <w:left w:w="28" w:type="dxa"/>
          <w:bottom w:w="28" w:type="dxa"/>
          <w:right w:w="28" w:type="dxa"/>
        </w:tblCellMar>
      </w:tblPr>
      <w:tblGrid>
        <w:gridCol w:w="1189"/>
        <w:gridCol w:w="1044"/>
        <w:gridCol w:w="1052"/>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Macau Operations: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524,773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1,654,740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1,362,486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295,016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1,100,970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827,335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871,747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819,789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2,755,710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2,189,821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Las Vegas Operations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607,172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1,872,374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1,783,802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Casino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Encore Boston Harbor</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210,403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644,513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648,641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Corporate and other</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69,173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1,693,323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1,671,936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5,289,164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4,691,437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lease revenue accounted for under lease accounting guidance. For more information on leases, see Note 14,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55"/>
        <w:gridCol w:w="1422"/>
        <w:gridCol w:w="1432"/>
        <w:gridCol w:w="211"/>
        <w:gridCol w:w="826"/>
        <w:gridCol w:w="109"/>
        <w:gridCol w:w="109"/>
        <w:gridCol w:w="109"/>
        <w:gridCol w:w="109"/>
        <w:gridCol w:w="211"/>
        <w:gridCol w:w="895"/>
        <w:gridCol w:w="109"/>
        <w:gridCol w:w="109"/>
        <w:gridCol w:w="109"/>
        <w:gridCol w:w="109"/>
        <w:gridCol w:w="211"/>
        <w:gridCol w:w="841"/>
        <w:gridCol w:w="109"/>
        <w:gridCol w:w="109"/>
        <w:gridCol w:w="109"/>
        <w:gridCol w:w="109"/>
        <w:gridCol w:w="211"/>
        <w:gridCol w:w="826"/>
        <w:gridCol w:w="156"/>
      </w:tblGrid>
      <w:tr>
        <w:trPr/>
        <w:tc>
          <w:tcPr>
            <w:tcW w:w="16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Adjusted Property EBITDAR </w:t>
            </w:r>
            <w:r>
              <w:rPr>
                <w:rFonts w:ascii="Times New Roman;sans-serif" w:hAnsi="Times New Roman;sans-serif"/>
                <w:b/>
                <w:color w:val="000000"/>
                <w:sz w:val="13"/>
              </w:rPr>
              <w:t>(1)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Operations: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254,987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882,803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656,987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Las Vegas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Encore Boston Harbor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Corporate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527,677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1,745,867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1,484,565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charges and other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394,440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467,766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980,031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1,002,119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765,836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482,446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of amounts capitalized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debt financing transactions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(403,404)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(471,432)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11,014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224,106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"Adjusted Property EBITDAR" is net income (loss)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(gain)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For each of the three and nine months ended September 30, 2024, includes $130.0 million of forfeitures pursuant to the NPA, the Company's $9.4 million contribution towards a legal settlement, $12.5 million of contract termination and other costs related to the closure of Wynn Interactive's digital sports betting and casino gaming business. Property charges and other expenses for the nine months ended September 30, 2024 also included $61.5 million of expensed project costs related to a discontinued development project, partially offset by a gain of $24.6 million related to the sale of certain Wynn Interactive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6461" w:type="dxa"/>
        <w:jc w:val="left"/>
        <w:tblInd w:w="0" w:type="dxa"/>
        <w:tblLayout w:type="fixed"/>
        <w:tblCellMar>
          <w:top w:w="28" w:type="dxa"/>
          <w:left w:w="28" w:type="dxa"/>
          <w:bottom w:w="28" w:type="dxa"/>
          <w:right w:w="28" w:type="dxa"/>
        </w:tblCellMar>
      </w:tblPr>
      <w:tblGrid>
        <w:gridCol w:w="1100"/>
        <w:gridCol w:w="968"/>
        <w:gridCol w:w="977"/>
        <w:gridCol w:w="230"/>
        <w:gridCol w:w="1196"/>
        <w:gridCol w:w="119"/>
        <w:gridCol w:w="109"/>
        <w:gridCol w:w="109"/>
        <w:gridCol w:w="109"/>
        <w:gridCol w:w="223"/>
        <w:gridCol w:w="1159"/>
        <w:gridCol w:w="162"/>
      </w:tblGrid>
      <w:tr>
        <w:trPr/>
        <w:tc>
          <w:tcPr>
            <w:tcW w:w="110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1,864,211 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Macau</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5,521,334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5,686,650</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3,086,335 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3,173,247 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1,979,031 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3,524,699 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3,129,761 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14,111,399</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13,996,223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2023.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2023 and other factors we describe from time to time in our periodic filings with the Securities and Exchange Commission ("SEC"), such as:</w:t>
      </w:r>
    </w:p>
    <w:p>
      <w:pPr>
        <w:pStyle w:val="TextBody"/>
        <w:bidi w:val="0"/>
        <w:spacing w:before="0" w:after="0"/>
        <w:ind w:left="0" w:right="0" w:firstLine="45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extensive regulation of our business and the cost of compliance or failure to comply with applicable laws and regulations;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pending or future investigations, litigation and other disputes;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key managers and employees;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ability to maintain our gaming licenses and concessions and comply with applicable gaming law;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public perception of our resorts and the level of service we provide;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a limited number of resorts and locations for all of our cash flow and our subsidiaries' ability to pay us dividends and distributions;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competition in the casino/hotel and resort industries and actions taken by our competitors, including new development and construction activities of competitors;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maintain our customer relationships and collect and enforce gaming receivables;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win rates for our gaming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construction and regulatory risks associated with our current and future construction projects or co-investments in such projects;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any violations by us of various anti-money laundering laws or the Foreign Corrupt Practices Act;</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compliance with environmental requirements and potential cleanup responsibility and liability as an owner or operator of property;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adverse incidents or adverse publicity concerning our resorts or our corporate responsibilities;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and compliance with the gaming laws or regulations in the various jurisdictions in which we operate;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tax laws or regulations related to taxation, including changes in the rates of taxation;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collection and use of personal data and our level of compliance with applicable governmental regulations, credit card industry standards and other applicable data security standards;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ability to protect our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labor actions and other labor problems;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current and future insurance coverage levels;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risks specifically associated with our Macau Operations;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the level of our indebtedness and our ability to meet our debt service obligations (including sensitivity to fluctuations in interest rates); and</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continued compliance with the covenants in our debt agreements.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The results of Wynn Interactive Ltd. ("Wynn Interactive") are included in Corporate and other.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 equity interest in Island 3 AMI FZ-LLC ("Island 3"), an unconsolidated affiliate, which is constructing an integrated resort property ("Wynn Al Marjan Island") in Ras Al Khaimah, United Arab Emirates.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Measures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Table drop in mass market for our Macau Operations is the amount of cash that is deposited in a gaming table's drop box plus cash chips purchased at the casino cage.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our Las Vegas Operations is the amount of cash and net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Encore Boston Harbor is the amount of cash and gross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Rolling chips are non-negotiable identifiable chips that are used to track turnover for purposes of calculating incentives within our Macau Operations' VIP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Turnover is the sum of all losing rolling chip wagers within our Macau Operations' VIP program.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Poker rake is the portion of cash wagered by patrons in our poker rooms that is retained by the casino as a service fee, after adjustment for progressive accruals, but before the allocation of casino revenues to rooms,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food and beverage and other revenues for services provided to casino customers on a complimentary basis. Poker tables are not included in our measure of average number of table games.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Average daily rate ("ADR") is calculated by dividing total room revenues, including complimentaries (less service charges, if any), by total rooms occupied.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Revenue per available room ("REVPAR") is calculated by dividing total room revenues, including complimentaries (less service charges, if any), by total rooms available.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Occupancy is calculated by dividing total occupied rooms, including complimentary rooms, by the total rooms available.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methodologies used to calculate win percentages at our resorts.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third quarter 2024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results for the periods presented (dollars in thousands, except per share data):</w:t>
      </w:r>
    </w:p>
    <w:tbl>
      <w:tblPr>
        <w:tblW w:w="12128" w:type="dxa"/>
        <w:jc w:val="left"/>
        <w:tblInd w:w="0" w:type="dxa"/>
        <w:tblLayout w:type="fixed"/>
        <w:tblCellMar>
          <w:top w:w="28" w:type="dxa"/>
          <w:left w:w="28" w:type="dxa"/>
          <w:bottom w:w="28" w:type="dxa"/>
          <w:right w:w="28" w:type="dxa"/>
        </w:tblCellMar>
      </w:tblPr>
      <w:tblGrid>
        <w:gridCol w:w="337"/>
        <w:gridCol w:w="296"/>
        <w:gridCol w:w="298"/>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91"/>
        <w:gridCol w:w="220"/>
        <w:gridCol w:w="221"/>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05"/>
        <w:gridCol w:w="206"/>
        <w:gridCol w:w="29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NM - Not meaningful. </w:t>
      </w:r>
    </w:p>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operating revenues for the three months ended September 30, 2024 was primarily driven by an increase of $56.9 million from Wynn Macau as a result of higher gaming volumes, partially offset by a decrease in operating revenues at Wynn Interactive of $22.5 million following the closure of Wynn Interactive's digital sports betting and casino gaming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and a decrease in operating revenues at our Las Vegas Operations of $11.8 million primarily due to lower table games win.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loss attributable to Wynn Resorts, Limited for the three months ended September 30, 2024 was primarily due to a decrease in operating expenses in connection with the closure of Wynn Interactive's digital sports betting and casino gaming business. The decrease in net loss attributable to Wynn Resorts, Limited for the three months ended September 30, 2024 was partially offset by $130.0 million of forfeitures pursuant to the NPA, as described in Note 15, "Commitments and Contingencies" of Item 1—"Notes to Condensed Consolidated Financial Statements."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results for the three months ended September 30, 2024 compared to the three months ended September 30,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operating revenues (dollars in thousands): </w:t>
      </w:r>
    </w:p>
    <w:p>
      <w:pPr>
        <w:pStyle w:val="TextBody"/>
        <w:bidi w:val="0"/>
        <w:spacing w:before="0" w:after="0"/>
        <w:ind w:left="0" w:right="0" w:firstLine="450"/>
        <w:jc w:val="left"/>
        <w:rPr/>
      </w:pPr>
      <w:r>
        <w:rPr/>
      </w:r>
    </w:p>
    <w:tbl>
      <w:tblPr>
        <w:tblW w:w="8852" w:type="dxa"/>
        <w:jc w:val="left"/>
        <w:tblInd w:w="0" w:type="dxa"/>
        <w:tblLayout w:type="fixed"/>
        <w:tblCellMar>
          <w:top w:w="28" w:type="dxa"/>
          <w:left w:w="28" w:type="dxa"/>
          <w:bottom w:w="28" w:type="dxa"/>
          <w:right w:w="28" w:type="dxa"/>
        </w:tblCellMar>
      </w:tblPr>
      <w:tblGrid>
        <w:gridCol w:w="864"/>
        <w:gridCol w:w="758"/>
        <w:gridCol w:w="763"/>
        <w:gridCol w:w="211"/>
        <w:gridCol w:w="991"/>
        <w:gridCol w:w="109"/>
        <w:gridCol w:w="109"/>
        <w:gridCol w:w="109"/>
        <w:gridCol w:w="109"/>
        <w:gridCol w:w="211"/>
        <w:gridCol w:w="991"/>
        <w:gridCol w:w="109"/>
        <w:gridCol w:w="109"/>
        <w:gridCol w:w="109"/>
        <w:gridCol w:w="109"/>
        <w:gridCol w:w="311"/>
        <w:gridCol w:w="1087"/>
        <w:gridCol w:w="161"/>
        <w:gridCol w:w="109"/>
        <w:gridCol w:w="109"/>
        <w:gridCol w:w="109"/>
        <w:gridCol w:w="381"/>
        <w:gridCol w:w="381"/>
        <w:gridCol w:w="54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871,747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819,789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51,958</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1,693,323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1,671,936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21,387</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311"/>
        <w:gridCol w:w="1087"/>
        <w:gridCol w:w="161"/>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1,018,754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972,453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46,301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non-casino revenues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674,569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699,483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(24,914)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1,693,323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1,671,936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21,387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for the three months ended September 30, 2024 were 60.2% of operating revenues, compared to 58.2% for the same period of 2023. Non-casino revenues for the three months ended September 30, 2024 were 39.8% of operating revenues, compared to 41.8% for the same period of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Casino revenues</w:t>
      </w:r>
      <w:r>
        <w:rPr>
          <w:color w:val="000000"/>
        </w:rPr>
        <w: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increased primarily due to higher gaming volumes at Wynn Macau, which was partially offset by a decrease in casino revenues from our Las Vegas Operations primarily due to lower gaming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our casino revenues and associated key operating measures (dollars in thousands, except for win per unit per day): </w:t>
      </w:r>
    </w:p>
    <w:p>
      <w:pPr>
        <w:pStyle w:val="TextBody"/>
        <w:bidi w:val="0"/>
        <w:spacing w:before="0" w:after="0"/>
        <w:ind w:left="0" w:right="0" w:firstLine="495"/>
        <w:jc w:val="both"/>
        <w:rPr/>
      </w:pPr>
      <w:r>
        <w:rPr/>
      </w:r>
    </w:p>
    <w:tbl>
      <w:tblPr>
        <w:tblW w:w="9611" w:type="dxa"/>
        <w:jc w:val="left"/>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table games win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1,725,845 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95"/>
        <w:gridCol w:w="1113"/>
        <w:gridCol w:w="152"/>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1,695,799 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sets forth our room revenues and associated key operating measures: </w:t>
      </w:r>
    </w:p>
    <w:tbl>
      <w:tblPr>
        <w:tblW w:w="10045"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25"/>
        <w:gridCol w:w="1066"/>
        <w:gridCol w:w="168"/>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Wynn Palace</w:t>
            </w:r>
            <w:r>
              <w:rPr>
                <w:rFonts w:ascii="Times New Roman;sans-serif" w:hAnsi="Times New Roman;sans-serif"/>
                <w:b w:val="false"/>
                <w:color w:val="000000"/>
                <w:sz w:val="16"/>
              </w:rPr>
              <w: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Room revenues decreased $4.6 million, primarily due to lower ADR at our Macau Operations, which was partially offset by higher ADR at our Las Vegas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decreased $4.8 million, primarily due to a $11.3 million decrease in food and beverage revenues at our Las Vegas Operations as a result of decreased restaurant covers, partially offset by a $5.3 million increase at Wynn Palace from increased restaurant covers and average check amounts.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 revenues decreased $15.5 million, primarily due to a decrease in operating revenues at Wynn Interactive.</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operating expenses (dollars in thousands): </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360"/>
        <w:gridCol w:w="1190"/>
        <w:gridCol w:w="1196"/>
        <w:gridCol w:w="211"/>
        <w:gridCol w:w="991"/>
        <w:gridCol w:w="109"/>
        <w:gridCol w:w="109"/>
        <w:gridCol w:w="109"/>
        <w:gridCol w:w="109"/>
        <w:gridCol w:w="211"/>
        <w:gridCol w:w="991"/>
        <w:gridCol w:w="109"/>
        <w:gridCol w:w="109"/>
        <w:gridCol w:w="109"/>
        <w:gridCol w:w="109"/>
        <w:gridCol w:w="293"/>
        <w:gridCol w:w="1108"/>
        <w:gridCol w:w="151"/>
        <w:gridCol w:w="109"/>
        <w:gridCol w:w="109"/>
        <w:gridCol w:w="109"/>
        <w:gridCol w:w="381"/>
        <w:gridCol w:w="379"/>
        <w:gridCol w:w="544"/>
      </w:tblGrid>
      <w:tr>
        <w:trPr/>
        <w:tc>
          <w:tcPr>
            <w:tcW w:w="13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1,560,086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1,609,341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(49,255)</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total operating expenses was primarily due to goodwill and intangible asset impairments recognized in the three months ended September 30, 2023 in connection with the closure of Wynn Interactive's digital sports betting and casino gaming business, as well as decreased entertainment, retail and other expenses related to Wynn Interactive's operations during the three months ended September 30,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increased $29.9 million and $8.2 million at Wynn Macau and Wynn Palace, respectively. These increases resulted from higher operating costs, including $26.3 million and $3.3 million in incremental gaming tax expense at Wynn Macau and Wynn Palace, respectively, driven by an increase in 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Room expenses increased $3.4 million at our Las Vegas Operations as a result of higher operating costs, commensurate with the increase in room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decreased $27.3 million at Corporate and other as a result of decreased operating costs related to Wynn Interactive.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$18.3 million at Encore Boston Harbor as result of certain furniture, fixtures and equipment assets being fully depreciated five years after the opening of the property in June of 2019.</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recognized impairment of goodwill and other finite-lived intangible assets of $72.1 million and $21.9 million, respectively, as a result of our decision to close Wynn Interactive's digital sports betting and casino gaming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 expenses for the three months ended September 30, 2024 consisted primarily of $130.0 million of forfeitures pursuant to the NPA and the Company's $9.4 million contribution towards a legal settlement. Property charges and other expenses for the three months ended September 30, 2024 also included $12.5 million of contract termination and other costs related to the closure of Wynn Interactive's digital sports betting and casino gaming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charges and other expenses for the three months ended September 30, 2023 consisted primarily of contract termination and other expenses of $97.7 million, as a result of our decision to close Wynn Interactive's digital sports betting and casino gaming business. Property charges and other expenses for the three months ended September 30, 2023 also included other contract terminations and asset abandonments of $9.1 million, $3.4 million, and $1.3 million at Wynn Palace, Wynn Macau, and our Las Vegas Operations,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decreased $20.6 million due to a decrease in the weighted average debt balance, from $12.33 billion for the three months ended September 30, 2023, to $11.40 billion for the three months ended September 30, 2024, and a decrease in the weighted average interest rate, from 6.18% for the three months ended September 30, 2023, to 5.67% for the three months ended September 30,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$30.7 million and $46.5 million in the three months ended September 30, 2024 and 2023,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gain of $21.3 million and $3.9 million for the three months ended September 30, 2024 and 2023, respectively. The impact of the exchange rate fluctuation of the Macau pataca, in relation to the U.S. dollar, on the remeasurements of U.S. dollar denominated debt and other obligations from our Macau-related entities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loss of $5.5 million and $50.6 million for the three months ended September 30, 2024 and 2023, respectively, from change in derivatives fair value, primarily related to the conversion feature of the WML Convertible Bonds.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$0.1 million loss on debt financing transactions in the three months ended September 30, 2024 related to the WRF Credit Facility Agreement Amendment. During the three months ended September 30, 2023, we recorded a $2.9 million gain on debt financing transactions related to the repurchase of the tendered 2025 WRF Senior Notes.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income tax expense of $17.1 million and a benefit $2.7 million for the three months ended September 30, 2024 and 2023, respectively. The income tax expense for the three months ended September 30, 2024 primarily relates to U.S. based operating profits as well as an increase in non-deductible expenses. The income tax benefit for the three months ended September 30, 2023 primarily related to operating profits.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income (loss) attributable to noncontrolling interests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net income attributable to noncontrolling interests and net loss attributable to noncontrolling interests of $26.6 million and $3.9 million for the three months ended September 30, 2024 and 2023, respectively. These amounts are primarily related to the noncontrolling interests' share of net income or loss attributable to WML.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results for the nine months ended September 30, 2024 compared to the nine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revenues (dollars in thousands):</w:t>
      </w:r>
    </w:p>
    <w:p>
      <w:pPr>
        <w:pStyle w:val="TextBody"/>
        <w:bidi w:val="0"/>
        <w:spacing w:before="0" w:after="0"/>
        <w:ind w:left="0" w:right="0" w:firstLine="450"/>
        <w:jc w:val="left"/>
        <w:rPr/>
      </w:pPr>
      <w:r>
        <w:rPr/>
      </w:r>
    </w:p>
    <w:tbl>
      <w:tblPr>
        <w:tblW w:w="8672" w:type="dxa"/>
        <w:jc w:val="left"/>
        <w:tblInd w:w="0" w:type="dxa"/>
        <w:tblLayout w:type="fixed"/>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292,254 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2,755,710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2,189,821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565,889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5,289,164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4,691,437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597,727</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3,149,166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2,652,444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496,722</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Non-casino revenues: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 xml:space="preserve">Total non-casino revenues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2,139,998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2,038,993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101,005</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5,289,164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4,691,437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597,727</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for the nine months ended September 30, 2024 were 59.5% of operating revenues, compared to 56.5% for the same period of 2023. Non-casino revenues for the nine months ended September 30, 2024 were 40.5% of operating revenues, compared to 43.5% for the same period of 2023.</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Casino revenues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Casino revenues increased primarily due to higher gaming volumes at our Macau Operations which benefited from growing tourism in Macau during the nine months ended September 30,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casino revenues and associated key operating measures (dollars in thousands, except for win per unit per day):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611" w:type="dxa"/>
        <w:jc w:val="center"/>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54"/>
        <w:gridCol w:w="1175"/>
        <w:gridCol w:w="131"/>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4,414,990 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 market: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4,801,533 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1,203,976 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jc w:val="both"/>
        <w:rPr/>
      </w:pPr>
      <w:r>
        <w:rPr/>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room revenues and associated key operating measures:</w:t>
      </w:r>
    </w:p>
    <w:p>
      <w:pPr>
        <w:pStyle w:val="TextBody"/>
        <w:bidi w:val="0"/>
        <w:spacing w:before="0" w:after="0"/>
        <w:jc w:val="both"/>
        <w:rPr/>
      </w:pPr>
      <w:r>
        <w:rPr/>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16"/>
        <w:gridCol w:w="1081"/>
        <w:gridCol w:w="163"/>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revenues increased $78.3 million, primarily due to higher ADR at our Las Vegas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increased $53.9 million, primarily due to increased restaurant covers and average check amounts at our Las Vegas Operations and our Macau Operations.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 revenues decreased $31.2 million, primarily due to a decrease in operating revenues at Wynn Interactive.</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operating expenses (dollars in thousands):</w:t>
      </w:r>
    </w:p>
    <w:tbl>
      <w:tblPr>
        <w:tblW w:w="10205" w:type="dxa"/>
        <w:jc w:val="left"/>
        <w:tblInd w:w="0" w:type="dxa"/>
        <w:tblLayout w:type="fixed"/>
        <w:tblCellMar>
          <w:top w:w="28" w:type="dxa"/>
          <w:left w:w="28" w:type="dxa"/>
          <w:bottom w:w="28" w:type="dxa"/>
          <w:right w:w="28" w:type="dxa"/>
        </w:tblCellMar>
      </w:tblPr>
      <w:tblGrid>
        <w:gridCol w:w="1360"/>
        <w:gridCol w:w="1190"/>
        <w:gridCol w:w="1196"/>
        <w:gridCol w:w="211"/>
        <w:gridCol w:w="991"/>
        <w:gridCol w:w="109"/>
        <w:gridCol w:w="109"/>
        <w:gridCol w:w="109"/>
        <w:gridCol w:w="109"/>
        <w:gridCol w:w="211"/>
        <w:gridCol w:w="991"/>
        <w:gridCol w:w="109"/>
        <w:gridCol w:w="109"/>
        <w:gridCol w:w="109"/>
        <w:gridCol w:w="109"/>
        <w:gridCol w:w="282"/>
        <w:gridCol w:w="1126"/>
        <w:gridCol w:w="145"/>
        <w:gridCol w:w="109"/>
        <w:gridCol w:w="109"/>
        <w:gridCol w:w="109"/>
        <w:gridCol w:w="381"/>
        <w:gridCol w:w="379"/>
        <w:gridCol w:w="543"/>
      </w:tblGrid>
      <w:tr>
        <w:trPr/>
        <w:tc>
          <w:tcPr>
            <w:tcW w:w="13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4,523,328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4,208,991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314,337</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NM - Not meaningful.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total operating expenses was primarily due to increased operating costs associated with higher business volumes at our properties, partially offset by decreased operating expenses related to Wynn Interactive following the closure of Wynn Interactive's digital sports betting and casino gaming business.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increased $162.9 million and $135.7 million at Wynn Palace and Wynn Macau, respectively. These increases resulted from higher operating costs, including increases of $141.8 million and $121.9 million in incremental gaming tax expense at Wynn Palace and Wynn Macau, respectively, driven by the increase in casino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expenses increased $17.7 million at our Las Vegas Operations as a result of higher operating costs, commensurate with the increase in room revenues.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expenses increased $23.8 million and $17.2 million at our Las Vegas Operations and our Macau Operations, respectively, as a result of higher operating costs related to increases in food and beverage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decreased $94.0 million at Corporate and other as a result of decreased operating costs related to Wynn Interactive. This decrease is partially offset by an increase of $24.4 million at our Las Vegas Operations primarily due to increased costs from entertainment venue and convention-related revenue.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recognized impairment of goodwill and other finite-lived intangible assets of $72.1 million and $22.4 million, respectively, as a result of our decision to close Wynn Interactive's online sports betting and casino gaming business.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charges and other expenses for the nine months ended September 30, 2024 consisted primarily of $130.0 million of forfeitures pursuant to the NPA and the Company's $9.4 million contribution towards a legal settlement. Property charges and other expenses for the nine months ended September 30, 2024 also included $12.6 million of asset abandonments at Wynn Palace, $61.5 million of expensed project costs related to a discontinued development project at Corporate and other and $16.8 million of contract termination and other costs related to Wynn Interactive, partially offset by a gain of $24.6 million related to the sale of certain Wynn Interactive assets.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 expenses for the nine months ended September 30, 2023 consisted primarily of contract termination and other expenses of $97.7 million, as a result of our decision to close Wynn Interactive's digital sports betting and casino gaming business. Property charges and other expenses for the nine months ended September 30, 2023 also included other contract terminations of $9.6 million at Wynn Macau, and asset abandonments of $12.2 million and $8.0 million at Wynn Palace and our Las Vegas Operations,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decreased $41.6 million primarily due to a decrease in the weighted average debt balance, from $12.48 billion for the nine months ended September 30, 2023, to $11.58 billion for the nine months ended September 30,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interest income of $105.8 million and $130.9 million in the nine months ended September 30, 2024 and 2023,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gain of $25.3 million and a loss of $19.8 million for the nine months ended September 30, 2024 and 2023, respectively. The impact of the exchange rate fluctuation of the Macau pataca, in relation to the U.S. dollar, on the remeasurements of U.S. dollar denominated debt and other obligations from our Macau-related entities primarily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recorded a loss of $7.9 million from changes in derivatives fair value for the nine months ended September 30, 2024, primarily related to the interest rate collar </w:t>
      </w:r>
      <w:r>
        <w:rPr>
          <w:rFonts w:ascii="Times New Roman;sans-serif" w:hAnsi="Times New Roman;sans-serif"/>
          <w:b w:val="false"/>
          <w:color w:val="000000"/>
          <w:sz w:val="20"/>
          <w:shd w:fill="FFFFFF" w:val="clear"/>
        </w:rPr>
        <w:t>on the Retail Term Loan</w:t>
      </w:r>
      <w:r>
        <w:rPr>
          <w:rFonts w:ascii="Times New Roman;sans-serif" w:hAnsi="Times New Roman;sans-serif"/>
          <w:b w:val="false"/>
          <w:color w:val="000000"/>
          <w:sz w:val="20"/>
        </w:rPr>
        <w:t xml:space="preserve">. We recorded a loss of $3.3 million from changes in derivatives fair value for the nine months ended September 30, 2023, primarily related to the conversion feature of the WML Convertible Bonds.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$1.7 million loss on debt financing transactions for the nine months ended September 30, 2024, primarily related to the issuance of the 2031 Add-On WRF Senior Notes and the repurchase of the tendered 2025 WLV Senior Notes. We recorded a $12.7 million loss on debt financing transactions for the nine months ended September 30, 2023, primarily related to the issuance of the 2031 WRF Senior Notes and the repurchase of the early tendered 2025 WRF Senior Notes.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income tax expense of $45.1 million and $2.6 million for the nine months ended September 30, 2024 and 2023, respectively. Income tax expense in 2024 primarily relates to U.S.-based operating profits as well as an increase in non-deductible expenses. Income tax expense in 2023 primarily related to operating profits. </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attributable to noncontrolling interests</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interests was $93.3 million and $7.6 million for the nine months ended September 30, 2024 and 2023, respectively. These amounts are primarily related to the noncontrolling interests' share of net income from WML.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Item 1—"Notes to Condensed Consolidated Financial Statements," Note 17, "Segment Information," we use Adjusted Property EBITDAR to manage the operating results of our segments. Adjusted Property EBITDAR is net income (loss)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(gain)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Adjusted Property EBITDAR (dollars in thousands) for Wynn Palace, Wynn Macau, Las Vegas Operations, Encore Boston Harbor, and Corporate and other as reviewed by management and summarized in Item 1—"Notes to Condensed Consolidated Financial Statements," Note 17, "Segment Information." That footnote also presents a reconciliation of Adjusted Property EBITDAR to net income (loss) attributable to Wynn Resorts, Limited. </w:t>
      </w:r>
    </w:p>
    <w:p>
      <w:pPr>
        <w:pStyle w:val="TextBody"/>
        <w:bidi w:val="0"/>
        <w:spacing w:before="0" w:after="0"/>
        <w:ind w:left="0" w:right="0" w:firstLine="450"/>
        <w:jc w:val="both"/>
        <w:rPr/>
      </w:pPr>
      <w:r>
        <w:rPr/>
      </w:r>
    </w:p>
    <w:tbl>
      <w:tblPr>
        <w:tblW w:w="10808" w:type="dxa"/>
        <w:jc w:val="left"/>
        <w:tblInd w:w="0" w:type="dxa"/>
        <w:tblLayout w:type="fixed"/>
        <w:tblCellMar>
          <w:top w:w="28" w:type="dxa"/>
          <w:left w:w="28" w:type="dxa"/>
          <w:bottom w:w="28" w:type="dxa"/>
          <w:right w:w="28" w:type="dxa"/>
        </w:tblCellMar>
      </w:tblPr>
      <w:tblGrid>
        <w:gridCol w:w="392"/>
        <w:gridCol w:w="326"/>
        <w:gridCol w:w="183"/>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46"/>
        <w:gridCol w:w="220"/>
        <w:gridCol w:w="22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60"/>
        <w:gridCol w:w="206"/>
        <w:gridCol w:w="294"/>
      </w:tblGrid>
      <w:tr>
        <w:trPr/>
        <w:tc>
          <w:tcPr>
            <w:tcW w:w="39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Palace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 Macau</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Encore Boston Harbor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hanging="27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Wynn Macau increased $22.7 million for the three months ended September 30, 2024 primarily due to an increase in casino revenues of $66.5 million, partially offset by an increase in operating expenses. Adjusted Property EBITDAR at Wynn Palace decreased $14.8 million for the three months ended September 30, 2024, primarily due to decreases in non-casino revenues of $5.0 million coupled with an increase of $8.2 million in casino expenses, inclusive of gaming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Wynn Palace and Wynn Macau increased $104.4 million and $121.4 million, respectively, for the nine months ended September 30, 2024, primarily due to an increase in operating revenues of $292.3 million and $273.6 million, respectively, partially offset by an increase in operating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our Las Vegas Operations decreased $17.0 million for the three months ended September 30, 2024 primarily due to decreases in casino revenues of $22.9 million which was primarily attributable to lower table games win. Adjusted Property EBITDAR at our Las Vegas Operations increased $3.9 million for the nine months ended September 30, 2024, primarily due to an increase in non-casino revenues of $139.2 million, partially offset by a decrease in casino revenues of $50.6 million and increases in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at Encore Boston Harbor increased $2.5 million for the three months ended September 30, 2024, primarily due to an increase in operating revenues of $3.7 million, partially offset by an increase in operating expenses. Adjusted Property EBITDAR at Encore Boston Harbor decreased $4.7 million for the nine months ended September 30, 2024, primarily due to a decrease in operating revenues of $4.1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at Corporate and other increased $3.9 million and $36.4 million for the three and nine months ended September 30, 2024, respectively, primarily due to a decrease in marketing and promotional expense of $5.7 million and $32.0 million, respectively, related to Wynn Interactive following our decision, announced in August 2023, to close Wynn Interactive's digital sports betting and casino gaming business. </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discussions above regarding the specific details of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 (in thousands):</w:t>
      </w:r>
    </w:p>
    <w:tbl>
      <w:tblPr>
        <w:tblW w:w="8588" w:type="dxa"/>
        <w:jc w:val="left"/>
        <w:tblInd w:w="0" w:type="dxa"/>
        <w:tblLayout w:type="fixed"/>
        <w:tblCellMar>
          <w:top w:w="28" w:type="dxa"/>
          <w:left w:w="28" w:type="dxa"/>
          <w:bottom w:w="28" w:type="dxa"/>
          <w:right w:w="28" w:type="dxa"/>
        </w:tblCellMar>
      </w:tblPr>
      <w:tblGrid>
        <w:gridCol w:w="2113"/>
        <w:gridCol w:w="1854"/>
        <w:gridCol w:w="1867"/>
        <w:gridCol w:w="211"/>
        <w:gridCol w:w="841"/>
        <w:gridCol w:w="109"/>
        <w:gridCol w:w="109"/>
        <w:gridCol w:w="109"/>
        <w:gridCol w:w="109"/>
        <w:gridCol w:w="211"/>
        <w:gridCol w:w="901"/>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 Summary</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947,175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806,550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construction payables and retention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investments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(1,178,378)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(337,737)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(527,855)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on cash, cash equivalents and 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739,301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(903,404)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the increase in cash flows from operating activities was primarily due to increased revenues from our Macau Operations and our Las Vegas Operations, which was partially offset by an increase in operating expenses associated with higher business volumes. During the nine months ended September 30, 2023, the increase in cash flows from operating activities was primarily due to increased revenues from our Macau Operations and our Las Vegas Operations, which was partially offset by an increase in operating expenses associated with higher business volumes.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00075"/>
                <wp:effectExtent l="0" t="0" r="0" b="0"/>
                <wp:wrapNone/>
                <wp:docPr id="42" name="Frame4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we incurred capital expenditures of $106.0 million at our Las Vegas Operations, $72.1 million at Wynn Palace, $38.8 million at Wynn Macau, and $27.5 million at Encore Boston Harbor primarily related to maintenance capital expenditures, and $48.4 million at Corporate and other primarily related to future development projects. In addition, during the nine months ended September 30, 2024, we invested $455.0 million, including $442.7 million of cash contributions, in the joint venture that is constructing Wynn Al Marjan Island, and received proceeds of $300.0 million and $550.0 million upon the maturity of our investments in debt securities and fixed deposits, respectively.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incurred capital expenditures of $137.7 million at our Las Vegas Operations, $56.5 million at Encore Boston Harbor, $38.1 million at Wynn Palace, and $18.8 million at Wynn Macau primarily related to maintenance capital expenditures, and $78.4 million at Corporate and other primarily related to future development projects. In addition, during the nine months ended September 30, 2023, we purchased $786.5 million in investments, comprised of United States treasury bills and fixed deposits maturing in less than one year.</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proceeds from the issuance, repayments, and repurchases of the specified debt instruments during the nine months ended September 30, 2024 (in thousands):</w:t>
      </w:r>
    </w:p>
    <w:tbl>
      <w:tblPr>
        <w:tblW w:w="7527" w:type="dxa"/>
        <w:jc w:val="left"/>
        <w:tblInd w:w="0" w:type="dxa"/>
        <w:tblLayout w:type="fixed"/>
        <w:tblCellMar>
          <w:top w:w="28" w:type="dxa"/>
          <w:left w:w="28" w:type="dxa"/>
          <w:bottom w:w="28" w:type="dxa"/>
          <w:right w:w="28" w:type="dxa"/>
        </w:tblCellMar>
      </w:tblPr>
      <w:tblGrid>
        <w:gridCol w:w="1127"/>
        <w:gridCol w:w="994"/>
        <w:gridCol w:w="999"/>
        <w:gridCol w:w="294"/>
        <w:gridCol w:w="1384"/>
        <w:gridCol w:w="152"/>
        <w:gridCol w:w="109"/>
        <w:gridCol w:w="109"/>
        <w:gridCol w:w="109"/>
        <w:gridCol w:w="350"/>
        <w:gridCol w:w="1645"/>
        <w:gridCol w:w="255"/>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 and repurchases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6 1/4% Senior Notes, due 2033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WM Cayman II Revolver, due 2028</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796,691 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2027</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1,283,794</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1,251,210</w:t>
            </w: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nine months ended September 30, 2024, we repurchased 2,206,113 shares of our common stock under our equity repurchase program for an aggregate cost of $185.7 million. We also made dividend payments of $112.0 million, paid $31.5 million for financing costs related to the financing activities above and used cash of $10.6 million for distributions to noncontrolling interest holders of the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presents proceeds from the issuance, repayments, and repurchases of the specified debt instruments during the nine months ended September 30, 2023 (in thousands):</w:t>
      </w:r>
    </w:p>
    <w:p>
      <w:pPr>
        <w:pStyle w:val="TextBody"/>
        <w:bidi w:val="0"/>
        <w:spacing w:before="0" w:after="0"/>
        <w:ind w:left="0" w:right="0" w:firstLine="450"/>
        <w:jc w:val="both"/>
        <w:rPr/>
      </w:pPr>
      <w:r>
        <w:rPr/>
      </w:r>
    </w:p>
    <w:tbl>
      <w:tblPr>
        <w:tblW w:w="8081" w:type="dxa"/>
        <w:jc w:val="left"/>
        <w:tblInd w:w="0" w:type="dxa"/>
        <w:tblLayout w:type="fixed"/>
        <w:tblCellMar>
          <w:top w:w="28" w:type="dxa"/>
          <w:left w:w="28" w:type="dxa"/>
          <w:bottom w:w="28" w:type="dxa"/>
          <w:right w:w="28" w:type="dxa"/>
        </w:tblCellMar>
      </w:tblPr>
      <w:tblGrid>
        <w:gridCol w:w="1328"/>
        <w:gridCol w:w="1170"/>
        <w:gridCol w:w="1176"/>
        <w:gridCol w:w="294"/>
        <w:gridCol w:w="1384"/>
        <w:gridCol w:w="152"/>
        <w:gridCol w:w="109"/>
        <w:gridCol w:w="109"/>
        <w:gridCol w:w="109"/>
        <w:gridCol w:w="350"/>
        <w:gridCol w:w="1645"/>
        <w:gridCol w:w="25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 and repurchases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1/8% Senior Notes, due 2031</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1/2% Convertible Bonds, due 2029</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4 1/4% Senior Notes, due 2023</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Term Loan, due 2024</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1,200,000</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1,522,812</w:t>
            </w: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nine months ended September 30, 2023, we repurchased 596,948 shares of our common stock under our equity repurchase program for an aggregate cost of $56.2 million. We also made dividend payments of $56.7 million, paid $41.2 million for financing costs related to the financing activities above and used cash of $15.9 million for distributions to noncontrolling interest holders of the Retail Joint Venture.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00075"/>
                <wp:effectExtent l="0" t="0" r="0" b="0"/>
                <wp:wrapNone/>
                <wp:docPr id="43" name="Frame4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unrestricted cash and cash equivalents and available revolver borrowing capacity, presented by significant financing entity as of September 30, 2024 (in thousands): </w:t>
      </w:r>
    </w:p>
    <w:tbl>
      <w:tblPr>
        <w:tblW w:w="8470" w:type="dxa"/>
        <w:jc w:val="left"/>
        <w:tblInd w:w="0" w:type="dxa"/>
        <w:tblLayout w:type="fixed"/>
        <w:tblCellMar>
          <w:top w:w="28" w:type="dxa"/>
          <w:left w:w="28" w:type="dxa"/>
          <w:bottom w:w="28" w:type="dxa"/>
          <w:right w:w="28" w:type="dxa"/>
        </w:tblCellMar>
      </w:tblPr>
      <w:tblGrid>
        <w:gridCol w:w="1193"/>
        <w:gridCol w:w="1050"/>
        <w:gridCol w:w="1056"/>
        <w:gridCol w:w="403"/>
        <w:gridCol w:w="1894"/>
        <w:gridCol w:w="208"/>
        <w:gridCol w:w="109"/>
        <w:gridCol w:w="109"/>
        <w:gridCol w:w="109"/>
        <w:gridCol w:w="364"/>
        <w:gridCol w:w="1710"/>
        <w:gridCol w:w="265"/>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1,339,495 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353,562 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Wynn Resorts Finance, LLC </w:t>
            </w:r>
            <w:r>
              <w:rPr>
                <w:rFonts w:ascii="Times New Roman;sans-serif" w:hAnsi="Times New Roman;sans-serif"/>
                <w:b w:val="false"/>
                <w:color w:val="000000"/>
                <w:sz w:val="13"/>
              </w:rPr>
              <w:t>(1)</w:t>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735,306 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2,407,289</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1,088,868</w:t>
            </w: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Excluding Wynn Macau, Limited and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cash and cash equivalents and available revolver borrowing capacity presented above, as of September 30, 2024, we also held restricted cash of $605.9 million and $600.0 million at WRF and WML, respectively, in trust accounts for the October 2024 repurchase or payment of the Wynn Las Vegas 5 1/2% Senior Notes due 2025 and WML 4 7/8% Senior Notes due 2024, as discussed below.</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Macau, Limited and subsidiaries</w:t>
      </w:r>
      <w:r>
        <w:rPr>
          <w:rFonts w:ascii="Times New Roman;sans-serif" w:hAnsi="Times New Roman;sans-serif"/>
          <w:b w:val="false"/>
          <w:color w:val="000000"/>
          <w:sz w:val="20"/>
        </w:rPr>
        <w:t xml:space="preserve">. WML generates cash from our Macau Operations and may utilize proceeds from the WM Cayman II 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In May 2024, the WML Board of Directors announced an amendment to WML's dividend policy, pursuant to which the WML Board of Directors will meet semiannually to consider the declaration of dividends, and may also meet at any time during the year as the WML Board of Directors deems fit to consider the declaration of special dividends. </w:t>
      </w:r>
      <w:r>
        <w:rPr>
          <w:rFonts w:ascii="Times New Roman;sans-serif" w:hAnsi="Times New Roman;sans-serif"/>
          <w:b w:val="false"/>
          <w:color w:val="000000"/>
          <w:sz w:val="20"/>
          <w:shd w:fill="FFFFFF" w:val="clear"/>
        </w:rPr>
        <w:t>On June 19, 2024, WML paid a cash dividend of HK$0.075 per share for a total U.S. dollar equivalent of approximately $50.4 million in respect of the year ended December 31, 2023. Our share of this dividend was $36.0 million. On September 12, 2024, WML paid a cash dividend of HK$0.075 per share for a total U.S. dollar equivalent of approximately $50.5 million in respect of the six months ended June 30, 2024. Our share of this dividend was $36.1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2024, WM Cayman II and WML entered into an amendment agreement to its existing facility agreement to extend the maturity date of the outstanding loans under the existing facility agreement for three years to September 2028.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repaid the $600.0 million aggregate principal amount of WML's 4 7/8% Senior Notes due 2024 on their stated maturity date using short-term restricted cash held at WML.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portion of cash available for repatriation was repatriated on September 30, 2024, it would be subject to minimal U.S.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Finance, LLC and subsidiaries.</w:t>
      </w:r>
      <w:r>
        <w:rPr>
          <w:color w:val="000000"/>
        </w:rPr>
        <w:t xml:space="preserve"> </w:t>
      </w:r>
      <w:r>
        <w:rPr>
          <w:rFonts w:ascii="Times New Roman;sans-serif" w:hAnsi="Times New Roman;sans-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WRF is a holding company and, as a result, its ability to pay dividends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075"/>
                <wp:effectExtent l="0" t="0" r="0" b="0"/>
                <wp:wrapNone/>
                <wp:docPr id="44" name="Frame4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$409.5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2024, we repurchased $800.0 million aggregate principal amount of our 5 1/2% Senior Notes due 2025 (the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of 100% of the principal amount plus accrued interest under the terms of its indenture. Included in the $119.0 million repurchase was $3.3 million aggregate principal amount of 2025 WLV Senior Notes held by Wynn Resorts. We used the net proceeds from the 2031 WRF Add-On Senior Notes and cash held by WRF to purchase such validly tendered 2025 WLV Senior Notes and to pay the early tender premium and related fees and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2024, WRF and certain of its subsidiaries entered into an amendment (the "WRF Credit Agreement Amendment") to its existing credit agreement (the "WRF Credit Agreement"). The WRF Credit Agreement Amendment amends the WRF Credit Agreement to (i) extend the stated maturity date for lenders electing to extend their revolving commitments in an amount equal to approximately $68.7 million from September 20, 2024 to September 20, 2027, and (ii) extend the stated maturity date for lenders electing to extend their term loan commitments in an amount equal to approximately $71.8 million from September 20, 2024 to September 20, 2027.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Also in September 2024, WRF issued $800 million aggregate principal amount of 6 1/4% Senior Notes due 2033 (the "2033 WRF Senior Notes") in a private offering exempt from the registration requirements of the Securities Act of 1933, as amended. The 2033 WRF Senior Notes were issued at par, for net proceeds of $795.0 million. A portion of the proceeds from the offering of the 2033 WRF Senior Notes was classified as short-term restricted cash as of September 30, 2024 within the Condensed Consolidated Balance Sheet and was used in October 2024 to repurchase the remaining outstanding $600.0 million aggregate principal amount of WLV 5.500% Senior Notes due 2025 at a price equal to 100.0% of the principal amount, plus accrued interest. </w:t>
      </w:r>
      <w:r>
        <w:rPr>
          <w:rFonts w:ascii="Times New Roman;sans-serif" w:hAnsi="Times New Roman;sans-serif"/>
          <w:b w:val="false"/>
          <w:color w:val="000000"/>
          <w:sz w:val="20"/>
        </w:rPr>
        <w:t xml:space="preserve">Included in the $600.0 million repurchase was $16.7 million aggregate principal amount of 2025 WLV Senior Notes held by Wynn Resorts.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Wynn Resorts, Limited and other subsidiaries.</w:t>
      </w:r>
      <w:r>
        <w:rPr>
          <w:color w:val="000000"/>
        </w:rPr>
        <w:t xml:space="preserve"> </w:t>
      </w:r>
      <w:r>
        <w:rPr>
          <w:rFonts w:ascii="Times New Roman;sans-serif" w:hAnsi="Times New Roman;sans-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$140.0 million for the year ending December 31, 2024. We expect to use cash held by Wynn Resorts, Limited and other to service our Retail Term Loan, to fund working capital needs of our subsidiaries, pay dividends, make required capital contributions to the entity which owns the Wynn Al Marjan Island development, and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determined not to proceed with its planned phased development project adjacent to Encore Boston Harbor, and expensed $61.5 million of costs, including $4.7 million of internally allocated overhead, that had been previously capitalized.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Company contributed $18.2 million of cash into Island 3, bringing our life-to-date cash contributions to $532.6 million. The cash contributed in the quarter was used primarily to fund our pro rata portion of the purchase of approximately 155 acres of land underlying the Wynn Al Marjan Island integrated resort development site, including the remaining 70 acres of land on Island 3 for potential future development (the "Marjan Land Bank"). We estimate our remaining 40% pro-rata share of the required equity for the construction of the Wynn Al Marjan Island integrated resort is between $800 million and $875 million, inclusive of capitalized interest, fees, and certain improvements on the Island. Wynn Al Marjan Island is currently expected to open in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a cash dividend of $0.25 per share in each of the quarters ended March 31, 2024, June 30, 2024, and September 30, 2024 and recorded $28.0 million in each of the quarters ended March 31, 2024 and June 30, 2024 and $27.7 million in the quarter ended September 30, 2024, against accumulated deficit. On November 4, 2024, the Company's Board of Directors declared a cash dividend of $0.25 per share on its common stock, payable on November 27, 2024 to stockholders of record as of November 15, 2024.</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00075"/>
                <wp:effectExtent l="0" t="0" r="0" b="0"/>
                <wp:wrapNone/>
                <wp:docPr id="45" name="Frame4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we amended the retail term loan agreement to, among other things, extend the scheduled maturity date to July 2027 and provide for an interest rate adjustment. We also made a principal repayment of the term loan in the amount of $15.0 million.</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Factors Affecting Liquidity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refinance all or a portion of our indebtedness on or before maturity. We cannot assure you that we will be able to refinance any of the indebtedness on acceptable terms or at all.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2016, our Board of Directors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As of September 30, 2024, we had $247.7 million in repurchase authority remaining under the program.</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Contractual Commitments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Except as described below, there have been no material changes to the contractual obligations previously reported in our Annual Report on Form 10-K for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of the financing transactions described in our discussion of capital resources above, our long-term debt obligations decreased by $55.8 million in 2024 and $3.49 billion in 2025 and increased by $3.8 million in 2026, $662.3 million in 2027, $1.15 billion in 2028, and $1.20 billion thereafter. Our annual fixed interest payments are expected to decrease $12.8 million in 2024 and increase $65.8 million in 2025, $78.5 million in each of 2026, 2027, and 2028, and $271.0 million thereafter and our annual variable interest payments are expected to decrease $34.6 million in 2024 and increase $15.7 million in 2025, $110.2 million in 2026, $95.3 million in 2027, and $53.6 million in 2028.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critical accounting policies is included in Item 7 of our Annual Report on Form 10-K for the year ended December 31, 2023. There have been no significant changes to these policies for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00075"/>
                <wp:effectExtent l="0" t="0" r="0" b="0"/>
                <wp:wrapNone/>
                <wp:docPr id="46" name="Frame4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Standards and Accounting Standards Issued But Not Yet Adopted</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related disclosure in Note 2, "Basis of Presentation and Significant Accounting Policies" of Part I in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information about market risks to which we are exposed is included within our Annual Report on Form 10-K for the year ended December 31, 2023. </w:t>
      </w:r>
    </w:p>
    <w:p>
      <w:pPr>
        <w:pStyle w:val="TextBody"/>
        <w:bidi w:val="0"/>
        <w:spacing w:before="0" w:after="0"/>
        <w:ind w:left="0" w:right="0" w:firstLine="22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As of September 30, 2024, approximately 79% </w:t>
      </w:r>
      <w:r>
        <w:rPr>
          <w:rFonts w:ascii="Times New Roman;sans-serif" w:hAnsi="Times New Roman;sans-serif"/>
          <w:b w:val="false"/>
          <w:color w:val="000000"/>
          <w:sz w:val="20"/>
          <w:shd w:fill="FFFFFF" w:val="clear"/>
        </w:rPr>
        <w:t xml:space="preserve">of our long-term debt was based on fixed rates. Based on our outstanding borrowings as of </w:t>
      </w:r>
      <w:r>
        <w:rPr>
          <w:rFonts w:ascii="Times New Roman;sans-serif" w:hAnsi="Times New Roman;sans-serif"/>
          <w:b w:val="false"/>
          <w:color w:val="000000"/>
          <w:sz w:val="20"/>
        </w:rPr>
        <w:t>September 30, 2024</w:t>
      </w:r>
      <w:r>
        <w:rPr>
          <w:rFonts w:ascii="Times New Roman;sans-serif" w:hAnsi="Times New Roman;sans-serif"/>
          <w:b w:val="false"/>
          <w:color w:val="000000"/>
          <w:sz w:val="20"/>
          <w:shd w:fill="FFFFFF" w:val="clear"/>
        </w:rPr>
        <w:t>, an assumed 100 basis point change in the variable rates would cause our annual interest expense to change by</w:t>
      </w:r>
      <w:r>
        <w:rPr>
          <w:color w:val="000000"/>
        </w:rPr>
        <w:t xml:space="preserve"> </w:t>
      </w:r>
      <w:r>
        <w:rPr>
          <w:rFonts w:ascii="Times New Roman;sans-serif" w:hAnsi="Times New Roman;sans-serif"/>
          <w:b w:val="false"/>
          <w:color w:val="000000"/>
          <w:sz w:val="20"/>
        </w:rPr>
        <w:t xml:space="preserve">$19.2 million.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exposure to interest rate fluctuations on the Retail Term Loan, the Company previously entered into an interest rate collar with a notional value of $615.0 million, which expired on August 1, 2024. On October 2, 2024, the Company entered into an interest rate swap with a notional value of $600.0 million, maturing in February 2027. The interest rate swap effectively fixes the variable component of the interest rate on the Retail Term Loan at 3.385% through February 2027.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September 30, 2024, an assumed 1% change in the U.S. dollar/Hong Kong dollar exchange rate would cause a foreign currency transaction gain/loss of $41.6 million.</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0075"/>
                <wp:effectExtent l="0" t="0" r="0" b="0"/>
                <wp:wrapNone/>
                <wp:docPr id="47" name="Frame4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0075"/>
                <wp:effectExtent l="0" t="0" r="0" b="0"/>
                <wp:wrapNone/>
                <wp:docPr id="48" name="Frame4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Item 1A, Part I of our Annual Report on Form 10-K for the year ended December 31, 2023. There were no material changes to those risk factors during the nine months ended September 30, 2024.</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repurchases made by the Company during the three months ended September 30, 2024:</w:t>
      </w:r>
    </w:p>
    <w:tbl>
      <w:tblPr>
        <w:tblW w:w="10205" w:type="dxa"/>
        <w:jc w:val="left"/>
        <w:tblInd w:w="0" w:type="dxa"/>
        <w:tblLayout w:type="fixed"/>
        <w:tblCellMar>
          <w:top w:w="28" w:type="dxa"/>
          <w:left w:w="28" w:type="dxa"/>
          <w:bottom w:w="28" w:type="dxa"/>
          <w:right w:w="28" w:type="dxa"/>
        </w:tblCellMar>
      </w:tblPr>
      <w:tblGrid>
        <w:gridCol w:w="724"/>
        <w:gridCol w:w="372"/>
        <w:gridCol w:w="375"/>
        <w:gridCol w:w="109"/>
        <w:gridCol w:w="109"/>
        <w:gridCol w:w="109"/>
        <w:gridCol w:w="635"/>
        <w:gridCol w:w="429"/>
        <w:gridCol w:w="431"/>
        <w:gridCol w:w="109"/>
        <w:gridCol w:w="109"/>
        <w:gridCol w:w="109"/>
        <w:gridCol w:w="270"/>
        <w:gridCol w:w="789"/>
        <w:gridCol w:w="139"/>
        <w:gridCol w:w="109"/>
        <w:gridCol w:w="109"/>
        <w:gridCol w:w="109"/>
        <w:gridCol w:w="843"/>
        <w:gridCol w:w="669"/>
        <w:gridCol w:w="672"/>
        <w:gridCol w:w="109"/>
        <w:gridCol w:w="109"/>
        <w:gridCol w:w="109"/>
        <w:gridCol w:w="450"/>
        <w:gridCol w:w="1763"/>
        <w:gridCol w:w="336"/>
      </w:tblGrid>
      <w:tr>
        <w:trPr/>
        <w:tc>
          <w:tcPr>
            <w:tcW w:w="7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(in thousands)</w:t>
            </w:r>
          </w:p>
        </w:tc>
      </w:tr>
      <w:tr>
        <w:trPr/>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to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374,100 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372,605 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333,359 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to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375,583 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368,377 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to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724,141 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723,791 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247,680 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Shares purchased in July 2024, August 2024, and September 2024 include 1,495, 7,206 and 350 shares, respectively, purchased in satisfaction of employee tax withholding obligations on vested restricted stock granted under our stock incentive plans. Refer to Note 13, "Stock-Based Compensation" to our Consolidated Financial Statements included in our 2023 Form 10-K for additional details on our stock incentive plans.</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3. Default Upon Senior Securities. </w:t>
      </w:r>
    </w:p>
    <w:p>
      <w:pPr>
        <w:pStyle w:val="TextBody"/>
        <w:bidi w:val="0"/>
        <w:spacing w:before="0" w:after="0"/>
        <w:ind w:left="0" w:right="0" w:firstLine="49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(as defined in Section 16 of the Exchange Act) adopted, modified or terminated a “Rule 10b5-1 trading arrangement” or a “non-Rule 10b5-1 trading arrangement” (each as defined in Item 408(a) and (c) of Regulation S-K) during the Company’s fiscal quarter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00075"/>
                <wp:effectExtent l="0" t="0" r="0" b="0"/>
                <wp:wrapNone/>
                <wp:docPr id="49" name="Frame4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9"/>
        <w:gridCol w:w="2650"/>
        <w:gridCol w:w="378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Ninth Amended and Restated Bylaws of the Registrant. (Incorporated by reference from the Annual Report on Form 10-K 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Indenture, dated September 20, 2024, by and among Wynn Resorts Finance, LLC, and Wynn Resorts Capital Corp., as joint and several obligors and the Guarantors named therein and U.S. Bank National Association, as trustee (Incorporated by reference from the Current Report on Form 8-K filed by the Registrant on September 20,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Amendment No. 4 to Credit Agreement, dated as of September 16, 2024, by and among Wynn Resorts Finance, LLC, as borrower, the subsidiaries of borrower party hereto, as guarantors, Deutsche Bank AG New York Branch, as administrative agent (Incorporated by reference from the Current Report on Form 8-K filed by the Registrant on September 16,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Exhibit A to Amendment No. 4 - Credit Agreement, dated as of September 20, 2019 (as amended by Amendment No. 1 dated as of April 10, 2020, Amendment No. 2 dated as of November 27, 2020, and Amendment No. 3 dated as of May 17, 2023, Amendment No. 4 dated as of September 16, 2024), by and among Wynn Resorts Finance, LLC, as borrower, the subsidiaries of borrower party hereto, as guarantors, Deutsche Bank AG New York Branch, as administrative agent and as collateral agent (Incorporated by reference from the Current Report on Form 8-K filed by the Registrant on September 16,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Second Amendment Agreement to the Existing Facility Agreement, dated as of September 20, 2024, by and among WM Cayman Holdings Limited II, as borrower, Wynn Macau, Limited, as guarantor, and Bank of China Limited, Macau Branch, as agent and a syndicate of lenders (Incorporated by reference from the Current Report on Form 8-K filed by the Registrant on September 23,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Third Amendment to Term Loan Agreement and First Amendment to Recourse Indemnity Agreement, dated as of October 2, 2024, by and among Wynn/CA Plaza Property Owner, LLC and Wynn/CA Property Owner, LLC, as borrowers, United Overseas Bank Limited, New York Agency, as administrative agent, and the guarantors and lenders party thereto (Incorporated by reference from the Current Report on Form 8-K filed by the Registrant on October 3,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scertificationxq3.htm">
              <w:r>
                <w:rPr>
                  <w:rStyle w:val="InternetLink"/>
                  <w:rFonts w:ascii="Times New Roman;sans-serif" w:hAnsi="Times New Roman;sans-serif"/>
                  <w:b w:val="false"/>
                  <w:color w:val="0000FF"/>
                  <w:sz w:val="20"/>
                  <w:u w:val="single"/>
                </w:rPr>
                <w:t>Certification of Chief Executive Officer of Periodic Report Pursuant to Rule 13a – 14(a) and Rule 15d – 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scertificationxq3.htm">
              <w:r>
                <w:rPr>
                  <w:rStyle w:val="InternetLink"/>
                  <w:rFonts w:ascii="Times New Roman;sans-serif" w:hAnsi="Times New Roman;sans-serif"/>
                  <w:b w:val="false"/>
                  <w:color w:val="0000FF"/>
                  <w:sz w:val="20"/>
                  <w:u w:val="single"/>
                </w:rPr>
                <w:t>Certification of Chief Financial Officer of Periodic Report Pursuant to Rule 13a – 14(a) and Rule 15d – 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ceoandcfocertification.htm">
              <w:r>
                <w:rPr>
                  <w:rStyle w:val="InternetLink"/>
                  <w:rFonts w:ascii="Times New Roman;sans-serif" w:hAnsi="Times New Roman;sans-serif"/>
                  <w:b w:val="false"/>
                  <w:color w:val="0000FF"/>
                  <w:sz w:val="20"/>
                  <w:u w:val="single"/>
                </w:rPr>
                <w:t>Certification of CEO and CFO Pursuant to 18 U.S.C. Section 1350 (furnished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 from Wynn Resorts, Limited's Quarterly Report on Form 10-Q, formatted in Inline XBRL (Inline Extensible Business Reporting Language): (i) the Condensed Consolidated Balance Sheets as of September 30, 2024 and December 31, 2023; (ii) the Condensed Consolidated Statements of Operations for the three and nine months ended September 30, 2024 and 2023; (iii) the Condensed Consolidated Statements of Comprehensive Income (Loss) for the three and nine months ended September 30, 2024 and 2023; (iv) the Condensed Consolidated Statements of Stockholders' Deficit for the three and nine months ended September 30, 2024 and 2023; (v) the Condensed Consolidated Statements of Cash Flows for the nine months ended September 30, 2024 and 2023; and (vi) Notes to Condensed Consolidated Financial Statements. The instance document does not appear in the Interactive Data File because its XBRL tags are embedded within the Inline XBRL document.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00075"/>
                <wp:effectExtent l="0" t="0" r="0" b="0"/>
                <wp:wrapNone/>
                <wp:docPr id="50" name="Frame5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08496054dae401198aa293de2d20010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026"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134"/>
        <w:gridCol w:w="134"/>
        <w:gridCol w:w="136"/>
        <w:gridCol w:w="109"/>
        <w:gridCol w:w="109"/>
        <w:gridCol w:w="109"/>
        <w:gridCol w:w="1102"/>
        <w:gridCol w:w="1102"/>
        <w:gridCol w:w="156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4,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00075"/>
                <wp:effectExtent l="0" t="0" r="0" b="0"/>
                <wp:wrapNone/>
                <wp:docPr id="51" name="Frame5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Craig S. Billings,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5555"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724"/>
        <w:gridCol w:w="724"/>
        <w:gridCol w:w="102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br/>
              <w:t xml:space="preserve">Chief Executive Officer </w:t>
              <w:br/>
              <w:t>(Principal Executive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Julie Cameron-Doe, certify that: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6844"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100"/>
        <w:gridCol w:w="1100"/>
        <w:gridCol w:w="156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br/>
              <w:t xml:space="preserve">Chief Financial Officer </w:t>
              <w:br/>
              <w:t>(Principal Financial and Accounting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 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Wynn Resorts, Limited (the “Company”) for the quarter ended September 30, 2024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8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720"/>
        <w:jc w:val="left"/>
        <w:rPr/>
      </w:pPr>
      <w:r>
        <w:rPr/>
      </w:r>
    </w:p>
    <w:p>
      <w:pPr>
        <w:pStyle w:val="TextBody"/>
        <w:bidi w:val="0"/>
        <w:spacing w:before="180" w:after="283"/>
        <w:ind w:left="0" w:right="0" w:hanging="720"/>
        <w:jc w:val="left"/>
        <w:rPr/>
      </w:pPr>
      <w:r>
        <w:rPr/>
      </w:r>
    </w:p>
    <w:tbl>
      <w:tblPr>
        <w:tblW w:w="3163" w:type="dxa"/>
        <w:jc w:val="left"/>
        <w:tblInd w:w="0" w:type="dxa"/>
        <w:tblLayout w:type="fixed"/>
        <w:tblCellMar>
          <w:top w:w="28" w:type="dxa"/>
          <w:left w:w="28" w:type="dxa"/>
          <w:bottom w:w="28" w:type="dxa"/>
          <w:right w:w="28" w:type="dxa"/>
        </w:tblCellMar>
      </w:tblPr>
      <w:tblGrid>
        <w:gridCol w:w="249"/>
        <w:gridCol w:w="219"/>
        <w:gridCol w:w="221"/>
        <w:gridCol w:w="722"/>
        <w:gridCol w:w="722"/>
        <w:gridCol w:w="103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249"/>
        <w:gridCol w:w="219"/>
        <w:gridCol w:w="221"/>
        <w:gridCol w:w="1100"/>
        <w:gridCol w:w="1100"/>
        <w:gridCol w:w="15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4, 2024</w:t>
            </w:r>
          </w:p>
        </w:tc>
      </w:tr>
    </w:tbl>
    <w:p>
      <w:pPr>
        <w:pStyle w:val="TextBody"/>
        <w:bidi w:val="0"/>
        <w:spacing w:lineRule="auto" w:line="288" w:before="29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4922/000117492215000044/ex-31.htm" TargetMode="External"/><Relationship Id="rId3" Type="http://schemas.openxmlformats.org/officeDocument/2006/relationships/hyperlink" Target="https://www.sec.gov/Archives/edgar/data/1174922/000117492220000024/ex32-bylaws.htm" TargetMode="External"/><Relationship Id="rId4" Type="http://schemas.openxmlformats.org/officeDocument/2006/relationships/hyperlink" Target="https://www.sec.gov/Archives/edgar/data/1174922/000117492224000141/ex41-indenturewynnxseptemb.htm" TargetMode="External"/><Relationship Id="rId5" Type="http://schemas.openxmlformats.org/officeDocument/2006/relationships/hyperlink" Target="https://www.sec.gov/Archives/edgar/data/1174922/000117492224000135/ex101-wrfcreditagreementam.htm" TargetMode="External"/><Relationship Id="rId6" Type="http://schemas.openxmlformats.org/officeDocument/2006/relationships/hyperlink" Target="https://www.sec.gov/Archives/edgar/data/1174922/000117492224000135/ex1011-exatoamendmentno4am.htm" TargetMode="External"/><Relationship Id="rId7" Type="http://schemas.openxmlformats.org/officeDocument/2006/relationships/hyperlink" Target="https://www.sec.gov/Archives/edgar/data/1174922/000117492224000143/ex101-secondamendmentagree.htm" TargetMode="External"/><Relationship Id="rId8" Type="http://schemas.openxmlformats.org/officeDocument/2006/relationships/hyperlink" Target="https://www.sec.gov/Archives/edgar/data/1174922/000117492224000150/ex101-wynnretailxthirdamen.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23936</Words>
  <Characters>132283</Characters>
  <CharactersWithSpaces>154399</CharactersWithSpaces>
  <Paragraphs>4287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