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8"/>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228"/>
        <w:spacing w:after="0"/>
        <w:rPr>
          <w:sz w:val="20"/>
          <w:szCs w:val="20"/>
          <w:color w:val="auto"/>
        </w:rPr>
      </w:pPr>
      <w:r>
        <w:rPr>
          <w:rFonts w:ascii="Arial" w:cs="Arial" w:eastAsia="Arial" w:hAnsi="Arial"/>
          <w:sz w:val="22"/>
          <w:szCs w:val="22"/>
          <w:b w:val="1"/>
          <w:bCs w:val="1"/>
          <w:color w:val="auto"/>
        </w:rPr>
        <w:t>SECURITIES AND EXCHANGE COMMISSION</w:t>
      </w:r>
    </w:p>
    <w:p>
      <w:pPr>
        <w:ind w:left="5008"/>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2579370</wp:posOffset>
            </wp:positionH>
            <wp:positionV relativeFrom="paragraph">
              <wp:posOffset>282575</wp:posOffset>
            </wp:positionV>
            <wp:extent cx="213360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33600" cy="571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left="5208"/>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2579370</wp:posOffset>
            </wp:positionH>
            <wp:positionV relativeFrom="paragraph">
              <wp:posOffset>160020</wp:posOffset>
            </wp:positionV>
            <wp:extent cx="21336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3600" cy="571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228"/>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ind w:right="-1228"/>
        <w:spacing w:after="0"/>
        <w:rPr>
          <w:sz w:val="20"/>
          <w:szCs w:val="20"/>
          <w:color w:val="auto"/>
        </w:rPr>
      </w:pPr>
      <w:r>
        <w:rPr>
          <w:rFonts w:ascii="Arial" w:cs="Arial" w:eastAsia="Arial" w:hAnsi="Arial"/>
          <w:sz w:val="14"/>
          <w:szCs w:val="14"/>
          <w:b w:val="1"/>
          <w:bCs w:val="1"/>
          <w:color w:val="auto"/>
        </w:rPr>
        <w:t>PURSUANT TO SECTION 13 OR 15(d)</w:t>
      </w:r>
    </w:p>
    <w:p>
      <w:pPr>
        <w:spacing w:after="0" w:line="10" w:lineRule="exact"/>
        <w:rPr>
          <w:sz w:val="24"/>
          <w:szCs w:val="24"/>
          <w:color w:val="auto"/>
        </w:rPr>
      </w:pPr>
    </w:p>
    <w:p>
      <w:pPr>
        <w:jc w:val="center"/>
        <w:ind w:right="-1228"/>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03" w:lineRule="exact"/>
        <w:rPr>
          <w:sz w:val="24"/>
          <w:szCs w:val="24"/>
          <w:color w:val="auto"/>
        </w:rPr>
      </w:pPr>
    </w:p>
    <w:p>
      <w:pPr>
        <w:ind w:left="3688"/>
        <w:spacing w:after="0"/>
        <w:rPr>
          <w:sz w:val="20"/>
          <w:szCs w:val="20"/>
          <w:color w:val="auto"/>
        </w:rPr>
      </w:pPr>
      <w:r>
        <w:rPr>
          <w:rFonts w:ascii="Arial" w:cs="Arial" w:eastAsia="Arial" w:hAnsi="Arial"/>
          <w:sz w:val="14"/>
          <w:szCs w:val="14"/>
          <w:b w:val="1"/>
          <w:bCs w:val="1"/>
          <w:color w:val="auto"/>
        </w:rPr>
        <w:t>Date of Report (Date of earliest event reported): September 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2579370</wp:posOffset>
            </wp:positionH>
            <wp:positionV relativeFrom="paragraph">
              <wp:posOffset>178435</wp:posOffset>
            </wp:positionV>
            <wp:extent cx="21336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33600" cy="571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228"/>
        <w:spacing w:after="0"/>
        <w:rPr>
          <w:sz w:val="20"/>
          <w:szCs w:val="20"/>
          <w:color w:val="auto"/>
        </w:rPr>
      </w:pPr>
      <w:r>
        <w:rPr>
          <w:rFonts w:ascii="Arial" w:cs="Arial" w:eastAsia="Arial" w:hAnsi="Arial"/>
          <w:sz w:val="29"/>
          <w:szCs w:val="29"/>
          <w:b w:val="1"/>
          <w:bCs w:val="1"/>
          <w:color w:val="auto"/>
        </w:rPr>
        <w:t>WYNN RESORTS, LIMITED</w:t>
      </w:r>
    </w:p>
    <w:p>
      <w:pPr>
        <w:spacing w:after="0" w:line="28" w:lineRule="exact"/>
        <w:rPr>
          <w:sz w:val="24"/>
          <w:szCs w:val="24"/>
          <w:color w:val="auto"/>
        </w:rPr>
      </w:pPr>
    </w:p>
    <w:p>
      <w:pPr>
        <w:ind w:left="4408"/>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36" w:lineRule="exact"/>
        <w:rPr>
          <w:sz w:val="24"/>
          <w:szCs w:val="24"/>
          <w:color w:val="auto"/>
        </w:rPr>
      </w:pPr>
    </w:p>
    <w:tbl>
      <w:tblPr>
        <w:tblLayout w:type="fixed"/>
        <w:tblInd w:w="1608" w:type="dxa"/>
        <w:tblCellMar>
          <w:top w:w="0" w:type="dxa"/>
          <w:left w:w="0" w:type="dxa"/>
          <w:bottom w:w="0" w:type="dxa"/>
          <w:right w:w="0" w:type="dxa"/>
        </w:tblCellMar>
      </w:tblPr>
      <w:tr>
        <w:trPr>
          <w:trHeight w:val="157"/>
        </w:trPr>
        <w:tc>
          <w:tcPr>
            <w:tcW w:w="2440" w:type="dxa"/>
            <w:vAlign w:val="bottom"/>
          </w:tcPr>
          <w:p>
            <w:pPr>
              <w:jc w:val="center"/>
              <w:ind w:right="1128"/>
              <w:spacing w:after="0"/>
              <w:rPr>
                <w:sz w:val="20"/>
                <w:szCs w:val="20"/>
                <w:color w:val="auto"/>
              </w:rPr>
            </w:pPr>
            <w:r>
              <w:rPr>
                <w:rFonts w:ascii="Arial" w:cs="Arial" w:eastAsia="Arial" w:hAnsi="Arial"/>
                <w:sz w:val="12"/>
                <w:szCs w:val="12"/>
                <w:b w:val="1"/>
                <w:bCs w:val="1"/>
                <w:color w:val="auto"/>
              </w:rPr>
              <w:t>N</w:t>
            </w:r>
            <w:r>
              <w:rPr>
                <w:rFonts w:ascii="Arial" w:cs="Arial" w:eastAsia="Arial" w:hAnsi="Arial"/>
                <w:sz w:val="9"/>
                <w:szCs w:val="9"/>
                <w:b w:val="1"/>
                <w:bCs w:val="1"/>
                <w:color w:val="auto"/>
              </w:rPr>
              <w:t>EVADA</w:t>
            </w:r>
          </w:p>
        </w:tc>
        <w:tc>
          <w:tcPr>
            <w:tcW w:w="3380" w:type="dxa"/>
            <w:vAlign w:val="bottom"/>
            <w:gridSpan w:val="2"/>
          </w:tcPr>
          <w:p>
            <w:pPr>
              <w:jc w:val="right"/>
              <w:ind w:right="1407"/>
              <w:spacing w:after="0"/>
              <w:rPr>
                <w:sz w:val="20"/>
                <w:szCs w:val="20"/>
                <w:color w:val="auto"/>
              </w:rPr>
            </w:pPr>
            <w:r>
              <w:rPr>
                <w:rFonts w:ascii="Arial" w:cs="Arial" w:eastAsia="Arial" w:hAnsi="Arial"/>
                <w:sz w:val="12"/>
                <w:szCs w:val="12"/>
                <w:b w:val="1"/>
                <w:bCs w:val="1"/>
                <w:color w:val="auto"/>
              </w:rPr>
              <w:t>000-50028</w:t>
            </w:r>
          </w:p>
        </w:tc>
        <w:tc>
          <w:tcPr>
            <w:tcW w:w="2140" w:type="dxa"/>
            <w:vAlign w:val="bottom"/>
          </w:tcPr>
          <w:p>
            <w:pPr>
              <w:jc w:val="center"/>
              <w:ind w:left="1348"/>
              <w:spacing w:after="0"/>
              <w:rPr>
                <w:sz w:val="20"/>
                <w:szCs w:val="20"/>
                <w:color w:val="auto"/>
              </w:rPr>
            </w:pPr>
            <w:r>
              <w:rPr>
                <w:rFonts w:ascii="Arial" w:cs="Arial" w:eastAsia="Arial" w:hAnsi="Arial"/>
                <w:sz w:val="12"/>
                <w:szCs w:val="12"/>
                <w:b w:val="1"/>
                <w:bCs w:val="1"/>
                <w:color w:val="auto"/>
                <w:w w:val="90"/>
              </w:rPr>
              <w:t>46-0484987</w:t>
            </w:r>
          </w:p>
        </w:tc>
      </w:tr>
      <w:tr>
        <w:trPr>
          <w:trHeight w:val="121"/>
        </w:trPr>
        <w:tc>
          <w:tcPr>
            <w:tcW w:w="2440" w:type="dxa"/>
            <w:vAlign w:val="bottom"/>
          </w:tcPr>
          <w:p>
            <w:pPr>
              <w:jc w:val="center"/>
              <w:ind w:right="1108"/>
              <w:spacing w:after="0"/>
              <w:rPr>
                <w:sz w:val="20"/>
                <w:szCs w:val="20"/>
                <w:color w:val="auto"/>
              </w:rPr>
            </w:pPr>
            <w:r>
              <w:rPr>
                <w:rFonts w:ascii="Arial" w:cs="Arial" w:eastAsia="Arial" w:hAnsi="Arial"/>
                <w:sz w:val="10"/>
                <w:szCs w:val="10"/>
                <w:b w:val="1"/>
                <w:bCs w:val="1"/>
                <w:color w:val="auto"/>
                <w:w w:val="87"/>
              </w:rPr>
              <w:t>(State or other jurisdiction of</w:t>
            </w:r>
          </w:p>
        </w:tc>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140" w:type="dxa"/>
            <w:vAlign w:val="bottom"/>
          </w:tcPr>
          <w:p>
            <w:pPr>
              <w:jc w:val="center"/>
              <w:ind w:left="1348"/>
              <w:spacing w:after="0"/>
              <w:rPr>
                <w:sz w:val="20"/>
                <w:szCs w:val="20"/>
                <w:color w:val="auto"/>
              </w:rPr>
            </w:pPr>
            <w:r>
              <w:rPr>
                <w:rFonts w:ascii="Arial" w:cs="Arial" w:eastAsia="Arial" w:hAnsi="Arial"/>
                <w:sz w:val="10"/>
                <w:szCs w:val="10"/>
                <w:b w:val="1"/>
                <w:bCs w:val="1"/>
                <w:color w:val="auto"/>
                <w:w w:val="91"/>
              </w:rPr>
              <w:t>(I.R.S. Employer</w:t>
            </w:r>
          </w:p>
        </w:tc>
      </w:tr>
      <w:tr>
        <w:trPr>
          <w:trHeight w:val="124"/>
        </w:trPr>
        <w:tc>
          <w:tcPr>
            <w:tcW w:w="2440" w:type="dxa"/>
            <w:vAlign w:val="bottom"/>
          </w:tcPr>
          <w:p>
            <w:pPr>
              <w:jc w:val="center"/>
              <w:ind w:right="1128"/>
              <w:spacing w:after="0"/>
              <w:rPr>
                <w:sz w:val="20"/>
                <w:szCs w:val="20"/>
                <w:color w:val="auto"/>
              </w:rPr>
            </w:pPr>
            <w:r>
              <w:rPr>
                <w:rFonts w:ascii="Arial" w:cs="Arial" w:eastAsia="Arial" w:hAnsi="Arial"/>
                <w:sz w:val="10"/>
                <w:szCs w:val="10"/>
                <w:b w:val="1"/>
                <w:bCs w:val="1"/>
                <w:color w:val="auto"/>
                <w:w w:val="88"/>
              </w:rPr>
              <w:t>incorporation or organization)</w:t>
            </w:r>
          </w:p>
        </w:tc>
        <w:tc>
          <w:tcPr>
            <w:tcW w:w="20" w:type="dxa"/>
            <w:vAlign w:val="bottom"/>
          </w:tcPr>
          <w:p>
            <w:pPr>
              <w:spacing w:after="0"/>
              <w:rPr>
                <w:sz w:val="10"/>
                <w:szCs w:val="10"/>
                <w:color w:val="auto"/>
              </w:rPr>
            </w:pPr>
          </w:p>
        </w:tc>
        <w:tc>
          <w:tcPr>
            <w:tcW w:w="3360" w:type="dxa"/>
            <w:vAlign w:val="bottom"/>
          </w:tcPr>
          <w:p>
            <w:pPr>
              <w:jc w:val="center"/>
              <w:ind w:right="27"/>
              <w:spacing w:after="0"/>
              <w:rPr>
                <w:sz w:val="20"/>
                <w:szCs w:val="20"/>
                <w:color w:val="auto"/>
              </w:rPr>
            </w:pPr>
            <w:r>
              <w:rPr>
                <w:rFonts w:ascii="Arial" w:cs="Arial" w:eastAsia="Arial" w:hAnsi="Arial"/>
                <w:sz w:val="10"/>
                <w:szCs w:val="10"/>
                <w:b w:val="1"/>
                <w:bCs w:val="1"/>
                <w:color w:val="auto"/>
                <w:w w:val="87"/>
              </w:rPr>
              <w:t>(Commission File Number)</w:t>
            </w:r>
          </w:p>
        </w:tc>
        <w:tc>
          <w:tcPr>
            <w:tcW w:w="2140" w:type="dxa"/>
            <w:vAlign w:val="bottom"/>
          </w:tcPr>
          <w:p>
            <w:pPr>
              <w:jc w:val="center"/>
              <w:ind w:left="1348"/>
              <w:spacing w:after="0"/>
              <w:rPr>
                <w:sz w:val="20"/>
                <w:szCs w:val="20"/>
                <w:color w:val="auto"/>
              </w:rPr>
            </w:pPr>
            <w:r>
              <w:rPr>
                <w:rFonts w:ascii="Arial" w:cs="Arial" w:eastAsia="Arial" w:hAnsi="Arial"/>
                <w:sz w:val="10"/>
                <w:szCs w:val="10"/>
                <w:b w:val="1"/>
                <w:bCs w:val="1"/>
                <w:color w:val="auto"/>
                <w:w w:val="87"/>
              </w:rPr>
              <w:t>Identification No.)</w:t>
            </w:r>
          </w:p>
        </w:tc>
      </w:tr>
      <w:tr>
        <w:trPr>
          <w:trHeight w:val="354"/>
        </w:trPr>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2"/>
                <w:szCs w:val="12"/>
                <w:b w:val="1"/>
                <w:bCs w:val="1"/>
                <w:color w:val="auto"/>
                <w:w w:val="88"/>
              </w:rPr>
              <w:t>3131 Las Vegas Boulevard South - Las Vegas, Nevada 89109</w:t>
            </w:r>
          </w:p>
        </w:tc>
        <w:tc>
          <w:tcPr>
            <w:tcW w:w="2140" w:type="dxa"/>
            <w:vAlign w:val="bottom"/>
          </w:tcPr>
          <w:p>
            <w:pPr>
              <w:spacing w:after="0"/>
              <w:rPr>
                <w:sz w:val="24"/>
                <w:szCs w:val="24"/>
                <w:color w:val="auto"/>
              </w:rPr>
            </w:pPr>
          </w:p>
        </w:tc>
      </w:tr>
      <w:tr>
        <w:trPr>
          <w:trHeight w:val="124"/>
        </w:trPr>
        <w:tc>
          <w:tcPr>
            <w:tcW w:w="2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60" w:type="dxa"/>
            <w:vAlign w:val="bottom"/>
          </w:tcPr>
          <w:p>
            <w:pPr>
              <w:jc w:val="center"/>
              <w:spacing w:after="0"/>
              <w:rPr>
                <w:sz w:val="20"/>
                <w:szCs w:val="20"/>
                <w:color w:val="auto"/>
              </w:rPr>
            </w:pPr>
            <w:r>
              <w:rPr>
                <w:rFonts w:ascii="Arial" w:cs="Arial" w:eastAsia="Arial" w:hAnsi="Arial"/>
                <w:sz w:val="10"/>
                <w:szCs w:val="10"/>
                <w:b w:val="1"/>
                <w:bCs w:val="1"/>
                <w:color w:val="auto"/>
                <w:w w:val="86"/>
              </w:rPr>
              <w:t>(Address of principal executive offices) (Zip Code)</w:t>
            </w:r>
          </w:p>
        </w:tc>
        <w:tc>
          <w:tcPr>
            <w:tcW w:w="2140" w:type="dxa"/>
            <w:vAlign w:val="bottom"/>
          </w:tcPr>
          <w:p>
            <w:pPr>
              <w:spacing w:after="0"/>
              <w:rPr>
                <w:sz w:val="10"/>
                <w:szCs w:val="10"/>
                <w:color w:val="auto"/>
              </w:rPr>
            </w:pPr>
          </w:p>
        </w:tc>
      </w:tr>
      <w:tr>
        <w:trPr>
          <w:trHeight w:val="165"/>
        </w:trPr>
        <w:tc>
          <w:tcPr>
            <w:tcW w:w="2440" w:type="dxa"/>
            <w:vAlign w:val="bottom"/>
          </w:tcPr>
          <w:p>
            <w:pPr>
              <w:spacing w:after="0"/>
              <w:rPr>
                <w:sz w:val="14"/>
                <w:szCs w:val="14"/>
                <w:color w:val="auto"/>
              </w:rPr>
            </w:pPr>
          </w:p>
        </w:tc>
        <w:tc>
          <w:tcPr>
            <w:tcW w:w="33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(702) 770-7555</w:t>
            </w:r>
          </w:p>
        </w:tc>
        <w:tc>
          <w:tcPr>
            <w:tcW w:w="2140" w:type="dxa"/>
            <w:vAlign w:val="bottom"/>
          </w:tcPr>
          <w:p>
            <w:pPr>
              <w:spacing w:after="0"/>
              <w:rPr>
                <w:sz w:val="14"/>
                <w:szCs w:val="14"/>
                <w:color w:val="auto"/>
              </w:rPr>
            </w:pPr>
          </w:p>
        </w:tc>
      </w:tr>
      <w:tr>
        <w:trPr>
          <w:trHeight w:val="124"/>
        </w:trPr>
        <w:tc>
          <w:tcPr>
            <w:tcW w:w="2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60" w:type="dxa"/>
            <w:vAlign w:val="bottom"/>
          </w:tcPr>
          <w:p>
            <w:pPr>
              <w:jc w:val="center"/>
              <w:spacing w:after="0"/>
              <w:rPr>
                <w:sz w:val="20"/>
                <w:szCs w:val="20"/>
                <w:color w:val="auto"/>
              </w:rPr>
            </w:pPr>
            <w:r>
              <w:rPr>
                <w:rFonts w:ascii="Arial" w:cs="Arial" w:eastAsia="Arial" w:hAnsi="Arial"/>
                <w:sz w:val="10"/>
                <w:szCs w:val="10"/>
                <w:b w:val="1"/>
                <w:bCs w:val="1"/>
                <w:color w:val="auto"/>
                <w:w w:val="85"/>
              </w:rPr>
              <w:t>(Registrant’s telephone number, including area code)</w:t>
            </w:r>
          </w:p>
        </w:tc>
        <w:tc>
          <w:tcPr>
            <w:tcW w:w="2140" w:type="dxa"/>
            <w:vAlign w:val="bottom"/>
          </w:tcPr>
          <w:p>
            <w:pPr>
              <w:spacing w:after="0"/>
              <w:rPr>
                <w:sz w:val="10"/>
                <w:szCs w:val="10"/>
                <w:color w:val="auto"/>
              </w:rPr>
            </w:pPr>
          </w:p>
        </w:tc>
      </w:tr>
      <w:tr>
        <w:trPr>
          <w:trHeight w:val="89"/>
        </w:trPr>
        <w:tc>
          <w:tcPr>
            <w:tcW w:w="2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2140" w:type="dxa"/>
            <w:vAlign w:val="bottom"/>
          </w:tcPr>
          <w:p>
            <w:pPr>
              <w:spacing w:after="0"/>
              <w:rPr>
                <w:sz w:val="7"/>
                <w:szCs w:val="7"/>
                <w:color w:val="auto"/>
              </w:rPr>
            </w:pPr>
          </w:p>
        </w:tc>
      </w:tr>
      <w:tr>
        <w:trPr>
          <w:trHeight w:val="308"/>
        </w:trPr>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2"/>
                <w:szCs w:val="12"/>
                <w:b w:val="1"/>
                <w:bCs w:val="1"/>
                <w:color w:val="auto"/>
                <w:w w:val="96"/>
              </w:rPr>
              <w:t>N/A</w:t>
            </w:r>
          </w:p>
        </w:tc>
        <w:tc>
          <w:tcPr>
            <w:tcW w:w="2140" w:type="dxa"/>
            <w:vAlign w:val="bottom"/>
          </w:tcPr>
          <w:p>
            <w:pPr>
              <w:spacing w:after="0"/>
              <w:rPr>
                <w:sz w:val="24"/>
                <w:szCs w:val="24"/>
                <w:color w:val="auto"/>
              </w:rPr>
            </w:pPr>
          </w:p>
        </w:tc>
      </w:tr>
      <w:tr>
        <w:trPr>
          <w:trHeight w:val="124"/>
        </w:trPr>
        <w:tc>
          <w:tcPr>
            <w:tcW w:w="2440" w:type="dxa"/>
            <w:vAlign w:val="bottom"/>
          </w:tcPr>
          <w:p>
            <w:pPr>
              <w:spacing w:after="0"/>
              <w:rPr>
                <w:sz w:val="10"/>
                <w:szCs w:val="10"/>
                <w:color w:val="auto"/>
              </w:rPr>
            </w:pPr>
          </w:p>
        </w:tc>
        <w:tc>
          <w:tcPr>
            <w:tcW w:w="3380" w:type="dxa"/>
            <w:vAlign w:val="bottom"/>
            <w:gridSpan w:val="2"/>
          </w:tcPr>
          <w:p>
            <w:pPr>
              <w:jc w:val="center"/>
              <w:spacing w:after="0"/>
              <w:rPr>
                <w:sz w:val="20"/>
                <w:szCs w:val="20"/>
                <w:color w:val="auto"/>
              </w:rPr>
            </w:pPr>
            <w:r>
              <w:rPr>
                <w:rFonts w:ascii="Arial" w:cs="Arial" w:eastAsia="Arial" w:hAnsi="Arial"/>
                <w:sz w:val="10"/>
                <w:szCs w:val="10"/>
                <w:b w:val="1"/>
                <w:bCs w:val="1"/>
                <w:color w:val="auto"/>
                <w:w w:val="86"/>
              </w:rPr>
              <w:t>(Former name, former address and former fiscal year, if changed since last report)</w:t>
            </w:r>
          </w:p>
        </w:tc>
        <w:tc>
          <w:tcPr>
            <w:tcW w:w="2140" w:type="dxa"/>
            <w:vAlign w:val="bottom"/>
          </w:tcPr>
          <w:p>
            <w:pPr>
              <w:spacing w:after="0"/>
              <w:rPr>
                <w:sz w:val="10"/>
                <w:szCs w:val="10"/>
                <w:color w:val="auto"/>
              </w:rPr>
            </w:pPr>
          </w:p>
        </w:tc>
      </w:tr>
      <w:tr>
        <w:trPr>
          <w:trHeight w:val="89"/>
        </w:trPr>
        <w:tc>
          <w:tcPr>
            <w:tcW w:w="244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2140" w:type="dxa"/>
            <w:vAlign w:val="bottom"/>
          </w:tcPr>
          <w:p>
            <w:pPr>
              <w:spacing w:after="0"/>
              <w:rPr>
                <w:sz w:val="7"/>
                <w:szCs w:val="7"/>
                <w:color w:val="auto"/>
              </w:rPr>
            </w:pPr>
          </w:p>
        </w:tc>
      </w:tr>
    </w:tbl>
    <w:p>
      <w:pPr>
        <w:spacing w:after="0" w:line="180"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14"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14"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14"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14"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ectPr>
          <w:pgSz w:w="11900" w:h="16838" w:orient="portrait"/>
          <w:cols w:equalWidth="0" w:num="1">
            <w:col w:w="10247"/>
          </w:cols>
          <w:pgMar w:left="212" w:top="535" w:right="1440" w:bottom="1440" w:gutter="0" w:footer="0" w:header="0"/>
        </w:sectPr>
      </w:pPr>
    </w:p>
    <w:bookmarkStart w:id="1" w:name="page2"/>
    <w:bookmarkEnd w:id="1"/>
    <w:p>
      <w:pPr>
        <w:ind w:left="20"/>
        <w:spacing w:after="0"/>
        <w:tabs>
          <w:tab w:leader="none" w:pos="136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jc w:val="both"/>
        <w:ind w:firstLine="288"/>
        <w:spacing w:after="0" w:line="290" w:lineRule="auto"/>
        <w:rPr>
          <w:sz w:val="20"/>
          <w:szCs w:val="20"/>
          <w:color w:val="auto"/>
        </w:rPr>
      </w:pPr>
      <w:r>
        <w:rPr>
          <w:rFonts w:ascii="Arial" w:cs="Arial" w:eastAsia="Arial" w:hAnsi="Arial"/>
          <w:sz w:val="11"/>
          <w:szCs w:val="11"/>
          <w:color w:val="auto"/>
        </w:rPr>
        <w:t>On September 8, 2016, Wynn Macau, Limited (“WML”), an indirect subsidiary of Wynn Resorts, Limited (the “Registrant”) with ordinary shares of its common stock listed on The Stock Exchange of Hong Kong Limited, filed its interim report in respect of the six months ended June 30, 2016 (the “Interim Report”) with The Stock Exchange of Hong Kong Limited. The Registrant owns approximately 72% of WML’s ordinary shares of common stock. The Interim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ectPr>
          <w:pgSz w:w="11900" w:h="16838" w:orient="portrait"/>
          <w:cols w:equalWidth="0" w:num="1">
            <w:col w:w="11340"/>
          </w:cols>
          <w:pgMar w:left="220" w:top="685" w:right="339" w:bottom="1440" w:gutter="0" w:footer="0" w:header="0"/>
        </w:sectPr>
      </w:pPr>
    </w:p>
    <w:p>
      <w:pPr>
        <w:spacing w:after="0" w:line="6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Item 9.01.</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Financial Statements and Exhibits</w:t>
      </w:r>
    </w:p>
    <w:p>
      <w:pPr>
        <w:spacing w:after="0" w:line="51" w:lineRule="exact"/>
        <w:rPr>
          <w:sz w:val="20"/>
          <w:szCs w:val="20"/>
          <w:color w:val="auto"/>
        </w:rPr>
      </w:pPr>
    </w:p>
    <w:p>
      <w:pPr>
        <w:sectPr>
          <w:pgSz w:w="11900" w:h="16838" w:orient="portrait"/>
          <w:cols w:equalWidth="0" w:num="2">
            <w:col w:w="660" w:space="720"/>
            <w:col w:w="9960"/>
          </w:cols>
          <w:pgMar w:left="220" w:top="685" w:right="339" w:bottom="1440" w:gutter="0" w:footer="0" w:header="0"/>
          <w:type w:val="continuous"/>
        </w:sectPr>
      </w:pPr>
    </w:p>
    <w:p>
      <w:pPr>
        <w:ind w:left="140"/>
        <w:spacing w:after="0"/>
        <w:rPr>
          <w:sz w:val="20"/>
          <w:szCs w:val="20"/>
          <w:color w:val="auto"/>
        </w:rPr>
      </w:pPr>
      <w:r>
        <w:rPr>
          <w:rFonts w:ascii="Arial" w:cs="Arial" w:eastAsia="Arial" w:hAnsi="Arial"/>
          <w:sz w:val="12"/>
          <w:szCs w:val="12"/>
          <w:color w:val="auto"/>
        </w:rPr>
        <w:t>(d) Exhibits.</w:t>
      </w:r>
    </w:p>
    <w:p>
      <w:pPr>
        <w:sectPr>
          <w:pgSz w:w="11900" w:h="16838" w:orient="portrait"/>
          <w:cols w:equalWidth="0" w:num="1">
            <w:col w:w="11340"/>
          </w:cols>
          <w:pgMar w:left="220" w:top="685" w:right="339" w:bottom="1440" w:gutter="0" w:footer="0" w:header="0"/>
          <w:type w:val="continuous"/>
        </w:sect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8"/>
          <w:szCs w:val="8"/>
          <w:b w:val="1"/>
          <w:bCs w:val="1"/>
          <w:color w:val="auto"/>
        </w:rPr>
        <w:t>Exhibit No.</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Description</w:t>
      </w:r>
    </w:p>
    <w:p>
      <w:pPr>
        <w:spacing w:after="0" w:line="200" w:lineRule="exact"/>
        <w:rPr>
          <w:sz w:val="20"/>
          <w:szCs w:val="20"/>
          <w:color w:val="auto"/>
        </w:rPr>
      </w:pPr>
    </w:p>
    <w:p>
      <w:pPr>
        <w:sectPr>
          <w:pgSz w:w="11900" w:h="16838" w:orient="portrait"/>
          <w:cols w:equalWidth="0" w:num="2">
            <w:col w:w="2040" w:space="720"/>
            <w:col w:w="8580"/>
          </w:cols>
          <w:pgMar w:left="220" w:top="685" w:right="339" w:bottom="1440" w:gutter="0" w:footer="0" w:header="0"/>
          <w:type w:val="continuous"/>
        </w:sectPr>
      </w:pPr>
    </w:p>
    <w:p>
      <w:pPr>
        <w:spacing w:after="0" w:line="65" w:lineRule="exact"/>
        <w:rPr>
          <w:sz w:val="20"/>
          <w:szCs w:val="20"/>
          <w:color w:val="auto"/>
        </w:rPr>
      </w:pPr>
    </w:p>
    <w:p>
      <w:pPr>
        <w:ind w:left="20"/>
        <w:spacing w:after="0"/>
        <w:rPr>
          <w:sz w:val="20"/>
          <w:szCs w:val="20"/>
          <w:color w:val="auto"/>
        </w:rPr>
      </w:pPr>
      <w:r>
        <w:rPr>
          <w:rFonts w:ascii="Arial" w:cs="Arial" w:eastAsia="Arial" w:hAnsi="Arial"/>
          <w:sz w:val="10"/>
          <w:szCs w:val="10"/>
          <w:color w:val="auto"/>
        </w:rPr>
        <w:t>99.1</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auto"/>
        </w:rPr>
        <w:t>Interim Report of Wynn Macau, Limited in respect of the six months ended June 30, 2016.</w:t>
      </w:r>
    </w:p>
    <w:p>
      <w:pPr>
        <w:sectPr>
          <w:pgSz w:w="11900" w:h="16838" w:orient="portrait"/>
          <w:cols w:equalWidth="0" w:num="2">
            <w:col w:w="2040" w:space="720"/>
            <w:col w:w="8580"/>
          </w:cols>
          <w:pgMar w:left="220" w:top="685" w:right="339" w:bottom="1440" w:gutter="0" w:footer="0" w:header="0"/>
          <w:type w:val="continuous"/>
        </w:sectPr>
      </w:pPr>
    </w:p>
    <w:bookmarkStart w:id="2" w:name="page3"/>
    <w:bookmarkEnd w:id="2"/>
    <w:p>
      <w:pPr>
        <w:ind w:left="5320"/>
        <w:spacing w:after="0"/>
        <w:rPr>
          <w:sz w:val="20"/>
          <w:szCs w:val="20"/>
          <w:color w:val="auto"/>
        </w:rPr>
      </w:pPr>
      <w:r>
        <w:rPr>
          <w:rFonts w:ascii="Arial" w:cs="Arial" w:eastAsia="Arial" w:hAnsi="Arial"/>
          <w:sz w:val="12"/>
          <w:szCs w:val="12"/>
          <w:b w:val="1"/>
          <w:bCs w:val="1"/>
          <w:color w:val="auto"/>
        </w:rPr>
        <w:t>SIGNATURES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0"/>
          <w:szCs w:val="10"/>
          <w:color w:val="auto"/>
        </w:rPr>
        <w:t>Pursuant to the requirements of the Securities Exchange Act of 1934, as amended, the Registrant has duly caused this report to be signed on its behalf by the undersigned hereunto duly authorized.</w:t>
      </w:r>
    </w:p>
    <w:p>
      <w:pPr>
        <w:spacing w:after="0" w:line="259" w:lineRule="exact"/>
        <w:rPr>
          <w:sz w:val="20"/>
          <w:szCs w:val="20"/>
          <w:color w:val="auto"/>
        </w:rPr>
      </w:pPr>
    </w:p>
    <w:p>
      <w:pPr>
        <w:ind w:left="7320"/>
        <w:spacing w:after="0"/>
        <w:rPr>
          <w:sz w:val="20"/>
          <w:szCs w:val="20"/>
          <w:color w:val="auto"/>
        </w:rPr>
      </w:pPr>
      <w:r>
        <w:rPr>
          <w:rFonts w:ascii="Arial" w:cs="Arial" w:eastAsia="Arial" w:hAnsi="Arial"/>
          <w:sz w:val="12"/>
          <w:szCs w:val="12"/>
          <w:b w:val="1"/>
          <w:bCs w:val="1"/>
          <w:color w:val="auto"/>
        </w:rPr>
        <w:t>WYNN RESORTS, LIMITED</w:t>
      </w:r>
    </w:p>
    <w:p>
      <w:pPr>
        <w:sectPr>
          <w:pgSz w:w="11900" w:h="16838" w:orient="portrait"/>
          <w:cols w:equalWidth="0" w:num="1">
            <w:col w:w="10219"/>
          </w:cols>
          <w:pgMar w:left="240" w:top="433" w:right="1440"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color w:val="auto"/>
        </w:rPr>
        <w:t>Dated: September 8, 2016</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tabs>
          <w:tab w:leader="none" w:pos="640" w:val="left"/>
        </w:tabs>
        <w:rPr>
          <w:sz w:val="20"/>
          <w:szCs w:val="20"/>
          <w:color w:val="auto"/>
        </w:rPr>
      </w:pPr>
      <w:r>
        <w:rPr>
          <w:rFonts w:ascii="Arial" w:cs="Arial" w:eastAsia="Arial" w:hAnsi="Arial"/>
          <w:sz w:val="10"/>
          <w:szCs w:val="10"/>
          <w:color w:val="auto"/>
        </w:rPr>
        <w:t>By:</w:t>
      </w:r>
      <w:r>
        <w:rPr>
          <w:sz w:val="20"/>
          <w:szCs w:val="20"/>
          <w:color w:val="auto"/>
        </w:rPr>
        <w:tab/>
      </w:r>
      <w:r>
        <w:rPr>
          <w:rFonts w:ascii="Arial" w:cs="Arial" w:eastAsia="Arial" w:hAnsi="Arial"/>
          <w:sz w:val="10"/>
          <w:szCs w:val="10"/>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35560</wp:posOffset>
            </wp:positionV>
            <wp:extent cx="269367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93670" cy="5715"/>
                    </a:xfrm>
                    <a:prstGeom prst="rect">
                      <a:avLst/>
                    </a:prstGeom>
                    <a:noFill/>
                  </pic:spPr>
                </pic:pic>
              </a:graphicData>
            </a:graphic>
          </wp:anchor>
        </w:drawing>
      </w:r>
    </w:p>
    <w:p>
      <w:pPr>
        <w:spacing w:after="0" w:line="65" w:lineRule="exact"/>
        <w:rPr>
          <w:sz w:val="20"/>
          <w:szCs w:val="20"/>
          <w:color w:val="auto"/>
        </w:rPr>
      </w:pPr>
    </w:p>
    <w:p>
      <w:pPr>
        <w:sectPr>
          <w:pgSz w:w="11900" w:h="16838" w:orient="portrait"/>
          <w:cols w:equalWidth="0" w:num="2">
            <w:col w:w="5940" w:space="720"/>
            <w:col w:w="3559"/>
          </w:cols>
          <w:pgMar w:left="240" w:top="433" w:right="1440" w:bottom="1440" w:gutter="0" w:footer="0" w:header="0"/>
          <w:type w:val="continuous"/>
        </w:sectPr>
      </w:pPr>
    </w:p>
    <w:p>
      <w:pPr>
        <w:ind w:left="6660"/>
        <w:spacing w:after="0"/>
        <w:rPr>
          <w:sz w:val="20"/>
          <w:szCs w:val="20"/>
          <w:color w:val="auto"/>
        </w:rPr>
      </w:pPr>
      <w:r>
        <w:rPr>
          <w:rFonts w:ascii="Arial" w:cs="Arial" w:eastAsia="Arial" w:hAnsi="Arial"/>
          <w:sz w:val="12"/>
          <w:szCs w:val="12"/>
          <w:color w:val="auto"/>
        </w:rPr>
        <w:t>Stephen Cootey</w:t>
      </w:r>
    </w:p>
    <w:p>
      <w:pPr>
        <w:spacing w:after="0" w:line="42" w:lineRule="exact"/>
        <w:rPr>
          <w:sz w:val="20"/>
          <w:szCs w:val="20"/>
          <w:color w:val="auto"/>
        </w:rPr>
      </w:pPr>
    </w:p>
    <w:p>
      <w:pPr>
        <w:ind w:left="6660"/>
        <w:spacing w:after="0"/>
        <w:rPr>
          <w:sz w:val="20"/>
          <w:szCs w:val="20"/>
          <w:color w:val="auto"/>
        </w:rPr>
      </w:pPr>
      <w:r>
        <w:rPr>
          <w:rFonts w:ascii="Arial" w:cs="Arial" w:eastAsia="Arial" w:hAnsi="Arial"/>
          <w:sz w:val="12"/>
          <w:szCs w:val="12"/>
          <w:color w:val="auto"/>
        </w:rPr>
        <w:t>Chief Financial Officer and Treasurer</w:t>
      </w:r>
    </w:p>
    <w:p>
      <w:pPr>
        <w:spacing w:after="0" w:line="42" w:lineRule="exact"/>
        <w:rPr>
          <w:sz w:val="20"/>
          <w:szCs w:val="20"/>
          <w:color w:val="auto"/>
        </w:rPr>
      </w:pPr>
    </w:p>
    <w:p>
      <w:pPr>
        <w:ind w:left="6660"/>
        <w:spacing w:after="0"/>
        <w:rPr>
          <w:sz w:val="20"/>
          <w:szCs w:val="20"/>
          <w:color w:val="auto"/>
        </w:rPr>
      </w:pPr>
      <w:r>
        <w:rPr>
          <w:rFonts w:ascii="Arial" w:cs="Arial" w:eastAsia="Arial" w:hAnsi="Arial"/>
          <w:sz w:val="11"/>
          <w:szCs w:val="11"/>
          <w:color w:val="auto"/>
        </w:rPr>
        <w:t>(Principal Financial and Accounting Officer)</w:t>
      </w:r>
    </w:p>
    <w:p>
      <w:pPr>
        <w:sectPr>
          <w:pgSz w:w="11900" w:h="16838" w:orient="portrait"/>
          <w:cols w:equalWidth="0" w:num="1">
            <w:col w:w="10219"/>
          </w:cols>
          <w:pgMar w:left="240" w:top="433" w:right="1440" w:bottom="1440" w:gutter="0" w:footer="0" w:header="0"/>
          <w:type w:val="continuous"/>
        </w:sectPr>
      </w:pPr>
    </w:p>
    <w:bookmarkStart w:id="3" w:name="page4"/>
    <w:bookmarkEnd w:id="3"/>
    <w:p>
      <w:pPr>
        <w:ind w:left="4500"/>
        <w:spacing w:after="0"/>
        <w:rPr>
          <w:sz w:val="20"/>
          <w:szCs w:val="20"/>
          <w:color w:val="auto"/>
        </w:rPr>
      </w:pPr>
      <w:r>
        <w:rPr>
          <w:rFonts w:ascii="Arial" w:cs="Arial" w:eastAsia="Arial" w:hAnsi="Arial"/>
          <w:sz w:val="12"/>
          <w:szCs w:val="12"/>
          <w:b w:val="1"/>
          <w:bCs w:val="1"/>
          <w:color w:val="auto"/>
        </w:rPr>
        <w:t>EXHIBIT INDEX</w:t>
      </w:r>
    </w:p>
    <w:p>
      <w:pPr>
        <w:sectPr>
          <w:pgSz w:w="11900" w:h="16838" w:orient="portrait"/>
          <w:cols w:equalWidth="0" w:num="1">
            <w:col w:w="9479"/>
          </w:cols>
          <w:pgMar w:left="980" w:top="721"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4980"/>
        <w:spacing w:after="0"/>
        <w:rPr>
          <w:sz w:val="20"/>
          <w:szCs w:val="20"/>
          <w:color w:val="auto"/>
        </w:rPr>
      </w:pPr>
      <w:r>
        <w:rPr>
          <w:rFonts w:ascii="Arial" w:cs="Arial" w:eastAsia="Arial" w:hAnsi="Arial"/>
          <w:sz w:val="8"/>
          <w:szCs w:val="8"/>
          <w:b w:val="1"/>
          <w:bCs w:val="1"/>
          <w:color w:val="auto"/>
        </w:rPr>
        <w:t>Exhibit</w:t>
      </w:r>
    </w:p>
    <w:p>
      <w:pPr>
        <w:spacing w:after="0" w:line="16" w:lineRule="exact"/>
        <w:rPr>
          <w:sz w:val="20"/>
          <w:szCs w:val="20"/>
          <w:color w:val="auto"/>
        </w:rPr>
      </w:pPr>
    </w:p>
    <w:p>
      <w:pPr>
        <w:jc w:val="center"/>
        <w:ind w:right="4980"/>
        <w:spacing w:after="0"/>
        <w:rPr>
          <w:sz w:val="20"/>
          <w:szCs w:val="20"/>
          <w:color w:val="auto"/>
        </w:rPr>
      </w:pPr>
      <w:r>
        <w:rPr>
          <w:rFonts w:ascii="Arial" w:cs="Arial" w:eastAsia="Arial" w:hAnsi="Arial"/>
          <w:sz w:val="10"/>
          <w:szCs w:val="10"/>
          <w:b w:val="1"/>
          <w:bCs w:val="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Description</w:t>
      </w:r>
    </w:p>
    <w:p>
      <w:pPr>
        <w:spacing w:after="0" w:line="231" w:lineRule="exact"/>
        <w:rPr>
          <w:sz w:val="20"/>
          <w:szCs w:val="20"/>
          <w:color w:val="auto"/>
        </w:rPr>
      </w:pPr>
    </w:p>
    <w:p>
      <w:pPr>
        <w:sectPr>
          <w:pgSz w:w="11900" w:h="16838" w:orient="portrait"/>
          <w:cols w:equalWidth="0" w:num="2">
            <w:col w:w="5280" w:space="720"/>
            <w:col w:w="3479"/>
          </w:cols>
          <w:pgMar w:left="980" w:top="721" w:right="1440" w:bottom="1440" w:gutter="0" w:footer="0" w:header="0"/>
          <w:type w:val="continuous"/>
        </w:sectPr>
      </w:pPr>
    </w:p>
    <w:p>
      <w:pPr>
        <w:spacing w:after="0" w:line="33" w:lineRule="exact"/>
        <w:rPr>
          <w:sz w:val="20"/>
          <w:szCs w:val="20"/>
          <w:color w:val="auto"/>
        </w:rPr>
      </w:pPr>
    </w:p>
    <w:p>
      <w:pPr>
        <w:ind w:left="60"/>
        <w:spacing w:after="0"/>
        <w:rPr>
          <w:sz w:val="20"/>
          <w:szCs w:val="20"/>
          <w:color w:val="auto"/>
        </w:rPr>
      </w:pPr>
      <w:r>
        <w:rPr>
          <w:rFonts w:ascii="Arial" w:cs="Arial" w:eastAsia="Arial" w:hAnsi="Arial"/>
          <w:sz w:val="10"/>
          <w:szCs w:val="10"/>
          <w:color w:val="auto"/>
        </w:rPr>
        <w:t>99.1</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Interim Report of Wynn Macau, Limited, in respect of the six months ended June 30, 2016.</w:t>
      </w:r>
    </w:p>
    <w:p>
      <w:pPr>
        <w:sectPr>
          <w:pgSz w:w="11900" w:h="16838" w:orient="portrait"/>
          <w:cols w:equalWidth="0" w:num="2">
            <w:col w:w="1060" w:space="720"/>
            <w:col w:w="7699"/>
          </w:cols>
          <w:pgMar w:left="980" w:top="721" w:right="1440" w:bottom="1440" w:gutter="0" w:footer="0" w:header="0"/>
          <w:type w:val="continuous"/>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6140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2019-12-07T17:08:12Z</dcterms:created>
  <dcterms:modified xsi:type="dcterms:W3CDTF">2019-12-07T17:08:12Z</dcterms:modified>
</cp:coreProperties>
</file>