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150495</wp:posOffset>
            </wp:positionV>
            <wp:extent cx="2238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1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175260</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166370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163195</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WYNN RESORTS, LIMITED</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159385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74"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220" w:type="dxa"/>
            <w:vAlign w:val="bottom"/>
          </w:tcPr>
          <w:p>
            <w:pPr>
              <w:jc w:val="center"/>
              <w:ind w:right="2319"/>
              <w:spacing w:after="0"/>
              <w:rPr>
                <w:sz w:val="20"/>
                <w:szCs w:val="20"/>
                <w:color w:val="auto"/>
              </w:rPr>
            </w:pPr>
            <w:r>
              <w:rPr>
                <w:rFonts w:ascii="Arial" w:cs="Arial" w:eastAsia="Arial" w:hAnsi="Arial"/>
                <w:sz w:val="18"/>
                <w:szCs w:val="18"/>
                <w:b w:val="1"/>
                <w:bCs w:val="1"/>
                <w:color w:val="auto"/>
                <w:w w:val="90"/>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2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3"/>
              </w:rPr>
              <w:t>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4220" w:type="dxa"/>
            <w:vAlign w:val="bottom"/>
          </w:tcPr>
          <w:p>
            <w:pPr>
              <w:jc w:val="center"/>
              <w:ind w:left="1299"/>
              <w:spacing w:after="0"/>
              <w:rPr>
                <w:sz w:val="20"/>
                <w:szCs w:val="20"/>
                <w:color w:val="auto"/>
              </w:rPr>
            </w:pPr>
            <w:r>
              <w:rPr>
                <w:rFonts w:ascii="Arial" w:cs="Arial" w:eastAsia="Arial" w:hAnsi="Arial"/>
                <w:sz w:val="18"/>
                <w:szCs w:val="18"/>
                <w:b w:val="1"/>
                <w:bCs w:val="1"/>
                <w:color w:val="auto"/>
                <w:w w:val="88"/>
              </w:rPr>
              <w:t>3131 Las Vegas Boulevard South</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4220" w:type="dxa"/>
            <w:vAlign w:val="bottom"/>
          </w:tcPr>
          <w:p>
            <w:pPr>
              <w:jc w:val="center"/>
              <w:ind w:left="1299"/>
              <w:spacing w:after="0"/>
              <w:rPr>
                <w:sz w:val="20"/>
                <w:szCs w:val="20"/>
                <w:color w:val="auto"/>
              </w:rPr>
            </w:pPr>
            <w:r>
              <w:rPr>
                <w:rFonts w:ascii="Arial" w:cs="Arial" w:eastAsia="Arial" w:hAnsi="Arial"/>
                <w:sz w:val="18"/>
                <w:szCs w:val="18"/>
                <w:b w:val="1"/>
                <w:bCs w:val="1"/>
                <w:color w:val="auto"/>
                <w:w w:val="88"/>
              </w:rPr>
              <w:t>Las Vegas, Nevada</w:t>
            </w:r>
          </w:p>
        </w:tc>
        <w:tc>
          <w:tcPr>
            <w:tcW w:w="238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186"/>
        </w:trPr>
        <w:tc>
          <w:tcPr>
            <w:tcW w:w="4220" w:type="dxa"/>
            <w:vAlign w:val="bottom"/>
          </w:tcPr>
          <w:p>
            <w:pPr>
              <w:jc w:val="center"/>
              <w:ind w:left="12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150495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215" w:right="359" w:bottom="1440" w:gutter="0" w:footer="0" w:header="0"/>
        </w:sectPr>
      </w:pPr>
    </w:p>
    <w:bookmarkStart w:id="1" w:name="page2"/>
    <w:bookmarkEnd w:id="1"/>
    <w:p>
      <w:pPr>
        <w:spacing w:after="0"/>
        <w:tabs>
          <w:tab w:leader="none" w:pos="1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On October 24, 2013, Wynn Resorts, Limited issued a press release announcing its results of operations for the third quarter of 2013. The press release is furnished herewith as Exhibit 99.1. The information contained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77"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48"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On October 24, 2013, Wynn Resorts, Limited announced that its Board of Directors has approved a quarterly cash dividend of $1.00 per share of its outstanding common stock. This cash dividend will be payable on November 21, 2013 to stockholders of record on November 7, 2013.</w:t>
      </w:r>
    </w:p>
    <w:p>
      <w:pPr>
        <w:spacing w:after="0" w:line="170"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89"/>
              </w:rPr>
              <w:t>Press release, dated October 24, 2013, of Wynn Resorts, Limited.</w:t>
            </w:r>
          </w:p>
        </w:tc>
      </w:tr>
      <w:tr>
        <w:trPr>
          <w:trHeight w:val="365"/>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700" w:type="dxa"/>
            <w:vAlign w:val="bottom"/>
            <w:gridSpan w:val="2"/>
          </w:tcPr>
          <w:p>
            <w:pPr>
              <w:jc w:val="right"/>
              <w:ind w:right="8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40" w:firstLine="68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WYNN RESORTS, LIMITED</w:t>
            </w:r>
          </w:p>
        </w:tc>
      </w:tr>
      <w:tr>
        <w:trPr>
          <w:trHeight w:val="878"/>
        </w:trPr>
        <w:tc>
          <w:tcPr>
            <w:tcW w:w="3760" w:type="dxa"/>
            <w:vAlign w:val="bottom"/>
          </w:tcPr>
          <w:p>
            <w:pPr>
              <w:spacing w:after="0"/>
              <w:rPr>
                <w:sz w:val="20"/>
                <w:szCs w:val="20"/>
                <w:color w:val="auto"/>
              </w:rPr>
            </w:pPr>
            <w:r>
              <w:rPr>
                <w:rFonts w:ascii="Arial" w:cs="Arial" w:eastAsia="Arial" w:hAnsi="Arial"/>
                <w:sz w:val="18"/>
                <w:szCs w:val="18"/>
                <w:color w:val="auto"/>
              </w:rPr>
              <w:t>Date:  October 24, 2013</w:t>
            </w:r>
          </w:p>
        </w:tc>
        <w:tc>
          <w:tcPr>
            <w:tcW w:w="2540" w:type="dxa"/>
            <w:vAlign w:val="bottom"/>
          </w:tcPr>
          <w:p>
            <w:pPr>
              <w:ind w:left="19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 Maddox</w:t>
            </w:r>
          </w:p>
        </w:tc>
      </w:tr>
      <w:tr>
        <w:trPr>
          <w:trHeight w:val="195"/>
        </w:trPr>
        <w:tc>
          <w:tcPr>
            <w:tcW w:w="3760" w:type="dxa"/>
            <w:vAlign w:val="bottom"/>
          </w:tcPr>
          <w:p>
            <w:pPr>
              <w:spacing w:after="0"/>
              <w:rPr>
                <w:sz w:val="16"/>
                <w:szCs w:val="16"/>
                <w:color w:val="auto"/>
              </w:rPr>
            </w:pPr>
          </w:p>
        </w:tc>
        <w:tc>
          <w:tcPr>
            <w:tcW w:w="25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Matt Maddox</w:t>
            </w:r>
          </w:p>
        </w:tc>
      </w:tr>
      <w:tr>
        <w:trPr>
          <w:trHeight w:val="230"/>
        </w:trPr>
        <w:tc>
          <w:tcPr>
            <w:tcW w:w="3760" w:type="dxa"/>
            <w:vAlign w:val="bottom"/>
          </w:tcPr>
          <w:p>
            <w:pPr>
              <w:spacing w:after="0"/>
              <w:rPr>
                <w:sz w:val="20"/>
                <w:szCs w:val="20"/>
                <w:color w:val="auto"/>
              </w:rPr>
            </w:pPr>
          </w:p>
        </w:tc>
        <w:tc>
          <w:tcPr>
            <w:tcW w:w="2540" w:type="dxa"/>
            <w:vAlign w:val="bottom"/>
          </w:tcPr>
          <w:p>
            <w:pPr>
              <w:ind w:left="196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479"/>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300" w:type="dxa"/>
            <w:vAlign w:val="bottom"/>
            <w:gridSpan w:val="2"/>
          </w:tcPr>
          <w:p>
            <w:pPr>
              <w:ind w:left="600"/>
              <w:spacing w:after="0"/>
              <w:rPr>
                <w:sz w:val="20"/>
                <w:szCs w:val="20"/>
                <w:color w:val="auto"/>
              </w:rPr>
            </w:pPr>
            <w:r>
              <w:rPr>
                <w:rFonts w:ascii="Arial" w:cs="Arial" w:eastAsia="Arial" w:hAnsi="Arial"/>
                <w:sz w:val="18"/>
                <w:szCs w:val="18"/>
                <w:b w:val="1"/>
                <w:bCs w:val="1"/>
                <w:color w:val="auto"/>
              </w:rPr>
              <w:t>Description</w:t>
            </w:r>
          </w:p>
        </w:tc>
      </w:tr>
      <w:tr>
        <w:trPr>
          <w:trHeight w:val="217"/>
        </w:trPr>
        <w:tc>
          <w:tcPr>
            <w:tcW w:w="1120" w:type="dxa"/>
            <w:vAlign w:val="bottom"/>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18"/>
                <w:szCs w:val="18"/>
                <w:color w:val="auto"/>
              </w:rPr>
            </w:pPr>
          </w:p>
        </w:tc>
        <w:tc>
          <w:tcPr>
            <w:tcW w:w="9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October 24, 2013, of Wynn Resorts, Limited.</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Limited Reports Third Quarter 2013 Results</w:t>
      </w:r>
    </w:p>
    <w:p>
      <w:pPr>
        <w:spacing w:after="0" w:line="23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LAS VEGAS, October 24, 2013 -- Wynn Resorts, Limited (Nasdaq: WYNN) today reported financial results for the third quarter ended September 30, 2013.</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revenues for the third quarter of 2013 were $1,390.1 million, compared to $1,298.5 million in the third quarter of 2012. The increase was driven by a 9.6% revenue increase from our Macau operations and 1.1% higher revenues from our Las Vegas operations. Adjusted property EBITDA (1) was $435.6 million for the third quarter of 2013, an 8.2% increase from $402.6 million in the third quarter of 2012.</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 US GAAP basis, net income attributable to Wynn Resorts for the third quarter of 2013 was $182.0 million, or $1.79 per diluted share, compared to a net income attributable to Wynn Resorts of $112.0 million, or $1.11 per diluted share in the third quarter of 2012.</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Adjusted net income attributable to Wynn Resorts (2) in the third quarter of 2013 was $187.0 million, or $1.84 per diluted share (adjusted EPS), compared to an adjusted net income attributable to Wynn Resorts of $149.2 million, or $1.48 per diluted share in the third quarter of 2012.</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Wynn Resorts also announced today that the Company has approved a cash dividend for the quarter of $1.00 per common share. This dividend will be payable on November 21, 2013, to stockholders of record on November 7,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2013, net revenues were $997.6 million, a 9.6% increase from the $910.5 million generated in the third quarter of 2012.</w:t>
      </w:r>
    </w:p>
    <w:p>
      <w:pPr>
        <w:spacing w:after="0"/>
        <w:rPr>
          <w:sz w:val="20"/>
          <w:szCs w:val="20"/>
          <w:color w:val="auto"/>
        </w:rPr>
      </w:pPr>
      <w:r>
        <w:rPr>
          <w:rFonts w:ascii="Arial" w:cs="Arial" w:eastAsia="Arial" w:hAnsi="Arial"/>
          <w:sz w:val="18"/>
          <w:szCs w:val="18"/>
          <w:color w:val="auto"/>
        </w:rPr>
        <w:t>Adjusted property EBITDA in the third quarter of 2013 was $329.1 million, up 12.6% from $292.2 million in the third quarter of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Table games turnover in the VIP segment was $ 30.3 billion for the third quarter of 2013, a 9.8% increase from $27.6 billion in the third quarter of 2012. VIP table games win as a percentage of turnover (calculated before commissions) for the quarter was 3.04%, modestly above the expected range of 2.7% to 3.0% and below the 3.08% experienced in the third quarter of 2012.</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Table games win in the mass market segment increased by 13.5% in the third quarter to $ 239.8 million. Mass market table games win per unit per day increased by 12.7% to $12,872 from $11,423 in the third quarter of 2012. Drop in the mass market segment was $630.7 million in the third quarter of 2013, down 8.1% from the September 2012 quarter, while the segment’s win percentage of 38.0% compares to 30.8% in last year’s third quarter and sequentially to 34.6% in the second quarter of 2013. Note that customers purchase mass market gaming chips at either the gaming tables or the casino cage. Chips purchased at the casino cage are excluded from table games drop and will increase the expected win percentage. With the increased purchases at the casino cage, we believe the relevant indicator of volumes in the mass market segment should be table games win.</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Slot machine handle of $1.2 billion for the third quarter of 2013 was 18.5% above the prior-year quarter, and slot win increased 2.4% compared to the prior-year period. Win per unit per day was 11.2% higher at $689, compared to $620 in the third quarter of 2012. The average number of slots in the 2013 third quarter declined by 75 machines versus the 2012 period due to various changes designed to enhance the comfort of the casino floor.</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first half of 2013, we began a renovation of the approximately 600 guestrooms in the original Wynn Macau tower, resulting in an approximate 7% reduction in the number of available room-nights in the 2013 third quarter versus the prior-year period. We expect to complete the guestroom renovation by the end of 2013.</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5" w:name="page6"/>
    <w:bookmarkEnd w:id="5"/>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achieved an average daily rate (ADR) of $310 for the third quarter of 2013, modestly above the $307 reported in the 2012 quarter. Occupancy at Wynn Macau improved to 95.8% from 94.2% in the prior-year period, and revenue per available room (REVPAR) rose 2.7% to $297 in the 2013 quarter from $289 in last year’s third quarter. Gross non-casino revenues increased 0.6% during the quarter to $97.8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501 tables (273 VIP tables, 218 mass market tables and 10 poker tables) and 884 slot machines at Wynn Macau.</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 Project in Macau</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is currently constructing Wynn Palace, a full-scale integrated resort containing a 1,700-room hotel, performance lake, meeting space, casino, spa, retail offerings, and food and beverage outlets on Cotai in Macau. In February 2013, we started pre-foundation work and continue to remain on pace with the construction schedule. Additionally, in July 2013, we signed a $2.6 billion guaranteed maximum price (GMP) contract for the project’s construction. The total project budget, including construction costs, capitalized interest, land, and pre-opening expenses, is $4.0 billion. We expect to open our resort on Cotai in the first half of 2016.</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the third quarter of 2013, we invested approximately $109.9 million in our Cotai project, taking the total investment to date to $519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quarter ended September 30, 2013, net revenues were $392.5 million, a 1.1% increase from $388.0 million in the third quarter of 2012. Adjusted property EBITDA was $106.5 million, down 3.5% from the $110.4 million generated in the comparable period in 2012. EBITDA margin on net revenues was 27.1% in the third quarter of 2013 compared to 28.4% in the third quarter of 2012.</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casino revenues in the third quarter of 2013 were $161.6 million, a 3.9% increase from the third quarter of 2012. Table games drop of $676.3 million was down 0.9% compared to $682.3 million in the 2012 quarter. Table games win percentage was 22.6%, within the property’s expected range of 21% to 24% and above the 21.9% reported in the 2012 quarter. Slot machine handle of $733.5 million was 1.4% above the $723.5 million in the comparable period of 2012, while net slot win was down 1.0% due to lower hold in the 2013 quarter.</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Gross non-casino revenues for the quarter were $282.7 million, 0.9% higher than in the third quarter of 2012 due to increases in the hotel and retail segments, and partially offset by lower food and beverage and entertainment revenues.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Room revenues were up 5.1% to $95.7 million during the quarter, versus $ 91.0 million in the third quarter of 2012. Average daily rate (ADR) was up 2.4% to $250, and occupancy improved to 87.9% from 85.7% in the third quarter of 2012. Revenue per available room (REVPAR) was $220 in the 2013 quarter, 5.0% above the $209 reported in the prior-year quarter.</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Food and beverage revenues in the third quarter of 2013 were $129.0 million. Retail revenues improved 19.9% from last year’s quarter to $25.7 million, a result of reconfigurations to our retail area in the first half of 2013. Entertainment revenues declined to $17.5 million in the 2013 third quarter from $21.6 million due to a show that ended its run at the Encore Theater in November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total cash and investments balance at September 30, 2013 was $2.7 billion. Total debt outstanding at the end of the quarter was $6.2 billion, including $3.4 billion of Wynn Las Vegas debt, $947.8 million of Wynn Macau debt and $1.9 billion at the parent company. Subsequent to the end of the 2013 third quarter, Wynn Macau, Limited issued $600.0 million of new 5.25% senior notes due in 2021.</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Information</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will hold a conference call to discuss its results on October 24, 2013 at 1:30 p.m. PT (4:30 p.m. ET). Interested parties are invited to join the call by accessing a live audio webcast at http://www.wynnresorts.com.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2012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ind w:firstLine="8"/>
        <w:spacing w:after="0" w:line="235" w:lineRule="auto"/>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14" w:lineRule="exact"/>
        <w:rPr>
          <w:rFonts w:ascii="Arial" w:cs="Arial" w:eastAsia="Arial" w:hAnsi="Arial"/>
          <w:sz w:val="18"/>
          <w:szCs w:val="18"/>
          <w:color w:val="auto"/>
        </w:rPr>
      </w:pPr>
    </w:p>
    <w:p>
      <w:pPr>
        <w:jc w:val="both"/>
        <w:ind w:firstLine="8"/>
        <w:spacing w:after="0" w:line="237" w:lineRule="auto"/>
        <w:tabs>
          <w:tab w:leader="none" w:pos="287"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income attributable to Wynn Resorts is net income before pre-opening costs, property charges and other, and certain other non-operating income and expenses. Adjusted net income attributable to Wynn Resorts and adjusted net income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5" w:right="239" w:bottom="1440" w:gutter="0" w:footer="0" w:header="0"/>
        </w:sectPr>
      </w:pPr>
    </w:p>
    <w:bookmarkStart w:id="7" w:name="page8"/>
    <w:bookmarkEnd w:id="7"/>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included schedules in the tables that accompany this release that reconcile (i) net income attributable to Wynn Resorts to adjusted net income attributable to Wynn Resorts, and (ii) operating income to adjusted property EBITDA and adjusted property EBITDA to net income attributable to Wynn Resorts.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88"/>
        </w:trPr>
        <w:tc>
          <w:tcPr>
            <w:tcW w:w="6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Operating revenues:</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Casino</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1,105,595</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1,012,841</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3,228,246</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3,015,510</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Rooms</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123,078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119,635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372,931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362,018</w:t>
            </w:r>
          </w:p>
        </w:tc>
        <w:tc>
          <w:tcPr>
            <w:tcW w:w="0" w:type="dxa"/>
            <w:vAlign w:val="bottom"/>
          </w:tcPr>
          <w:p>
            <w:pPr>
              <w:spacing w:after="0"/>
              <w:rPr>
                <w:sz w:val="1"/>
                <w:szCs w:val="1"/>
                <w:color w:val="auto"/>
              </w:rPr>
            </w:pP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Food and beverage</w:t>
            </w:r>
          </w:p>
        </w:tc>
        <w:tc>
          <w:tcPr>
            <w:tcW w:w="2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152,218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156,568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461,474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452,845</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Entertainment, retail and other</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105,144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101,087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309,738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308,398</w:t>
            </w:r>
          </w:p>
        </w:tc>
        <w:tc>
          <w:tcPr>
            <w:tcW w:w="0" w:type="dxa"/>
            <w:vAlign w:val="bottom"/>
          </w:tcPr>
          <w:p>
            <w:pPr>
              <w:spacing w:after="0"/>
              <w:rPr>
                <w:sz w:val="1"/>
                <w:szCs w:val="1"/>
                <w:color w:val="auto"/>
              </w:rPr>
            </w:pPr>
          </w:p>
        </w:tc>
      </w:tr>
      <w:tr>
        <w:trPr>
          <w:trHeight w:val="196"/>
        </w:trPr>
        <w:tc>
          <w:tcPr>
            <w:tcW w:w="6080" w:type="dxa"/>
            <w:vAlign w:val="bottom"/>
          </w:tcPr>
          <w:p>
            <w:pPr>
              <w:ind w:left="340"/>
              <w:spacing w:after="0"/>
              <w:rPr>
                <w:sz w:val="20"/>
                <w:szCs w:val="20"/>
                <w:color w:val="auto"/>
              </w:rPr>
            </w:pPr>
            <w:r>
              <w:rPr>
                <w:rFonts w:ascii="Arial" w:cs="Arial" w:eastAsia="Arial" w:hAnsi="Arial"/>
                <w:sz w:val="16"/>
                <w:szCs w:val="16"/>
                <w:color w:val="auto"/>
              </w:rPr>
              <w:t>Gross revenues</w:t>
            </w:r>
          </w:p>
        </w:tc>
        <w:tc>
          <w:tcPr>
            <w:tcW w:w="26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1,486,035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1,390,131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4,372,389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4,138,771</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promotional allowances</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(95,923)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(91,636)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(271,350)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(273,571)</w:t>
            </w:r>
          </w:p>
        </w:tc>
        <w:tc>
          <w:tcPr>
            <w:tcW w:w="0" w:type="dxa"/>
            <w:vAlign w:val="bottom"/>
          </w:tcPr>
          <w:p>
            <w:pPr>
              <w:spacing w:after="0"/>
              <w:rPr>
                <w:sz w:val="1"/>
                <w:szCs w:val="1"/>
                <w:color w:val="auto"/>
              </w:rPr>
            </w:pPr>
          </w:p>
        </w:tc>
      </w:tr>
      <w:tr>
        <w:trPr>
          <w:trHeight w:val="196"/>
        </w:trPr>
        <w:tc>
          <w:tcPr>
            <w:tcW w:w="6080" w:type="dxa"/>
            <w:vAlign w:val="bottom"/>
          </w:tcPr>
          <w:p>
            <w:pPr>
              <w:ind w:left="340"/>
              <w:spacing w:after="0"/>
              <w:rPr>
                <w:sz w:val="20"/>
                <w:szCs w:val="20"/>
                <w:color w:val="auto"/>
              </w:rPr>
            </w:pPr>
            <w:r>
              <w:rPr>
                <w:rFonts w:ascii="Arial" w:cs="Arial" w:eastAsia="Arial" w:hAnsi="Arial"/>
                <w:sz w:val="16"/>
                <w:szCs w:val="16"/>
                <w:color w:val="auto"/>
              </w:rPr>
              <w:t>Net revenues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1,390,112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1,298,495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4,101,039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3,865,200</w:t>
            </w:r>
          </w:p>
        </w:tc>
        <w:tc>
          <w:tcPr>
            <w:tcW w:w="0" w:type="dxa"/>
            <w:vAlign w:val="bottom"/>
          </w:tcPr>
          <w:p>
            <w:pPr>
              <w:spacing w:after="0"/>
              <w:rPr>
                <w:sz w:val="1"/>
                <w:szCs w:val="1"/>
                <w:color w:val="auto"/>
              </w:rPr>
            </w:pPr>
          </w:p>
        </w:tc>
      </w:tr>
      <w:tr>
        <w:trPr>
          <w:trHeight w:val="115"/>
        </w:trPr>
        <w:tc>
          <w:tcPr>
            <w:tcW w:w="6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Operating costs and expenses:</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Casino</w:t>
            </w:r>
          </w:p>
        </w:tc>
        <w:tc>
          <w:tcPr>
            <w:tcW w:w="2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699,897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653,863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2,062,507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1,974,207</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Rooms</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33,646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31,944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101,020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95,193</w:t>
            </w:r>
          </w:p>
        </w:tc>
        <w:tc>
          <w:tcPr>
            <w:tcW w:w="0" w:type="dxa"/>
            <w:vAlign w:val="bottom"/>
          </w:tcPr>
          <w:p>
            <w:pPr>
              <w:spacing w:after="0"/>
              <w:rPr>
                <w:sz w:val="1"/>
                <w:szCs w:val="1"/>
                <w:color w:val="auto"/>
              </w:rPr>
            </w:pP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Food and beverage</w:t>
            </w:r>
          </w:p>
        </w:tc>
        <w:tc>
          <w:tcPr>
            <w:tcW w:w="2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84,118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80,652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253,458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235,570</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Entertainment, retail and other</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45,478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46,881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128,760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144,647</w:t>
            </w:r>
          </w:p>
        </w:tc>
        <w:tc>
          <w:tcPr>
            <w:tcW w:w="0" w:type="dxa"/>
            <w:vAlign w:val="bottom"/>
          </w:tcPr>
          <w:p>
            <w:pPr>
              <w:spacing w:after="0"/>
              <w:rPr>
                <w:sz w:val="1"/>
                <w:szCs w:val="1"/>
                <w:color w:val="auto"/>
              </w:rPr>
            </w:pP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105,026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115,785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332,316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321,512</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11,325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5,283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7,104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6,068</w:t>
            </w:r>
          </w:p>
        </w:tc>
        <w:tc>
          <w:tcPr>
            <w:tcW w:w="0" w:type="dxa"/>
            <w:vAlign w:val="bottom"/>
          </w:tcPr>
          <w:p>
            <w:pPr>
              <w:spacing w:after="0"/>
              <w:rPr>
                <w:sz w:val="1"/>
                <w:szCs w:val="1"/>
                <w:color w:val="auto"/>
              </w:rPr>
            </w:pP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Pre-opening costs</w:t>
            </w:r>
          </w:p>
        </w:tc>
        <w:tc>
          <w:tcPr>
            <w:tcW w:w="2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1,592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93,325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94,274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279,061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280,142</w:t>
            </w:r>
          </w:p>
        </w:tc>
        <w:tc>
          <w:tcPr>
            <w:tcW w:w="0" w:type="dxa"/>
            <w:vAlign w:val="bottom"/>
          </w:tcPr>
          <w:p>
            <w:pPr>
              <w:spacing w:after="0"/>
              <w:rPr>
                <w:sz w:val="1"/>
                <w:szCs w:val="1"/>
                <w:color w:val="auto"/>
              </w:rPr>
            </w:pPr>
          </w:p>
        </w:tc>
      </w:tr>
      <w:tr>
        <w:trPr>
          <w:trHeight w:val="196"/>
        </w:trPr>
        <w:tc>
          <w:tcPr>
            <w:tcW w:w="6080" w:type="dxa"/>
            <w:vAlign w:val="bottom"/>
          </w:tcPr>
          <w:p>
            <w:pPr>
              <w:ind w:left="180"/>
              <w:spacing w:after="0"/>
              <w:rPr>
                <w:sz w:val="20"/>
                <w:szCs w:val="20"/>
                <w:color w:val="auto"/>
              </w:rPr>
            </w:pPr>
            <w:r>
              <w:rPr>
                <w:rFonts w:ascii="Arial" w:cs="Arial" w:eastAsia="Arial" w:hAnsi="Arial"/>
                <w:sz w:val="16"/>
                <w:szCs w:val="16"/>
                <w:color w:val="auto"/>
              </w:rPr>
              <w:t>Property charges and other</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2,613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22,721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13,571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36,547</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costs and expenses</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1,076,134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1,051,403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3,179,389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3,093,886</w:t>
            </w:r>
          </w:p>
        </w:tc>
        <w:tc>
          <w:tcPr>
            <w:tcW w:w="0" w:type="dxa"/>
            <w:vAlign w:val="bottom"/>
          </w:tcPr>
          <w:p>
            <w:pPr>
              <w:spacing w:after="0"/>
              <w:rPr>
                <w:sz w:val="1"/>
                <w:szCs w:val="1"/>
                <w:color w:val="auto"/>
              </w:rPr>
            </w:pPr>
          </w:p>
        </w:tc>
      </w:tr>
      <w:tr>
        <w:trPr>
          <w:trHeight w:val="304"/>
        </w:trPr>
        <w:tc>
          <w:tcPr>
            <w:tcW w:w="6080" w:type="dxa"/>
            <w:vAlign w:val="bottom"/>
          </w:tcPr>
          <w:p>
            <w:pPr>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313,978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247,092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921,650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771,314</w:t>
            </w:r>
          </w:p>
        </w:tc>
        <w:tc>
          <w:tcPr>
            <w:tcW w:w="0" w:type="dxa"/>
            <w:vAlign w:val="bottom"/>
          </w:tcPr>
          <w:p>
            <w:pPr>
              <w:spacing w:after="0"/>
              <w:rPr>
                <w:sz w:val="1"/>
                <w:szCs w:val="1"/>
                <w:color w:val="auto"/>
              </w:rPr>
            </w:pPr>
          </w:p>
        </w:tc>
      </w:tr>
      <w:tr>
        <w:trPr>
          <w:trHeight w:val="115"/>
        </w:trPr>
        <w:tc>
          <w:tcPr>
            <w:tcW w:w="6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3,759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11,595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7,807</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 net of capitalized interest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(73,549)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(75,082)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(222,690)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(211,017)</w:t>
            </w:r>
          </w:p>
        </w:tc>
        <w:tc>
          <w:tcPr>
            <w:tcW w:w="0" w:type="dxa"/>
            <w:vAlign w:val="bottom"/>
          </w:tcPr>
          <w:p>
            <w:pPr>
              <w:spacing w:after="0"/>
              <w:rPr>
                <w:sz w:val="1"/>
                <w:szCs w:val="1"/>
                <w:color w:val="auto"/>
              </w:rPr>
            </w:pP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(Decrease) increase in swap fair value</w:t>
            </w:r>
          </w:p>
        </w:tc>
        <w:tc>
          <w:tcPr>
            <w:tcW w:w="26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(3,525)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13,131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4,930</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extinguishment of debt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(19,663)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(26,578)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(24,491)</w:t>
            </w:r>
          </w:p>
        </w:tc>
        <w:tc>
          <w:tcPr>
            <w:tcW w:w="0" w:type="dxa"/>
            <w:vAlign w:val="bottom"/>
          </w:tcPr>
          <w:p>
            <w:pPr>
              <w:spacing w:after="0"/>
              <w:rPr>
                <w:sz w:val="1"/>
                <w:szCs w:val="1"/>
                <w:color w:val="auto"/>
              </w:rPr>
            </w:pP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Equity in income from unconsolidated affiliates</w:t>
            </w:r>
          </w:p>
        </w:tc>
        <w:tc>
          <w:tcPr>
            <w:tcW w:w="2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4,385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196"/>
        </w:trPr>
        <w:tc>
          <w:tcPr>
            <w:tcW w:w="6080" w:type="dxa"/>
            <w:vAlign w:val="bottom"/>
          </w:tcPr>
          <w:p>
            <w:pPr>
              <w:ind w:left="34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(72,448)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(89,547)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(219,278)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(220,924)</w:t>
            </w:r>
          </w:p>
        </w:tc>
        <w:tc>
          <w:tcPr>
            <w:tcW w:w="0" w:type="dxa"/>
            <w:vAlign w:val="bottom"/>
          </w:tcPr>
          <w:p>
            <w:pPr>
              <w:spacing w:after="0"/>
              <w:rPr>
                <w:sz w:val="1"/>
                <w:szCs w:val="1"/>
                <w:color w:val="auto"/>
              </w:rPr>
            </w:pPr>
          </w:p>
        </w:tc>
      </w:tr>
      <w:tr>
        <w:trPr>
          <w:trHeight w:val="115"/>
        </w:trPr>
        <w:tc>
          <w:tcPr>
            <w:tcW w:w="6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241,530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157,545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702,372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550,390</w:t>
            </w:r>
          </w:p>
        </w:tc>
        <w:tc>
          <w:tcPr>
            <w:tcW w:w="0" w:type="dxa"/>
            <w:vAlign w:val="bottom"/>
          </w:tcPr>
          <w:p>
            <w:pPr>
              <w:spacing w:after="0"/>
              <w:rPr>
                <w:sz w:val="1"/>
                <w:szCs w:val="1"/>
                <w:color w:val="auto"/>
              </w:rPr>
            </w:pPr>
          </w:p>
        </w:tc>
      </w:tr>
      <w:tr>
        <w:trPr>
          <w:trHeight w:val="297"/>
        </w:trPr>
        <w:tc>
          <w:tcPr>
            <w:tcW w:w="6080" w:type="dxa"/>
            <w:vAlign w:val="bottom"/>
          </w:tcPr>
          <w:p>
            <w:pPr>
              <w:ind w:left="180"/>
              <w:spacing w:after="0"/>
              <w:rPr>
                <w:sz w:val="20"/>
                <w:szCs w:val="20"/>
                <w:color w:val="auto"/>
              </w:rPr>
            </w:pPr>
            <w:r>
              <w:rPr>
                <w:rFonts w:ascii="Arial" w:cs="Arial" w:eastAsia="Arial" w:hAnsi="Arial"/>
                <w:sz w:val="16"/>
                <w:szCs w:val="16"/>
                <w:color w:val="auto"/>
              </w:rPr>
              <w:t>Benefit for income taxes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7,281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7,626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11,299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12,483</w:t>
            </w:r>
          </w:p>
        </w:tc>
        <w:tc>
          <w:tcPr>
            <w:tcW w:w="0" w:type="dxa"/>
            <w:vAlign w:val="bottom"/>
          </w:tcPr>
          <w:p>
            <w:pPr>
              <w:spacing w:after="0"/>
              <w:rPr>
                <w:sz w:val="1"/>
                <w:szCs w:val="1"/>
                <w:color w:val="auto"/>
              </w:rPr>
            </w:pPr>
          </w:p>
        </w:tc>
      </w:tr>
      <w:tr>
        <w:trPr>
          <w:trHeight w:val="115"/>
        </w:trPr>
        <w:tc>
          <w:tcPr>
            <w:tcW w:w="6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248,811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165,171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713,671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562,873</w:t>
            </w:r>
          </w:p>
        </w:tc>
        <w:tc>
          <w:tcPr>
            <w:tcW w:w="0" w:type="dxa"/>
            <w:vAlign w:val="bottom"/>
          </w:tcPr>
          <w:p>
            <w:pPr>
              <w:spacing w:after="0"/>
              <w:rPr>
                <w:sz w:val="1"/>
                <w:szCs w:val="1"/>
                <w:color w:val="auto"/>
              </w:rPr>
            </w:pPr>
          </w:p>
        </w:tc>
      </w:tr>
      <w:tr>
        <w:trPr>
          <w:trHeight w:val="297"/>
        </w:trPr>
        <w:tc>
          <w:tcPr>
            <w:tcW w:w="6080" w:type="dxa"/>
            <w:vAlign w:val="bottom"/>
          </w:tcPr>
          <w:p>
            <w:pPr>
              <w:ind w:left="180"/>
              <w:spacing w:after="0"/>
              <w:rPr>
                <w:sz w:val="20"/>
                <w:szCs w:val="20"/>
                <w:color w:val="auto"/>
              </w:rPr>
            </w:pPr>
            <w:r>
              <w:rPr>
                <w:rFonts w:ascii="Arial" w:cs="Arial" w:eastAsia="Arial" w:hAnsi="Arial"/>
                <w:sz w:val="16"/>
                <w:szCs w:val="16"/>
                <w:color w:val="auto"/>
              </w:rPr>
              <w:t>Less: Net income attributable to noncontrolling interest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(66,791)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(53,136)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(198,903)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(172,210)</w:t>
            </w:r>
          </w:p>
        </w:tc>
        <w:tc>
          <w:tcPr>
            <w:tcW w:w="0" w:type="dxa"/>
            <w:vAlign w:val="bottom"/>
          </w:tcPr>
          <w:p>
            <w:pPr>
              <w:spacing w:after="0"/>
              <w:rPr>
                <w:sz w:val="1"/>
                <w:szCs w:val="1"/>
                <w:color w:val="auto"/>
              </w:rPr>
            </w:pPr>
          </w:p>
        </w:tc>
      </w:tr>
      <w:tr>
        <w:trPr>
          <w:trHeight w:val="115"/>
        </w:trPr>
        <w:tc>
          <w:tcPr>
            <w:tcW w:w="6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Wynn Resorts, Limited</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182,020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112,035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514,768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390,663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color w:val="auto"/>
              </w:rPr>
              <w:t>Basic and diluted income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attributable to Wynn Resorts, Limited:</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tcPr>
          <w:p>
            <w:pPr>
              <w:ind w:left="3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1.81</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1.12</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5.12</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100,685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99,871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100,470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104,104</w:t>
            </w:r>
          </w:p>
        </w:tc>
        <w:tc>
          <w:tcPr>
            <w:tcW w:w="0" w:type="dxa"/>
            <w:vAlign w:val="bottom"/>
          </w:tcPr>
          <w:p>
            <w:pPr>
              <w:spacing w:after="0"/>
              <w:rPr>
                <w:sz w:val="1"/>
                <w:szCs w:val="1"/>
                <w:color w:val="auto"/>
              </w:rPr>
            </w:pPr>
          </w:p>
        </w:tc>
      </w:tr>
      <w:tr>
        <w:trPr>
          <w:trHeight w:val="197"/>
        </w:trPr>
        <w:tc>
          <w:tcPr>
            <w:tcW w:w="6080" w:type="dxa"/>
            <w:vAlign w:val="bottom"/>
          </w:tcPr>
          <w:p>
            <w:pPr>
              <w:ind w:left="34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101,547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100,892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101,526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105,291</w:t>
            </w:r>
          </w:p>
        </w:tc>
        <w:tc>
          <w:tcPr>
            <w:tcW w:w="0" w:type="dxa"/>
            <w:vAlign w:val="bottom"/>
          </w:tcPr>
          <w:p>
            <w:pPr>
              <w:spacing w:after="0"/>
              <w:rPr>
                <w:sz w:val="1"/>
                <w:szCs w:val="1"/>
                <w:color w:val="auto"/>
              </w:rPr>
            </w:pPr>
          </w:p>
        </w:tc>
      </w:tr>
      <w:tr>
        <w:trPr>
          <w:trHeight w:val="101"/>
        </w:trPr>
        <w:tc>
          <w:tcPr>
            <w:tcW w:w="6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per common share:</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0.50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5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ATTRIBUTABLE TO WYNN RESORTS, LIMITED TO ADJUSTED NET INCOME ATTRIBUTABLE TO WYNN RESORTS, LIMITED (amounts in thousands, except per share data) (unaudited)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6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2012</w:t>
            </w:r>
          </w:p>
        </w:tc>
      </w:tr>
      <w:tr>
        <w:trPr>
          <w:trHeight w:val="88"/>
        </w:trPr>
        <w:tc>
          <w:tcPr>
            <w:tcW w:w="6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62"/>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Wynn Resorts, Limited</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182,020</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112,035</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514,768</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390,663</w:t>
            </w:r>
          </w:p>
        </w:tc>
      </w:tr>
      <w:tr>
        <w:trPr>
          <w:trHeight w:val="162"/>
        </w:trPr>
        <w:tc>
          <w:tcPr>
            <w:tcW w:w="6780" w:type="dxa"/>
            <w:vAlign w:val="bottom"/>
          </w:tcPr>
          <w:p>
            <w:pPr>
              <w:ind w:left="160"/>
              <w:spacing w:after="0"/>
              <w:rPr>
                <w:sz w:val="20"/>
                <w:szCs w:val="20"/>
                <w:color w:val="auto"/>
              </w:rPr>
            </w:pPr>
            <w:r>
              <w:rPr>
                <w:rFonts w:ascii="Arial" w:cs="Arial" w:eastAsia="Arial" w:hAnsi="Arial"/>
                <w:sz w:val="14"/>
                <w:szCs w:val="14"/>
                <w:color w:val="auto"/>
              </w:rPr>
              <w:t>Pre-opening costs</w:t>
            </w:r>
          </w:p>
        </w:tc>
        <w:tc>
          <w:tcPr>
            <w:tcW w:w="2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1,592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Property charges and other</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2,613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22,721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13,571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36,547</w:t>
            </w:r>
          </w:p>
        </w:tc>
      </w:tr>
      <w:tr>
        <w:trPr>
          <w:trHeight w:val="162"/>
        </w:trPr>
        <w:tc>
          <w:tcPr>
            <w:tcW w:w="6780" w:type="dxa"/>
            <w:vAlign w:val="bottom"/>
          </w:tcPr>
          <w:p>
            <w:pPr>
              <w:ind w:left="160"/>
              <w:spacing w:after="0"/>
              <w:rPr>
                <w:sz w:val="20"/>
                <w:szCs w:val="20"/>
                <w:color w:val="auto"/>
              </w:rPr>
            </w:pPr>
            <w:r>
              <w:rPr>
                <w:rFonts w:ascii="Arial" w:cs="Arial" w:eastAsia="Arial" w:hAnsi="Arial"/>
                <w:sz w:val="14"/>
                <w:szCs w:val="14"/>
                <w:color w:val="auto"/>
              </w:rPr>
              <w:t>Decrease (increase) in swap fair value</w:t>
            </w:r>
          </w:p>
        </w:tc>
        <w:tc>
          <w:tcPr>
            <w:tcW w:w="2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3,525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(13,131)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(4,930)</w:t>
            </w:r>
          </w:p>
        </w:tc>
      </w:tr>
      <w:tr>
        <w:trPr>
          <w:trHeight w:val="162"/>
        </w:trPr>
        <w:tc>
          <w:tcPr>
            <w:tcW w:w="6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 on extinguishment of debt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19,663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26,578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24,491</w:t>
            </w:r>
          </w:p>
        </w:tc>
      </w:tr>
      <w:tr>
        <w:trPr>
          <w:trHeight w:val="169"/>
        </w:trPr>
        <w:tc>
          <w:tcPr>
            <w:tcW w:w="6780" w:type="dxa"/>
            <w:vAlign w:val="bottom"/>
          </w:tcPr>
          <w:p>
            <w:pPr>
              <w:ind w:left="160"/>
              <w:spacing w:after="0"/>
              <w:rPr>
                <w:sz w:val="20"/>
                <w:szCs w:val="20"/>
                <w:color w:val="auto"/>
              </w:rPr>
            </w:pPr>
            <w:r>
              <w:rPr>
                <w:rFonts w:ascii="Arial" w:cs="Arial" w:eastAsia="Arial" w:hAnsi="Arial"/>
                <w:sz w:val="14"/>
                <w:szCs w:val="14"/>
                <w:color w:val="auto"/>
              </w:rPr>
              <w:t>Adjustment for noncontrolling interest</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(5,179)</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2,227</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(6,638)</w:t>
            </w:r>
          </w:p>
        </w:tc>
      </w:tr>
      <w:tr>
        <w:trPr>
          <w:trHeight w:val="162"/>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Adjusted net income attributable to Wynn Resorts, Limited (2)</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187,044</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149,240</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545,605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440,133</w:t>
            </w:r>
          </w:p>
        </w:tc>
      </w:tr>
      <w:tr>
        <w:trPr>
          <w:trHeight w:val="20"/>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72"/>
        </w:trPr>
        <w:tc>
          <w:tcPr>
            <w:tcW w:w="6780" w:type="dxa"/>
            <w:vAlign w:val="bottom"/>
          </w:tcPr>
          <w:p>
            <w:pPr>
              <w:spacing w:after="0"/>
              <w:rPr>
                <w:sz w:val="20"/>
                <w:szCs w:val="20"/>
                <w:color w:val="auto"/>
              </w:rPr>
            </w:pPr>
            <w:r>
              <w:rPr>
                <w:rFonts w:ascii="Arial" w:cs="Arial" w:eastAsia="Arial" w:hAnsi="Arial"/>
                <w:sz w:val="14"/>
                <w:szCs w:val="14"/>
                <w:color w:val="auto"/>
              </w:rPr>
              <w:t>Adjusted net income attributable to Wynn Resorts, Limited per diluted share</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1.48</w:t>
            </w:r>
          </w:p>
        </w:tc>
        <w:tc>
          <w:tcPr>
            <w:tcW w:w="220" w:type="dxa"/>
            <w:vAlign w:val="bottom"/>
          </w:tcPr>
          <w:p>
            <w:pPr>
              <w:spacing w:after="0"/>
              <w:rPr>
                <w:sz w:val="24"/>
                <w:szCs w:val="2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4.18</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 ATTRIBUTABLE TO WYNN RESORTS, LIMITED</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September 30, 2013</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Macau</w:t>
            </w:r>
          </w:p>
        </w:tc>
        <w:tc>
          <w:tcPr>
            <w:tcW w:w="400" w:type="dxa"/>
            <w:vAlign w:val="bottom"/>
          </w:tcPr>
          <w:p>
            <w:pPr>
              <w:spacing w:after="0"/>
              <w:rPr>
                <w:sz w:val="20"/>
                <w:szCs w:val="20"/>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Las Vegas</w:t>
            </w:r>
          </w:p>
        </w:tc>
        <w:tc>
          <w:tcPr>
            <w:tcW w:w="380" w:type="dxa"/>
            <w:vAlign w:val="bottom"/>
          </w:tcPr>
          <w:p>
            <w:pPr>
              <w:spacing w:after="0"/>
              <w:rPr>
                <w:sz w:val="20"/>
                <w:szCs w:val="20"/>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Operations</w:t>
            </w:r>
          </w:p>
        </w:tc>
        <w:tc>
          <w:tcPr>
            <w:tcW w:w="4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Operations</w:t>
            </w:r>
          </w:p>
        </w:tc>
        <w:tc>
          <w:tcPr>
            <w:tcW w:w="380" w:type="dxa"/>
            <w:vAlign w:val="bottom"/>
          </w:tcPr>
          <w:p>
            <w:pPr>
              <w:spacing w:after="0"/>
              <w:rPr>
                <w:sz w:val="15"/>
                <w:szCs w:val="15"/>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249,146</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29,099</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35,733</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313,978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00" w:type="dxa"/>
            <w:vAlign w:val="bottom"/>
          </w:tcPr>
          <w:p>
            <w:pPr>
              <w:ind w:left="280"/>
              <w:spacing w:after="0"/>
              <w:rPr>
                <w:sz w:val="20"/>
                <w:szCs w:val="20"/>
                <w:color w:val="auto"/>
              </w:rPr>
            </w:pPr>
            <w:r>
              <w:rPr>
                <w:rFonts w:ascii="Arial" w:cs="Arial" w:eastAsia="Arial" w:hAnsi="Arial"/>
                <w:sz w:val="14"/>
                <w:szCs w:val="14"/>
                <w:color w:val="auto"/>
              </w:rPr>
              <w:t>Pre-opening costs</w:t>
            </w:r>
          </w:p>
        </w:tc>
        <w:tc>
          <w:tcPr>
            <w:tcW w:w="20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706</w:t>
            </w: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30,012</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61,720</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1,593</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93,325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280"/>
              <w:spacing w:after="0"/>
              <w:rPr>
                <w:sz w:val="20"/>
                <w:szCs w:val="20"/>
                <w:color w:val="auto"/>
              </w:rPr>
            </w:pPr>
            <w:r>
              <w:rPr>
                <w:rFonts w:ascii="Arial" w:cs="Arial" w:eastAsia="Arial" w:hAnsi="Arial"/>
                <w:sz w:val="14"/>
                <w:szCs w:val="14"/>
                <w:color w:val="auto"/>
              </w:rPr>
              <w:t>Property charges and other</w:t>
            </w:r>
          </w:p>
        </w:tc>
        <w:tc>
          <w:tcPr>
            <w:tcW w:w="2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2,337</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Management and royalty fees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39,602</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5,892</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(45,494)</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280"/>
              <w:spacing w:after="0"/>
              <w:rPr>
                <w:sz w:val="20"/>
                <w:szCs w:val="20"/>
                <w:color w:val="auto"/>
              </w:rPr>
            </w:pPr>
            <w:r>
              <w:rPr>
                <w:rFonts w:ascii="Arial" w:cs="Arial" w:eastAsia="Arial" w:hAnsi="Arial"/>
                <w:sz w:val="14"/>
                <w:szCs w:val="14"/>
                <w:color w:val="auto"/>
              </w:rPr>
              <w:t>Corporate expenses and other</w:t>
            </w:r>
          </w:p>
        </w:tc>
        <w:tc>
          <w:tcPr>
            <w:tcW w:w="2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6,188</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7,343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5,976</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19,507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1,115</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2,149</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00" w:type="dxa"/>
            <w:vAlign w:val="bottom"/>
          </w:tcPr>
          <w:p>
            <w:pPr>
              <w:ind w:left="280"/>
              <w:spacing w:after="0"/>
              <w:rPr>
                <w:sz w:val="20"/>
                <w:szCs w:val="20"/>
                <w:color w:val="auto"/>
              </w:rPr>
            </w:pPr>
            <w:r>
              <w:rPr>
                <w:rFonts w:ascii="Arial" w:cs="Arial" w:eastAsia="Arial" w:hAnsi="Arial"/>
                <w:sz w:val="14"/>
                <w:szCs w:val="14"/>
                <w:color w:val="auto"/>
              </w:rPr>
              <w:t>Equity in income from unconsolidated affiliates</w:t>
            </w:r>
          </w:p>
        </w:tc>
        <w:tc>
          <w:tcPr>
            <w:tcW w:w="200" w:type="dxa"/>
            <w:vAlign w:val="bottom"/>
          </w:tcPr>
          <w:p>
            <w:pPr>
              <w:spacing w:after="0"/>
              <w:rPr>
                <w:sz w:val="15"/>
                <w:szCs w:val="15"/>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252</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 xml:space="preserve">Adjusted Property EBITDA </w:t>
            </w:r>
            <w:r>
              <w:rPr>
                <w:rFonts w:ascii="Arial" w:cs="Arial" w:eastAsia="Arial" w:hAnsi="Arial"/>
                <w:sz w:val="14"/>
                <w:szCs w:val="14"/>
                <w:color w:val="auto"/>
                <w:vertAlign w:val="superscript"/>
              </w:rPr>
              <w:t>(1)</w:t>
            </w:r>
          </w:p>
        </w:tc>
        <w:tc>
          <w:tcPr>
            <w:tcW w:w="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329,106</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106,515</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435,621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September 30, 2012</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Macau</w:t>
            </w:r>
          </w:p>
        </w:tc>
        <w:tc>
          <w:tcPr>
            <w:tcW w:w="400" w:type="dxa"/>
            <w:vAlign w:val="bottom"/>
          </w:tcPr>
          <w:p>
            <w:pPr>
              <w:spacing w:after="0"/>
              <w:rPr>
                <w:sz w:val="20"/>
                <w:szCs w:val="20"/>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Las Vegas</w:t>
            </w:r>
          </w:p>
        </w:tc>
        <w:tc>
          <w:tcPr>
            <w:tcW w:w="380" w:type="dxa"/>
            <w:vAlign w:val="bottom"/>
          </w:tcPr>
          <w:p>
            <w:pPr>
              <w:spacing w:after="0"/>
              <w:rPr>
                <w:sz w:val="20"/>
                <w:szCs w:val="20"/>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Operations</w:t>
            </w:r>
          </w:p>
        </w:tc>
        <w:tc>
          <w:tcPr>
            <w:tcW w:w="4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Operations</w:t>
            </w:r>
          </w:p>
        </w:tc>
        <w:tc>
          <w:tcPr>
            <w:tcW w:w="380" w:type="dxa"/>
            <w:vAlign w:val="bottom"/>
          </w:tcPr>
          <w:p>
            <w:pPr>
              <w:spacing w:after="0"/>
              <w:rPr>
                <w:sz w:val="15"/>
                <w:szCs w:val="15"/>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214,486</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12,314</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20,292</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247,092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0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31,099</w:t>
            </w: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62,419</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756</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94,274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charges and other</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990</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21,698</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280"/>
              <w:spacing w:after="0"/>
              <w:rPr>
                <w:sz w:val="20"/>
                <w:szCs w:val="20"/>
                <w:color w:val="auto"/>
              </w:rPr>
            </w:pPr>
            <w:r>
              <w:rPr>
                <w:rFonts w:ascii="Arial" w:cs="Arial" w:eastAsia="Arial" w:hAnsi="Arial"/>
                <w:sz w:val="14"/>
                <w:szCs w:val="14"/>
                <w:color w:val="auto"/>
              </w:rPr>
              <w:t>Management and royalty fees</w:t>
            </w:r>
          </w:p>
        </w:tc>
        <w:tc>
          <w:tcPr>
            <w:tcW w:w="2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36,574</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5,822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(42,396)</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expenses and other</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7,276</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6,451</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18,697</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32,424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1,736</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1,548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2,566</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5,850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in income from unconsolidated affiliates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Adjusted Property EBITDA </w:t>
            </w:r>
            <w:r>
              <w:rPr>
                <w:rFonts w:ascii="Arial" w:cs="Arial" w:eastAsia="Arial" w:hAnsi="Arial"/>
                <w:sz w:val="24"/>
                <w:szCs w:val="24"/>
                <w:color w:val="auto"/>
                <w:vertAlign w:val="superscript"/>
              </w:rPr>
              <w:t>(1)</w:t>
            </w: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520" w:type="dxa"/>
            <w:vAlign w:val="bottom"/>
            <w:gridSpan w:val="2"/>
            <w:vMerge w:val="continue"/>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292,161</w:t>
            </w:r>
          </w:p>
        </w:tc>
        <w:tc>
          <w:tcPr>
            <w:tcW w:w="6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110,390</w:t>
            </w:r>
          </w:p>
        </w:tc>
        <w:tc>
          <w:tcPr>
            <w:tcW w:w="6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402,551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00" w:type="dxa"/>
            <w:vAlign w:val="bottom"/>
          </w:tcPr>
          <w:p>
            <w:pPr>
              <w:spacing w:after="0"/>
              <w:rPr>
                <w:sz w:val="7"/>
                <w:szCs w:val="7"/>
                <w:color w:val="auto"/>
              </w:rPr>
            </w:pPr>
          </w:p>
        </w:tc>
        <w:tc>
          <w:tcPr>
            <w:tcW w:w="4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line="162" w:lineRule="exact"/>
              <w:rPr>
                <w:sz w:val="20"/>
                <w:szCs w:val="20"/>
                <w:color w:val="auto"/>
              </w:rPr>
            </w:pPr>
            <w:r>
              <w:rPr>
                <w:rFonts w:ascii="Arial" w:cs="Arial" w:eastAsia="Arial" w:hAnsi="Arial"/>
                <w:sz w:val="11"/>
                <w:szCs w:val="11"/>
                <w:b w:val="1"/>
                <w:bCs w:val="1"/>
                <w:color w:val="auto"/>
              </w:rPr>
              <w:t xml:space="preserve">Adjusted Property EBITDA </w:t>
            </w:r>
            <w:r>
              <w:rPr>
                <w:rFonts w:ascii="Arial" w:cs="Arial" w:eastAsia="Arial" w:hAnsi="Arial"/>
                <w:sz w:val="18"/>
                <w:szCs w:val="18"/>
                <w:color w:val="auto"/>
                <w:vertAlign w:val="superscript"/>
              </w:rPr>
              <w:t>(1)</w:t>
            </w:r>
          </w:p>
        </w:tc>
        <w:tc>
          <w:tcPr>
            <w:tcW w:w="4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435,621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Pre-opening costs</w:t>
            </w:r>
          </w:p>
        </w:tc>
        <w:tc>
          <w:tcPr>
            <w:tcW w:w="4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(706)</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(93,325)</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Property charges and other</w:t>
            </w:r>
          </w:p>
        </w:tc>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(2,613)</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(22,721)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expenses and other</w:t>
            </w:r>
          </w:p>
        </w:tc>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(19,507)</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(5,204)</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income</w:t>
            </w:r>
          </w:p>
        </w:tc>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3,215</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Interest expense, net of capitalized interest</w:t>
            </w:r>
          </w:p>
        </w:tc>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(73,549)</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(75,082)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Decrease in swap fair value</w:t>
            </w:r>
          </w:p>
        </w:tc>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Loss on extinguishment of debt</w:t>
            </w:r>
          </w:p>
        </w:tc>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(19,663)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1,123</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Benefit for income taxes</w:t>
            </w:r>
          </w:p>
        </w:tc>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7,281</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0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248,811</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165,171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Less: Net income attributable to noncontrolling interest</w:t>
            </w:r>
          </w:p>
        </w:tc>
        <w:tc>
          <w:tcPr>
            <w:tcW w:w="4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(66,791)</w:t>
            </w:r>
          </w:p>
        </w:tc>
        <w:tc>
          <w:tcPr>
            <w:tcW w:w="3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(53,136)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0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attributable to Wynn Resorts, Limited</w:t>
            </w:r>
          </w:p>
        </w:tc>
        <w:tc>
          <w:tcPr>
            <w:tcW w:w="4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182,020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112,035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440" w:type="dxa"/>
            <w:vAlign w:val="bottom"/>
          </w:tcPr>
          <w:p>
            <w:pPr>
              <w:jc w:val="right"/>
              <w:ind w:right="3322"/>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 ATTRIBUTABLE TO WYNN RESORTS, LIMITED</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Nine Months Ended September 30, 2013</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b w:val="1"/>
                <w:bCs w:val="1"/>
                <w:color w:val="auto"/>
              </w:rPr>
              <w:t>Macau</w:t>
            </w:r>
          </w:p>
        </w:tc>
        <w:tc>
          <w:tcPr>
            <w:tcW w:w="240" w:type="dxa"/>
            <w:vAlign w:val="bottom"/>
          </w:tcPr>
          <w:p>
            <w:pPr>
              <w:spacing w:after="0"/>
              <w:rPr>
                <w:sz w:val="17"/>
                <w:szCs w:val="17"/>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Las Vegas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Operations</w:t>
            </w:r>
          </w:p>
        </w:tc>
        <w:tc>
          <w:tcPr>
            <w:tcW w:w="240" w:type="dxa"/>
            <w:vAlign w:val="bottom"/>
          </w:tcPr>
          <w:p>
            <w:pPr>
              <w:spacing w:after="0"/>
              <w:rPr>
                <w:sz w:val="15"/>
                <w:szCs w:val="15"/>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Operations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716,908</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119,069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85,673</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921,650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500" w:type="dxa"/>
            <w:vAlign w:val="bottom"/>
          </w:tcPr>
          <w:p>
            <w:pPr>
              <w:ind w:left="280"/>
              <w:spacing w:after="0"/>
              <w:rPr>
                <w:sz w:val="20"/>
                <w:szCs w:val="20"/>
                <w:color w:val="auto"/>
              </w:rPr>
            </w:pPr>
            <w:r>
              <w:rPr>
                <w:rFonts w:ascii="Arial" w:cs="Arial" w:eastAsia="Arial" w:hAnsi="Arial"/>
                <w:sz w:val="14"/>
                <w:szCs w:val="14"/>
                <w:color w:val="auto"/>
              </w:rPr>
              <w:t>Pre-opening costs</w:t>
            </w:r>
          </w:p>
        </w:tc>
        <w:tc>
          <w:tcPr>
            <w:tcW w:w="22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1,592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1,592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88,835</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185,425</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4,801</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279,061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280"/>
              <w:spacing w:after="0"/>
              <w:rPr>
                <w:sz w:val="20"/>
                <w:szCs w:val="20"/>
                <w:color w:val="auto"/>
              </w:rPr>
            </w:pPr>
            <w:r>
              <w:rPr>
                <w:rFonts w:ascii="Arial" w:cs="Arial" w:eastAsia="Arial" w:hAnsi="Arial"/>
                <w:sz w:val="14"/>
                <w:szCs w:val="14"/>
                <w:color w:val="auto"/>
              </w:rPr>
              <w:t>Property charges and other</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3,503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10,095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13,571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Management and royalty fees</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116,478</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17,720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(134,198)</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280"/>
              <w:spacing w:after="0"/>
              <w:rPr>
                <w:sz w:val="20"/>
                <w:szCs w:val="20"/>
                <w:color w:val="auto"/>
              </w:rPr>
            </w:pPr>
            <w:r>
              <w:rPr>
                <w:rFonts w:ascii="Arial" w:cs="Arial" w:eastAsia="Arial" w:hAnsi="Arial"/>
                <w:sz w:val="14"/>
                <w:szCs w:val="14"/>
                <w:color w:val="auto"/>
              </w:rPr>
              <w:t>Corporate expenses and other</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19,334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23,373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17,902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60,609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3,255</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6,629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25,188</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00" w:type="dxa"/>
            <w:vAlign w:val="bottom"/>
          </w:tcPr>
          <w:p>
            <w:pPr>
              <w:ind w:left="280"/>
              <w:spacing w:after="0"/>
              <w:rPr>
                <w:sz w:val="20"/>
                <w:szCs w:val="20"/>
                <w:color w:val="auto"/>
              </w:rPr>
            </w:pPr>
            <w:r>
              <w:rPr>
                <w:rFonts w:ascii="Arial" w:cs="Arial" w:eastAsia="Arial" w:hAnsi="Arial"/>
                <w:sz w:val="14"/>
                <w:szCs w:val="14"/>
                <w:color w:val="auto"/>
              </w:rPr>
              <w:t>Equity in income from unconsolidated affiliates</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661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line="162" w:lineRule="exact"/>
              <w:rPr>
                <w:sz w:val="20"/>
                <w:szCs w:val="20"/>
                <w:color w:val="auto"/>
              </w:rPr>
            </w:pPr>
            <w:r>
              <w:rPr>
                <w:rFonts w:ascii="Arial" w:cs="Arial" w:eastAsia="Arial" w:hAnsi="Arial"/>
                <w:sz w:val="11"/>
                <w:szCs w:val="11"/>
                <w:b w:val="1"/>
                <w:bCs w:val="1"/>
                <w:color w:val="auto"/>
              </w:rPr>
              <w:t xml:space="preserve">Adjusted Property EBITDA </w:t>
            </w:r>
            <w:r>
              <w:rPr>
                <w:rFonts w:ascii="Arial" w:cs="Arial" w:eastAsia="Arial" w:hAnsi="Arial"/>
                <w:sz w:val="18"/>
                <w:szCs w:val="18"/>
                <w:color w:val="auto"/>
                <w:vertAlign w:val="superscript"/>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949,905</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362,529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1,312,434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Nine Months Ended September 30, 2012</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b w:val="1"/>
                <w:bCs w:val="1"/>
                <w:color w:val="auto"/>
              </w:rPr>
              <w:t>Macau</w:t>
            </w:r>
          </w:p>
        </w:tc>
        <w:tc>
          <w:tcPr>
            <w:tcW w:w="240" w:type="dxa"/>
            <w:vAlign w:val="bottom"/>
          </w:tcPr>
          <w:p>
            <w:pPr>
              <w:spacing w:after="0"/>
              <w:rPr>
                <w:sz w:val="17"/>
                <w:szCs w:val="17"/>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Las Vegas</w:t>
            </w:r>
          </w:p>
        </w:tc>
        <w:tc>
          <w:tcPr>
            <w:tcW w:w="16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Operations</w:t>
            </w:r>
          </w:p>
        </w:tc>
        <w:tc>
          <w:tcPr>
            <w:tcW w:w="240" w:type="dxa"/>
            <w:vAlign w:val="bottom"/>
          </w:tcPr>
          <w:p>
            <w:pPr>
              <w:spacing w:after="0"/>
              <w:rPr>
                <w:sz w:val="15"/>
                <w:szCs w:val="15"/>
                <w:color w:val="auto"/>
              </w:rPr>
            </w:pPr>
          </w:p>
        </w:tc>
        <w:tc>
          <w:tcPr>
            <w:tcW w:w="12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Operations</w:t>
            </w:r>
          </w:p>
        </w:tc>
        <w:tc>
          <w:tcPr>
            <w:tcW w:w="16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and Other</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651,757</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36,278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83,279</w:t>
            </w:r>
          </w:p>
        </w:tc>
        <w:tc>
          <w:tcPr>
            <w:tcW w:w="2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771,314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89,372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188,613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2,157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280,142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charges and other</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8,924</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27,590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w:t>
            </w: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Management and royalty fees</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111,007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16,462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(127,469)</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expenses and other</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21,664</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19,647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33,408</w:t>
            </w: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74,719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1,420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4,247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8,037</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13,704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in income from unconsolidated affiliates</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555</w:t>
            </w: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Adjusted Property EBITDA </w:t>
            </w:r>
            <w:r>
              <w:rPr>
                <w:rFonts w:ascii="Arial" w:cs="Arial" w:eastAsia="Arial" w:hAnsi="Arial"/>
                <w:sz w:val="24"/>
                <w:szCs w:val="24"/>
                <w:color w:val="auto"/>
                <w:vertAlign w:val="superscript"/>
              </w:rPr>
              <w:t>(1)</w:t>
            </w: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72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884,144</w:t>
            </w:r>
          </w:p>
        </w:tc>
        <w:tc>
          <w:tcPr>
            <w:tcW w:w="240" w:type="dxa"/>
            <w:vAlign w:val="bottom"/>
          </w:tcPr>
          <w:p>
            <w:pPr>
              <w:spacing w:after="0"/>
              <w:rPr>
                <w:sz w:val="24"/>
                <w:szCs w:val="24"/>
                <w:color w:val="auto"/>
              </w:rPr>
            </w:pP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293,193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1,177,337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7"/>
          </w:tcPr>
          <w:p>
            <w:pPr>
              <w:ind w:lef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 xml:space="preserve">Adjusted Property EBITDA </w:t>
            </w:r>
            <w:r>
              <w:rPr>
                <w:rFonts w:ascii="Arial" w:cs="Arial" w:eastAsia="Arial" w:hAnsi="Arial"/>
                <w:sz w:val="14"/>
                <w:szCs w:val="14"/>
                <w:color w:val="auto"/>
                <w:vertAlign w:val="superscript"/>
              </w:rPr>
              <w:t>(1)</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1,312,434</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1,177,337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Pre-opening costs</w:t>
            </w:r>
          </w:p>
        </w:tc>
        <w:tc>
          <w:tcPr>
            <w:tcW w:w="1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(279,061)</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(280,142)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Property charges and other</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(13,571)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expenses and other</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(60,609)</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(74,719)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(35,072)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income</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11,595</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Interest expense, net of capitalized interest</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(222,690)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(211,017)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 in swap fair value</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13,131</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4,930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Loss on extinguishment of debt</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(26,578)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(24,491)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4,385</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Benefit for income taxes</w:t>
            </w: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11,299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12,483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72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713,671</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562,873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700" w:type="dxa"/>
            <w:vAlign w:val="bottom"/>
          </w:tcPr>
          <w:p>
            <w:pPr>
              <w:ind w:left="280"/>
              <w:spacing w:after="0"/>
              <w:rPr>
                <w:sz w:val="20"/>
                <w:szCs w:val="20"/>
                <w:color w:val="auto"/>
              </w:rPr>
            </w:pPr>
            <w:r>
              <w:rPr>
                <w:rFonts w:ascii="Arial" w:cs="Arial" w:eastAsia="Arial" w:hAnsi="Arial"/>
                <w:sz w:val="14"/>
                <w:szCs w:val="14"/>
                <w:color w:val="auto"/>
              </w:rPr>
              <w:t>Less: Net income attributable to noncontrolling interest</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(198,903)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(172,210)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7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attributable to Wynn Resorts, Limited</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514,768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390,663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800" w:type="dxa"/>
            <w:vAlign w:val="bottom"/>
          </w:tcPr>
          <w:p>
            <w:pPr>
              <w:jc w:val="right"/>
              <w:ind w:right="679"/>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DATA SCHEDULE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Three Months Ended</w:t>
            </w:r>
          </w:p>
        </w:tc>
        <w:tc>
          <w:tcPr>
            <w:tcW w:w="18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rPr>
              <w:t>September 30,</w:t>
            </w:r>
          </w:p>
        </w:tc>
        <w:tc>
          <w:tcPr>
            <w:tcW w:w="18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Room Statistics for Macau operations: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Occupancy %</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15"/>
                <w:szCs w:val="15"/>
                <w:color w:val="auto"/>
              </w:rPr>
              <w:t>(a)</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$310</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$313</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 xml:space="preserve">Revenue per available room (REVPAR) </w:t>
            </w:r>
            <w:r>
              <w:rPr>
                <w:rFonts w:ascii="Arial" w:cs="Arial" w:eastAsia="Arial" w:hAnsi="Arial"/>
                <w:sz w:val="15"/>
                <w:szCs w:val="15"/>
                <w:color w:val="auto"/>
              </w:rPr>
              <w:t>(b)</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information for Macau operations: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5"/>
                <w:szCs w:val="15"/>
                <w:color w:val="auto"/>
              </w:rPr>
              <w:t>(c)</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$25,927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$23,594</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$25,351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$23,803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15"/>
                <w:szCs w:val="15"/>
                <w:color w:val="auto"/>
              </w:rPr>
              <w:t>(d)</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$689</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$742</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Average number of table games</w:t>
            </w:r>
          </w:p>
        </w:tc>
        <w:tc>
          <w:tcPr>
            <w:tcW w:w="780" w:type="dxa"/>
            <w:vAlign w:val="bottom"/>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490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Average number of slot machines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864</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432"/>
        </w:trPr>
        <w:tc>
          <w:tcPr>
            <w:tcW w:w="7580" w:type="dxa"/>
            <w:vAlign w:val="bottom"/>
            <w:gridSpan w:val="2"/>
          </w:tcPr>
          <w:p>
            <w:pPr>
              <w:spacing w:after="0"/>
              <w:rPr>
                <w:sz w:val="20"/>
                <w:szCs w:val="20"/>
                <w:color w:val="auto"/>
              </w:rPr>
            </w:pPr>
            <w:r>
              <w:rPr>
                <w:rFonts w:ascii="Arial" w:cs="Arial" w:eastAsia="Arial" w:hAnsi="Arial"/>
                <w:sz w:val="18"/>
                <w:szCs w:val="18"/>
                <w:color w:val="auto"/>
              </w:rPr>
              <w:t>Room Statistics for Las Vegas operations: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Occupancy %</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87.9%</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85.9%</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 xml:space="preserve">Average Daily Rate (ADR) </w:t>
            </w:r>
            <w:r>
              <w:rPr>
                <w:rFonts w:ascii="Arial" w:cs="Arial" w:eastAsia="Arial" w:hAnsi="Arial"/>
                <w:sz w:val="15"/>
                <w:szCs w:val="15"/>
                <w:color w:val="auto"/>
              </w:rPr>
              <w:t>(a)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 xml:space="preserve">Revenue per available room (REVPAR) </w:t>
            </w:r>
            <w:r>
              <w:rPr>
                <w:rFonts w:ascii="Arial" w:cs="Arial" w:eastAsia="Arial" w:hAnsi="Arial"/>
                <w:sz w:val="15"/>
                <w:szCs w:val="15"/>
                <w:color w:val="auto"/>
              </w:rPr>
              <w:t>(b)</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$220</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$222</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432"/>
        </w:trPr>
        <w:tc>
          <w:tcPr>
            <w:tcW w:w="7580" w:type="dxa"/>
            <w:vAlign w:val="bottom"/>
            <w:gridSpan w:val="2"/>
          </w:tcPr>
          <w:p>
            <w:pPr>
              <w:spacing w:after="0"/>
              <w:rPr>
                <w:sz w:val="20"/>
                <w:szCs w:val="20"/>
                <w:color w:val="auto"/>
              </w:rPr>
            </w:pPr>
            <w:r>
              <w:rPr>
                <w:rFonts w:ascii="Arial" w:cs="Arial" w:eastAsia="Arial" w:hAnsi="Arial"/>
                <w:sz w:val="18"/>
                <w:szCs w:val="18"/>
                <w:color w:val="auto"/>
              </w:rPr>
              <w:t>Other information for Las Vegas operations: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15"/>
                <w:szCs w:val="15"/>
                <w:color w:val="auto"/>
              </w:rPr>
              <w:t>(c)</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$7,031</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$7,323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$7,027</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Table Win %</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15"/>
                <w:szCs w:val="15"/>
                <w:color w:val="auto"/>
              </w:rPr>
              <w:t>(d)</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$258</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$234</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Average number of table games</w:t>
            </w:r>
          </w:p>
        </w:tc>
        <w:tc>
          <w:tcPr>
            <w:tcW w:w="78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Average number of slot machines</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1,935</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2,347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2,082</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0" w:firstLine="8"/>
        <w:spacing w:after="0" w:line="246"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88" w:lineRule="exact"/>
        <w:rPr>
          <w:rFonts w:ascii="Arial" w:cs="Arial" w:eastAsia="Arial" w:hAnsi="Arial"/>
          <w:sz w:val="18"/>
          <w:szCs w:val="18"/>
          <w:color w:val="auto"/>
        </w:rPr>
      </w:pPr>
    </w:p>
    <w:p>
      <w:pPr>
        <w:ind w:right="840" w:firstLine="8"/>
        <w:spacing w:after="0" w:line="246"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 as applicable.</w:t>
      </w:r>
    </w:p>
    <w:p>
      <w:pPr>
        <w:spacing w:after="0" w:line="103"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rPr>
          <w:sz w:val="20"/>
          <w:szCs w:val="20"/>
          <w:color w:val="auto"/>
        </w:rPr>
      </w:pPr>
      <w:r>
        <w:rPr>
          <w:rFonts w:ascii="Arial" w:cs="Arial" w:eastAsia="Arial" w:hAnsi="Arial"/>
          <w:sz w:val="18"/>
          <w:szCs w:val="18"/>
          <w:color w:val="auto"/>
        </w:rPr>
        <w:t>Wynn Resorts, Limited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4" w:lineRule="auto"/>
        <w:rPr>
          <w:sz w:val="20"/>
          <w:szCs w:val="20"/>
          <w:color w:val="auto"/>
        </w:rPr>
      </w:pPr>
      <w:r>
        <w:rPr>
          <w:rFonts w:ascii="Arial" w:cs="Arial" w:eastAsia="Arial" w:hAnsi="Arial"/>
          <w:sz w:val="18"/>
          <w:szCs w:val="18"/>
          <w:color w:val="auto"/>
        </w:rPr>
        <w:t>Lewis Fanger, Vice President</w:t>
      </w:r>
    </w:p>
    <w:p>
      <w:pPr>
        <w:spacing w:after="0" w:line="235" w:lineRule="auto"/>
        <w:rPr>
          <w:sz w:val="20"/>
          <w:szCs w:val="20"/>
          <w:color w:val="auto"/>
        </w:rPr>
      </w:pPr>
      <w:r>
        <w:rPr>
          <w:rFonts w:ascii="Arial" w:cs="Arial" w:eastAsia="Arial" w:hAnsi="Arial"/>
          <w:sz w:val="18"/>
          <w:szCs w:val="18"/>
          <w:color w:val="auto"/>
        </w:rPr>
        <w:t>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2019-12-07T04:14:38Z</dcterms:created>
  <dcterms:modified xsi:type="dcterms:W3CDTF">2019-12-07T04:14:38Z</dcterms:modified>
</cp:coreProperties>
</file>