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IRANI RAY R</w:t>
              </w:r>
            </w:hyperlink>
          </w:p>
        </w:tc>
        <w:tc>
          <w:tcPr>
            <w:tcW w:w="10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gridSpan w:val="4"/>
            <w:vMerge w:val="continue"/>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vMerge w:val="restart"/>
          </w:tcPr>
          <w:p>
            <w:pPr>
              <w:ind w:left="6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60" w:type="dxa"/>
            <w:vAlign w:val="bottom"/>
            <w:tcBorders>
              <w:top w:val="single" w:sz="8" w:color="0000EE"/>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10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8"/>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600" w:type="dxa"/>
            <w:vAlign w:val="bottom"/>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04/20/2017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6"/>
            <w:vMerge w:val="restart"/>
          </w:tcPr>
          <w:p>
            <w:pPr>
              <w:spacing w:after="0"/>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4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9"/>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LAS VEGAS</w:t>
            </w:r>
          </w:p>
        </w:tc>
        <w:tc>
          <w:tcPr>
            <w:tcW w:w="300" w:type="dxa"/>
            <w:vAlign w:val="bottom"/>
            <w:gridSpan w:val="2"/>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600" w:type="dxa"/>
            <w:vAlign w:val="bottom"/>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gridSpan w:val="4"/>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21"/>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60" w:type="dxa"/>
            <w:vAlign w:val="bottom"/>
            <w:gridSpan w:val="5"/>
          </w:tcPr>
          <w:p>
            <w:pPr>
              <w:ind w:left="2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5"/>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60" w:type="dxa"/>
            <w:vAlign w:val="bottom"/>
            <w:tcBorders>
              <w:bottom w:val="single" w:sz="8" w:color="2C2C2C"/>
            </w:tcBorders>
            <w:gridSpan w:val="5"/>
          </w:tcPr>
          <w:p>
            <w:pPr>
              <w:jc w:val="right"/>
              <w:ind w:right="95"/>
              <w:spacing w:after="0"/>
              <w:rPr>
                <w:sz w:val="20"/>
                <w:szCs w:val="20"/>
                <w:color w:val="auto"/>
              </w:rPr>
            </w:pPr>
            <w:r>
              <w:rPr>
                <w:rFonts w:ascii="Arial" w:cs="Arial" w:eastAsia="Arial" w:hAnsi="Arial"/>
                <w:sz w:val="18"/>
                <w:szCs w:val="18"/>
                <w:color w:val="0000FF"/>
              </w:rPr>
              <w:t>04/20/2017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2,152</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4"/>
          </w:tcPr>
          <w:p>
            <w:pPr>
              <w:jc w:val="right"/>
              <w:ind w:right="90"/>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51,662</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21"/>
          </w:tcPr>
          <w:p>
            <w:pPr>
              <w:jc w:val="center"/>
              <w:ind w:left="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940" w:type="dxa"/>
            <w:vAlign w:val="bottom"/>
            <w:gridSpan w:val="16"/>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Restricted shares of common stock, par value $0.01 per share, of Wynn Resorts, Limited (the "Company") granted pursuant to the Company's 2014 Omnibus Incentive Plan. Shares will vest pro rata, 25% per year on each anniversary of the date of grant, provided that if the reporting person's service with the Company is terminated for any reason, all restricted shares that are subject to restrictions upon the date of termination shall be forfeited.</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spacing w:after="0" w:line="28" w:lineRule="exact"/>
        <w:rPr>
          <w:sz w:val="20"/>
          <w:szCs w:val="20"/>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Kathleen Tam,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04/24/2017</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Ray R. Irani</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Craig Billings,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20th day of April,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color w:val="auto"/>
        </w:rPr>
        <w:t>Signed: /s/ Ray R. Irani______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5246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524635" cy="8890"/>
                    </a:xfrm>
                    <a:prstGeom prst="rect">
                      <a:avLst/>
                    </a:prstGeom>
                    <a:noFill/>
                  </pic:spPr>
                </pic:pic>
              </a:graphicData>
            </a:graphic>
          </wp:anchor>
        </w:drawing>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26532"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2019-12-23T22:14:51Z</dcterms:created>
  <dcterms:modified xsi:type="dcterms:W3CDTF">2019-12-23T22:14:51Z</dcterms:modified>
</cp:coreProperties>
</file>