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February 10, 2015, Wynn Resorts, Limited (“Wynn Resorts”) issued a press release announcing that its indirect wholly owned subsidiary, Wynn Las Vegas, LLC (“Wynn Las Vegas”), has commenced a cash tender offer for any and all of the outstanding $1,226.6 million aggregate principal amount of 7¾% First Mortgage Notes due 2020 and any and all of its outstanding $377.01 million aggregate principal amount of 7⅞% First Mortgage Notes due 2020, in each case issued by Wynn Las Vegas and Wynn Las Vegas Capital Corp, an indirect wholly owned subsidiary of Wynn Resorts (“Wynn Las Vegas Capital”). A copy of the press release is attached hereto as Exhibit 99.1 and is hereby incorporated by reference.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Separately, on February 10, 2015, Wynn Resorts issued a press release announcing that Wynn Las Vegas and Wynn Las Vegas Capital plan to offer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$1,750.0 million aggregate principal amount of Senior Notes due 2025 (the “2025 notes”). This Current Report on Form 8-K shall not constitute an offer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 or the solicitation of an offer to buy, nor shall there be any sale of the 2025 notes in any state in which such offer, solicitation or sale would be unlawful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registration or qualification under the securities laws of any such state. A copy of the press release is attached hereto as Exhibit 99.2 and is hereby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89"/>
              </w:rPr>
              <w:t>Press release, dated February 10, 2015, of Wynn Resorts, Limited.</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89"/>
              </w:rPr>
              <w:t>Press release, dated February 10, 2015, of Wynn Resorts, Limited.</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February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240" w:type="dxa"/>
            <w:vAlign w:val="bottom"/>
          </w:tcPr>
          <w:p>
            <w:pPr>
              <w:spacing w:after="0"/>
              <w:rPr>
                <w:sz w:val="20"/>
                <w:szCs w:val="20"/>
                <w:color w:val="auto"/>
              </w:rPr>
            </w:pPr>
            <w:r>
              <w:rPr>
                <w:rFonts w:ascii="Arial" w:cs="Arial" w:eastAsia="Arial" w:hAnsi="Arial"/>
                <w:sz w:val="18"/>
                <w:szCs w:val="18"/>
                <w:color w:val="auto"/>
              </w:rPr>
              <w:t>Dated: February 10, 2015</w:t>
            </w: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24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2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240" w:type="dxa"/>
            <w:vAlign w:val="bottom"/>
          </w:tcPr>
          <w:p>
            <w:pPr>
              <w:spacing w:after="0"/>
              <w:rPr>
                <w:sz w:val="24"/>
                <w:szCs w:val="24"/>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Stephen Cootey</w:t>
            </w:r>
          </w:p>
        </w:tc>
      </w:tr>
      <w:tr>
        <w:trPr>
          <w:trHeight w:val="27"/>
        </w:trPr>
        <w:tc>
          <w:tcPr>
            <w:tcW w:w="4240" w:type="dxa"/>
            <w:vAlign w:val="bottom"/>
          </w:tcPr>
          <w:p>
            <w:pPr>
              <w:spacing w:after="0"/>
              <w:rPr>
                <w:sz w:val="2"/>
                <w:szCs w:val="2"/>
                <w:color w:val="auto"/>
              </w:rPr>
            </w:pPr>
          </w:p>
        </w:tc>
        <w:tc>
          <w:tcPr>
            <w:tcW w:w="7140" w:type="dxa"/>
            <w:vAlign w:val="bottom"/>
            <w:gridSpan w:val="2"/>
          </w:tcPr>
          <w:p>
            <w:pPr>
              <w:spacing w:after="0"/>
              <w:rPr>
                <w:sz w:val="2"/>
                <w:szCs w:val="2"/>
                <w:color w:val="auto"/>
              </w:rPr>
            </w:pPr>
          </w:p>
        </w:tc>
      </w:tr>
      <w:tr>
        <w:trPr>
          <w:trHeight w:val="224"/>
        </w:trPr>
        <w:tc>
          <w:tcPr>
            <w:tcW w:w="4240" w:type="dxa"/>
            <w:vAlign w:val="bottom"/>
          </w:tcPr>
          <w:p>
            <w:pPr>
              <w:spacing w:after="0"/>
              <w:rPr>
                <w:sz w:val="19"/>
                <w:szCs w:val="19"/>
                <w:color w:val="auto"/>
              </w:rPr>
            </w:pPr>
          </w:p>
        </w:tc>
        <w:tc>
          <w:tcPr>
            <w:tcW w:w="2920" w:type="dxa"/>
            <w:vAlign w:val="bottom"/>
          </w:tcPr>
          <w:p>
            <w:pPr>
              <w:ind w:left="2380"/>
              <w:spacing w:after="0"/>
              <w:rPr>
                <w:sz w:val="20"/>
                <w:szCs w:val="20"/>
                <w:color w:val="auto"/>
              </w:rPr>
            </w:pPr>
            <w:r>
              <w:rPr>
                <w:rFonts w:ascii="Arial" w:cs="Arial" w:eastAsia="Arial" w:hAnsi="Arial"/>
                <w:sz w:val="18"/>
                <w:szCs w:val="18"/>
                <w:color w:val="auto"/>
                <w:w w:val="77"/>
              </w:rPr>
              <w:t>Stephen</w:t>
            </w:r>
          </w:p>
        </w:tc>
        <w:tc>
          <w:tcPr>
            <w:tcW w:w="4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Cootey</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3"/>
              </w:rPr>
              <w:t>Press release, dated February 10, 2015, of Wynn Resorts, Limited.</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3"/>
                <w:szCs w:val="23"/>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3"/>
              </w:rPr>
              <w:t>Press release, dated February 10, 2015,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6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Wynn Resorts Announces Commencement of Tender Offer for Cash by Wynn Las Vegas, LLC for Any and All of its 7¾% First Mortgage Notes due 2020 and Any and All of its 7⅞% First Mortgage Notes Due 2020</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LAS VEGAS, February 10, 2015 (BUSINESS WIRE) - Wynn Resorts, Limited (NASDAQ:WYNN) announced today that its indirect wholly owned subsidiary, Wynn Las Vegas, LLC, has commenced a cash tender offer (the “Tender Offer”) for any and all its outstanding $1,226.6 million aggregate principal amount of 7¾% First Mortgage Notes due 2020 (the “7¾% Notes “) and any and all of its outstanding $377.01 million aggregate principal amount of 7⅞% First Mortgage Notes due 2020 (the “7⅞% Notes” and, together with the 7¾% Notes, the “2020 Notes”).</w:t>
      </w:r>
    </w:p>
    <w:p>
      <w:pPr>
        <w:spacing w:after="0" w:line="17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Tender Offer is scheduled to expire at midnight, New York City time, in the evening of February 17, 2015 unless extended or earlier terminated (such time, as may be extended, the “Expiration Time”). Holders who validly tender their 2020 Notes prior to the Expiration Time will be eligible to receive $1,073.82 for each $1,000 principal amount of 7¾% Notes and $1,054.21 for each $1,000 principal amount of 7⅞% Notes.</w:t>
      </w:r>
    </w:p>
    <w:p>
      <w:pPr>
        <w:spacing w:after="0" w:line="16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Tendered 2020 Notes may not be withdrawn, except as may be required by applicable law. Completion of the Tender Offer is subject to certain market and other conditions, including the completion by Wynn Las Vegas, LLC and Wynn Las Vegas Capital Corporation (the “issuers”) of an offering of senior notes on terms and conditions satisfactory to the issuers. Settlement of the Tender Offer will occur promptly after the Expiration Time, unless terminated.</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press release shall not constitute an offer to purchase or the solicitation of an offer to sell the 2020 Notes. The complete terms and conditions of the Tender Offer are described in the Offer to Purchase dated as of February 10, 2015, the related Letter of Transmittal and a Notice of Guaranteed Delivery, copies of which may be obtained from D.F. King &amp; Co., Inc., the tender and information agent for the Tender Offer, at http://www.dfking.com/wynn, by telephone at (800) 591-8236 (U.S. toll free) and (212) 269-5550 (banks and brokers) or in writing at D.F. King &amp; Co., Inc., 48 Wall Street, 22nd Floor, New York, NY 10005, Attention: Krystal Scrudato.</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Wynn Las Vegas, LLC has engaged Deutsche Bank Securities Inc. to act as the dealer manager in connection with the Tender Offer. Questions regarding the terms of the Tender Offer may be directed to Deutsche Bank Securities Inc. by telephone at (855) 287-1922 (U.S. toll-free) and (212) 250-7525 (collect).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release contains forward-looking statements, including those related to the tender for 2020 Notes and whether or not Wynn Las Vegas, LLC will consummate the tender offer.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2013 and Quarterly Reports on Form 10-Q for the fiscal quarters ended March 31, 2014, June 30, 2014 and September 30, 2014 and Wynn Las Vegas, LLC’ s and Wynn Resorts, Limited’s periodic reports filed with the Securities and Exchange Commission. Neither Wynn Resorts, Limited nor Wynn Las Vegas, LLC are under any obligation to (and expressly disclaim any such obligation to) update their forward-looking statements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Cootey,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Announces Private Offering of $1.75 billion Aggregate Principal Amount of Wynn Las Vegas Senior Notes due 2025</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LAS VEGAS, February 10, 2015 (BUSINESS WIRE) - Wynn Resorts, Limited (NASDAQ: WYNN) announced today that Wynn Las Vegas, LLC and Wynn Las Vegas Capital Corp. (the “issuers”), each an indirect wholly-owned subsidiary of Wynn Resorts, Limited, are offering $1.75 billion aggregate principal amount of Senior Notes due 2025 (the “Notes”). Wynn Las Vegas, LLC plans to use the net proceeds from the offering to purchase any and all of the issuers’ outstanding $1,226.6 million aggregate principal amount of 7¾% First Mortgage Notes due 2020 (the “7¾% Notes”) and any and all of the issuers’ outstanding $377.01 million aggregate principal amount of 7⅞% First Mortgage Notes due 2020 (the “7⅞% Notes” and, together with the 7¾% Notes, the “2020 Notes”) pursuant to a cash tender offer with respect to the 2020 Notes announced today. In addition, Wynn Las Vegas, LLC intends to satisfy and discharge the indentures governing each of the 7¾% Notes and 7⅞% Notes and use any remaining net proceeds from the offering to redeem any 7¾% Notes and 7⅞% Notes not tendered and for general corporate purposes.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2013 and Quarterly Reports on Form 10-Q for the fiscal quarters ended March 31, 2014, June 30, 2014 and September 30, 2014 and Wynn Las Vegas, LLC’s and Wynn Resorts, Limited’s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Cootey,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2019-12-08T01:34:41Z</dcterms:created>
  <dcterms:modified xsi:type="dcterms:W3CDTF">2019-12-08T01:34:41Z</dcterms:modified>
</cp:coreProperties>
</file>