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287020</wp:posOffset>
            </wp:positionV>
            <wp:extent cx="2846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178435</wp:posOffset>
            </wp:positionV>
            <wp:extent cx="2846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191135</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0"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2800" w:type="dxa"/>
            <w:vAlign w:val="bottom"/>
          </w:tcPr>
          <w:p>
            <w:pPr>
              <w:jc w:val="center"/>
              <w:ind w:right="219"/>
              <w:spacing w:after="0"/>
              <w:rPr>
                <w:sz w:val="20"/>
                <w:szCs w:val="20"/>
                <w:color w:val="auto"/>
              </w:rPr>
            </w:pPr>
            <w:r>
              <w:rPr>
                <w:rFonts w:ascii="Arial" w:cs="Arial" w:eastAsia="Arial" w:hAnsi="Arial"/>
                <w:sz w:val="18"/>
                <w:szCs w:val="18"/>
                <w:b w:val="1"/>
                <w:bCs w:val="1"/>
                <w:color w:val="auto"/>
                <w:w w:val="90"/>
              </w:rPr>
              <w:t>Nevada</w:t>
            </w:r>
          </w:p>
        </w:tc>
        <w:tc>
          <w:tcPr>
            <w:tcW w:w="4480" w:type="dxa"/>
            <w:vAlign w:val="bottom"/>
          </w:tcPr>
          <w:p>
            <w:pPr>
              <w:ind w:left="1760"/>
              <w:spacing w:after="0"/>
              <w:rPr>
                <w:sz w:val="20"/>
                <w:szCs w:val="20"/>
                <w:color w:val="auto"/>
              </w:rPr>
            </w:pPr>
            <w:r>
              <w:rPr>
                <w:rFonts w:ascii="Arial" w:cs="Arial" w:eastAsia="Arial" w:hAnsi="Arial"/>
                <w:sz w:val="18"/>
                <w:szCs w:val="18"/>
                <w:b w:val="1"/>
                <w:bCs w:val="1"/>
                <w:color w:val="auto"/>
              </w:rPr>
              <w:t>000-50028</w:t>
            </w:r>
          </w:p>
        </w:tc>
        <w:tc>
          <w:tcPr>
            <w:tcW w:w="202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00" w:type="dxa"/>
            <w:vAlign w:val="bottom"/>
          </w:tcPr>
          <w:p>
            <w:pPr>
              <w:jc w:val="center"/>
              <w:ind w:right="219"/>
              <w:spacing w:after="0"/>
              <w:rPr>
                <w:sz w:val="20"/>
                <w:szCs w:val="20"/>
                <w:color w:val="auto"/>
              </w:rPr>
            </w:pPr>
            <w:r>
              <w:rPr>
                <w:rFonts w:ascii="Arial" w:cs="Arial" w:eastAsia="Arial" w:hAnsi="Arial"/>
                <w:sz w:val="14"/>
                <w:szCs w:val="14"/>
                <w:b w:val="1"/>
                <w:bCs w:val="1"/>
                <w:color w:val="auto"/>
                <w:w w:val="94"/>
              </w:rPr>
              <w:t>(State or other jurisdiction</w:t>
            </w:r>
          </w:p>
        </w:tc>
        <w:tc>
          <w:tcPr>
            <w:tcW w:w="4480" w:type="dxa"/>
            <w:vAlign w:val="bottom"/>
          </w:tcPr>
          <w:p>
            <w:pPr>
              <w:ind w:left="1740"/>
              <w:spacing w:after="0"/>
              <w:rPr>
                <w:sz w:val="20"/>
                <w:szCs w:val="20"/>
                <w:color w:val="auto"/>
              </w:rPr>
            </w:pPr>
            <w:r>
              <w:rPr>
                <w:rFonts w:ascii="Arial" w:cs="Arial" w:eastAsia="Arial" w:hAnsi="Arial"/>
                <w:sz w:val="14"/>
                <w:szCs w:val="14"/>
                <w:b w:val="1"/>
                <w:bCs w:val="1"/>
                <w:color w:val="auto"/>
              </w:rPr>
              <w:t>(Commission</w:t>
            </w:r>
          </w:p>
        </w:tc>
        <w:tc>
          <w:tcPr>
            <w:tcW w:w="2020" w:type="dxa"/>
            <w:vAlign w:val="bottom"/>
          </w:tcPr>
          <w:p>
            <w:pPr>
              <w:jc w:val="center"/>
              <w:ind w:left="8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00" w:type="dxa"/>
            <w:vAlign w:val="bottom"/>
          </w:tcPr>
          <w:p>
            <w:pPr>
              <w:jc w:val="center"/>
              <w:ind w:right="219"/>
              <w:spacing w:after="0"/>
              <w:rPr>
                <w:sz w:val="20"/>
                <w:szCs w:val="20"/>
                <w:color w:val="auto"/>
              </w:rPr>
            </w:pPr>
            <w:r>
              <w:rPr>
                <w:rFonts w:ascii="Arial" w:cs="Arial" w:eastAsia="Arial" w:hAnsi="Arial"/>
                <w:sz w:val="14"/>
                <w:szCs w:val="14"/>
                <w:b w:val="1"/>
                <w:bCs w:val="1"/>
                <w:color w:val="auto"/>
                <w:w w:val="94"/>
              </w:rPr>
              <w:t>of incorporation)</w:t>
            </w:r>
          </w:p>
        </w:tc>
        <w:tc>
          <w:tcPr>
            <w:tcW w:w="4480" w:type="dxa"/>
            <w:vAlign w:val="bottom"/>
          </w:tcPr>
          <w:p>
            <w:pPr>
              <w:ind w:left="1740"/>
              <w:spacing w:after="0"/>
              <w:rPr>
                <w:sz w:val="20"/>
                <w:szCs w:val="20"/>
                <w:color w:val="auto"/>
              </w:rPr>
            </w:pPr>
            <w:r>
              <w:rPr>
                <w:rFonts w:ascii="Arial" w:cs="Arial" w:eastAsia="Arial" w:hAnsi="Arial"/>
                <w:sz w:val="14"/>
                <w:szCs w:val="14"/>
                <w:b w:val="1"/>
                <w:bCs w:val="1"/>
                <w:color w:val="auto"/>
              </w:rPr>
              <w:t>File Number)</w:t>
            </w:r>
          </w:p>
        </w:tc>
        <w:tc>
          <w:tcPr>
            <w:tcW w:w="2020" w:type="dxa"/>
            <w:vAlign w:val="bottom"/>
          </w:tcPr>
          <w:p>
            <w:pPr>
              <w:jc w:val="center"/>
              <w:ind w:left="821"/>
              <w:spacing w:after="0"/>
              <w:rPr>
                <w:sz w:val="20"/>
                <w:szCs w:val="20"/>
                <w:color w:val="auto"/>
              </w:rPr>
            </w:pPr>
            <w:r>
              <w:rPr>
                <w:rFonts w:ascii="Arial" w:cs="Arial" w:eastAsia="Arial" w:hAnsi="Arial"/>
                <w:sz w:val="14"/>
                <w:szCs w:val="14"/>
                <w:b w:val="1"/>
                <w:bCs w:val="1"/>
                <w:color w:val="auto"/>
                <w:w w:val="94"/>
              </w:rPr>
              <w:t>Identification No.)</w:t>
            </w:r>
          </w:p>
        </w:tc>
      </w:tr>
      <w:tr>
        <w:trPr>
          <w:trHeight w:val="255"/>
        </w:trPr>
        <w:tc>
          <w:tcPr>
            <w:tcW w:w="280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3131 Las Vegas Boulevard South</w:t>
            </w:r>
          </w:p>
        </w:tc>
        <w:tc>
          <w:tcPr>
            <w:tcW w:w="448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70"/>
        </w:trPr>
        <w:tc>
          <w:tcPr>
            <w:tcW w:w="2800" w:type="dxa"/>
            <w:vAlign w:val="bottom"/>
          </w:tcPr>
          <w:p>
            <w:pPr>
              <w:ind w:left="420"/>
              <w:spacing w:after="0"/>
              <w:rPr>
                <w:sz w:val="20"/>
                <w:szCs w:val="20"/>
                <w:color w:val="auto"/>
              </w:rPr>
            </w:pPr>
            <w:r>
              <w:rPr>
                <w:rFonts w:ascii="Arial" w:cs="Arial" w:eastAsia="Arial" w:hAnsi="Arial"/>
                <w:sz w:val="18"/>
                <w:szCs w:val="18"/>
                <w:b w:val="1"/>
                <w:bCs w:val="1"/>
                <w:color w:val="auto"/>
              </w:rPr>
              <w:t>Las Vegas, Nevada</w:t>
            </w:r>
          </w:p>
        </w:tc>
        <w:tc>
          <w:tcPr>
            <w:tcW w:w="4480" w:type="dxa"/>
            <w:vAlign w:val="bottom"/>
          </w:tcPr>
          <w:p>
            <w:pPr>
              <w:spacing w:after="0"/>
              <w:rPr>
                <w:sz w:val="23"/>
                <w:szCs w:val="23"/>
                <w:color w:val="auto"/>
              </w:rPr>
            </w:pPr>
          </w:p>
        </w:tc>
        <w:tc>
          <w:tcPr>
            <w:tcW w:w="202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7"/>
        </w:trPr>
        <w:tc>
          <w:tcPr>
            <w:tcW w:w="280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80" w:type="dxa"/>
            <w:vAlign w:val="bottom"/>
          </w:tcPr>
          <w:p>
            <w:pPr>
              <w:spacing w:after="0"/>
              <w:rPr>
                <w:sz w:val="18"/>
                <w:szCs w:val="18"/>
                <w:color w:val="auto"/>
              </w:rPr>
            </w:pPr>
          </w:p>
        </w:tc>
        <w:tc>
          <w:tcPr>
            <w:tcW w:w="2020" w:type="dxa"/>
            <w:vAlign w:val="bottom"/>
          </w:tcPr>
          <w:p>
            <w:pPr>
              <w:jc w:val="center"/>
              <w:ind w:left="821"/>
              <w:spacing w:after="0"/>
              <w:rPr>
                <w:sz w:val="20"/>
                <w:szCs w:val="20"/>
                <w:color w:val="auto"/>
              </w:rPr>
            </w:pPr>
            <w:r>
              <w:rPr>
                <w:rFonts w:ascii="Arial" w:cs="Arial" w:eastAsia="Arial" w:hAnsi="Arial"/>
                <w:sz w:val="14"/>
                <w:szCs w:val="14"/>
                <w:b w:val="1"/>
                <w:bCs w:val="1"/>
                <w:color w:val="auto"/>
                <w:w w:val="98"/>
              </w:rPr>
              <w:t>(Zip Code)</w:t>
            </w:r>
          </w:p>
        </w:tc>
      </w:tr>
      <w:tr>
        <w:trPr>
          <w:trHeight w:val="691"/>
        </w:trPr>
        <w:tc>
          <w:tcPr>
            <w:tcW w:w="28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0"/>
              </w:rPr>
              <w:t>(702) 770-7555</w:t>
            </w:r>
          </w:p>
        </w:tc>
        <w:tc>
          <w:tcPr>
            <w:tcW w:w="2020" w:type="dxa"/>
            <w:vAlign w:val="bottom"/>
          </w:tcPr>
          <w:p>
            <w:pPr>
              <w:spacing w:after="0"/>
              <w:rPr>
                <w:sz w:val="24"/>
                <w:szCs w:val="24"/>
                <w:color w:val="auto"/>
              </w:rPr>
            </w:pPr>
          </w:p>
        </w:tc>
      </w:tr>
      <w:tr>
        <w:trPr>
          <w:trHeight w:val="186"/>
        </w:trPr>
        <w:tc>
          <w:tcPr>
            <w:tcW w:w="280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020" w:type="dxa"/>
            <w:vAlign w:val="bottom"/>
          </w:tcPr>
          <w:p>
            <w:pPr>
              <w:spacing w:after="0"/>
              <w:rPr>
                <w:sz w:val="16"/>
                <w:szCs w:val="16"/>
                <w:color w:val="auto"/>
              </w:rPr>
            </w:pPr>
          </w:p>
        </w:tc>
      </w:tr>
      <w:tr>
        <w:trPr>
          <w:trHeight w:val="408"/>
        </w:trPr>
        <w:tc>
          <w:tcPr>
            <w:tcW w:w="28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2020" w:type="dxa"/>
            <w:vAlign w:val="bottom"/>
          </w:tcPr>
          <w:p>
            <w:pPr>
              <w:spacing w:after="0"/>
              <w:rPr>
                <w:sz w:val="24"/>
                <w:szCs w:val="24"/>
                <w:color w:val="auto"/>
              </w:rPr>
            </w:pPr>
          </w:p>
        </w:tc>
      </w:tr>
      <w:tr>
        <w:trPr>
          <w:trHeight w:val="186"/>
        </w:trPr>
        <w:tc>
          <w:tcPr>
            <w:tcW w:w="280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020" w:type="dxa"/>
            <w:vAlign w:val="bottom"/>
          </w:tcPr>
          <w:p>
            <w:pPr>
              <w:spacing w:after="0"/>
              <w:rPr>
                <w:sz w:val="16"/>
                <w:szCs w:val="16"/>
                <w:color w:val="auto"/>
              </w:rPr>
            </w:pPr>
          </w:p>
        </w:tc>
      </w:tr>
      <w:tr>
        <w:trPr>
          <w:trHeight w:val="25"/>
        </w:trPr>
        <w:tc>
          <w:tcPr>
            <w:tcW w:w="280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bl>
    <w:p>
      <w:pPr>
        <w:spacing w:after="0" w:line="37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6"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298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86"/>
              </w:rPr>
              <w:t>Title of each class</w:t>
            </w:r>
          </w:p>
        </w:tc>
        <w:tc>
          <w:tcPr>
            <w:tcW w:w="3160" w:type="dxa"/>
            <w:vAlign w:val="bottom"/>
            <w:gridSpan w:val="2"/>
          </w:tcPr>
          <w:p>
            <w:pPr>
              <w:jc w:val="center"/>
              <w:ind w:right="1720"/>
              <w:spacing w:after="0"/>
              <w:rPr>
                <w:sz w:val="20"/>
                <w:szCs w:val="20"/>
                <w:color w:val="auto"/>
              </w:rPr>
            </w:pPr>
            <w:r>
              <w:rPr>
                <w:rFonts w:ascii="Arial" w:cs="Arial" w:eastAsia="Arial" w:hAnsi="Arial"/>
                <w:sz w:val="18"/>
                <w:szCs w:val="18"/>
                <w:b w:val="1"/>
                <w:bCs w:val="1"/>
                <w:color w:val="auto"/>
                <w:w w:val="91"/>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460" w:type="dxa"/>
            <w:vAlign w:val="bottom"/>
            <w:gridSpan w:val="3"/>
          </w:tcPr>
          <w:p>
            <w:pPr>
              <w:jc w:val="center"/>
              <w:ind w:right="1160"/>
              <w:spacing w:after="0"/>
              <w:rPr>
                <w:sz w:val="20"/>
                <w:szCs w:val="20"/>
                <w:color w:val="auto"/>
              </w:rPr>
            </w:pPr>
            <w:r>
              <w:rPr>
                <w:rFonts w:ascii="Arial" w:cs="Arial" w:eastAsia="Arial" w:hAnsi="Arial"/>
                <w:sz w:val="18"/>
                <w:szCs w:val="18"/>
                <w:color w:val="auto"/>
                <w:w w:val="90"/>
              </w:rPr>
              <w:t>Common stock, par value $0.01</w:t>
            </w:r>
          </w:p>
        </w:tc>
        <w:tc>
          <w:tcPr>
            <w:tcW w:w="3160" w:type="dxa"/>
            <w:vAlign w:val="bottom"/>
            <w:gridSpan w:val="2"/>
          </w:tcPr>
          <w:p>
            <w:pPr>
              <w:jc w:val="center"/>
              <w:ind w:right="1720"/>
              <w:spacing w:after="0"/>
              <w:rPr>
                <w:sz w:val="20"/>
                <w:szCs w:val="20"/>
                <w:color w:val="auto"/>
              </w:rPr>
            </w:pPr>
            <w:r>
              <w:rPr>
                <w:rFonts w:ascii="Arial" w:cs="Arial" w:eastAsia="Arial" w:hAnsi="Arial"/>
                <w:sz w:val="18"/>
                <w:szCs w:val="18"/>
                <w:color w:val="auto"/>
              </w:rPr>
              <w:t>WYNN</w:t>
            </w: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20"/>
        <w:spacing w:after="0" w:line="249"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8"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ind w:left="20"/>
        <w:spacing w:after="0"/>
        <w:tabs>
          <w:tab w:leader="none" w:pos="13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4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On May 6, 2020, Wynn Resorts, Limited issued a press release announcing its results of operations for the quarter ended March 31, 2020.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65"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302"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48"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On May 6, 2020, the Company announced that it has suspended its quarterly dividend program due to the financial impact of the COVID-19 pandemic.</w:t>
      </w:r>
    </w:p>
    <w:p>
      <w:pPr>
        <w:spacing w:after="0" w:line="247"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48" w:lineRule="exact"/>
        <w:rPr>
          <w:sz w:val="20"/>
          <w:szCs w:val="20"/>
          <w:color w:val="auto"/>
        </w:rPr>
      </w:pPr>
    </w:p>
    <w:p>
      <w:pPr>
        <w:ind w:left="580" w:hanging="53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60" w:type="dxa"/>
            <w:vAlign w:val="bottom"/>
          </w:tcPr>
          <w:p>
            <w:pPr>
              <w:spacing w:after="0"/>
              <w:rPr>
                <w:sz w:val="14"/>
                <w:szCs w:val="14"/>
                <w:color w:val="auto"/>
              </w:rPr>
            </w:pPr>
          </w:p>
        </w:tc>
        <w:tc>
          <w:tcPr>
            <w:tcW w:w="98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4"/>
                <w:szCs w:val="24"/>
                <w:color w:val="auto"/>
              </w:rPr>
            </w:pPr>
          </w:p>
        </w:tc>
        <w:tc>
          <w:tcPr>
            <w:tcW w:w="9860" w:type="dxa"/>
            <w:vAlign w:val="bottom"/>
            <w:gridSpan w:val="2"/>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May 6, 2020, of Wynn Resorts, Limited.</w:t>
              </w:r>
            </w:hyperlink>
          </w:p>
        </w:tc>
      </w:tr>
      <w:tr>
        <w:trPr>
          <w:trHeight w:val="243"/>
        </w:trPr>
        <w:tc>
          <w:tcPr>
            <w:tcW w:w="72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1"/>
                <w:szCs w:val="21"/>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62"/>
        </w:trPr>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9"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WYNN RESORTS, LIMITED</w:t>
      </w:r>
    </w:p>
    <w:p>
      <w:pPr>
        <w:spacing w:after="0" w:line="121" w:lineRule="exact"/>
        <w:rPr>
          <w:sz w:val="20"/>
          <w:szCs w:val="20"/>
          <w:color w:val="auto"/>
        </w:rPr>
      </w:pPr>
    </w:p>
    <w:p>
      <w:pPr>
        <w:ind w:left="20"/>
        <w:spacing w:after="0"/>
        <w:tabs>
          <w:tab w:leader="none" w:pos="6460" w:val="left"/>
          <w:tab w:leader="none" w:pos="7180" w:val="left"/>
        </w:tabs>
        <w:rPr>
          <w:sz w:val="20"/>
          <w:szCs w:val="20"/>
          <w:color w:val="auto"/>
        </w:rPr>
      </w:pPr>
      <w:r>
        <w:rPr>
          <w:rFonts w:ascii="Arial" w:cs="Arial" w:eastAsia="Arial" w:hAnsi="Arial"/>
          <w:sz w:val="18"/>
          <w:szCs w:val="18"/>
          <w:color w:val="auto"/>
        </w:rPr>
        <w:t>Dated: May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31750</wp:posOffset>
            </wp:positionV>
            <wp:extent cx="261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4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Chief Financial Officer and Treasurer</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First Quarter 2020 Results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LAS VEGAS, May 6, 2020 — Wynn Resorts, Limited (NASDAQ: WYNN) (the "Company") today reported financial results for the quarter ended March 31, 2020.</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revenues were $953.7 million for the first quarter of 2020, a decrease of 42.3%, or $697.8 million, from $1.65 billion for the first quarter of 2019. Net loss attributable to Wynn Resorts, Limited was $402.0 million, or $3.77 per diluted share, for the first quarter of 2020, compared to net income attributable to Wynn Resorts, Limited of $104.9 million, or $0.98 per diluted share, in the first quarter of 2019. Adjusted Property EBITDA (1) was $(5.3) million for the first quarter of 2020, which includes the impact of $75.7 million of expense accrued during the quarter related to our commitment to pay salary, tips, and benefits continuation for all of our U.S. employees for the period from April 1 through May 15, 2020. Adjusted Property EBITDA was $494.8 million for the first quarter of 2019.</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leadership team has been working side-by-side with our host communities, fellow industry leaders and world-class medical experts to identify and implement strategies to mitigate the impact of the virus on our team members, our guests and our broader communities," said Matt Maddox, CEO of Wynn Resorts, Limited. "In mid-March we led the industry by identifying the need for short-term closure in Las Vegas and Boston, thereby doing our part to 'flatten the curve.' Concurrently, we decided to invest in the health and safety of our approximately 30,000 team members globally by committing to pay their full wages and benefits through May. We continue to play a leadership role in the industry’s re-emergence, most recently producing a detailed reopening plan on April 19, developed in consultation with medical experts from Georgetown and Johns Hopkins Universities, which we believe will be the gold standard for sanitization and customer safety."</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same time, we have also been focused on our long-term business prospects, taking steps to bolster our already strong liquidity position by opportunistically issuing $600 million of unsecured notes and increasing our financial flexibility. While the current environment is clearly challenging, we are confident that travel and tourism will recover in both the U.S. and China, and our industry leading assets, fortress balance sheet and talented team members position the Company to thrive in the years ahead."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revenues were $953.7 million for the first quarter of 2020, a decrease of 42.3%, or $697.8 million, from $1.65 billion for the first quarter of 2019. Operating revenues decreased $467.1 million, $294.4 million, and $77.2 million at Wynn Palace, Wynn Macau, and our Las Vegas Operations, respectively, from the first quarter of 2019. The decrease in operating revenues at Wynn Palace, Wynn Macau, and our Las Vegas Operations was partially offset by operating revenues from Encore Boston Harbor of $140.9 million.</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a U.S. generally accepted accounting principles ("GAAP") basis, net loss attributable to Wynn Resorts, Limited was $402.0 million, or $3.77 per diluted share, for the first quarter of 2020, compared to net income attributable to Wynn Resorts, Limited of $104.9 million, or $0.98 per diluted share, in the first quarter of 2019. Adjusted net loss attributable to Wynn Resorts, Limited (2) was $377.9 million, or $3.54 per diluted share, for the first quarter of 2020, compared to adjusted net income attributable to Wynn Resorts, Limited of $172.6 million, or $1.61 per diluted share, for the first quarter of 2019.</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Property EBITDA was $(5.3) million for the first quarter of 2020, which includes the impact of $75.7 million of expense accrued during the quarter related to our commitment to pay salary, tips and benefits continuation for all of our U.S. employees for the period from April 1 through May 15, 2020. Adjusted Property EBITDA was $494.8 million for the first quarter of 2019. Adjusted Property EBITDA decreased $212.4 million, $144.7 million, and $130.4 million at Wynn Palace, Wynn Macau, and our Las Vegas Operations, respectively. Adjusted Property EBITDA from Encore Boston Harbor was $(12.6) million.</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Company also announced today that it has suspended its quarterly dividend program due to the financial impact of the coronavirus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Property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 Operations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casino operations at Wynn Palace and Wynn Macau were closed for a 15-day period in February 2020 and resumed operations on a reduced basis on February 20, 2020. Our casinos’ operations have since been fully restored; however, certain public health safeguards, such as traveler quarantines, limiting the number of seats per table game, slot machine spacing, temperature checks, mask protection, and health declarations remain in effect at the present time. We are currently unable to determine when these measures will be lifted.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Palace</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Operating revenues from Wynn Palace were $259.5 million for the first quarter of 2020, a 64.3% decrease from $726.6 million for the first quarter of 2019. Adjusted Property EBITDA from Wynn Palace was $10.2 million for the first quarter of 2020, a 95.4% decrease from $222.6 million for the first quarter of 2019. VIP table games win as a percentage of turnover was 2.91%, within the property's expected range of 2.7% to 3.0% and below the 3.91% experienced in the first quarter of 2019. Table games win percentage in mass market operations was 27.5%, above the 24.2% experienced in the first quarter of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revenues from Wynn Macau were $229.5 million for the first quarter of 2020, a 56.2% decrease from $523.9 million for the first quarter of 2019. Adjusted Property EBITDA was $19.2 million for the first quarter of 2020, a 88.3% decrease from $163.9 million for the first quarter of 2019. VIP Table games win as a percentage of turnover was 4.14%, above the 2.90% experienced in the first quarter of 2019. Table games win percentage in mass market operations was 20.4%, slightly above the 19.6% experienced in the first quarter of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Las Vegas Operations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Wynn Las Vegas ceased all operations and closed to the public on March 17, 2020, and will remain closed until authorized to re-open under U.S. and state government directives. Operating revenues from our Las Vegas Operations were $323.8 million for the first quarter of 2020, a 19.3% decrease from $401.0 million for the first quarter of 2019. Adjusted Property EBITDA from our Las Vegas Operations for the first quarter of 2020 was $(22.1) million, which includes the impact of $56.4 million of expense accrued during the quarter related to our commitment to pay salary, tips, and benefits continuation for all of our U.S. employees for the period from April 1 through May 15, 2020. Adjusted Property EBITDA from our Las Vegas Operations was $108.3 million for the first quarter of 2019. Table games win percentage was 19.9%, below the property's expected range of 22% to 26% and below the 27.6% experienced in the first quarter of 2019.</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Encore Boston Harbor</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23, 2019, the Company opened Encore Boston Harbor, an integrated resort in Everett, Massachusetts. Encore Boston Harbor ceased all operations and closed to the public on March 15, 2020, and will remain closed until authorized to re-open under U.S. and state government directives. Encore Boston Harbor's operating revenues were $140.9 million for the first quarter of 2020. Adjusted Property EBITDA from Encore Boston Harbor for the first quarter of 2020 was $(12.6) million, which includes the impact of $19.3 million of expense accrued during the quarter related to our commitment to pay salary, tips, and benefits continuation for all of our U.S. employees for the period from April 1 through May 15, 2020. Table games win percentage was 20.8%, slightly above the property's expected range of 16% to 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and restricted cash as of March 31, 2020 totaled $2.89 billion.</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current and long-term debt outstanding at March 31, 2020 was $11.37 billion, comprised of $5.15 billion of Macau related debt, $3.11 billion of Wynn Las Vegas debt, $2.50 billion of Wynn Resorts Finance debt, and $611.9 million of debt held by the retail joint venture which we consolidate.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the available borrowing capacity under the Wynn Macau Revolver was $74.2 million, and the available borrowing capacity under the Wynn Resorts Finance Revolver was $40.9 million, net of $18.1 million in outstanding letters of credit.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34" w:right="3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8"/>
          <w:szCs w:val="18"/>
          <w:color w:val="auto"/>
        </w:rPr>
        <w:t>As previously disclosed, on April 14, 2020, Wynn Resorts Finance ("WRF") issued $600.0 million aggregate principal amount of 7.75% Senior Notes due 2025 (the "2025 Notes"). The 2025 Notes will mature on April 15, 2025 and bear interest at the rate of 7.75%. WRF plans to use the net proceeds from the offering for general corporate purposes and to pay related fees and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will hold a conference call to discuss its results, including the results of Wynn Resorts Finance, LLC and Wynn Las Vegas, LLC, on May 6, 2020 at 1:30 p.m. PT (4:30 p.m. ET). Interested parties are invited to join the call by accessing a live audio webcast at http://www.wynnresorts.com.</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or before May 14, 2020, the Company will make Wynn Resorts Finance, LLC and Wynn Las Vegas, LLC financial information for the quarter ended March 31, 2020 available to noteholders, prospective investors, broker-dealers and securities analysts. Please contact our investor relations office at 702-770-7555 or at investorrelations@wynnresorts.com, to obtain access to such 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the recent global pandemic of COVID-19, caused by a novel strain of the coronavirus, and the continued impact of its consequences, extensive regulation of our business, pending or future legal proceedings, ability to maintain gaming licenses and concessions, dependence on key employees, general global political and economic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the Company's financial results is included in the Company's Annual Report on Form 10-K for the year ended December 31, 2019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jc w:val="both"/>
        <w:ind w:firstLine="8"/>
        <w:spacing w:after="0" w:line="285" w:lineRule="auto"/>
        <w:tabs>
          <w:tab w:leader="none" w:pos="258"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Property EBITDA" is net income (loss) before interest, income taxes, depreciation and amortization, pre-opening expenses, property charges and other, management and license fees, corporate expenses and other (including intercompany golf course and water rights leases), stock-based compensation, change in derivatives fair value, loss on extinguishment of debt,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203" w:lineRule="exact"/>
        <w:rPr>
          <w:rFonts w:ascii="Arial" w:cs="Arial" w:eastAsia="Arial" w:hAnsi="Arial"/>
          <w:sz w:val="16"/>
          <w:szCs w:val="16"/>
          <w:color w:val="auto"/>
        </w:rPr>
      </w:pPr>
    </w:p>
    <w:p>
      <w:pPr>
        <w:jc w:val="both"/>
        <w:ind w:firstLine="8"/>
        <w:spacing w:after="0" w:line="259" w:lineRule="auto"/>
        <w:tabs>
          <w:tab w:leader="none" w:pos="276"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net income (loss) attributable to Wynn Resorts, Limited" is net income (loss) attributable to Wynn Resorts, Limited before nonrecurring regulatory expense, pre-opening expenses, property charges and other, change in derivatives fair value, loss on extinguishment of debt, foreign currency remeasurement gain (loss), and the impact from the enactment of U.S. tax reform, net of noncontrolling interests and income taxes calculated using the specific tax treatment applicable to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38" w:right="339" w:bottom="1440" w:gutter="0" w:footer="0" w:header="0"/>
        </w:sectPr>
      </w:pPr>
    </w:p>
    <w:bookmarkStart w:id="6" w:name="page7"/>
    <w:bookmarkEnd w:id="6"/>
    <w:p>
      <w:pPr>
        <w:jc w:val="both"/>
        <w:spacing w:after="0" w:line="272" w:lineRule="auto"/>
        <w:rPr>
          <w:sz w:val="20"/>
          <w:szCs w:val="20"/>
          <w:color w:val="auto"/>
        </w:rPr>
      </w:pPr>
      <w:r>
        <w:rPr>
          <w:rFonts w:ascii="Arial" w:cs="Arial" w:eastAsia="Arial" w:hAnsi="Arial"/>
          <w:sz w:val="17"/>
          <w:szCs w:val="17"/>
          <w:color w:val="auto"/>
        </w:rPr>
        <w:t>adjustments based on their respective jurisdictions. Adjusted net income (loss) attributable to Wynn Resorts, Limited and adjusted net income (loss)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(loss) and earnings per share computed in accordance with GAAP, as an additional basis for assessing period-to-period results of our business. Adjusted net income (loss) attributable to Wynn Resorts, Limited and adjusted net income (loss) attributable to Wynn Resorts, Limited per diluted share may be different from the calculation methods used by other companies and, therefore, comparability may be limited.</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(loss) attributable to Wynn Resorts, Limited to adjusted net income (loss) attributable to Wynn Resorts, Limited, (ii) operating income (loss) to Adjusted Property EBITDA, and (iii) net income (loss) attributable to Wynn Resorts, Limited to Adjusted Property EBITDA.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Casino</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570,789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1,185,101</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152,681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191,270</w:t>
            </w: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149,414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173,219</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80,832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101,956</w:t>
            </w:r>
          </w:p>
        </w:tc>
      </w:tr>
      <w:tr>
        <w:trPr>
          <w:trHeight w:val="237"/>
        </w:trPr>
        <w:tc>
          <w:tcPr>
            <w:tcW w:w="8320" w:type="dxa"/>
            <w:vAlign w:val="bottom"/>
          </w:tcPr>
          <w:p>
            <w:pPr>
              <w:ind w:left="660"/>
              <w:spacing w:after="0"/>
              <w:rPr>
                <w:sz w:val="20"/>
                <w:szCs w:val="20"/>
                <w:color w:val="auto"/>
              </w:rPr>
            </w:pPr>
            <w:r>
              <w:rPr>
                <w:rFonts w:ascii="Arial" w:cs="Arial" w:eastAsia="Arial" w:hAnsi="Arial"/>
                <w:sz w:val="18"/>
                <w:szCs w:val="18"/>
                <w:b w:val="1"/>
                <w:bCs w:val="1"/>
                <w:color w:val="auto"/>
              </w:rPr>
              <w:t>Total operating revenues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953,716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1,651,546</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Casino</w:t>
            </w:r>
          </w:p>
        </w:tc>
        <w:tc>
          <w:tcPr>
            <w:tcW w:w="3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442,690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750,071</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73,480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63,706</w:t>
            </w: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175,910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148,761</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45,580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44,044</w:t>
            </w: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234,328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217,322</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20,613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5,422</w:t>
            </w: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Pre-opening</w:t>
            </w:r>
          </w:p>
        </w:tc>
        <w:tc>
          <w:tcPr>
            <w:tcW w:w="3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2,551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27,713</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178,746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136,557</w:t>
            </w: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3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27,229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2,774</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83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1,201,127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1,396,370</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(247,411)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255,176</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7,953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7,287</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(128,827)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(93,180)</w:t>
            </w: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3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(15,660)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(1,509)</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10,335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(6,358)</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Other income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(127,042)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(93,760)</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(374,453)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161,416</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(1,685)</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(450,253)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159,731</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net (income) loss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48,216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(54,859)</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(402,037)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104,872</w:t>
            </w:r>
          </w:p>
        </w:tc>
      </w:tr>
      <w:tr>
        <w:trPr>
          <w:trHeight w:val="27"/>
        </w:trPr>
        <w:tc>
          <w:tcPr>
            <w:tcW w:w="8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income (loss) per common share:</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Net income (loss) attributable to Wynn Resorts, Limited:</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0.98</w:t>
            </w:r>
          </w:p>
        </w:tc>
      </w:tr>
      <w:tr>
        <w:trPr>
          <w:trHeight w:val="243"/>
        </w:trPr>
        <w:tc>
          <w:tcPr>
            <w:tcW w:w="8320" w:type="dxa"/>
            <w:vAlign w:val="bottom"/>
          </w:tcPr>
          <w:p>
            <w:pPr>
              <w:ind w:left="6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0.98</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6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106,663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106,792</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106,663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107,073</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0.75</w:t>
            </w: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891" w:right="339" w:bottom="1440" w:gutter="0" w:footer="0" w:header="0"/>
          <w:type w:val="continuous"/>
        </w:sectPr>
      </w:pPr>
    </w:p>
    <w:bookmarkStart w:id="8" w:name="page9"/>
    <w:bookmarkEnd w:id="8"/>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RECONCILIATION OF NET INCOME (LOSS) ATTRIBUTABLE TO WYNN RESORTS, LIMITED TO ADJUSTED NET INCOME (LOSS) ATTRIBUTABLE TO WYNN RESORTS, LIMITED (in thousands, except per share data)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96"/>
        </w:trPr>
        <w:tc>
          <w:tcPr>
            <w:tcW w:w="86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250"/>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Net income (loss) attributable to Wynn Resorts, Limited </w:t>
            </w:r>
            <w:r>
              <w:rPr>
                <w:rFonts w:ascii="Arial" w:cs="Arial" w:eastAsia="Arial" w:hAnsi="Arial"/>
                <w:sz w:val="14"/>
                <w:szCs w:val="14"/>
                <w:color w:val="auto"/>
              </w:rPr>
              <w:t>(1)</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(402,037)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104,872</w:t>
            </w:r>
          </w:p>
        </w:tc>
      </w:tr>
      <w:tr>
        <w:trPr>
          <w:trHeight w:val="243"/>
        </w:trPr>
        <w:tc>
          <w:tcPr>
            <w:tcW w:w="8680" w:type="dxa"/>
            <w:vAlign w:val="bottom"/>
          </w:tcPr>
          <w:p>
            <w:pPr>
              <w:ind w:left="340"/>
              <w:spacing w:after="0"/>
              <w:rPr>
                <w:sz w:val="20"/>
                <w:szCs w:val="20"/>
                <w:color w:val="auto"/>
              </w:rPr>
            </w:pPr>
            <w:r>
              <w:rPr>
                <w:rFonts w:ascii="Arial" w:cs="Arial" w:eastAsia="Arial" w:hAnsi="Arial"/>
                <w:sz w:val="18"/>
                <w:szCs w:val="18"/>
                <w:color w:val="auto"/>
              </w:rPr>
              <w:t>Nonrecurring regulatory expense</w:t>
            </w:r>
          </w:p>
        </w:tc>
        <w:tc>
          <w:tcPr>
            <w:tcW w:w="20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35,000</w:t>
            </w:r>
          </w:p>
        </w:tc>
      </w:tr>
      <w:tr>
        <w:trPr>
          <w:trHeight w:val="27"/>
        </w:trPr>
        <w:tc>
          <w:tcPr>
            <w:tcW w:w="8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Pre-opening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27,713</w:t>
            </w:r>
          </w:p>
        </w:tc>
      </w:tr>
      <w:tr>
        <w:trPr>
          <w:trHeight w:val="243"/>
        </w:trPr>
        <w:tc>
          <w:tcPr>
            <w:tcW w:w="868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2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27,229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2,774</w:t>
            </w:r>
          </w:p>
        </w:tc>
      </w:tr>
      <w:tr>
        <w:trPr>
          <w:trHeight w:val="27"/>
        </w:trPr>
        <w:tc>
          <w:tcPr>
            <w:tcW w:w="8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 in derivatives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15,660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1,509</w:t>
            </w:r>
          </w:p>
        </w:tc>
      </w:tr>
      <w:tr>
        <w:trPr>
          <w:trHeight w:val="243"/>
        </w:trPr>
        <w:tc>
          <w:tcPr>
            <w:tcW w:w="868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remeasurement loss (gain)</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6,358</w:t>
            </w:r>
          </w:p>
        </w:tc>
      </w:tr>
      <w:tr>
        <w:trPr>
          <w:trHeight w:val="243"/>
        </w:trPr>
        <w:tc>
          <w:tcPr>
            <w:tcW w:w="8680" w:type="dxa"/>
            <w:vAlign w:val="bottom"/>
          </w:tcPr>
          <w:p>
            <w:pPr>
              <w:ind w:left="340"/>
              <w:spacing w:after="0"/>
              <w:rPr>
                <w:sz w:val="20"/>
                <w:szCs w:val="20"/>
                <w:color w:val="auto"/>
              </w:rPr>
            </w:pPr>
            <w:r>
              <w:rPr>
                <w:rFonts w:ascii="Arial" w:cs="Arial" w:eastAsia="Arial" w:hAnsi="Arial"/>
                <w:sz w:val="18"/>
                <w:szCs w:val="18"/>
                <w:color w:val="auto"/>
              </w:rPr>
              <w:t>Income tax impact on adjustments</w:t>
            </w:r>
          </w:p>
        </w:tc>
        <w:tc>
          <w:tcPr>
            <w:tcW w:w="2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(2,692)</w:t>
            </w:r>
          </w:p>
        </w:tc>
      </w:tr>
      <w:tr>
        <w:trPr>
          <w:trHeight w:val="27"/>
        </w:trPr>
        <w:tc>
          <w:tcPr>
            <w:tcW w:w="8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Noncontrolling interests impact 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(11,895)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(2,950)</w:t>
            </w:r>
          </w:p>
        </w:tc>
      </w:tr>
      <w:tr>
        <w:trPr>
          <w:trHeight w:val="237"/>
        </w:trPr>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Adjusted net income (loss) attributable to Wynn Resorts, Limited</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(377,920)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172,584</w:t>
            </w:r>
          </w:p>
        </w:tc>
      </w:tr>
      <w:tr>
        <w:trPr>
          <w:trHeight w:val="27"/>
        </w:trPr>
        <w:tc>
          <w:tcPr>
            <w:tcW w:w="8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9"/>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 (loss) attributable to Wynn Resorts, Limited per diluted share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(3.54)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3"/>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106,663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107,073</w:t>
            </w:r>
          </w:p>
        </w:tc>
      </w:tr>
      <w:tr>
        <w:trPr>
          <w:trHeight w:val="27"/>
        </w:trPr>
        <w:tc>
          <w:tcPr>
            <w:tcW w:w="86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332" w:lineRule="exact"/>
        <w:rPr>
          <w:sz w:val="20"/>
          <w:szCs w:val="20"/>
          <w:color w:val="auto"/>
        </w:rPr>
      </w:pPr>
    </w:p>
    <w:p>
      <w:pPr>
        <w:ind w:left="260" w:hanging="252"/>
        <w:spacing w:after="0" w:line="273" w:lineRule="auto"/>
        <w:tabs>
          <w:tab w:leader="none" w:pos="222"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the three months ended March 31, 2020, includes $75.7 million of expense accrued during the quarter related to our commitment to pay salary, tips, and benefits continuation for all of our U.S. employees for the period from April 1 through May 15, 2020.</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7"/>
              </w:rPr>
              <w:t>Three Months Ended March 31, 2020</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Operating</w:t>
            </w:r>
          </w:p>
        </w:tc>
        <w:tc>
          <w:tcPr>
            <w:tcW w:w="120" w:type="dxa"/>
            <w:vAlign w:val="bottom"/>
          </w:tcPr>
          <w:p>
            <w:pPr>
              <w:spacing w:after="0"/>
              <w:rPr>
                <w:sz w:val="13"/>
                <w:szCs w:val="13"/>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Pre-opening</w:t>
            </w:r>
          </w:p>
        </w:tc>
        <w:tc>
          <w:tcPr>
            <w:tcW w:w="120" w:type="dxa"/>
            <w:vAlign w:val="bottom"/>
          </w:tcPr>
          <w:p>
            <w:pPr>
              <w:spacing w:after="0"/>
              <w:rPr>
                <w:sz w:val="13"/>
                <w:szCs w:val="13"/>
                <w:color w:val="auto"/>
              </w:rPr>
            </w:pPr>
          </w:p>
        </w:tc>
        <w:tc>
          <w:tcPr>
            <w:tcW w:w="10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Depreciation</w:t>
            </w: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Property</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Management</w:t>
            </w:r>
          </w:p>
        </w:tc>
        <w:tc>
          <w:tcPr>
            <w:tcW w:w="100" w:type="dxa"/>
            <w:vAlign w:val="bottom"/>
          </w:tcPr>
          <w:p>
            <w:pPr>
              <w:spacing w:after="0"/>
              <w:rPr>
                <w:sz w:val="13"/>
                <w:szCs w:val="13"/>
                <w:color w:val="auto"/>
              </w:rPr>
            </w:pPr>
          </w:p>
        </w:tc>
        <w:tc>
          <w:tcPr>
            <w:tcW w:w="10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3"/>
                <w:szCs w:val="13"/>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Stock-based</w:t>
            </w:r>
          </w:p>
        </w:tc>
        <w:tc>
          <w:tcPr>
            <w:tcW w:w="160" w:type="dxa"/>
            <w:vAlign w:val="bottom"/>
          </w:tcPr>
          <w:p>
            <w:pPr>
              <w:spacing w:after="0"/>
              <w:rPr>
                <w:sz w:val="13"/>
                <w:szCs w:val="13"/>
                <w:color w:val="auto"/>
              </w:rPr>
            </w:pPr>
          </w:p>
        </w:tc>
        <w:tc>
          <w:tcPr>
            <w:tcW w:w="82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and</w:t>
            </w: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charges and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expenses and</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expenses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amortization</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other</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and license fees</w:t>
            </w:r>
          </w:p>
        </w:tc>
        <w:tc>
          <w:tcPr>
            <w:tcW w:w="1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89"/>
        </w:trPr>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40" w:type="dxa"/>
            <w:vAlign w:val="bottom"/>
          </w:tcPr>
          <w:p>
            <w:pPr>
              <w:ind w:left="14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(91,662)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67,009</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22,299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9,425</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1,571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1,534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10,176</w:t>
            </w:r>
          </w:p>
        </w:tc>
        <w:tc>
          <w:tcPr>
            <w:tcW w:w="0" w:type="dxa"/>
            <w:vAlign w:val="bottom"/>
          </w:tcPr>
          <w:p>
            <w:pPr>
              <w:spacing w:after="0"/>
              <w:rPr>
                <w:sz w:val="1"/>
                <w:szCs w:val="1"/>
                <w:color w:val="auto"/>
              </w:rPr>
            </w:pPr>
          </w:p>
        </w:tc>
      </w:tr>
      <w:tr>
        <w:trPr>
          <w:trHeight w:val="209"/>
        </w:trPr>
        <w:tc>
          <w:tcPr>
            <w:tcW w:w="1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23,877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19,208</w:t>
            </w:r>
          </w:p>
        </w:tc>
        <w:tc>
          <w:tcPr>
            <w:tcW w:w="0" w:type="dxa"/>
            <w:vAlign w:val="bottom"/>
          </w:tcPr>
          <w:p>
            <w:pPr>
              <w:spacing w:after="0"/>
              <w:rPr>
                <w:sz w:val="1"/>
                <w:szCs w:val="1"/>
                <w:color w:val="auto"/>
              </w:rPr>
            </w:pPr>
          </w:p>
        </w:tc>
      </w:tr>
      <w:tr>
        <w:trPr>
          <w:trHeight w:val="196"/>
        </w:trPr>
        <w:tc>
          <w:tcPr>
            <w:tcW w:w="1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Macau</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(3,517)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2,029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(111,262)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92,004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24,153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17,588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5,395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29,384</w:t>
            </w:r>
          </w:p>
        </w:tc>
        <w:tc>
          <w:tcPr>
            <w:tcW w:w="0" w:type="dxa"/>
            <w:vAlign w:val="bottom"/>
          </w:tcPr>
          <w:p>
            <w:pPr>
              <w:spacing w:after="0"/>
              <w:rPr>
                <w:sz w:val="1"/>
                <w:szCs w:val="1"/>
                <w:color w:val="auto"/>
              </w:rPr>
            </w:pPr>
          </w:p>
        </w:tc>
      </w:tr>
      <w:tr>
        <w:trPr>
          <w:trHeight w:val="197"/>
        </w:trPr>
        <w:tc>
          <w:tcPr>
            <w:tcW w:w="194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(93,437)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1,139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47,245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15,205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6,289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1,369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(22,077)</w:t>
            </w:r>
          </w:p>
        </w:tc>
        <w:tc>
          <w:tcPr>
            <w:tcW w:w="0" w:type="dxa"/>
            <w:vAlign w:val="bottom"/>
          </w:tcPr>
          <w:p>
            <w:pPr>
              <w:spacing w:after="0"/>
              <w:rPr>
                <w:sz w:val="1"/>
                <w:szCs w:val="1"/>
                <w:color w:val="auto"/>
              </w:rPr>
            </w:pPr>
          </w:p>
        </w:tc>
      </w:tr>
      <w:tr>
        <w:trPr>
          <w:trHeight w:val="208"/>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(60,618)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36,874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(12,636)</w:t>
            </w:r>
          </w:p>
        </w:tc>
        <w:tc>
          <w:tcPr>
            <w:tcW w:w="0" w:type="dxa"/>
            <w:vAlign w:val="bottom"/>
          </w:tcPr>
          <w:p>
            <w:pPr>
              <w:spacing w:after="0"/>
              <w:rPr>
                <w:sz w:val="1"/>
                <w:szCs w:val="1"/>
                <w:color w:val="auto"/>
              </w:rPr>
            </w:pPr>
          </w:p>
        </w:tc>
      </w:tr>
      <w:tr>
        <w:trPr>
          <w:trHeight w:val="197"/>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17,906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1,412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2,715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(39,742)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9,376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5,710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(247,411)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2,551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178,746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27,229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24,192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9,364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(5,329)</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260" w:hanging="252"/>
        <w:spacing w:after="0" w:line="273" w:lineRule="auto"/>
        <w:tabs>
          <w:tab w:leader="none" w:pos="227"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$56.4 million and $19.3 million of expense accrued during the quarter related to our commitment to pay salary, tips, and benefits continuation for all of our U.S. employees for the period from April 1 through May 15, 2020, for our Las Vegas Operations and Encore Boston Harbor, respectively.</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5"/>
              </w:rPr>
              <w:t>Three Months Ended March 31, 2019</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3"/>
                <w:szCs w:val="13"/>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Pre-opening</w:t>
            </w:r>
          </w:p>
        </w:tc>
        <w:tc>
          <w:tcPr>
            <w:tcW w:w="120" w:type="dxa"/>
            <w:vAlign w:val="bottom"/>
          </w:tcPr>
          <w:p>
            <w:pPr>
              <w:spacing w:after="0"/>
              <w:rPr>
                <w:sz w:val="13"/>
                <w:szCs w:val="13"/>
                <w:color w:val="auto"/>
              </w:rPr>
            </w:pPr>
          </w:p>
        </w:tc>
        <w:tc>
          <w:tcPr>
            <w:tcW w:w="10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Depreciation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Property</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3"/>
                <w:szCs w:val="13"/>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Stock-based</w:t>
            </w:r>
          </w:p>
        </w:tc>
        <w:tc>
          <w:tcPr>
            <w:tcW w:w="140" w:type="dxa"/>
            <w:vAlign w:val="bottom"/>
          </w:tcPr>
          <w:p>
            <w:pPr>
              <w:spacing w:after="0"/>
              <w:rPr>
                <w:sz w:val="13"/>
                <w:szCs w:val="13"/>
                <w:color w:val="auto"/>
              </w:rPr>
            </w:pPr>
          </w:p>
        </w:tc>
        <w:tc>
          <w:tcPr>
            <w:tcW w:w="82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charges and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expenses and</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expenses</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amortization</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other</w:t>
            </w: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and license fees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88"/>
        </w:trPr>
        <w:tc>
          <w:tcPr>
            <w:tcW w:w="1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20" w:type="dxa"/>
            <w:vAlign w:val="bottom"/>
          </w:tcPr>
          <w:p>
            <w:pPr>
              <w:ind w:left="14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125,791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66,066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1,120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27,220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1,284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1,105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222,586</w:t>
            </w:r>
          </w:p>
        </w:tc>
        <w:tc>
          <w:tcPr>
            <w:tcW w:w="0" w:type="dxa"/>
            <w:vAlign w:val="bottom"/>
          </w:tcPr>
          <w:p>
            <w:pPr>
              <w:spacing w:after="0"/>
              <w:rPr>
                <w:sz w:val="1"/>
                <w:szCs w:val="1"/>
                <w:color w:val="auto"/>
              </w:rPr>
            </w:pPr>
          </w:p>
        </w:tc>
      </w:tr>
      <w:tr>
        <w:trPr>
          <w:trHeight w:val="208"/>
        </w:trPr>
        <w:tc>
          <w:tcPr>
            <w:tcW w:w="1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118,397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21,912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18,986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163,889</w:t>
            </w:r>
          </w:p>
        </w:tc>
        <w:tc>
          <w:tcPr>
            <w:tcW w:w="0" w:type="dxa"/>
            <w:vAlign w:val="bottom"/>
          </w:tcPr>
          <w:p>
            <w:pPr>
              <w:spacing w:after="0"/>
              <w:rPr>
                <w:sz w:val="1"/>
                <w:szCs w:val="1"/>
                <w:color w:val="auto"/>
              </w:rPr>
            </w:pPr>
          </w:p>
        </w:tc>
      </w:tr>
      <w:tr>
        <w:trPr>
          <w:trHeight w:val="197"/>
        </w:trPr>
        <w:tc>
          <w:tcPr>
            <w:tcW w:w="19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Macau</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(3,303)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1,117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1,913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240,885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89,095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46,206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4,692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4,078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386,475</w:t>
            </w:r>
          </w:p>
        </w:tc>
        <w:tc>
          <w:tcPr>
            <w:tcW w:w="0" w:type="dxa"/>
            <w:vAlign w:val="bottom"/>
          </w:tcPr>
          <w:p>
            <w:pPr>
              <w:spacing w:after="0"/>
              <w:rPr>
                <w:sz w:val="1"/>
                <w:szCs w:val="1"/>
                <w:color w:val="auto"/>
              </w:rPr>
            </w:pPr>
          </w:p>
        </w:tc>
      </w:tr>
      <w:tr>
        <w:trPr>
          <w:trHeight w:val="197"/>
        </w:trPr>
        <w:tc>
          <w:tcPr>
            <w:tcW w:w="192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38,924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44,590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18,721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3,965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1,592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108,302</w:t>
            </w:r>
          </w:p>
        </w:tc>
        <w:tc>
          <w:tcPr>
            <w:tcW w:w="0" w:type="dxa"/>
            <w:vAlign w:val="bottom"/>
          </w:tcPr>
          <w:p>
            <w:pPr>
              <w:spacing w:after="0"/>
              <w:rPr>
                <w:sz w:val="1"/>
                <w:szCs w:val="1"/>
                <w:color w:val="auto"/>
              </w:rPr>
            </w:pPr>
          </w:p>
        </w:tc>
      </w:tr>
      <w:tr>
        <w:trPr>
          <w:trHeight w:val="208"/>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(36,368)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27,316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11,735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1,996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(69,427)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50,241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4,338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255,176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27,713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136,557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2,774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62,549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10,008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494,777</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9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(LOSS) ATTRIBUTABLE TO WYNN RESORTS, LIMITED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3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Net income (loss) attributable to Wynn Resorts, Limited </w:t>
            </w:r>
            <w:r>
              <w:rPr>
                <w:rFonts w:ascii="Arial" w:cs="Arial" w:eastAsia="Arial" w:hAnsi="Arial"/>
                <w:sz w:val="14"/>
                <w:szCs w:val="14"/>
                <w:color w:val="auto"/>
              </w:rPr>
              <w:t>(1)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(402,037)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104,872</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Net income (loss) attributable to noncontrolling interests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(48,216)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54,859</w:t>
            </w:r>
          </w:p>
        </w:tc>
      </w:tr>
      <w:tr>
        <w:trPr>
          <w:trHeight w:val="27"/>
        </w:trPr>
        <w:tc>
          <w:tcPr>
            <w:tcW w:w="8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Pre-opening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27,713</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178,746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136,557</w:t>
            </w:r>
          </w:p>
        </w:tc>
      </w:tr>
      <w:tr>
        <w:trPr>
          <w:trHeight w:val="27"/>
        </w:trPr>
        <w:tc>
          <w:tcPr>
            <w:tcW w:w="8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Property charges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27,229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2,774</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Corporate expenses and other</w:t>
            </w:r>
          </w:p>
        </w:tc>
        <w:tc>
          <w:tcPr>
            <w:tcW w:w="28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24,192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62,549</w:t>
            </w:r>
          </w:p>
        </w:tc>
      </w:tr>
      <w:tr>
        <w:trPr>
          <w:trHeight w:val="27"/>
        </w:trPr>
        <w:tc>
          <w:tcPr>
            <w:tcW w:w="8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9,364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10,008</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(7,953)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(7,287)</w:t>
            </w:r>
          </w:p>
        </w:tc>
      </w:tr>
      <w:tr>
        <w:trPr>
          <w:trHeight w:val="27"/>
        </w:trPr>
        <w:tc>
          <w:tcPr>
            <w:tcW w:w="8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128,827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93,180</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28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15,660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1,509</w:t>
            </w:r>
          </w:p>
        </w:tc>
      </w:tr>
      <w:tr>
        <w:trPr>
          <w:trHeight w:val="27"/>
        </w:trPr>
        <w:tc>
          <w:tcPr>
            <w:tcW w:w="8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(10,335)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6,358</w:t>
            </w:r>
          </w:p>
        </w:tc>
      </w:tr>
      <w:tr>
        <w:trPr>
          <w:trHeight w:val="27"/>
        </w:trPr>
        <w:tc>
          <w:tcPr>
            <w:tcW w:w="8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75,800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1,685</w:t>
            </w:r>
          </w:p>
        </w:tc>
      </w:tr>
      <w:tr>
        <w:trPr>
          <w:trHeight w:val="237"/>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Adjusted Property EBITDA</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(5,329)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494,777</w:t>
            </w:r>
          </w:p>
        </w:tc>
      </w:tr>
      <w:tr>
        <w:trPr>
          <w:trHeight w:val="27"/>
        </w:trPr>
        <w:tc>
          <w:tcPr>
            <w:tcW w:w="8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260" w:hanging="252"/>
        <w:spacing w:after="0" w:line="273" w:lineRule="auto"/>
        <w:tabs>
          <w:tab w:leader="none" w:pos="222"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three months ended March 31, 2020, includes $75.7 million of expense accrued during the quarter related to our commitment to pay salary, tips, and benefits continuation for all of our U.S. employees for the period from April 1 through May 15, 2020.</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91" w:right="339" w:bottom="1440" w:gutter="0" w:footer="0" w:header="0"/>
        </w:sectPr>
      </w:pPr>
    </w:p>
    <w:bookmarkStart w:id="11" w:name="page12"/>
    <w:bookmarkEnd w:id="11"/>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1400" w:type="dxa"/>
            <w:vAlign w:val="bottom"/>
          </w:tcPr>
          <w:p>
            <w:pPr>
              <w:spacing w:after="0"/>
              <w:rPr>
                <w:sz w:val="16"/>
                <w:szCs w:val="16"/>
                <w:color w:val="auto"/>
              </w:rPr>
            </w:pPr>
          </w:p>
        </w:tc>
      </w:tr>
      <w:tr>
        <w:trPr>
          <w:trHeight w:val="196"/>
        </w:trPr>
        <w:tc>
          <w:tcPr>
            <w:tcW w:w="65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Percent Change</w:t>
            </w:r>
          </w:p>
        </w:tc>
      </w:tr>
      <w:tr>
        <w:trPr>
          <w:trHeight w:val="23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Wynn Palace Supplemental Information</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3"/>
        </w:trPr>
        <w:tc>
          <w:tcPr>
            <w:tcW w:w="652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207,576</w:t>
            </w: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623,175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w:t>
            </w:r>
          </w:p>
        </w:tc>
      </w:tr>
      <w:tr>
        <w:trPr>
          <w:trHeight w:val="243"/>
        </w:trPr>
        <w:tc>
          <w:tcPr>
            <w:tcW w:w="6520" w:type="dxa"/>
            <w:vAlign w:val="bottom"/>
          </w:tcPr>
          <w:p>
            <w:pPr>
              <w:ind w:left="340"/>
              <w:spacing w:after="0"/>
              <w:rPr>
                <w:sz w:val="20"/>
                <w:szCs w:val="20"/>
                <w:color w:val="auto"/>
              </w:rPr>
            </w:pPr>
            <w:r>
              <w:rPr>
                <w:rFonts w:ascii="Arial" w:cs="Arial" w:eastAsia="Arial" w:hAnsi="Arial"/>
                <w:sz w:val="16"/>
                <w:szCs w:val="16"/>
                <w:color w:val="auto"/>
              </w:rPr>
              <w:t>Rooms</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19,710</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43,314</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(54.5)</w:t>
            </w: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13,298</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28,625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w:t>
            </w:r>
          </w:p>
        </w:tc>
      </w:tr>
      <w:tr>
        <w:trPr>
          <w:trHeight w:val="243"/>
        </w:trPr>
        <w:tc>
          <w:tcPr>
            <w:tcW w:w="6520" w:type="dxa"/>
            <w:vAlign w:val="bottom"/>
          </w:tcPr>
          <w:p>
            <w:pPr>
              <w:ind w:left="340"/>
              <w:spacing w:after="0"/>
              <w:rPr>
                <w:sz w:val="20"/>
                <w:szCs w:val="20"/>
                <w:color w:val="auto"/>
              </w:rPr>
            </w:pPr>
            <w:r>
              <w:rPr>
                <w:rFonts w:ascii="Arial" w:cs="Arial" w:eastAsia="Arial" w:hAnsi="Arial"/>
                <w:sz w:val="16"/>
                <w:szCs w:val="16"/>
                <w:color w:val="auto"/>
              </w:rPr>
              <w:t>Entertainment, retail and other</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18,929</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31,508</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(39.9)</w:t>
            </w:r>
          </w:p>
        </w:tc>
      </w:tr>
      <w:tr>
        <w:trPr>
          <w:trHeight w:val="27"/>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259,513</w:t>
            </w: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726,622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(64.3)</w:t>
            </w:r>
          </w:p>
        </w:tc>
      </w:tr>
      <w:tr>
        <w:trPr>
          <w:trHeight w:val="257"/>
        </w:trPr>
        <w:tc>
          <w:tcPr>
            <w:tcW w:w="6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0"/>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10,176</w:t>
            </w: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222,586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(95.4)</w:t>
            </w:r>
          </w:p>
        </w:tc>
      </w:tr>
      <w:tr>
        <w:trPr>
          <w:trHeight w:val="257"/>
        </w:trPr>
        <w:tc>
          <w:tcPr>
            <w:tcW w:w="6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37"/>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3"/>
        </w:trPr>
        <w:tc>
          <w:tcPr>
            <w:tcW w:w="6520" w:type="dxa"/>
            <w:vAlign w:val="bottom"/>
          </w:tcPr>
          <w:p>
            <w:pPr>
              <w:ind w:left="340"/>
              <w:spacing w:after="0"/>
              <w:rPr>
                <w:sz w:val="20"/>
                <w:szCs w:val="20"/>
                <w:color w:val="auto"/>
              </w:rPr>
            </w:pPr>
            <w:r>
              <w:rPr>
                <w:rFonts w:ascii="Arial" w:cs="Arial" w:eastAsia="Arial" w:hAnsi="Arial"/>
                <w:sz w:val="16"/>
                <w:szCs w:val="16"/>
                <w:color w:val="auto"/>
              </w:rPr>
              <w:t>VIP:</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r>
      <w:tr>
        <w:trPr>
          <w:trHeight w:val="243"/>
        </w:trPr>
        <w:tc>
          <w:tcPr>
            <w:tcW w:w="6520" w:type="dxa"/>
            <w:vAlign w:val="bottom"/>
          </w:tcPr>
          <w:p>
            <w:pPr>
              <w:ind w:left="540"/>
              <w:spacing w:after="0"/>
              <w:rPr>
                <w:sz w:val="20"/>
                <w:szCs w:val="20"/>
                <w:color w:val="auto"/>
              </w:rPr>
            </w:pPr>
            <w:r>
              <w:rPr>
                <w:rFonts w:ascii="Arial" w:cs="Arial" w:eastAsia="Arial" w:hAnsi="Arial"/>
                <w:sz w:val="16"/>
                <w:szCs w:val="16"/>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4,792,454</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12,627,262</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(62.0)</w:t>
            </w: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 xml:space="preserve">VIP table games win </w:t>
            </w:r>
            <w:r>
              <w:rPr>
                <w:rFonts w:ascii="Arial" w:cs="Arial" w:eastAsia="Arial" w:hAnsi="Arial"/>
                <w:sz w:val="14"/>
                <w:szCs w:val="14"/>
                <w:color w:val="auto"/>
              </w:rPr>
              <w:t>(1)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139,569</w:t>
            </w: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493,184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w:t>
            </w:r>
          </w:p>
        </w:tc>
      </w:tr>
      <w:tr>
        <w:trPr>
          <w:trHeight w:val="243"/>
        </w:trPr>
        <w:tc>
          <w:tcPr>
            <w:tcW w:w="6520" w:type="dxa"/>
            <w:vAlign w:val="bottom"/>
          </w:tcPr>
          <w:p>
            <w:pPr>
              <w:ind w:left="540"/>
              <w:spacing w:after="0"/>
              <w:rPr>
                <w:sz w:val="20"/>
                <w:szCs w:val="20"/>
                <w:color w:val="auto"/>
              </w:rPr>
            </w:pPr>
            <w:r>
              <w:rPr>
                <w:rFonts w:ascii="Arial" w:cs="Arial" w:eastAsia="Arial" w:hAnsi="Arial"/>
                <w:sz w:val="16"/>
                <w:szCs w:val="16"/>
                <w:color w:val="auto"/>
              </w:rPr>
              <w:t>VIP table games win as a % of turnover</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3.91 %</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20,257</w:t>
            </w: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49,156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r>
      <w:tr>
        <w:trPr>
          <w:trHeight w:val="223"/>
        </w:trPr>
        <w:tc>
          <w:tcPr>
            <w:tcW w:w="6520" w:type="dxa"/>
            <w:vAlign w:val="bottom"/>
          </w:tcPr>
          <w:p>
            <w:pPr>
              <w:ind w:left="340"/>
              <w:spacing w:after="0"/>
              <w:rPr>
                <w:sz w:val="20"/>
                <w:szCs w:val="20"/>
                <w:color w:val="auto"/>
              </w:rPr>
            </w:pPr>
            <w:r>
              <w:rPr>
                <w:rFonts w:ascii="Arial" w:cs="Arial" w:eastAsia="Arial" w:hAnsi="Arial"/>
                <w:sz w:val="16"/>
                <w:szCs w:val="16"/>
                <w:color w:val="auto"/>
              </w:rPr>
              <w:t>Mass market:</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r>
      <w:tr>
        <w:trPr>
          <w:trHeight w:val="243"/>
        </w:trPr>
        <w:tc>
          <w:tcPr>
            <w:tcW w:w="6520" w:type="dxa"/>
            <w:vAlign w:val="bottom"/>
          </w:tcPr>
          <w:p>
            <w:pPr>
              <w:ind w:left="56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475,223</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1,303,924</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(63.6)</w:t>
            </w: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130,714</w:t>
            </w: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315,469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w:t>
            </w:r>
          </w:p>
        </w:tc>
      </w:tr>
      <w:tr>
        <w:trPr>
          <w:trHeight w:val="243"/>
        </w:trPr>
        <w:tc>
          <w:tcPr>
            <w:tcW w:w="6520" w:type="dxa"/>
            <w:vAlign w:val="bottom"/>
          </w:tcPr>
          <w:p>
            <w:pPr>
              <w:ind w:left="540"/>
              <w:spacing w:after="0"/>
              <w:rPr>
                <w:sz w:val="20"/>
                <w:szCs w:val="20"/>
                <w:color w:val="auto"/>
              </w:rPr>
            </w:pPr>
            <w:r>
              <w:rPr>
                <w:rFonts w:ascii="Arial" w:cs="Arial" w:eastAsia="Arial" w:hAnsi="Arial"/>
                <w:sz w:val="16"/>
                <w:szCs w:val="16"/>
                <w:color w:val="auto"/>
              </w:rPr>
              <w:t>Table games win %</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24.2 %</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9,507</w:t>
            </w: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16,646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w:t>
            </w:r>
          </w:p>
        </w:tc>
      </w:tr>
      <w:tr>
        <w:trPr>
          <w:trHeight w:val="243"/>
        </w:trPr>
        <w:tc>
          <w:tcPr>
            <w:tcW w:w="6520" w:type="dxa"/>
            <w:vAlign w:val="bottom"/>
          </w:tcPr>
          <w:p>
            <w:pPr>
              <w:ind w:left="540"/>
              <w:spacing w:after="0"/>
              <w:rPr>
                <w:sz w:val="20"/>
                <w:szCs w:val="20"/>
                <w:color w:val="auto"/>
              </w:rPr>
            </w:pPr>
            <w:r>
              <w:rPr>
                <w:rFonts w:ascii="Arial" w:cs="Arial" w:eastAsia="Arial" w:hAnsi="Arial"/>
                <w:sz w:val="16"/>
                <w:szCs w:val="16"/>
                <w:color w:val="auto"/>
              </w:rPr>
              <w:t>Average number of slot machines</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733</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(32.8)</w:t>
            </w: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424,714</w:t>
            </w: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975,048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w:t>
            </w:r>
          </w:p>
        </w:tc>
      </w:tr>
      <w:tr>
        <w:trPr>
          <w:trHeight w:val="243"/>
        </w:trPr>
        <w:tc>
          <w:tcPr>
            <w:tcW w:w="6520" w:type="dxa"/>
            <w:vAlign w:val="bottom"/>
          </w:tcPr>
          <w:p>
            <w:pPr>
              <w:ind w:left="56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18,405</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51,401</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(64.2)</w:t>
            </w: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Slot machine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r>
      <w:tr>
        <w:trPr>
          <w:trHeight w:val="223"/>
        </w:trPr>
        <w:tc>
          <w:tcPr>
            <w:tcW w:w="6520" w:type="dxa"/>
            <w:vAlign w:val="bottom"/>
          </w:tcPr>
          <w:p>
            <w:pPr>
              <w:ind w:left="220"/>
              <w:spacing w:after="0"/>
              <w:rPr>
                <w:sz w:val="20"/>
                <w:szCs w:val="20"/>
                <w:color w:val="auto"/>
              </w:rPr>
            </w:pPr>
            <w:r>
              <w:rPr>
                <w:rFonts w:ascii="Arial" w:cs="Arial" w:eastAsia="Arial" w:hAnsi="Arial"/>
                <w:sz w:val="16"/>
                <w:szCs w:val="16"/>
                <w:color w:val="auto"/>
              </w:rPr>
              <w:t>Room statistics:</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Occupancy</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67"/>
        </w:trPr>
        <w:tc>
          <w:tcPr>
            <w:tcW w:w="6520" w:type="dxa"/>
            <w:vAlign w:val="bottom"/>
          </w:tcPr>
          <w:p>
            <w:pPr>
              <w:ind w:left="56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294</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8.4</w:t>
            </w:r>
          </w:p>
        </w:tc>
      </w:tr>
      <w:tr>
        <w:trPr>
          <w:trHeight w:val="246"/>
        </w:trPr>
        <w:tc>
          <w:tcPr>
            <w:tcW w:w="6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(53.8)</w:t>
            </w:r>
          </w:p>
        </w:tc>
      </w:tr>
      <w:tr>
        <w:trPr>
          <w:trHeight w:val="27"/>
        </w:trPr>
        <w:tc>
          <w:tcPr>
            <w:tcW w:w="6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Note: Our casino operations in Macau were closed for a 15-day period in February 2020 and resumed operations on a reduced basis on February 20, 2020. Our casinos’ operations have since been fully restored; however, certain public health safeguards, such as traveler quarantines, limiting the number of seats per table game, slot machine spacing, temperature checks, mask protection, and health declarations remain in effect at the present time. We are currently unable to determine when these measures will be lifted.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891" w:right="339" w:bottom="1440" w:gutter="0" w:footer="0" w:header="0"/>
          <w:type w:val="continuous"/>
        </w:sectPr>
      </w:pPr>
    </w:p>
    <w:bookmarkStart w:id="12" w:name="page13"/>
    <w:bookmarkEnd w:id="12"/>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7"/>
        </w:trPr>
        <w:tc>
          <w:tcPr>
            <w:tcW w:w="65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Percent Change</w:t>
            </w:r>
          </w:p>
        </w:tc>
      </w:tr>
      <w:tr>
        <w:trPr>
          <w:trHeight w:val="23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Wynn Macau Supplemental Information</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3"/>
        </w:trPr>
        <w:tc>
          <w:tcPr>
            <w:tcW w:w="652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190,128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450,242</w:t>
            </w:r>
          </w:p>
        </w:tc>
        <w:tc>
          <w:tcPr>
            <w:tcW w:w="1740" w:type="dxa"/>
            <w:vAlign w:val="bottom"/>
            <w:tcBorders>
              <w:bottom w:val="single" w:sz="8" w:color="CCEEFF"/>
            </w:tcBorders>
            <w:gridSpan w:val="3"/>
            <w:shd w:val="clear" w:color="auto" w:fill="CCEEFF"/>
          </w:tcPr>
          <w:p>
            <w:pPr>
              <w:jc w:val="center"/>
              <w:ind w:left="1010"/>
              <w:spacing w:after="0"/>
              <w:rPr>
                <w:sz w:val="20"/>
                <w:szCs w:val="20"/>
                <w:color w:val="auto"/>
              </w:rPr>
            </w:pPr>
            <w:r>
              <w:rPr>
                <w:rFonts w:ascii="Arial" w:cs="Arial" w:eastAsia="Arial" w:hAnsi="Arial"/>
                <w:sz w:val="18"/>
                <w:szCs w:val="18"/>
                <w:color w:val="auto"/>
                <w:w w:val="93"/>
              </w:rPr>
              <w:t>(57.8)</w:t>
            </w:r>
          </w:p>
        </w:tc>
      </w:tr>
      <w:tr>
        <w:trPr>
          <w:trHeight w:val="243"/>
        </w:trPr>
        <w:tc>
          <w:tcPr>
            <w:tcW w:w="6520" w:type="dxa"/>
            <w:vAlign w:val="bottom"/>
          </w:tcPr>
          <w:p>
            <w:pPr>
              <w:ind w:left="340"/>
              <w:spacing w:after="0"/>
              <w:rPr>
                <w:sz w:val="20"/>
                <w:szCs w:val="20"/>
                <w:color w:val="auto"/>
              </w:rPr>
            </w:pPr>
            <w:r>
              <w:rPr>
                <w:rFonts w:ascii="Arial" w:cs="Arial" w:eastAsia="Arial" w:hAnsi="Arial"/>
                <w:sz w:val="16"/>
                <w:szCs w:val="16"/>
                <w:color w:val="auto"/>
              </w:rPr>
              <w:t>Rooms</w:t>
            </w:r>
          </w:p>
        </w:tc>
        <w:tc>
          <w:tcPr>
            <w:tcW w:w="3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15,911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28,867</w:t>
            </w:r>
          </w:p>
        </w:tc>
        <w:tc>
          <w:tcPr>
            <w:tcW w:w="1740" w:type="dxa"/>
            <w:vAlign w:val="bottom"/>
            <w:gridSpan w:val="3"/>
          </w:tcPr>
          <w:p>
            <w:pPr>
              <w:jc w:val="center"/>
              <w:ind w:left="1010"/>
              <w:spacing w:after="0"/>
              <w:rPr>
                <w:sz w:val="20"/>
                <w:szCs w:val="20"/>
                <w:color w:val="auto"/>
              </w:rPr>
            </w:pPr>
            <w:r>
              <w:rPr>
                <w:rFonts w:ascii="Arial" w:cs="Arial" w:eastAsia="Arial" w:hAnsi="Arial"/>
                <w:sz w:val="18"/>
                <w:szCs w:val="18"/>
                <w:color w:val="auto"/>
                <w:w w:val="93"/>
              </w:rPr>
              <w:t>(44.9)</w:t>
            </w: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9,531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20,975</w:t>
            </w:r>
          </w:p>
        </w:tc>
        <w:tc>
          <w:tcPr>
            <w:tcW w:w="1740" w:type="dxa"/>
            <w:vAlign w:val="bottom"/>
            <w:tcBorders>
              <w:bottom w:val="single" w:sz="8" w:color="CCEEFF"/>
            </w:tcBorders>
            <w:gridSpan w:val="3"/>
            <w:shd w:val="clear" w:color="auto" w:fill="CCEEFF"/>
          </w:tcPr>
          <w:p>
            <w:pPr>
              <w:jc w:val="center"/>
              <w:ind w:left="1010"/>
              <w:spacing w:after="0"/>
              <w:rPr>
                <w:sz w:val="20"/>
                <w:szCs w:val="20"/>
                <w:color w:val="auto"/>
              </w:rPr>
            </w:pPr>
            <w:r>
              <w:rPr>
                <w:rFonts w:ascii="Arial" w:cs="Arial" w:eastAsia="Arial" w:hAnsi="Arial"/>
                <w:sz w:val="18"/>
                <w:szCs w:val="18"/>
                <w:color w:val="auto"/>
                <w:w w:val="93"/>
              </w:rPr>
              <w:t>(54.6)</w:t>
            </w:r>
          </w:p>
        </w:tc>
      </w:tr>
      <w:tr>
        <w:trPr>
          <w:trHeight w:val="243"/>
        </w:trPr>
        <w:tc>
          <w:tcPr>
            <w:tcW w:w="6520" w:type="dxa"/>
            <w:vAlign w:val="bottom"/>
          </w:tcPr>
          <w:p>
            <w:pPr>
              <w:ind w:left="340"/>
              <w:spacing w:after="0"/>
              <w:rPr>
                <w:sz w:val="20"/>
                <w:szCs w:val="20"/>
                <w:color w:val="auto"/>
              </w:rPr>
            </w:pPr>
            <w:r>
              <w:rPr>
                <w:rFonts w:ascii="Arial" w:cs="Arial" w:eastAsia="Arial" w:hAnsi="Arial"/>
                <w:sz w:val="16"/>
                <w:szCs w:val="16"/>
                <w:color w:val="auto"/>
              </w:rPr>
              <w:t>Entertainment, retail and other</w:t>
            </w:r>
          </w:p>
        </w:tc>
        <w:tc>
          <w:tcPr>
            <w:tcW w:w="3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13,919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23,807</w:t>
            </w:r>
          </w:p>
        </w:tc>
        <w:tc>
          <w:tcPr>
            <w:tcW w:w="1740" w:type="dxa"/>
            <w:vAlign w:val="bottom"/>
            <w:gridSpan w:val="3"/>
          </w:tcPr>
          <w:p>
            <w:pPr>
              <w:jc w:val="center"/>
              <w:ind w:left="1010"/>
              <w:spacing w:after="0"/>
              <w:rPr>
                <w:sz w:val="20"/>
                <w:szCs w:val="20"/>
                <w:color w:val="auto"/>
              </w:rPr>
            </w:pPr>
            <w:r>
              <w:rPr>
                <w:rFonts w:ascii="Arial" w:cs="Arial" w:eastAsia="Arial" w:hAnsi="Arial"/>
                <w:sz w:val="18"/>
                <w:szCs w:val="18"/>
                <w:color w:val="auto"/>
                <w:w w:val="93"/>
              </w:rPr>
              <w:t>(41.5)</w:t>
            </w:r>
          </w:p>
        </w:tc>
      </w:tr>
      <w:tr>
        <w:trPr>
          <w:trHeight w:val="27"/>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229,489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523,891</w:t>
            </w:r>
          </w:p>
        </w:tc>
        <w:tc>
          <w:tcPr>
            <w:tcW w:w="1740" w:type="dxa"/>
            <w:vAlign w:val="bottom"/>
            <w:tcBorders>
              <w:bottom w:val="single" w:sz="8" w:color="CCEEFF"/>
            </w:tcBorders>
            <w:gridSpan w:val="3"/>
            <w:shd w:val="clear" w:color="auto" w:fill="CCEEFF"/>
          </w:tcPr>
          <w:p>
            <w:pPr>
              <w:jc w:val="center"/>
              <w:ind w:left="1010"/>
              <w:spacing w:after="0"/>
              <w:rPr>
                <w:sz w:val="20"/>
                <w:szCs w:val="20"/>
                <w:color w:val="auto"/>
              </w:rPr>
            </w:pPr>
            <w:r>
              <w:rPr>
                <w:rFonts w:ascii="Arial" w:cs="Arial" w:eastAsia="Arial" w:hAnsi="Arial"/>
                <w:sz w:val="18"/>
                <w:szCs w:val="18"/>
                <w:b w:val="1"/>
                <w:bCs w:val="1"/>
                <w:color w:val="auto"/>
                <w:w w:val="93"/>
              </w:rPr>
              <w:t>(56.2)</w:t>
            </w:r>
          </w:p>
        </w:tc>
      </w:tr>
      <w:tr>
        <w:trPr>
          <w:trHeight w:val="270"/>
        </w:trPr>
        <w:tc>
          <w:tcPr>
            <w:tcW w:w="6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19,208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163,889</w:t>
            </w:r>
          </w:p>
        </w:tc>
        <w:tc>
          <w:tcPr>
            <w:tcW w:w="1740" w:type="dxa"/>
            <w:vAlign w:val="bottom"/>
            <w:tcBorders>
              <w:bottom w:val="single" w:sz="8" w:color="CCEEFF"/>
            </w:tcBorders>
            <w:gridSpan w:val="3"/>
            <w:shd w:val="clear" w:color="auto" w:fill="CCEEFF"/>
          </w:tcPr>
          <w:p>
            <w:pPr>
              <w:jc w:val="center"/>
              <w:ind w:left="1010"/>
              <w:spacing w:after="0"/>
              <w:rPr>
                <w:sz w:val="20"/>
                <w:szCs w:val="20"/>
                <w:color w:val="auto"/>
              </w:rPr>
            </w:pPr>
            <w:r>
              <w:rPr>
                <w:rFonts w:ascii="Arial" w:cs="Arial" w:eastAsia="Arial" w:hAnsi="Arial"/>
                <w:sz w:val="18"/>
                <w:szCs w:val="18"/>
                <w:b w:val="1"/>
                <w:bCs w:val="1"/>
                <w:color w:val="auto"/>
                <w:w w:val="93"/>
              </w:rPr>
              <w:t>(88.3)</w:t>
            </w:r>
          </w:p>
        </w:tc>
      </w:tr>
      <w:tr>
        <w:trPr>
          <w:trHeight w:val="270"/>
        </w:trPr>
        <w:tc>
          <w:tcPr>
            <w:tcW w:w="6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4"/>
        </w:trPr>
        <w:tc>
          <w:tcPr>
            <w:tcW w:w="6520" w:type="dxa"/>
            <w:vAlign w:val="bottom"/>
          </w:tcPr>
          <w:p>
            <w:pPr>
              <w:ind w:left="340"/>
              <w:spacing w:after="0"/>
              <w:rPr>
                <w:sz w:val="20"/>
                <w:szCs w:val="20"/>
                <w:color w:val="auto"/>
              </w:rPr>
            </w:pPr>
            <w:r>
              <w:rPr>
                <w:rFonts w:ascii="Arial" w:cs="Arial" w:eastAsia="Arial" w:hAnsi="Arial"/>
                <w:sz w:val="16"/>
                <w:szCs w:val="16"/>
                <w:color w:val="auto"/>
              </w:rPr>
              <w:t>VIP:</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740" w:type="dxa"/>
            <w:vAlign w:val="bottom"/>
            <w:tcBorders>
              <w:bottom w:val="single" w:sz="8" w:color="CCEEFF"/>
            </w:tcBorders>
            <w:gridSpan w:val="3"/>
            <w:shd w:val="clear" w:color="auto" w:fill="CCEEFF"/>
          </w:tcPr>
          <w:p>
            <w:pPr>
              <w:jc w:val="center"/>
              <w:ind w:left="1010"/>
              <w:spacing w:after="0"/>
              <w:rPr>
                <w:sz w:val="20"/>
                <w:szCs w:val="20"/>
                <w:color w:val="auto"/>
              </w:rPr>
            </w:pPr>
            <w:r>
              <w:rPr>
                <w:rFonts w:ascii="Arial" w:cs="Arial" w:eastAsia="Arial" w:hAnsi="Arial"/>
                <w:sz w:val="18"/>
                <w:szCs w:val="18"/>
                <w:color w:val="auto"/>
                <w:w w:val="93"/>
              </w:rPr>
              <w:t>(28.3)</w:t>
            </w:r>
          </w:p>
        </w:tc>
      </w:tr>
      <w:tr>
        <w:trPr>
          <w:trHeight w:val="243"/>
        </w:trPr>
        <w:tc>
          <w:tcPr>
            <w:tcW w:w="6520" w:type="dxa"/>
            <w:vAlign w:val="bottom"/>
          </w:tcPr>
          <w:p>
            <w:pPr>
              <w:ind w:left="540"/>
              <w:spacing w:after="0"/>
              <w:rPr>
                <w:sz w:val="20"/>
                <w:szCs w:val="20"/>
                <w:color w:val="auto"/>
              </w:rPr>
            </w:pPr>
            <w:r>
              <w:rPr>
                <w:rFonts w:ascii="Arial" w:cs="Arial" w:eastAsia="Arial" w:hAnsi="Arial"/>
                <w:sz w:val="16"/>
                <w:szCs w:val="16"/>
                <w:color w:val="auto"/>
              </w:rPr>
              <w:t>VIP turnover</w:t>
            </w:r>
          </w:p>
        </w:tc>
        <w:tc>
          <w:tcPr>
            <w:tcW w:w="3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2,964,146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10,194,031</w:t>
            </w:r>
          </w:p>
        </w:tc>
        <w:tc>
          <w:tcPr>
            <w:tcW w:w="1740" w:type="dxa"/>
            <w:vAlign w:val="bottom"/>
            <w:gridSpan w:val="3"/>
          </w:tcPr>
          <w:p>
            <w:pPr>
              <w:jc w:val="center"/>
              <w:ind w:left="1010"/>
              <w:spacing w:after="0"/>
              <w:rPr>
                <w:sz w:val="20"/>
                <w:szCs w:val="20"/>
                <w:color w:val="auto"/>
              </w:rPr>
            </w:pPr>
            <w:r>
              <w:rPr>
                <w:rFonts w:ascii="Arial" w:cs="Arial" w:eastAsia="Arial" w:hAnsi="Arial"/>
                <w:sz w:val="18"/>
                <w:szCs w:val="18"/>
                <w:color w:val="auto"/>
                <w:w w:val="93"/>
              </w:rPr>
              <w:t>(70.9)</w:t>
            </w: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 xml:space="preserve">VIP table games win </w:t>
            </w:r>
            <w:r>
              <w:rPr>
                <w:rFonts w:ascii="Arial" w:cs="Arial" w:eastAsia="Arial" w:hAnsi="Arial"/>
                <w:sz w:val="14"/>
                <w:szCs w:val="14"/>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122,625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295,298</w:t>
            </w:r>
          </w:p>
        </w:tc>
        <w:tc>
          <w:tcPr>
            <w:tcW w:w="1740" w:type="dxa"/>
            <w:vAlign w:val="bottom"/>
            <w:tcBorders>
              <w:bottom w:val="single" w:sz="8" w:color="CCEEFF"/>
            </w:tcBorders>
            <w:gridSpan w:val="3"/>
            <w:shd w:val="clear" w:color="auto" w:fill="CCEEFF"/>
          </w:tcPr>
          <w:p>
            <w:pPr>
              <w:jc w:val="center"/>
              <w:ind w:left="1010"/>
              <w:spacing w:after="0"/>
              <w:rPr>
                <w:sz w:val="20"/>
                <w:szCs w:val="20"/>
                <w:color w:val="auto"/>
              </w:rPr>
            </w:pPr>
            <w:r>
              <w:rPr>
                <w:rFonts w:ascii="Arial" w:cs="Arial" w:eastAsia="Arial" w:hAnsi="Arial"/>
                <w:sz w:val="18"/>
                <w:szCs w:val="18"/>
                <w:color w:val="auto"/>
                <w:w w:val="93"/>
              </w:rPr>
              <w:t>(58.5)</w:t>
            </w:r>
          </w:p>
        </w:tc>
      </w:tr>
      <w:tr>
        <w:trPr>
          <w:trHeight w:val="243"/>
        </w:trPr>
        <w:tc>
          <w:tcPr>
            <w:tcW w:w="6520" w:type="dxa"/>
            <w:vAlign w:val="bottom"/>
          </w:tcPr>
          <w:p>
            <w:pPr>
              <w:ind w:left="540"/>
              <w:spacing w:after="0"/>
              <w:rPr>
                <w:sz w:val="20"/>
                <w:szCs w:val="20"/>
                <w:color w:val="auto"/>
              </w:rPr>
            </w:pPr>
            <w:r>
              <w:rPr>
                <w:rFonts w:ascii="Arial" w:cs="Arial" w:eastAsia="Arial" w:hAnsi="Arial"/>
                <w:sz w:val="16"/>
                <w:szCs w:val="16"/>
                <w:color w:val="auto"/>
              </w:rPr>
              <w:t>VIP table games win as a % of turnover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4.14 %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19,702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29,099</w:t>
            </w:r>
          </w:p>
        </w:tc>
        <w:tc>
          <w:tcPr>
            <w:tcW w:w="1740" w:type="dxa"/>
            <w:vAlign w:val="bottom"/>
            <w:tcBorders>
              <w:bottom w:val="single" w:sz="8" w:color="CCEEFF"/>
            </w:tcBorders>
            <w:gridSpan w:val="3"/>
            <w:shd w:val="clear" w:color="auto" w:fill="CCEEFF"/>
          </w:tcPr>
          <w:p>
            <w:pPr>
              <w:jc w:val="center"/>
              <w:ind w:left="1010"/>
              <w:spacing w:after="0"/>
              <w:rPr>
                <w:sz w:val="20"/>
                <w:szCs w:val="20"/>
                <w:color w:val="auto"/>
              </w:rPr>
            </w:pPr>
            <w:r>
              <w:rPr>
                <w:rFonts w:ascii="Arial" w:cs="Arial" w:eastAsia="Arial" w:hAnsi="Arial"/>
                <w:sz w:val="18"/>
                <w:szCs w:val="18"/>
                <w:color w:val="auto"/>
                <w:w w:val="93"/>
              </w:rPr>
              <w:t>(32.3)</w:t>
            </w:r>
          </w:p>
        </w:tc>
      </w:tr>
      <w:tr>
        <w:trPr>
          <w:trHeight w:val="223"/>
        </w:trPr>
        <w:tc>
          <w:tcPr>
            <w:tcW w:w="6520" w:type="dxa"/>
            <w:vAlign w:val="bottom"/>
          </w:tcPr>
          <w:p>
            <w:pPr>
              <w:ind w:left="340"/>
              <w:spacing w:after="0"/>
              <w:rPr>
                <w:sz w:val="20"/>
                <w:szCs w:val="20"/>
                <w:color w:val="auto"/>
              </w:rPr>
            </w:pPr>
            <w:r>
              <w:rPr>
                <w:rFonts w:ascii="Arial" w:cs="Arial" w:eastAsia="Arial" w:hAnsi="Arial"/>
                <w:sz w:val="16"/>
                <w:szCs w:val="16"/>
                <w:color w:val="auto"/>
              </w:rPr>
              <w:t>Mass market:</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740" w:type="dxa"/>
            <w:vAlign w:val="bottom"/>
            <w:tcBorders>
              <w:bottom w:val="single" w:sz="8" w:color="CCEEFF"/>
            </w:tcBorders>
            <w:gridSpan w:val="3"/>
            <w:shd w:val="clear" w:color="auto" w:fill="CCEEFF"/>
          </w:tcPr>
          <w:p>
            <w:pPr>
              <w:jc w:val="center"/>
              <w:ind w:left="1010"/>
              <w:spacing w:after="0"/>
              <w:rPr>
                <w:sz w:val="20"/>
                <w:szCs w:val="20"/>
                <w:color w:val="auto"/>
              </w:rPr>
            </w:pPr>
            <w:r>
              <w:rPr>
                <w:rFonts w:ascii="Arial" w:cs="Arial" w:eastAsia="Arial" w:hAnsi="Arial"/>
                <w:sz w:val="18"/>
                <w:szCs w:val="18"/>
                <w:color w:val="auto"/>
                <w:w w:val="93"/>
              </w:rPr>
              <w:t>(11.2)</w:t>
            </w:r>
          </w:p>
        </w:tc>
      </w:tr>
      <w:tr>
        <w:trPr>
          <w:trHeight w:val="243"/>
        </w:trPr>
        <w:tc>
          <w:tcPr>
            <w:tcW w:w="6520" w:type="dxa"/>
            <w:vAlign w:val="bottom"/>
          </w:tcPr>
          <w:p>
            <w:pPr>
              <w:ind w:left="56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3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578,235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1,351,693</w:t>
            </w:r>
          </w:p>
        </w:tc>
        <w:tc>
          <w:tcPr>
            <w:tcW w:w="1740" w:type="dxa"/>
            <w:vAlign w:val="bottom"/>
            <w:gridSpan w:val="3"/>
          </w:tcPr>
          <w:p>
            <w:pPr>
              <w:jc w:val="center"/>
              <w:ind w:left="1010"/>
              <w:spacing w:after="0"/>
              <w:rPr>
                <w:sz w:val="20"/>
                <w:szCs w:val="20"/>
                <w:color w:val="auto"/>
              </w:rPr>
            </w:pPr>
            <w:r>
              <w:rPr>
                <w:rFonts w:ascii="Arial" w:cs="Arial" w:eastAsia="Arial" w:hAnsi="Arial"/>
                <w:sz w:val="18"/>
                <w:szCs w:val="18"/>
                <w:color w:val="auto"/>
                <w:w w:val="93"/>
              </w:rPr>
              <w:t>(57.2)</w:t>
            </w: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117,941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264,542</w:t>
            </w:r>
          </w:p>
        </w:tc>
        <w:tc>
          <w:tcPr>
            <w:tcW w:w="1740" w:type="dxa"/>
            <w:vAlign w:val="bottom"/>
            <w:tcBorders>
              <w:bottom w:val="single" w:sz="8" w:color="CCEEFF"/>
            </w:tcBorders>
            <w:gridSpan w:val="3"/>
            <w:shd w:val="clear" w:color="auto" w:fill="CCEEFF"/>
          </w:tcPr>
          <w:p>
            <w:pPr>
              <w:jc w:val="center"/>
              <w:ind w:left="1010"/>
              <w:spacing w:after="0"/>
              <w:rPr>
                <w:sz w:val="20"/>
                <w:szCs w:val="20"/>
                <w:color w:val="auto"/>
              </w:rPr>
            </w:pPr>
            <w:r>
              <w:rPr>
                <w:rFonts w:ascii="Arial" w:cs="Arial" w:eastAsia="Arial" w:hAnsi="Arial"/>
                <w:sz w:val="18"/>
                <w:szCs w:val="18"/>
                <w:color w:val="auto"/>
                <w:w w:val="93"/>
              </w:rPr>
              <w:t>(55.4)</w:t>
            </w:r>
          </w:p>
        </w:tc>
      </w:tr>
      <w:tr>
        <w:trPr>
          <w:trHeight w:val="243"/>
        </w:trPr>
        <w:tc>
          <w:tcPr>
            <w:tcW w:w="6520" w:type="dxa"/>
            <w:vAlign w:val="bottom"/>
          </w:tcPr>
          <w:p>
            <w:pPr>
              <w:ind w:left="540"/>
              <w:spacing w:after="0"/>
              <w:rPr>
                <w:sz w:val="20"/>
                <w:szCs w:val="20"/>
                <w:color w:val="auto"/>
              </w:rPr>
            </w:pPr>
            <w:r>
              <w:rPr>
                <w:rFonts w:ascii="Arial" w:cs="Arial" w:eastAsia="Arial" w:hAnsi="Arial"/>
                <w:sz w:val="16"/>
                <w:szCs w:val="16"/>
                <w:color w:val="auto"/>
              </w:rPr>
              <w:t>Table games win %</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8,372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14,283</w:t>
            </w:r>
          </w:p>
        </w:tc>
        <w:tc>
          <w:tcPr>
            <w:tcW w:w="1740" w:type="dxa"/>
            <w:vAlign w:val="bottom"/>
            <w:tcBorders>
              <w:bottom w:val="single" w:sz="8" w:color="CCEEFF"/>
            </w:tcBorders>
            <w:gridSpan w:val="3"/>
            <w:shd w:val="clear" w:color="auto" w:fill="CCEEFF"/>
          </w:tcPr>
          <w:p>
            <w:pPr>
              <w:jc w:val="center"/>
              <w:ind w:left="1010"/>
              <w:spacing w:after="0"/>
              <w:rPr>
                <w:sz w:val="20"/>
                <w:szCs w:val="20"/>
                <w:color w:val="auto"/>
              </w:rPr>
            </w:pPr>
            <w:r>
              <w:rPr>
                <w:rFonts w:ascii="Arial" w:cs="Arial" w:eastAsia="Arial" w:hAnsi="Arial"/>
                <w:sz w:val="18"/>
                <w:szCs w:val="18"/>
                <w:color w:val="auto"/>
                <w:w w:val="93"/>
              </w:rPr>
              <w:t>(41.4)</w:t>
            </w:r>
          </w:p>
        </w:tc>
      </w:tr>
      <w:tr>
        <w:trPr>
          <w:trHeight w:val="243"/>
        </w:trPr>
        <w:tc>
          <w:tcPr>
            <w:tcW w:w="6520" w:type="dxa"/>
            <w:vAlign w:val="bottom"/>
          </w:tcPr>
          <w:p>
            <w:pPr>
              <w:ind w:left="540"/>
              <w:spacing w:after="0"/>
              <w:rPr>
                <w:sz w:val="20"/>
                <w:szCs w:val="20"/>
                <w:color w:val="auto"/>
              </w:rPr>
            </w:pPr>
            <w:r>
              <w:rPr>
                <w:rFonts w:ascii="Arial" w:cs="Arial" w:eastAsia="Arial" w:hAnsi="Arial"/>
                <w:sz w:val="16"/>
                <w:szCs w:val="16"/>
                <w:color w:val="auto"/>
              </w:rPr>
              <w:t>Average number of slot machines</w:t>
            </w:r>
          </w:p>
        </w:tc>
        <w:tc>
          <w:tcPr>
            <w:tcW w:w="3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826</w:t>
            </w:r>
          </w:p>
        </w:tc>
        <w:tc>
          <w:tcPr>
            <w:tcW w:w="1740" w:type="dxa"/>
            <w:vAlign w:val="bottom"/>
            <w:gridSpan w:val="3"/>
          </w:tcPr>
          <w:p>
            <w:pPr>
              <w:jc w:val="center"/>
              <w:ind w:left="1010"/>
              <w:spacing w:after="0"/>
              <w:rPr>
                <w:sz w:val="20"/>
                <w:szCs w:val="20"/>
                <w:color w:val="auto"/>
              </w:rPr>
            </w:pPr>
            <w:r>
              <w:rPr>
                <w:rFonts w:ascii="Arial" w:cs="Arial" w:eastAsia="Arial" w:hAnsi="Arial"/>
                <w:sz w:val="18"/>
                <w:szCs w:val="18"/>
                <w:color w:val="auto"/>
                <w:w w:val="93"/>
              </w:rPr>
              <w:t>(23.2)</w:t>
            </w: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Slot machine handle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366,537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794,367</w:t>
            </w:r>
          </w:p>
        </w:tc>
        <w:tc>
          <w:tcPr>
            <w:tcW w:w="1740" w:type="dxa"/>
            <w:vAlign w:val="bottom"/>
            <w:tcBorders>
              <w:bottom w:val="single" w:sz="8" w:color="CCEEFF"/>
            </w:tcBorders>
            <w:gridSpan w:val="3"/>
            <w:shd w:val="clear" w:color="auto" w:fill="CCEEFF"/>
          </w:tcPr>
          <w:p>
            <w:pPr>
              <w:jc w:val="center"/>
              <w:ind w:left="1010"/>
              <w:spacing w:after="0"/>
              <w:rPr>
                <w:sz w:val="20"/>
                <w:szCs w:val="20"/>
                <w:color w:val="auto"/>
              </w:rPr>
            </w:pPr>
            <w:r>
              <w:rPr>
                <w:rFonts w:ascii="Arial" w:cs="Arial" w:eastAsia="Arial" w:hAnsi="Arial"/>
                <w:sz w:val="18"/>
                <w:szCs w:val="18"/>
                <w:color w:val="auto"/>
                <w:w w:val="93"/>
              </w:rPr>
              <w:t>(53.9)</w:t>
            </w:r>
          </w:p>
        </w:tc>
      </w:tr>
      <w:tr>
        <w:trPr>
          <w:trHeight w:val="243"/>
        </w:trPr>
        <w:tc>
          <w:tcPr>
            <w:tcW w:w="6520" w:type="dxa"/>
            <w:vAlign w:val="bottom"/>
          </w:tcPr>
          <w:p>
            <w:pPr>
              <w:ind w:left="56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3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13,295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37,894</w:t>
            </w:r>
          </w:p>
        </w:tc>
        <w:tc>
          <w:tcPr>
            <w:tcW w:w="1740" w:type="dxa"/>
            <w:vAlign w:val="bottom"/>
            <w:gridSpan w:val="3"/>
          </w:tcPr>
          <w:p>
            <w:pPr>
              <w:jc w:val="center"/>
              <w:ind w:left="1010"/>
              <w:spacing w:after="0"/>
              <w:rPr>
                <w:sz w:val="20"/>
                <w:szCs w:val="20"/>
                <w:color w:val="auto"/>
              </w:rPr>
            </w:pPr>
            <w:r>
              <w:rPr>
                <w:rFonts w:ascii="Arial" w:cs="Arial" w:eastAsia="Arial" w:hAnsi="Arial"/>
                <w:sz w:val="18"/>
                <w:szCs w:val="18"/>
                <w:color w:val="auto"/>
                <w:w w:val="93"/>
              </w:rPr>
              <w:t>(64.9)</w:t>
            </w: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Slot machine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740" w:type="dxa"/>
            <w:vAlign w:val="bottom"/>
            <w:tcBorders>
              <w:bottom w:val="single" w:sz="8" w:color="CCEEFF"/>
            </w:tcBorders>
            <w:gridSpan w:val="3"/>
            <w:shd w:val="clear" w:color="auto" w:fill="CCEEFF"/>
          </w:tcPr>
          <w:p>
            <w:pPr>
              <w:jc w:val="center"/>
              <w:ind w:left="1010"/>
              <w:spacing w:after="0"/>
              <w:rPr>
                <w:sz w:val="20"/>
                <w:szCs w:val="20"/>
                <w:color w:val="auto"/>
              </w:rPr>
            </w:pPr>
            <w:r>
              <w:rPr>
                <w:rFonts w:ascii="Arial" w:cs="Arial" w:eastAsia="Arial" w:hAnsi="Arial"/>
                <w:sz w:val="18"/>
                <w:szCs w:val="18"/>
                <w:color w:val="auto"/>
                <w:w w:val="93"/>
              </w:rPr>
              <w:t>(46.6)</w:t>
            </w:r>
          </w:p>
        </w:tc>
      </w:tr>
      <w:tr>
        <w:trPr>
          <w:trHeight w:val="243"/>
        </w:trPr>
        <w:tc>
          <w:tcPr>
            <w:tcW w:w="6520" w:type="dxa"/>
            <w:vAlign w:val="bottom"/>
          </w:tcPr>
          <w:p>
            <w:pPr>
              <w:ind w:left="540"/>
              <w:spacing w:after="0"/>
              <w:rPr>
                <w:sz w:val="20"/>
                <w:szCs w:val="20"/>
                <w:color w:val="auto"/>
              </w:rPr>
            </w:pPr>
            <w:r>
              <w:rPr>
                <w:rFonts w:ascii="Arial" w:cs="Arial" w:eastAsia="Arial" w:hAnsi="Arial"/>
                <w:sz w:val="16"/>
                <w:szCs w:val="16"/>
                <w:color w:val="auto"/>
              </w:rPr>
              <w:t>Poker rake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2,083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5,752</w:t>
            </w:r>
          </w:p>
        </w:tc>
        <w:tc>
          <w:tcPr>
            <w:tcW w:w="1740" w:type="dxa"/>
            <w:vAlign w:val="bottom"/>
            <w:gridSpan w:val="3"/>
          </w:tcPr>
          <w:p>
            <w:pPr>
              <w:jc w:val="center"/>
              <w:ind w:left="1010"/>
              <w:spacing w:after="0"/>
              <w:rPr>
                <w:sz w:val="20"/>
                <w:szCs w:val="20"/>
                <w:color w:val="auto"/>
              </w:rPr>
            </w:pPr>
            <w:r>
              <w:rPr>
                <w:rFonts w:ascii="Arial" w:cs="Arial" w:eastAsia="Arial" w:hAnsi="Arial"/>
                <w:sz w:val="18"/>
                <w:szCs w:val="18"/>
                <w:color w:val="auto"/>
                <w:w w:val="93"/>
              </w:rPr>
              <w:t>(63.8)</w:t>
            </w: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6"/>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Room statistics: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6520" w:type="dxa"/>
            <w:vAlign w:val="bottom"/>
          </w:tcPr>
          <w:p>
            <w:pPr>
              <w:ind w:left="540"/>
              <w:spacing w:after="0"/>
              <w:rPr>
                <w:sz w:val="20"/>
                <w:szCs w:val="20"/>
                <w:color w:val="auto"/>
              </w:rPr>
            </w:pPr>
            <w:r>
              <w:rPr>
                <w:rFonts w:ascii="Arial" w:cs="Arial" w:eastAsia="Arial" w:hAnsi="Arial"/>
                <w:sz w:val="16"/>
                <w:szCs w:val="16"/>
                <w:color w:val="auto"/>
              </w:rPr>
              <w:t>Occupancy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740" w:type="dxa"/>
            <w:vAlign w:val="bottom"/>
            <w:gridSpan w:val="3"/>
            <w:shd w:val="clear" w:color="auto" w:fill="CCEEFF"/>
          </w:tcPr>
          <w:p>
            <w:pPr>
              <w:jc w:val="center"/>
              <w:ind w:left="1030"/>
              <w:spacing w:after="0"/>
              <w:rPr>
                <w:sz w:val="20"/>
                <w:szCs w:val="20"/>
                <w:color w:val="auto"/>
              </w:rPr>
            </w:pPr>
            <w:r>
              <w:rPr>
                <w:rFonts w:ascii="Arial" w:cs="Arial" w:eastAsia="Arial" w:hAnsi="Arial"/>
                <w:sz w:val="18"/>
                <w:szCs w:val="18"/>
                <w:color w:val="auto"/>
                <w:w w:val="85"/>
              </w:rPr>
              <w:t>10.9</w:t>
            </w:r>
          </w:p>
        </w:tc>
      </w:tr>
      <w:tr>
        <w:trPr>
          <w:trHeight w:val="243"/>
        </w:trPr>
        <w:tc>
          <w:tcPr>
            <w:tcW w:w="6520" w:type="dxa"/>
            <w:vAlign w:val="bottom"/>
          </w:tcPr>
          <w:p>
            <w:pPr>
              <w:ind w:left="56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288</w:t>
            </w:r>
          </w:p>
        </w:tc>
        <w:tc>
          <w:tcPr>
            <w:tcW w:w="1740" w:type="dxa"/>
            <w:vAlign w:val="bottom"/>
            <w:gridSpan w:val="3"/>
          </w:tcPr>
          <w:p>
            <w:pPr>
              <w:jc w:val="center"/>
              <w:ind w:left="1010"/>
              <w:spacing w:after="0"/>
              <w:rPr>
                <w:sz w:val="20"/>
                <w:szCs w:val="20"/>
                <w:color w:val="auto"/>
              </w:rPr>
            </w:pPr>
            <w:r>
              <w:rPr>
                <w:rFonts w:ascii="Arial" w:cs="Arial" w:eastAsia="Arial" w:hAnsi="Arial"/>
                <w:sz w:val="18"/>
                <w:szCs w:val="18"/>
                <w:color w:val="auto"/>
                <w:w w:val="93"/>
              </w:rPr>
              <w:t>(45.1)</w:t>
            </w:r>
          </w:p>
        </w:tc>
      </w:tr>
    </w:tbl>
    <w:p>
      <w:pPr>
        <w:spacing w:after="0" w:line="26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Note: Our casino operations in Macau were closed for a 15-day period in February 2020 and resumed operations on a reduced basis on February 20, 2020. Our casinos’ operations have since been fully restored; however, certain public health safeguards, such as traveler quarantines, limiting the number of seats per table game, slot machine spacing, temperature checks, mask protection, and health declarations remain in effect at the present time. We are currently unable to determine when these measures will be lifted.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891" w:right="339" w:bottom="1440" w:gutter="0" w:footer="0" w:header="0"/>
          <w:type w:val="continuous"/>
        </w:sectPr>
      </w:pPr>
    </w:p>
    <w:bookmarkStart w:id="13" w:name="page14"/>
    <w:bookmarkEnd w:id="13"/>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1400" w:type="dxa"/>
            <w:vAlign w:val="bottom"/>
          </w:tcPr>
          <w:p>
            <w:pPr>
              <w:spacing w:after="0"/>
              <w:rPr>
                <w:sz w:val="16"/>
                <w:szCs w:val="16"/>
                <w:color w:val="auto"/>
              </w:rPr>
            </w:pPr>
          </w:p>
        </w:tc>
      </w:tr>
      <w:tr>
        <w:trPr>
          <w:trHeight w:val="197"/>
        </w:trPr>
        <w:tc>
          <w:tcPr>
            <w:tcW w:w="66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Percent Change</w:t>
            </w:r>
          </w:p>
        </w:tc>
      </w:tr>
      <w:tr>
        <w:trPr>
          <w:trHeight w:val="236"/>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 Supplemental Information</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4"/>
        </w:trPr>
        <w:tc>
          <w:tcPr>
            <w:tcW w:w="662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71,295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111,684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w:t>
            </w:r>
          </w:p>
        </w:tc>
      </w:tr>
      <w:tr>
        <w:trPr>
          <w:trHeight w:val="243"/>
        </w:trPr>
        <w:tc>
          <w:tcPr>
            <w:tcW w:w="6620" w:type="dxa"/>
            <w:vAlign w:val="bottom"/>
          </w:tcPr>
          <w:p>
            <w:pPr>
              <w:ind w:left="340"/>
              <w:spacing w:after="0"/>
              <w:rPr>
                <w:sz w:val="20"/>
                <w:szCs w:val="20"/>
                <w:color w:val="auto"/>
              </w:rPr>
            </w:pPr>
            <w:r>
              <w:rPr>
                <w:rFonts w:ascii="Arial" w:cs="Arial" w:eastAsia="Arial" w:hAnsi="Arial"/>
                <w:sz w:val="16"/>
                <w:szCs w:val="16"/>
                <w:color w:val="auto"/>
              </w:rPr>
              <w:t>Rooms</w:t>
            </w:r>
          </w:p>
        </w:tc>
        <w:tc>
          <w:tcPr>
            <w:tcW w:w="34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106,105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119,089</w:t>
            </w:r>
          </w:p>
        </w:tc>
        <w:tc>
          <w:tcPr>
            <w:tcW w:w="1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(10.9)</w:t>
            </w: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105,979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123,619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r>
      <w:tr>
        <w:trPr>
          <w:trHeight w:val="243"/>
        </w:trPr>
        <w:tc>
          <w:tcPr>
            <w:tcW w:w="6620" w:type="dxa"/>
            <w:vAlign w:val="bottom"/>
          </w:tcPr>
          <w:p>
            <w:pPr>
              <w:ind w:left="340"/>
              <w:spacing w:after="0"/>
              <w:rPr>
                <w:sz w:val="20"/>
                <w:szCs w:val="20"/>
                <w:color w:val="auto"/>
              </w:rPr>
            </w:pPr>
            <w:r>
              <w:rPr>
                <w:rFonts w:ascii="Arial" w:cs="Arial" w:eastAsia="Arial" w:hAnsi="Arial"/>
                <w:sz w:val="16"/>
                <w:szCs w:val="16"/>
                <w:color w:val="auto"/>
              </w:rPr>
              <w:t>Entertainment, retail and other</w:t>
            </w:r>
          </w:p>
        </w:tc>
        <w:tc>
          <w:tcPr>
            <w:tcW w:w="34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40,445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46,641</w:t>
            </w:r>
          </w:p>
        </w:tc>
        <w:tc>
          <w:tcPr>
            <w:tcW w:w="1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(13.3)</w:t>
            </w:r>
          </w:p>
        </w:tc>
      </w:tr>
      <w:tr>
        <w:trPr>
          <w:trHeight w:val="27"/>
        </w:trPr>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66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323,824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401,033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(19.3)</w:t>
            </w:r>
          </w:p>
        </w:tc>
      </w:tr>
      <w:tr>
        <w:trPr>
          <w:trHeight w:val="270"/>
        </w:trPr>
        <w:tc>
          <w:tcPr>
            <w:tcW w:w="6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0"/>
        </w:trPr>
        <w:tc>
          <w:tcPr>
            <w:tcW w:w="6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14"/>
                <w:szCs w:val="14"/>
                <w:b w:val="1"/>
                <w:bCs w:val="1"/>
                <w:color w:val="auto"/>
              </w:rPr>
              <w:t>(6)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(22,077)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108,302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(120.4)</w:t>
            </w:r>
          </w:p>
        </w:tc>
      </w:tr>
      <w:tr>
        <w:trPr>
          <w:trHeight w:val="270"/>
        </w:trPr>
        <w:tc>
          <w:tcPr>
            <w:tcW w:w="6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6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6620" w:type="dxa"/>
            <w:vAlign w:val="bottom"/>
          </w:tcPr>
          <w:p>
            <w:pPr>
              <w:ind w:left="540"/>
              <w:spacing w:after="0"/>
              <w:rPr>
                <w:sz w:val="20"/>
                <w:szCs w:val="20"/>
                <w:color w:val="auto"/>
              </w:rPr>
            </w:pPr>
            <w:r>
              <w:rPr>
                <w:rFonts w:ascii="Arial" w:cs="Arial" w:eastAsia="Arial" w:hAnsi="Arial"/>
                <w:sz w:val="16"/>
                <w:szCs w:val="16"/>
                <w:color w:val="auto"/>
              </w:rPr>
              <w:t>Average number of table games</w:t>
            </w:r>
          </w:p>
        </w:tc>
        <w:tc>
          <w:tcPr>
            <w:tcW w:w="34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(0.4)</w:t>
            </w: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414,933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404,073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w:t>
            </w:r>
          </w:p>
        </w:tc>
      </w:tr>
      <w:tr>
        <w:trPr>
          <w:trHeight w:val="243"/>
        </w:trPr>
        <w:tc>
          <w:tcPr>
            <w:tcW w:w="6620" w:type="dxa"/>
            <w:vAlign w:val="bottom"/>
          </w:tcPr>
          <w:p>
            <w:pPr>
              <w:ind w:left="56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82,666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111,370</w:t>
            </w:r>
          </w:p>
        </w:tc>
        <w:tc>
          <w:tcPr>
            <w:tcW w:w="1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(25.8)</w:t>
            </w: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540"/>
              <w:spacing w:after="0"/>
              <w:rPr>
                <w:sz w:val="20"/>
                <w:szCs w:val="20"/>
                <w:color w:val="auto"/>
              </w:rPr>
            </w:pPr>
            <w:r>
              <w:rPr>
                <w:rFonts w:ascii="Arial" w:cs="Arial" w:eastAsia="Arial" w:hAnsi="Arial"/>
                <w:sz w:val="16"/>
                <w:szCs w:val="16"/>
                <w:color w:val="auto"/>
              </w:rPr>
              <w:t>Table games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4,530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5,198</w:t>
            </w:r>
          </w:p>
        </w:tc>
        <w:tc>
          <w:tcPr>
            <w:tcW w:w="1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(12.9)</w:t>
            </w: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Average number of slot machines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1,766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1,807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43"/>
        </w:trPr>
        <w:tc>
          <w:tcPr>
            <w:tcW w:w="6620" w:type="dxa"/>
            <w:vAlign w:val="bottom"/>
          </w:tcPr>
          <w:p>
            <w:pPr>
              <w:ind w:left="540"/>
              <w:spacing w:after="0"/>
              <w:rPr>
                <w:sz w:val="20"/>
                <w:szCs w:val="20"/>
                <w:color w:val="auto"/>
              </w:rPr>
            </w:pPr>
            <w:r>
              <w:rPr>
                <w:rFonts w:ascii="Arial" w:cs="Arial" w:eastAsia="Arial" w:hAnsi="Arial"/>
                <w:sz w:val="16"/>
                <w:szCs w:val="16"/>
                <w:color w:val="auto"/>
              </w:rPr>
              <w:t>Slot machine handle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664,834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789,310</w:t>
            </w:r>
          </w:p>
        </w:tc>
        <w:tc>
          <w:tcPr>
            <w:tcW w:w="1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(15.8)</w:t>
            </w: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46,674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54,544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r>
      <w:tr>
        <w:trPr>
          <w:trHeight w:val="243"/>
        </w:trPr>
        <w:tc>
          <w:tcPr>
            <w:tcW w:w="6620" w:type="dxa"/>
            <w:vAlign w:val="bottom"/>
          </w:tcPr>
          <w:p>
            <w:pPr>
              <w:ind w:left="540"/>
              <w:spacing w:after="0"/>
              <w:rPr>
                <w:sz w:val="20"/>
                <w:szCs w:val="20"/>
                <w:color w:val="auto"/>
              </w:rPr>
            </w:pPr>
            <w:r>
              <w:rPr>
                <w:rFonts w:ascii="Arial" w:cs="Arial" w:eastAsia="Arial" w:hAnsi="Arial"/>
                <w:sz w:val="16"/>
                <w:szCs w:val="16"/>
                <w:color w:val="auto"/>
              </w:rPr>
              <w:t>Slot machine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2.4</w:t>
            </w: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Poker rake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2,460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r>
      <w:tr>
        <w:trPr>
          <w:trHeight w:val="223"/>
        </w:trPr>
        <w:tc>
          <w:tcPr>
            <w:tcW w:w="6620" w:type="dxa"/>
            <w:vAlign w:val="bottom"/>
          </w:tcPr>
          <w:p>
            <w:pPr>
              <w:ind w:left="220"/>
              <w:spacing w:after="0"/>
              <w:rPr>
                <w:sz w:val="20"/>
                <w:szCs w:val="20"/>
                <w:color w:val="auto"/>
              </w:rPr>
            </w:pPr>
            <w:r>
              <w:rPr>
                <w:rFonts w:ascii="Arial" w:cs="Arial" w:eastAsia="Arial" w:hAnsi="Arial"/>
                <w:sz w:val="16"/>
                <w:szCs w:val="16"/>
                <w:color w:val="auto"/>
              </w:rPr>
              <w:t>Room statistics: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Occupancy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82.6 %</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67"/>
        </w:trPr>
        <w:tc>
          <w:tcPr>
            <w:tcW w:w="6620" w:type="dxa"/>
            <w:vAlign w:val="bottom"/>
          </w:tcPr>
          <w:p>
            <w:pPr>
              <w:ind w:left="56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10.7</w:t>
            </w:r>
          </w:p>
        </w:tc>
      </w:tr>
      <w:tr>
        <w:trPr>
          <w:trHeight w:val="273"/>
        </w:trPr>
        <w:tc>
          <w:tcPr>
            <w:tcW w:w="6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7.2</w:t>
            </w:r>
          </w:p>
        </w:tc>
      </w:tr>
    </w:tbl>
    <w:p>
      <w:pPr>
        <w:spacing w:after="0" w:line="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Note: Wynn Las Vegas ceased all operations and closed to the public on March 17, 2020, and will remain closed until authorized to re-open under U.S. and state government directives.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134" w:right="339" w:bottom="1440" w:gutter="0" w:footer="0" w:header="0"/>
        </w:sectPr>
      </w:pPr>
    </w:p>
    <w:bookmarkStart w:id="14" w:name="page15"/>
    <w:bookmarkEnd w:id="14"/>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8"/>
              </w:rPr>
              <w:t>Three Months Ended March 31,</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7"/>
        </w:trPr>
        <w:tc>
          <w:tcPr>
            <w:tcW w:w="66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Percent Change</w:t>
            </w:r>
          </w:p>
        </w:tc>
      </w:tr>
      <w:tr>
        <w:trPr>
          <w:trHeight w:val="202"/>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Encore Boston Harbor Supplemental Information </w:t>
            </w:r>
            <w:r>
              <w:rPr>
                <w:rFonts w:ascii="Arial" w:cs="Arial" w:eastAsia="Arial" w:hAnsi="Arial"/>
                <w:sz w:val="14"/>
                <w:szCs w:val="14"/>
                <w:b w:val="1"/>
                <w:bCs w:val="1"/>
                <w:color w:val="auto"/>
              </w:rPr>
              <w:t>(7)</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3"/>
        </w:trPr>
        <w:tc>
          <w:tcPr>
            <w:tcW w:w="660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101,790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340"/>
              <w:spacing w:after="0"/>
              <w:rPr>
                <w:sz w:val="20"/>
                <w:szCs w:val="20"/>
                <w:color w:val="auto"/>
              </w:rPr>
            </w:pPr>
            <w:r>
              <w:rPr>
                <w:rFonts w:ascii="Arial" w:cs="Arial" w:eastAsia="Arial" w:hAnsi="Arial"/>
                <w:sz w:val="16"/>
                <w:szCs w:val="16"/>
                <w:color w:val="auto"/>
              </w:rPr>
              <w:t>Rooms</w:t>
            </w:r>
          </w:p>
        </w:tc>
        <w:tc>
          <w:tcPr>
            <w:tcW w:w="3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10,955</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20,606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340"/>
              <w:spacing w:after="0"/>
              <w:rPr>
                <w:sz w:val="20"/>
                <w:szCs w:val="20"/>
                <w:color w:val="auto"/>
              </w:rPr>
            </w:pPr>
            <w:r>
              <w:rPr>
                <w:rFonts w:ascii="Arial" w:cs="Arial" w:eastAsia="Arial" w:hAnsi="Arial"/>
                <w:sz w:val="16"/>
                <w:szCs w:val="16"/>
                <w:color w:val="auto"/>
              </w:rPr>
              <w:t>Entertainment, retail and other</w:t>
            </w:r>
          </w:p>
        </w:tc>
        <w:tc>
          <w:tcPr>
            <w:tcW w:w="3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7,539</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140,890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b w:val="1"/>
                <w:bCs w:val="1"/>
                <w:color w:val="auto"/>
              </w:rPr>
              <w:t>—</w:t>
            </w:r>
          </w:p>
        </w:tc>
      </w:tr>
      <w:tr>
        <w:trPr>
          <w:trHeight w:val="270"/>
        </w:trPr>
        <w:tc>
          <w:tcPr>
            <w:tcW w:w="6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0"/>
        </w:trPr>
        <w:tc>
          <w:tcPr>
            <w:tcW w:w="6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14"/>
                <w:szCs w:val="14"/>
                <w:b w:val="1"/>
                <w:bCs w:val="1"/>
                <w:color w:val="auto"/>
              </w:rPr>
              <w:t>(6)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(12,636)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b w:val="1"/>
                <w:bCs w:val="1"/>
                <w:color w:val="auto"/>
              </w:rPr>
              <w:t>—</w:t>
            </w:r>
          </w:p>
        </w:tc>
      </w:tr>
      <w:tr>
        <w:trPr>
          <w:trHeight w:val="270"/>
        </w:trPr>
        <w:tc>
          <w:tcPr>
            <w:tcW w:w="6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6"/>
        </w:trPr>
        <w:tc>
          <w:tcPr>
            <w:tcW w:w="6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540"/>
              <w:spacing w:after="0"/>
              <w:rPr>
                <w:sz w:val="20"/>
                <w:szCs w:val="20"/>
                <w:color w:val="auto"/>
              </w:rPr>
            </w:pPr>
            <w:r>
              <w:rPr>
                <w:rFonts w:ascii="Arial" w:cs="Arial" w:eastAsia="Arial" w:hAnsi="Arial"/>
                <w:sz w:val="16"/>
                <w:szCs w:val="16"/>
                <w:color w:val="auto"/>
              </w:rPr>
              <w:t>Average number of table games</w:t>
            </w:r>
          </w:p>
        </w:tc>
        <w:tc>
          <w:tcPr>
            <w:tcW w:w="3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275,631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63"/>
        </w:trPr>
        <w:tc>
          <w:tcPr>
            <w:tcW w:w="6600" w:type="dxa"/>
            <w:vAlign w:val="bottom"/>
          </w:tcPr>
          <w:p>
            <w:pPr>
              <w:ind w:left="56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34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57,286</w:t>
            </w:r>
          </w:p>
        </w:tc>
        <w:tc>
          <w:tcPr>
            <w:tcW w:w="120" w:type="dxa"/>
            <w:vAlign w:val="bottom"/>
          </w:tcPr>
          <w:p>
            <w:pPr>
              <w:spacing w:after="0"/>
              <w:rPr>
                <w:sz w:val="22"/>
                <w:szCs w:val="22"/>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57"/>
        </w:trPr>
        <w:tc>
          <w:tcPr>
            <w:tcW w:w="6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Table games win %</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CCEEFF"/>
            </w:tcBorders>
            <w:shd w:val="clear" w:color="auto" w:fill="CCEEFF"/>
          </w:tcPr>
          <w:p>
            <w:pPr>
              <w:spacing w:after="0"/>
              <w:rPr>
                <w:sz w:val="22"/>
                <w:szCs w:val="22"/>
                <w:color w:val="auto"/>
              </w:rPr>
            </w:pPr>
          </w:p>
        </w:tc>
      </w:tr>
      <w:tr>
        <w:trPr>
          <w:trHeight w:val="243"/>
        </w:trPr>
        <w:tc>
          <w:tcPr>
            <w:tcW w:w="6600" w:type="dxa"/>
            <w:vAlign w:val="bottom"/>
          </w:tcPr>
          <w:p>
            <w:pPr>
              <w:ind w:left="540"/>
              <w:spacing w:after="0"/>
              <w:rPr>
                <w:sz w:val="20"/>
                <w:szCs w:val="20"/>
                <w:color w:val="auto"/>
              </w:rPr>
            </w:pPr>
            <w:r>
              <w:rPr>
                <w:rFonts w:ascii="Arial" w:cs="Arial" w:eastAsia="Arial" w:hAnsi="Arial"/>
                <w:sz w:val="16"/>
                <w:szCs w:val="16"/>
                <w:color w:val="auto"/>
              </w:rPr>
              <w:t>Table games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4,826</w:t>
            </w:r>
          </w:p>
        </w:tc>
        <w:tc>
          <w:tcPr>
            <w:tcW w:w="1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Average number of slot machines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2,837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540"/>
              <w:spacing w:after="0"/>
              <w:rPr>
                <w:sz w:val="20"/>
                <w:szCs w:val="20"/>
                <w:color w:val="auto"/>
              </w:rPr>
            </w:pPr>
            <w:r>
              <w:rPr>
                <w:rFonts w:ascii="Arial" w:cs="Arial" w:eastAsia="Arial" w:hAnsi="Arial"/>
                <w:sz w:val="16"/>
                <w:szCs w:val="16"/>
                <w:color w:val="auto"/>
              </w:rPr>
              <w:t>Slot machine handle</w:t>
            </w:r>
          </w:p>
        </w:tc>
        <w:tc>
          <w:tcPr>
            <w:tcW w:w="3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767,739</w:t>
            </w:r>
          </w:p>
        </w:tc>
        <w:tc>
          <w:tcPr>
            <w:tcW w:w="1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59,448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540"/>
              <w:spacing w:after="0"/>
              <w:rPr>
                <w:sz w:val="20"/>
                <w:szCs w:val="20"/>
                <w:color w:val="auto"/>
              </w:rPr>
            </w:pPr>
            <w:r>
              <w:rPr>
                <w:rFonts w:ascii="Arial" w:cs="Arial" w:eastAsia="Arial" w:hAnsi="Arial"/>
                <w:sz w:val="16"/>
                <w:szCs w:val="16"/>
                <w:color w:val="auto"/>
              </w:rPr>
              <w:t>Slot machine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Poker rake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5,105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tcPr>
          <w:p>
            <w:pPr>
              <w:ind w:left="340"/>
              <w:spacing w:after="0"/>
              <w:rPr>
                <w:sz w:val="20"/>
                <w:szCs w:val="20"/>
                <w:color w:val="auto"/>
              </w:rPr>
            </w:pPr>
            <w:r>
              <w:rPr>
                <w:rFonts w:ascii="Arial" w:cs="Arial" w:eastAsia="Arial" w:hAnsi="Arial"/>
                <w:sz w:val="16"/>
                <w:szCs w:val="16"/>
                <w:color w:val="auto"/>
              </w:rPr>
              <w:t>Room statistics: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Occupancy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75.8 %</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56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6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Note: Encore Boston Harbor ceased all operations and closed to the public on March 15, 2020, and will remain closed until authorized to re-open under U.S. and state government directives.</w:t>
      </w:r>
    </w:p>
    <w:p>
      <w:pPr>
        <w:spacing w:after="0" w:line="190" w:lineRule="exact"/>
        <w:rPr>
          <w:sz w:val="20"/>
          <w:szCs w:val="20"/>
          <w:color w:val="auto"/>
        </w:rPr>
      </w:pPr>
    </w:p>
    <w:p>
      <w:pPr>
        <w:ind w:left="260" w:right="20" w:hanging="252"/>
        <w:spacing w:after="0" w:line="250" w:lineRule="auto"/>
        <w:tabs>
          <w:tab w:leader="none" w:pos="222" w:val="left"/>
        </w:tabs>
        <w:numPr>
          <w:ilvl w:val="0"/>
          <w:numId w:val="7"/>
        </w:numPr>
        <w:rPr>
          <w:rFonts w:ascii="Arial" w:cs="Arial" w:eastAsia="Arial" w:hAnsi="Arial"/>
          <w:sz w:val="14"/>
          <w:szCs w:val="14"/>
          <w:color w:val="auto"/>
        </w:rPr>
      </w:pPr>
      <w:r>
        <w:rPr>
          <w:rFonts w:ascii="Arial" w:cs="Arial" w:eastAsia="Arial" w:hAnsi="Arial"/>
          <w:sz w:val="14"/>
          <w:szCs w:val="14"/>
          <w:color w:val="auto"/>
        </w:rPr>
        <w:t>Table games win is shown before discounts, commissions and the allocation of casino revenues to rooms, food and beverage and other revenues for services provided to casino customers on a complimentary basis.</w:t>
      </w:r>
    </w:p>
    <w:p>
      <w:pPr>
        <w:ind w:left="260" w:hanging="252"/>
        <w:spacing w:after="0" w:line="260" w:lineRule="auto"/>
        <w:tabs>
          <w:tab w:leader="none" w:pos="221"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w:t>
      </w: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Slot machine win is calculated as gross slot machine win minus progressive accruals and free play.</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ADR is average daily rate and is calculated by dividing total room revenues including complimentaries (less service charges, if any) by total rooms occupied.</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REVPAR is revenue per available room and is calculated by dividing total room revenues including complimentaries (less service charges, if any) by total rooms available.</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Refer to accompanying reconciliations of Operating Income (Loss) to Adjusted Property EBITDA and Net Income (Loss) Attributable to Wynn Resorts, Limited to Adjusted Property</w:t>
      </w:r>
    </w:p>
    <w:p>
      <w:pPr>
        <w:spacing w:after="0" w:line="12"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4"/>
          <w:szCs w:val="14"/>
          <w:color w:val="auto"/>
        </w:rPr>
        <w:t>EBITDA.</w:t>
      </w:r>
    </w:p>
    <w:p>
      <w:pPr>
        <w:spacing w:after="0" w:line="1" w:lineRule="exact"/>
        <w:rPr>
          <w:rFonts w:ascii="Arial" w:cs="Arial" w:eastAsia="Arial" w:hAnsi="Arial"/>
          <w:sz w:val="13"/>
          <w:szCs w:val="13"/>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Encore Boston Harbor opened on June 23, 2019.</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Vincent Zahn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34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13</w:t>
      </w:r>
    </w:p>
    <w:sectPr>
      <w:pgSz w:w="11900" w:h="16838" w:orient="portrait"/>
      <w:cols w:equalWidth="0" w:num="1">
        <w:col w:w="10139"/>
      </w:cols>
      <w:pgMar w:left="320" w:top="1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2020-05-06T15:15:47Z</dcterms:created>
  <dcterms:modified xsi:type="dcterms:W3CDTF">2020-05-06T15:15:47Z</dcterms:modified>
</cp:coreProperties>
</file>