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-234315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-624840</wp:posOffset>
            </wp:positionV>
            <wp:extent cx="57785" cy="638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22860</wp:posOffset>
            </wp:positionV>
            <wp:extent cx="6993890" cy="5875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875020"/>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260" w:space="300"/>
            <w:col w:w="8520"/>
          </w:cols>
          <w:pgMar w:left="460" w:top="217" w:right="359" w:bottom="72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CAMERON-DOE JULIE</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WYNN RESORTS, LIMITED</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WYNN RESORTS LTD</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WYNN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01/12/2023</w:t>
      </w:r>
    </w:p>
    <w:p>
      <w:pPr>
        <w:spacing w:after="0" w:line="20" w:lineRule="exact"/>
        <w:rPr>
          <w:sz w:val="24"/>
          <w:szCs w:val="24"/>
          <w:color w:val="auto"/>
        </w:rPr>
      </w:pPr>
      <w:r>
        <w:rPr>
          <w:sz w:val="24"/>
          <w:szCs w:val="24"/>
          <w:color w:val="auto"/>
        </w:rPr>
        <w:br w:type="column"/>
      </w:r>
    </w:p>
    <w:p>
      <w:pPr>
        <w:ind w:left="-2" w:right="640" w:firstLine="2"/>
        <w:spacing w:after="0" w:line="25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8" w:type="dxa"/>
        <w:tblCellMar>
          <w:top w:w="0" w:type="dxa"/>
          <w:left w:w="0" w:type="dxa"/>
          <w:bottom w:w="0" w:type="dxa"/>
          <w:right w:w="0" w:type="dxa"/>
        </w:tblCellMar>
      </w:tblPr>
      <w:tr>
        <w:trPr>
          <w:trHeight w:val="168"/>
        </w:trPr>
        <w:tc>
          <w:tcPr>
            <w:tcW w:w="220" w:type="dxa"/>
            <w:vAlign w:val="bottom"/>
          </w:tcPr>
          <w:p>
            <w:pPr>
              <w:spacing w:after="0"/>
              <w:rPr>
                <w:sz w:val="14"/>
                <w:szCs w:val="14"/>
                <w:color w:val="auto"/>
              </w:rPr>
            </w:pPr>
          </w:p>
        </w:tc>
        <w:tc>
          <w:tcPr>
            <w:tcW w:w="15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80" w:type="dxa"/>
            <w:vAlign w:val="bottom"/>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5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80" w:type="dxa"/>
            <w:vAlign w:val="bottom"/>
          </w:tcPr>
          <w:p>
            <w:pPr>
              <w:ind w:left="18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5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8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20" w:type="dxa"/>
            <w:vAlign w:val="bottom"/>
          </w:tcPr>
          <w:p>
            <w:pPr>
              <w:spacing w:after="0"/>
              <w:rPr>
                <w:sz w:val="21"/>
                <w:szCs w:val="21"/>
                <w:color w:val="auto"/>
              </w:rPr>
            </w:pPr>
          </w:p>
        </w:tc>
        <w:tc>
          <w:tcPr>
            <w:tcW w:w="1520" w:type="dxa"/>
            <w:vAlign w:val="bottom"/>
          </w:tcPr>
          <w:p>
            <w:pPr>
              <w:ind w:left="1000"/>
              <w:spacing w:after="0"/>
              <w:rPr>
                <w:sz w:val="20"/>
                <w:szCs w:val="20"/>
                <w:color w:val="auto"/>
              </w:rPr>
            </w:pPr>
            <w:r>
              <w:rPr>
                <w:rFonts w:ascii="Times New Roman" w:cs="Times New Roman" w:eastAsia="Times New Roman" w:hAnsi="Times New Roman"/>
                <w:sz w:val="17"/>
                <w:szCs w:val="17"/>
                <w:color w:val="0000FF"/>
              </w:rPr>
              <w:t>CFO</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59" w:lineRule="exact"/>
        <w:rPr>
          <w:sz w:val="24"/>
          <w:szCs w:val="24"/>
          <w:color w:val="auto"/>
        </w:rPr>
      </w:pPr>
    </w:p>
    <w:p>
      <w:pPr>
        <w:sectPr>
          <w:pgSz w:w="11900" w:h="16838" w:orient="portrait"/>
          <w:cols w:equalWidth="0" w:num="3">
            <w:col w:w="3180" w:space="720"/>
            <w:col w:w="3102" w:space="720"/>
            <w:col w:w="3358"/>
          </w:cols>
          <w:pgMar w:left="460" w:top="217" w:right="359" w:bottom="726"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720" w:type="dxa"/>
            <w:vAlign w:val="bottom"/>
            <w:gridSpan w:val="8"/>
          </w:tcPr>
          <w:p>
            <w:pPr>
              <w:jc w:val="center"/>
              <w:ind w:right="74"/>
              <w:spacing w:after="0"/>
              <w:rPr>
                <w:sz w:val="20"/>
                <w:szCs w:val="20"/>
                <w:color w:val="auto"/>
              </w:rPr>
            </w:pPr>
            <w:r>
              <w:rPr>
                <w:rFonts w:ascii="Arial" w:cs="Arial" w:eastAsia="Arial" w:hAnsi="Arial"/>
                <w:sz w:val="13"/>
                <w:szCs w:val="13"/>
                <w:color w:val="auto"/>
                <w:w w:val="98"/>
              </w:rPr>
              <w:t>4. If Amendment, Date of Original Filed (Month/Day/Year)</w:t>
            </w:r>
          </w:p>
        </w:tc>
        <w:tc>
          <w:tcPr>
            <w:tcW w:w="362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20" w:type="dxa"/>
            <w:vAlign w:val="bottom"/>
            <w:gridSpan w:val="10"/>
            <w:vMerge w:val="restart"/>
          </w:tcPr>
          <w:p>
            <w:pPr>
              <w:ind w:left="4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LAS VEGAS</w:t>
            </w:r>
          </w:p>
        </w:tc>
        <w:tc>
          <w:tcPr>
            <w:tcW w:w="2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NV</w:t>
            </w:r>
          </w:p>
        </w:tc>
        <w:tc>
          <w:tcPr>
            <w:tcW w:w="860" w:type="dxa"/>
            <w:vAlign w:val="bottom"/>
          </w:tcPr>
          <w:p>
            <w:pPr>
              <w:spacing w:after="0"/>
              <w:rPr>
                <w:sz w:val="10"/>
                <w:szCs w:val="10"/>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89109</w:t>
            </w: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2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6"/>
                <w:szCs w:val="6"/>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66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3760" w:type="dxa"/>
            <w:vAlign w:val="bottom"/>
            <w:tcBorders>
              <w:bottom w:val="single" w:sz="8" w:color="2C2C2C"/>
            </w:tcBorders>
            <w:gridSpan w:val="8"/>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120" w:type="dxa"/>
            <w:vAlign w:val="bottom"/>
            <w:tcBorders>
              <w:top w:val="single" w:sz="8" w:color="2C2C2C"/>
            </w:tcBorders>
            <w:gridSpan w:val="15"/>
          </w:tcPr>
          <w:p>
            <w:pPr>
              <w:ind w:left="70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6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9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5"/>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120" w:type="dxa"/>
            <w:vAlign w:val="bottom"/>
            <w:tcBorders>
              <w:bottom w:val="single" w:sz="8" w:color="2C2C2C"/>
            </w:tcBorders>
            <w:gridSpan w:val="6"/>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312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01/12/2023</w:t>
            </w: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1,443</w:t>
            </w:r>
            <w:r>
              <w:rPr>
                <w:rFonts w:ascii="Times New Roman" w:cs="Times New Roman" w:eastAsia="Times New Roman" w:hAnsi="Times New Roman"/>
                <w:sz w:val="21"/>
                <w:szCs w:val="21"/>
                <w:color w:val="008000"/>
                <w:vertAlign w:val="superscript"/>
              </w:rPr>
              <w:t>(1)</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ind w:left="11"/>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98.61</w:t>
            </w:r>
          </w:p>
        </w:tc>
        <w:tc>
          <w:tcPr>
            <w:tcW w:w="128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48,325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312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01/12/2023</w:t>
            </w: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8,996</w:t>
            </w:r>
            <w:r>
              <w:rPr>
                <w:rFonts w:ascii="Times New Roman" w:cs="Times New Roman" w:eastAsia="Times New Roman" w:hAnsi="Times New Roman"/>
                <w:sz w:val="21"/>
                <w:szCs w:val="21"/>
                <w:color w:val="008000"/>
                <w:vertAlign w:val="superscript"/>
              </w:rPr>
              <w:t>(2)</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7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57,321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312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01/12/2023</w:t>
            </w: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3,488</w:t>
            </w:r>
            <w:r>
              <w:rPr>
                <w:rFonts w:ascii="Times New Roman" w:cs="Times New Roman" w:eastAsia="Times New Roman" w:hAnsi="Times New Roman"/>
                <w:sz w:val="21"/>
                <w:szCs w:val="21"/>
                <w:color w:val="008000"/>
                <w:vertAlign w:val="superscript"/>
              </w:rPr>
              <w:t>(3)</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ind w:left="11"/>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98.61</w:t>
            </w:r>
          </w:p>
        </w:tc>
        <w:tc>
          <w:tcPr>
            <w:tcW w:w="128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53,833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312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01/12/2023</w:t>
            </w: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7,188</w:t>
            </w:r>
            <w:r>
              <w:rPr>
                <w:rFonts w:ascii="Times New Roman" w:cs="Times New Roman" w:eastAsia="Times New Roman" w:hAnsi="Times New Roman"/>
                <w:sz w:val="21"/>
                <w:szCs w:val="21"/>
                <w:color w:val="008000"/>
                <w:vertAlign w:val="superscript"/>
              </w:rPr>
              <w:t>(4)</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7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61,021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01/12/2023</w:t>
            </w: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4,791</w:t>
            </w:r>
            <w:r>
              <w:rPr>
                <w:rFonts w:ascii="Times New Roman" w:cs="Times New Roman" w:eastAsia="Times New Roman" w:hAnsi="Times New Roman"/>
                <w:sz w:val="21"/>
                <w:szCs w:val="21"/>
                <w:color w:val="008000"/>
                <w:vertAlign w:val="superscript"/>
              </w:rPr>
              <w:t>(5)</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7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65,812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8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4"/>
          </w:tcPr>
          <w:p>
            <w:pPr>
              <w:jc w:val="center"/>
              <w:ind w:right="6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900" w:type="dxa"/>
            <w:vAlign w:val="bottom"/>
            <w:gridSpan w:val="11"/>
          </w:tcPr>
          <w:p>
            <w:pPr>
              <w:jc w:val="center"/>
              <w:ind w:right="10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6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2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2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5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Price of</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gridSpan w:val="2"/>
          </w:tcPr>
          <w:p>
            <w:pPr>
              <w:ind w:left="2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Security</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Performance</w:t>
            </w:r>
          </w:p>
        </w:tc>
        <w:tc>
          <w:tcPr>
            <w:tcW w:w="54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280" w:type="dxa"/>
            <w:vAlign w:val="bottom"/>
          </w:tcPr>
          <w:p>
            <w:pPr>
              <w:spacing w:after="0"/>
              <w:rPr>
                <w:sz w:val="12"/>
                <w:szCs w:val="12"/>
                <w:color w:val="auto"/>
              </w:rPr>
            </w:pPr>
          </w:p>
        </w:tc>
        <w:tc>
          <w:tcPr>
            <w:tcW w:w="86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01/12/2023</w:t>
            </w: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12"/>
                <w:szCs w:val="12"/>
                <w:color w:val="auto"/>
              </w:rPr>
            </w:pPr>
          </w:p>
        </w:tc>
        <w:tc>
          <w:tcPr>
            <w:tcW w:w="5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3,994</w:t>
            </w:r>
          </w:p>
        </w:tc>
        <w:tc>
          <w:tcPr>
            <w:tcW w:w="280" w:type="dxa"/>
            <w:vAlign w:val="bottom"/>
          </w:tcPr>
          <w:p>
            <w:pPr>
              <w:spacing w:after="0"/>
              <w:rPr>
                <w:sz w:val="12"/>
                <w:szCs w:val="12"/>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01/01/2026</w:t>
            </w:r>
          </w:p>
        </w:tc>
        <w:tc>
          <w:tcPr>
            <w:tcW w:w="7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01/01/2026</w:t>
            </w:r>
          </w:p>
        </w:tc>
        <w:tc>
          <w:tcPr>
            <w:tcW w:w="62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160"/>
              <w:spacing w:after="0"/>
              <w:rPr>
                <w:sz w:val="20"/>
                <w:szCs w:val="20"/>
                <w:color w:val="auto"/>
              </w:rPr>
            </w:pPr>
            <w:r>
              <w:rPr>
                <w:rFonts w:ascii="Times New Roman" w:cs="Times New Roman" w:eastAsia="Times New Roman" w:hAnsi="Times New Roman"/>
                <w:sz w:val="11"/>
                <w:szCs w:val="11"/>
                <w:color w:val="008000"/>
              </w:rPr>
              <w:t>(6)</w:t>
            </w:r>
          </w:p>
        </w:tc>
        <w:tc>
          <w:tcPr>
            <w:tcW w:w="60" w:type="dxa"/>
            <w:vAlign w:val="bottom"/>
          </w:tcPr>
          <w:p>
            <w:pPr>
              <w:spacing w:after="0"/>
              <w:rPr>
                <w:sz w:val="12"/>
                <w:szCs w:val="12"/>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3,994</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Share Units</w:t>
            </w:r>
          </w:p>
        </w:tc>
        <w:tc>
          <w:tcPr>
            <w:tcW w:w="5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$0.01</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-2176780</wp:posOffset>
            </wp:positionV>
            <wp:extent cx="29210" cy="2181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8186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withholding obligation upon vesting of restricted stock previously granted on April 25, 2022.</w:t>
      </w:r>
    </w:p>
    <w:p>
      <w:pPr>
        <w:spacing w:after="0" w:line="43" w:lineRule="exact"/>
        <w:rPr>
          <w:rFonts w:ascii="Times New Roman" w:cs="Times New Roman" w:eastAsia="Times New Roman" w:hAnsi="Times New Roman"/>
          <w:sz w:val="13"/>
          <w:szCs w:val="13"/>
          <w:color w:val="008000"/>
        </w:rPr>
      </w:pPr>
    </w:p>
    <w:p>
      <w:pPr>
        <w:ind w:left="40" w:right="260" w:firstLine="2"/>
        <w:spacing w:after="0" w:line="254"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common stock, par value $0.01 per share, of Wynn Resorts, Limited (the "Company") granted pursuant to the Company's Amended and Restated 2014 Omnibus Incentive Plan, which shares vested immediately upon grant.</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withholding obligation upon vesting of immediately vested stock granted on January 12, 2023.</w:t>
      </w:r>
    </w:p>
    <w:p>
      <w:pPr>
        <w:spacing w:after="0" w:line="43" w:lineRule="exact"/>
        <w:rPr>
          <w:rFonts w:ascii="Times New Roman" w:cs="Times New Roman" w:eastAsia="Times New Roman" w:hAnsi="Times New Roman"/>
          <w:sz w:val="13"/>
          <w:szCs w:val="13"/>
          <w:color w:val="008000"/>
        </w:rPr>
      </w:pPr>
    </w:p>
    <w:p>
      <w:pPr>
        <w:ind w:left="40" w:right="160" w:firstLine="2"/>
        <w:spacing w:after="0"/>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of common stock, par value $0.01 per share, of Wynn Resorts, Limited (the "Company") granted pursuant to the Company's Amended and Restated 2014 Omnibus Incentive Plan (the "Plan"). Vesting of the shares is conditioned on continued service through January 12, 2026, with 1/3 of the shares vesting on each of the three consecutive anniversary dates from the date of grant; provided that if the reporting person's employment with the Company is terminated, certain accelerated vesting provisions may apply.</w:t>
      </w:r>
    </w:p>
    <w:p>
      <w:pPr>
        <w:spacing w:after="0" w:line="27" w:lineRule="exact"/>
        <w:rPr>
          <w:rFonts w:ascii="Times New Roman" w:cs="Times New Roman" w:eastAsia="Times New Roman" w:hAnsi="Times New Roman"/>
          <w:sz w:val="13"/>
          <w:szCs w:val="13"/>
          <w:color w:val="008000"/>
        </w:rPr>
      </w:pPr>
    </w:p>
    <w:p>
      <w:pPr>
        <w:jc w:val="both"/>
        <w:ind w:left="40" w:right="300" w:firstLine="2"/>
        <w:spacing w:after="0"/>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of common stock, par value $0.01 per share, of the Company granted pursuant to the Plan. Vesting of the shares is is based on achievement of pre-established financial performance goals in each of the years ended December 31, 2023, 2024 and 2025, and if met, 1/3 of the shares will vest on each of the dates of February 28, 2024, 2025 and 2026; provided that if the reporting person's employment with the Company is terminated, certain accelerated vesting provisions may apply.</w:t>
      </w:r>
    </w:p>
    <w:p>
      <w:pPr>
        <w:spacing w:after="0" w:line="27" w:lineRule="exact"/>
        <w:rPr>
          <w:rFonts w:ascii="Times New Roman" w:cs="Times New Roman" w:eastAsia="Times New Roman" w:hAnsi="Times New Roman"/>
          <w:sz w:val="13"/>
          <w:szCs w:val="13"/>
          <w:color w:val="008000"/>
        </w:rPr>
      </w:pPr>
    </w:p>
    <w:p>
      <w:pPr>
        <w:jc w:val="both"/>
        <w:ind w:left="40" w:right="220" w:firstLine="2"/>
        <w:spacing w:after="0" w:line="23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grant of performance share units ("PSUs") pursuant to the Plan. Each PSU represents the right to receive between 0 and 1.6 shares of Company common stock depending on the performance of the common stock from January 1, 2023 to January 1, 2026 (the "Vesting Date"), with such performance determined as the multiple of the average closing price of Company common stock over the 60-calendar day period ending on the Vesting Date, as adjusted to include dividends paid during the term of the PSU, to the average closing price of Company common stock over the 60-calendar day period ending on January 1, 2023.</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1" w:lineRule="auto"/>
        <w:rPr>
          <w:sz w:val="20"/>
          <w:szCs w:val="20"/>
          <w:color w:val="auto"/>
        </w:rPr>
      </w:pPr>
      <w:r>
        <w:rPr>
          <w:rFonts w:ascii="Times New Roman" w:cs="Times New Roman" w:eastAsia="Times New Roman" w:hAnsi="Times New Roman"/>
          <w:sz w:val="17"/>
          <w:szCs w:val="17"/>
          <w:color w:val="0000FF"/>
        </w:rPr>
        <w:t xml:space="preserve">/s/ Nicholas Pannucci, attorney- </w:t>
      </w:r>
      <w:r>
        <w:rPr>
          <w:rFonts w:ascii="Times New Roman" w:cs="Times New Roman" w:eastAsia="Times New Roman" w:hAnsi="Times New Roman"/>
          <w:sz w:val="33"/>
          <w:szCs w:val="33"/>
          <w:color w:val="0000FF"/>
          <w:vertAlign w:val="subscript"/>
        </w:rPr>
        <w:t>01/17/2023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Julie Cameron-Doe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-20955</wp:posOffset>
            </wp:positionV>
            <wp:extent cx="128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82700"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38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72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24941"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2023-01-17T19:14:17Z</dcterms:created>
  <dcterms:modified xsi:type="dcterms:W3CDTF">2023-01-17T19:14:17Z</dcterms:modified>
</cp:coreProperties>
</file>