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2</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February 2, 2004)</w:t>
      </w:r>
    </w:p>
    <w:p>
      <w:pPr>
        <w:spacing w:after="0" w:line="20" w:lineRule="exact"/>
        <w:rPr>
          <w:sz w:val="24"/>
          <w:szCs w:val="24"/>
          <w:color w:val="auto"/>
        </w:rPr>
      </w:pPr>
      <w:r>
        <w:rPr>
          <w:sz w:val="24"/>
          <w:szCs w:val="24"/>
          <w:color w:val="auto"/>
        </w:rPr>
        <w:br w:type="column"/>
      </w:r>
    </w:p>
    <w:p>
      <w:pPr>
        <w:ind w:left="900"/>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Nos. 333-111064, 333-111064-01</w:t>
      </w:r>
    </w:p>
    <w:p>
      <w:pPr>
        <w:spacing w:after="0" w:line="179" w:lineRule="exact"/>
        <w:rPr>
          <w:sz w:val="24"/>
          <w:szCs w:val="24"/>
          <w:color w:val="auto"/>
        </w:rPr>
      </w:pPr>
    </w:p>
    <w:p>
      <w:pPr>
        <w:sectPr>
          <w:pgSz w:w="11900" w:h="16838" w:orient="portrait"/>
          <w:cols w:equalWidth="0" w:num="2">
            <w:col w:w="7380" w:space="720"/>
            <w:col w:w="3320"/>
          </w:cols>
          <w:pgMar w:left="240" w:top="233" w:right="239" w:bottom="1440" w:gutter="0" w:footer="0" w:header="0"/>
        </w:sectPr>
      </w:pPr>
    </w:p>
    <w:p>
      <w:pPr>
        <w:jc w:val="center"/>
        <w:spacing w:after="0"/>
        <w:rPr>
          <w:sz w:val="20"/>
          <w:szCs w:val="20"/>
          <w:color w:val="auto"/>
        </w:rPr>
      </w:pPr>
      <w:r>
        <w:rPr>
          <w:rFonts w:ascii="Arial" w:cs="Arial" w:eastAsia="Arial" w:hAnsi="Arial"/>
          <w:sz w:val="24"/>
          <w:szCs w:val="24"/>
          <w:b w:val="1"/>
          <w:bCs w:val="1"/>
          <w:color w:val="auto"/>
        </w:rPr>
        <w:t>Wynn Resorts, Limited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 Convertible Subordinated Debentures due 2015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of 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118745</wp:posOffset>
            </wp:positionV>
            <wp:extent cx="1397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supplement supplements the prospectus dated February 2, 2004, as supplemented by the prospectus supplement dated March 1, 2004, relating to the resale by certain of our securityholders of up to $250,000,000 aggregate principal amount at maturity of our 6% Convertible Subordinated Debentures due 2015 and the shares of our common stock issuable upon conversion of the debentures. You should read this prospectus supplement in conjunction with the prospectus. This prospectus supplement is qualified by reference to the prospectus, except to the extent that the information in this prospectus supplement supersedes the information contained in the prospectus.</w:t>
      </w:r>
    </w:p>
    <w:p>
      <w:pPr>
        <w:spacing w:after="0" w:line="129"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appearing under the heading “Selling Securityholders” in the prospectus is hereby amended by the addition or substitution, as applicable, of the following:</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Principal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Shares of</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6"/>
              </w:rPr>
              <w:t>Amount at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Common</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Maturity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Amount of</w:t>
            </w:r>
          </w:p>
        </w:tc>
        <w:tc>
          <w:tcPr>
            <w:tcW w:w="38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3"/>
              </w:rPr>
              <w:t>Debentures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8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of Debentures</w:t>
            </w: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May Be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Stock Out-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40" w:type="dxa"/>
            <w:vAlign w:val="bottom"/>
            <w:gridSpan w:val="3"/>
          </w:tcPr>
          <w:p>
            <w:pPr>
              <w:ind w:left="320"/>
              <w:spacing w:after="0"/>
              <w:rPr>
                <w:sz w:val="20"/>
                <w:szCs w:val="20"/>
                <w:color w:val="auto"/>
              </w:rPr>
            </w:pPr>
            <w:r>
              <w:rPr>
                <w:rFonts w:ascii="Arial" w:cs="Arial" w:eastAsia="Arial" w:hAnsi="Arial"/>
                <w:sz w:val="14"/>
                <w:szCs w:val="14"/>
                <w:b w:val="1"/>
                <w:bCs w:val="1"/>
                <w:color w:val="auto"/>
              </w:rPr>
              <w:t>Name of Selling Security Holder</w:t>
            </w:r>
          </w:p>
        </w:tc>
        <w:tc>
          <w:tcPr>
            <w:tcW w:w="100" w:type="dxa"/>
            <w:vAlign w:val="bottom"/>
          </w:tcPr>
          <w:p>
            <w:pPr>
              <w:spacing w:after="0"/>
              <w:rPr>
                <w:sz w:val="15"/>
                <w:szCs w:val="15"/>
                <w:color w:val="auto"/>
              </w:rPr>
            </w:pPr>
          </w:p>
        </w:tc>
        <w:tc>
          <w:tcPr>
            <w:tcW w:w="900" w:type="dxa"/>
            <w:vAlign w:val="bottom"/>
          </w:tcPr>
          <w:p>
            <w:pPr>
              <w:jc w:val="center"/>
              <w:ind w:right="25"/>
              <w:spacing w:after="0"/>
              <w:rPr>
                <w:sz w:val="20"/>
                <w:szCs w:val="20"/>
                <w:color w:val="auto"/>
              </w:rPr>
            </w:pPr>
            <w:r>
              <w:rPr>
                <w:rFonts w:ascii="Arial" w:cs="Arial" w:eastAsia="Arial" w:hAnsi="Arial"/>
                <w:sz w:val="14"/>
                <w:szCs w:val="14"/>
                <w:b w:val="1"/>
                <w:bCs w:val="1"/>
                <w:color w:val="auto"/>
                <w:w w:val="85"/>
              </w:rPr>
              <w:t>Owned</w:t>
            </w:r>
          </w:p>
        </w:tc>
        <w:tc>
          <w:tcPr>
            <w:tcW w:w="3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380" w:type="dxa"/>
            <w:vAlign w:val="bottom"/>
          </w:tcPr>
          <w:p>
            <w:pPr>
              <w:spacing w:after="0"/>
              <w:rPr>
                <w:sz w:val="15"/>
                <w:szCs w:val="15"/>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Owned(1)(2)</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Sold(1)</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standing(3)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Tribeca Investments Ltd.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16,500,000</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717,390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717,390</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All other holders of debentures or future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200"/>
              <w:spacing w:after="0"/>
              <w:rPr>
                <w:sz w:val="20"/>
                <w:szCs w:val="20"/>
                <w:color w:val="auto"/>
              </w:rPr>
            </w:pPr>
            <w:r>
              <w:rPr>
                <w:rFonts w:ascii="Arial" w:cs="Arial" w:eastAsia="Arial" w:hAnsi="Arial"/>
                <w:sz w:val="18"/>
                <w:szCs w:val="18"/>
                <w:color w:val="auto"/>
                <w:w w:val="99"/>
              </w:rPr>
              <w:t>transferees, pledgees, donees, assignees,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200"/>
              <w:spacing w:after="0"/>
              <w:rPr>
                <w:sz w:val="20"/>
                <w:szCs w:val="20"/>
                <w:color w:val="auto"/>
              </w:rPr>
            </w:pPr>
            <w:r>
              <w:rPr>
                <w:rFonts w:ascii="Arial" w:cs="Arial" w:eastAsia="Arial" w:hAnsi="Arial"/>
                <w:sz w:val="18"/>
                <w:szCs w:val="18"/>
                <w:color w:val="auto"/>
              </w:rPr>
              <w:t>or successors of any such holders(2)(4)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17,155,000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17,155,000</w:t>
            </w: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6.9</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745,868</w:t>
            </w:r>
          </w:p>
        </w:tc>
        <w:tc>
          <w:tcPr>
            <w:tcW w:w="800" w:type="dxa"/>
            <w:vAlign w:val="bottom"/>
          </w:tcPr>
          <w:p>
            <w:pPr>
              <w:jc w:val="right"/>
              <w:spacing w:after="0"/>
              <w:rPr>
                <w:sz w:val="20"/>
                <w:szCs w:val="20"/>
                <w:color w:val="auto"/>
              </w:rPr>
            </w:pPr>
            <w:r>
              <w:rPr>
                <w:rFonts w:ascii="Arial" w:cs="Arial" w:eastAsia="Arial" w:hAnsi="Arial"/>
                <w:sz w:val="18"/>
                <w:szCs w:val="18"/>
                <w:color w:val="auto"/>
              </w:rPr>
              <w:t>745,868</w:t>
            </w:r>
          </w:p>
        </w:tc>
        <w:tc>
          <w:tcPr>
            <w:tcW w:w="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0.90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250,000,000</w:t>
            </w:r>
          </w:p>
        </w:tc>
        <w:tc>
          <w:tcPr>
            <w:tcW w:w="1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23,697,986</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10,869,550(5)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ind w:left="460" w:right="18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conversion of all of the holder’s debentures at a conversion rate of 43.4782 shares of common stock per $1,000 principal amount at maturity of the debentures. This conversion rate is subject to adjustment, however, as described under “Description of the Debentures—Conversion Rights” in the accompanying prospectus. As a result, the number of shares of common stock issuable upon conversion of the debentures may increase or decrease in the future.</w:t>
      </w:r>
    </w:p>
    <w:p>
      <w:pPr>
        <w:spacing w:after="0" w:line="1"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that any other holders of the debentures or any future pledgees, donees, assignees, transferees or successors of or from any other such holders of the debentures, do not beneficially own any shares of common stock other than the common stock issuable upon conversion of the debentures at the initial conversion rate.</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82,168,484 common shares outstanding as of March 5, 2004. In calculating this amount for each holder, we treated as outstanding the number of shares of common stock issuable upon conversion of all that holder’s debentures, but we did not assume conversion of any other holder’s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Information about other selling securityholders will be set forth in prospectus supplements or amendments to the registration statement, if required.</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the number of shares of common stock into which $250,000,000 of debentures would be convertible at the conversion rate described in footnote</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(1) above.</w:t>
      </w:r>
    </w:p>
    <w:p>
      <w:pPr>
        <w:spacing w:after="0" w:line="9" w:lineRule="exact"/>
        <w:rPr>
          <w:rFonts w:ascii="Arial" w:cs="Arial" w:eastAsia="Arial" w:hAnsi="Arial"/>
          <w:sz w:val="15"/>
          <w:szCs w:val="15"/>
          <w:color w:val="auto"/>
        </w:rPr>
      </w:pPr>
    </w:p>
    <w:p>
      <w:pPr>
        <w:ind w:left="460" w:right="66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the amount that the selling securityholders may sell under this prospectus divided by the sum of the number of shares of common stock outstanding as of March 5, 2004 plus the 10,869,550 shares of common stock into which the $250,000,000 debentures are convertible.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124460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Investing in the debentures and our common stock issuable upon conversion of the debentures involves risks. See “Risk Factors” in the accompanying prospectus, beginning on page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145415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5"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supplement or the investment merits of the debentures offered hereby or the shares of our common stock issuable upon conversion of the debentures. Any representation to the contrary is unlawful.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154305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11, 2004.</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2019-12-20T17:04:06Z</dcterms:created>
  <dcterms:modified xsi:type="dcterms:W3CDTF">2019-12-20T17:04:06Z</dcterms:modified>
</cp:coreProperties>
</file>