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2142490</wp:posOffset>
            </wp:positionH>
            <wp:positionV relativeFrom="paragraph">
              <wp:posOffset>170180</wp:posOffset>
            </wp:positionV>
            <wp:extent cx="28911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1155" cy="8255"/>
                    </a:xfrm>
                    <a:prstGeom prst="rect">
                      <a:avLst/>
                    </a:prstGeom>
                    <a:noFill/>
                  </pic:spPr>
                </pic:pic>
              </a:graphicData>
            </a:graphic>
          </wp:anchor>
        </w:drawing>
      </w:r>
    </w:p>
    <w:p>
      <w:pPr>
        <w:spacing w:after="0" w:line="3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2125980</wp:posOffset>
            </wp:positionH>
            <wp:positionV relativeFrom="paragraph">
              <wp:posOffset>46990</wp:posOffset>
            </wp:positionV>
            <wp:extent cx="28911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1155" cy="8255"/>
                    </a:xfrm>
                    <a:prstGeom prst="rect">
                      <a:avLst/>
                    </a:prstGeom>
                    <a:noFill/>
                  </pic:spPr>
                </pic:pic>
              </a:graphicData>
            </a:graphic>
          </wp:anchor>
        </w:drawing>
      </w:r>
    </w:p>
    <w:p>
      <w:pPr>
        <w:spacing w:after="0" w:line="3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OF THE SECURITIES EXCHANGE ACT OF 1934</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February 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2142490</wp:posOffset>
            </wp:positionH>
            <wp:positionV relativeFrom="paragraph">
              <wp:posOffset>83820</wp:posOffset>
            </wp:positionV>
            <wp:extent cx="2891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1155" cy="8255"/>
                    </a:xfrm>
                    <a:prstGeom prst="rect">
                      <a:avLst/>
                    </a:prstGeom>
                    <a:noFill/>
                  </pic:spPr>
                </pic:pic>
              </a:graphicData>
            </a:graphic>
          </wp:anchor>
        </w:drawing>
      </w:r>
    </w:p>
    <w:p>
      <w:pPr>
        <w:spacing w:after="0" w:line="2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2"/>
          <w:szCs w:val="42"/>
          <w:b w:val="1"/>
          <w:bCs w:val="1"/>
          <w:color w:val="auto"/>
        </w:rPr>
        <w:t>WYNN RESORTS, LIMITED</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71"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860" w:type="dxa"/>
            <w:vAlign w:val="bottom"/>
          </w:tcPr>
          <w:p>
            <w:pPr>
              <w:spacing w:after="0"/>
              <w:rPr>
                <w:sz w:val="19"/>
                <w:szCs w:val="19"/>
                <w:color w:val="auto"/>
              </w:rPr>
            </w:pPr>
          </w:p>
        </w:tc>
        <w:tc>
          <w:tcPr>
            <w:tcW w:w="248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6"/>
              </w:rPr>
              <w:t>Nevada</w:t>
            </w:r>
          </w:p>
        </w:tc>
        <w:tc>
          <w:tcPr>
            <w:tcW w:w="3720" w:type="dxa"/>
            <w:vAlign w:val="bottom"/>
            <w:gridSpan w:val="3"/>
          </w:tcPr>
          <w:p>
            <w:pPr>
              <w:ind w:left="1780"/>
              <w:spacing w:after="0"/>
              <w:rPr>
                <w:sz w:val="20"/>
                <w:szCs w:val="20"/>
                <w:color w:val="auto"/>
              </w:rPr>
            </w:pPr>
            <w:r>
              <w:rPr>
                <w:rFonts w:ascii="Times New Roman" w:cs="Times New Roman" w:eastAsia="Times New Roman" w:hAnsi="Times New Roman"/>
                <w:sz w:val="18"/>
                <w:szCs w:val="18"/>
                <w:b w:val="1"/>
                <w:bCs w:val="1"/>
                <w:color w:val="auto"/>
              </w:rPr>
              <w:t>000-50028</w:t>
            </w:r>
          </w:p>
        </w:tc>
        <w:tc>
          <w:tcPr>
            <w:tcW w:w="326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46-0484987</w:t>
            </w:r>
          </w:p>
        </w:tc>
        <w:tc>
          <w:tcPr>
            <w:tcW w:w="920" w:type="dxa"/>
            <w:vAlign w:val="bottom"/>
          </w:tcPr>
          <w:p>
            <w:pPr>
              <w:spacing w:after="0"/>
              <w:rPr>
                <w:sz w:val="19"/>
                <w:szCs w:val="19"/>
                <w:color w:val="auto"/>
              </w:rPr>
            </w:pPr>
          </w:p>
        </w:tc>
      </w:tr>
      <w:tr>
        <w:trPr>
          <w:trHeight w:val="145"/>
        </w:trPr>
        <w:tc>
          <w:tcPr>
            <w:tcW w:w="860" w:type="dxa"/>
            <w:vAlign w:val="bottom"/>
          </w:tcPr>
          <w:p>
            <w:pPr>
              <w:spacing w:after="0"/>
              <w:rPr>
                <w:sz w:val="12"/>
                <w:szCs w:val="12"/>
                <w:color w:val="auto"/>
              </w:rPr>
            </w:pPr>
          </w:p>
        </w:tc>
        <w:tc>
          <w:tcPr>
            <w:tcW w:w="2480" w:type="dxa"/>
            <w:vAlign w:val="bottom"/>
            <w:gridSpan w:val="2"/>
          </w:tcPr>
          <w:p>
            <w:pPr>
              <w:jc w:val="center"/>
              <w:ind w:right="600"/>
              <w:spacing w:after="0" w:line="145"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20" w:type="dxa"/>
            <w:vAlign w:val="bottom"/>
          </w:tcPr>
          <w:p>
            <w:pPr>
              <w:spacing w:after="0"/>
              <w:rPr>
                <w:sz w:val="12"/>
                <w:szCs w:val="12"/>
                <w:color w:val="auto"/>
              </w:rPr>
            </w:pPr>
          </w:p>
        </w:tc>
        <w:tc>
          <w:tcPr>
            <w:tcW w:w="3200" w:type="dxa"/>
            <w:vAlign w:val="bottom"/>
            <w:gridSpan w:val="2"/>
          </w:tcPr>
          <w:p>
            <w:pPr>
              <w:ind w:left="1260"/>
              <w:spacing w:after="0" w:line="145"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840" w:type="dxa"/>
            <w:vAlign w:val="bottom"/>
          </w:tcPr>
          <w:p>
            <w:pPr>
              <w:spacing w:after="0"/>
              <w:rPr>
                <w:sz w:val="12"/>
                <w:szCs w:val="12"/>
                <w:color w:val="auto"/>
              </w:rPr>
            </w:pPr>
          </w:p>
        </w:tc>
        <w:tc>
          <w:tcPr>
            <w:tcW w:w="3340" w:type="dxa"/>
            <w:vAlign w:val="bottom"/>
            <w:gridSpan w:val="2"/>
          </w:tcPr>
          <w:p>
            <w:pPr>
              <w:jc w:val="center"/>
              <w:ind w:right="480"/>
              <w:spacing w:after="0" w:line="145"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5"/>
        </w:trPr>
        <w:tc>
          <w:tcPr>
            <w:tcW w:w="860" w:type="dxa"/>
            <w:vAlign w:val="bottom"/>
          </w:tcPr>
          <w:p>
            <w:pPr>
              <w:spacing w:after="0"/>
              <w:rPr>
                <w:sz w:val="16"/>
                <w:szCs w:val="16"/>
                <w:color w:val="auto"/>
              </w:rPr>
            </w:pPr>
          </w:p>
        </w:tc>
        <w:tc>
          <w:tcPr>
            <w:tcW w:w="248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20" w:type="dxa"/>
            <w:vAlign w:val="bottom"/>
          </w:tcPr>
          <w:p>
            <w:pPr>
              <w:spacing w:after="0"/>
              <w:rPr>
                <w:sz w:val="16"/>
                <w:szCs w:val="16"/>
                <w:color w:val="auto"/>
              </w:rPr>
            </w:pPr>
          </w:p>
        </w:tc>
        <w:tc>
          <w:tcPr>
            <w:tcW w:w="3200" w:type="dxa"/>
            <w:vAlign w:val="bottom"/>
            <w:gridSpan w:val="2"/>
          </w:tcPr>
          <w:p>
            <w:pPr>
              <w:ind w:left="12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840" w:type="dxa"/>
            <w:vAlign w:val="bottom"/>
          </w:tcPr>
          <w:p>
            <w:pPr>
              <w:spacing w:after="0"/>
              <w:rPr>
                <w:sz w:val="16"/>
                <w:szCs w:val="16"/>
                <w:color w:val="auto"/>
              </w:rPr>
            </w:pPr>
          </w:p>
        </w:tc>
        <w:tc>
          <w:tcPr>
            <w:tcW w:w="33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27"/>
        </w:trPr>
        <w:tc>
          <w:tcPr>
            <w:tcW w:w="3340" w:type="dxa"/>
            <w:vAlign w:val="bottom"/>
            <w:gridSpan w:val="3"/>
          </w:tcPr>
          <w:p>
            <w:pPr>
              <w:jc w:val="center"/>
              <w:ind w:left="177"/>
              <w:spacing w:after="0"/>
              <w:rPr>
                <w:sz w:val="20"/>
                <w:szCs w:val="20"/>
                <w:color w:val="auto"/>
              </w:rPr>
            </w:pPr>
            <w:r>
              <w:rPr>
                <w:rFonts w:ascii="Times New Roman" w:cs="Times New Roman" w:eastAsia="Times New Roman" w:hAnsi="Times New Roman"/>
                <w:sz w:val="18"/>
                <w:szCs w:val="18"/>
                <w:b w:val="1"/>
                <w:bCs w:val="1"/>
                <w:color w:val="auto"/>
                <w:w w:val="96"/>
              </w:rPr>
              <w:t>3131 Las Vegas Boulevard South</w:t>
            </w: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0"/>
        </w:trPr>
        <w:tc>
          <w:tcPr>
            <w:tcW w:w="860" w:type="dxa"/>
            <w:vAlign w:val="bottom"/>
          </w:tcPr>
          <w:p>
            <w:pPr>
              <w:spacing w:after="0"/>
              <w:rPr>
                <w:sz w:val="19"/>
                <w:szCs w:val="19"/>
                <w:color w:val="auto"/>
              </w:rPr>
            </w:pP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Las Vegas, Nevada</w:t>
            </w: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26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89109</w:t>
            </w:r>
          </w:p>
        </w:tc>
        <w:tc>
          <w:tcPr>
            <w:tcW w:w="920" w:type="dxa"/>
            <w:vAlign w:val="bottom"/>
          </w:tcPr>
          <w:p>
            <w:pPr>
              <w:spacing w:after="0"/>
              <w:rPr>
                <w:sz w:val="19"/>
                <w:szCs w:val="19"/>
                <w:color w:val="auto"/>
              </w:rPr>
            </w:pPr>
          </w:p>
        </w:tc>
      </w:tr>
      <w:tr>
        <w:trPr>
          <w:trHeight w:val="185"/>
        </w:trPr>
        <w:tc>
          <w:tcPr>
            <w:tcW w:w="3340" w:type="dxa"/>
            <w:vAlign w:val="bottom"/>
            <w:gridSpan w:val="3"/>
          </w:tcPr>
          <w:p>
            <w:pPr>
              <w:jc w:val="center"/>
              <w:ind w:left="17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5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3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670"/>
        </w:trPr>
        <w:tc>
          <w:tcPr>
            <w:tcW w:w="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720" w:type="dxa"/>
            <w:vAlign w:val="bottom"/>
            <w:gridSpan w:val="3"/>
          </w:tcPr>
          <w:p>
            <w:pPr>
              <w:jc w:val="center"/>
              <w:ind w:left="778"/>
              <w:spacing w:after="0"/>
              <w:rPr>
                <w:sz w:val="20"/>
                <w:szCs w:val="20"/>
                <w:color w:val="auto"/>
              </w:rPr>
            </w:pPr>
            <w:r>
              <w:rPr>
                <w:rFonts w:ascii="Times New Roman" w:cs="Times New Roman" w:eastAsia="Times New Roman" w:hAnsi="Times New Roman"/>
                <w:sz w:val="18"/>
                <w:szCs w:val="18"/>
                <w:b w:val="1"/>
                <w:bCs w:val="1"/>
                <w:color w:val="auto"/>
                <w:w w:val="97"/>
              </w:rPr>
              <w:t>(702) 770-7555</w:t>
            </w:r>
          </w:p>
        </w:tc>
        <w:tc>
          <w:tcPr>
            <w:tcW w:w="8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5"/>
        </w:trPr>
        <w:tc>
          <w:tcPr>
            <w:tcW w:w="8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380" w:type="dxa"/>
            <w:vAlign w:val="bottom"/>
            <w:gridSpan w:val="5"/>
          </w:tcPr>
          <w:p>
            <w:pPr>
              <w:jc w:val="center"/>
              <w:ind w:right="3860"/>
              <w:spacing w:after="0"/>
              <w:rPr>
                <w:sz w:val="20"/>
                <w:szCs w:val="20"/>
                <w:color w:val="auto"/>
              </w:rPr>
            </w:pPr>
            <w:r>
              <w:rPr>
                <w:rFonts w:ascii="Times New Roman" w:cs="Times New Roman" w:eastAsia="Times New Roman" w:hAnsi="Times New Roman"/>
                <w:sz w:val="14"/>
                <w:szCs w:val="14"/>
                <w:b w:val="1"/>
                <w:bCs w:val="1"/>
                <w:color w:val="auto"/>
                <w:w w:val="99"/>
              </w:rPr>
              <w:t>(Registrant’s telephone number, including area code)</w:t>
            </w:r>
          </w:p>
        </w:tc>
      </w:tr>
      <w:tr>
        <w:trPr>
          <w:trHeight w:val="407"/>
        </w:trPr>
        <w:tc>
          <w:tcPr>
            <w:tcW w:w="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0" w:type="dxa"/>
            <w:vAlign w:val="bottom"/>
            <w:gridSpan w:val="2"/>
          </w:tcPr>
          <w:p>
            <w:pPr>
              <w:jc w:val="center"/>
              <w:ind w:left="241"/>
              <w:spacing w:after="0"/>
              <w:rPr>
                <w:sz w:val="20"/>
                <w:szCs w:val="20"/>
                <w:color w:val="auto"/>
              </w:rPr>
            </w:pPr>
            <w:r>
              <w:rPr>
                <w:rFonts w:ascii="Times New Roman" w:cs="Times New Roman" w:eastAsia="Times New Roman" w:hAnsi="Times New Roman"/>
                <w:sz w:val="18"/>
                <w:szCs w:val="18"/>
                <w:b w:val="1"/>
                <w:bCs w:val="1"/>
                <w:color w:val="auto"/>
                <w:w w:val="96"/>
              </w:rPr>
              <w:t>Not Applicable</w:t>
            </w:r>
          </w:p>
        </w:tc>
        <w:tc>
          <w:tcPr>
            <w:tcW w:w="8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5"/>
        </w:trPr>
        <w:tc>
          <w:tcPr>
            <w:tcW w:w="8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900" w:type="dxa"/>
            <w:vAlign w:val="bottom"/>
            <w:gridSpan w:val="6"/>
          </w:tcPr>
          <w:p>
            <w:pPr>
              <w:jc w:val="center"/>
              <w:ind w:right="334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r>
      <w:tr>
        <w:trPr>
          <w:trHeight w:val="24"/>
        </w:trPr>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572"/>
        </w:trPr>
        <w:tc>
          <w:tcPr>
            <w:tcW w:w="70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8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1"/>
        </w:trPr>
        <w:tc>
          <w:tcPr>
            <w:tcW w:w="86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Title of each class</w:t>
            </w:r>
          </w:p>
        </w:tc>
        <w:tc>
          <w:tcPr>
            <w:tcW w:w="1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0" w:type="dxa"/>
            <w:vAlign w:val="bottom"/>
            <w:gridSpan w:val="2"/>
          </w:tcPr>
          <w:p>
            <w:pPr>
              <w:jc w:val="center"/>
              <w:ind w:right="1800"/>
              <w:spacing w:after="0"/>
              <w:rPr>
                <w:sz w:val="20"/>
                <w:szCs w:val="20"/>
                <w:color w:val="auto"/>
              </w:rPr>
            </w:pPr>
            <w:r>
              <w:rPr>
                <w:rFonts w:ascii="Times New Roman" w:cs="Times New Roman" w:eastAsia="Times New Roman" w:hAnsi="Times New Roman"/>
                <w:sz w:val="18"/>
                <w:szCs w:val="18"/>
                <w:b w:val="1"/>
                <w:bCs w:val="1"/>
                <w:color w:val="auto"/>
                <w:w w:val="96"/>
              </w:rPr>
              <w:t>Trading Symbol(s)</w:t>
            </w:r>
          </w:p>
        </w:tc>
        <w:tc>
          <w:tcPr>
            <w:tcW w:w="418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7"/>
              </w:rPr>
              <w:t>Name of each exchange on which registered</w:t>
            </w:r>
          </w:p>
        </w:tc>
      </w:tr>
      <w:tr>
        <w:trPr>
          <w:trHeight w:val="20"/>
        </w:trPr>
        <w:tc>
          <w:tcPr>
            <w:tcW w:w="8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260" w:type="dxa"/>
            <w:vAlign w:val="bottom"/>
            <w:gridSpan w:val="2"/>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43"/>
        </w:trPr>
        <w:tc>
          <w:tcPr>
            <w:tcW w:w="334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7"/>
              </w:rPr>
              <w:t>Common stock, par value $0.01</w:t>
            </w:r>
          </w:p>
        </w:tc>
        <w:tc>
          <w:tcPr>
            <w:tcW w:w="520" w:type="dxa"/>
            <w:vAlign w:val="bottom"/>
          </w:tcPr>
          <w:p>
            <w:pPr>
              <w:spacing w:after="0"/>
              <w:rPr>
                <w:sz w:val="21"/>
                <w:szCs w:val="21"/>
                <w:color w:val="auto"/>
              </w:rPr>
            </w:pPr>
          </w:p>
        </w:tc>
        <w:tc>
          <w:tcPr>
            <w:tcW w:w="3200" w:type="dxa"/>
            <w:vAlign w:val="bottom"/>
            <w:gridSpan w:val="2"/>
          </w:tcPr>
          <w:p>
            <w:pPr>
              <w:jc w:val="center"/>
              <w:ind w:right="1780"/>
              <w:spacing w:after="0"/>
              <w:rPr>
                <w:sz w:val="20"/>
                <w:szCs w:val="20"/>
                <w:color w:val="auto"/>
              </w:rPr>
            </w:pPr>
            <w:r>
              <w:rPr>
                <w:rFonts w:ascii="Times New Roman" w:cs="Times New Roman" w:eastAsia="Times New Roman" w:hAnsi="Times New Roman"/>
                <w:sz w:val="18"/>
                <w:szCs w:val="18"/>
                <w:color w:val="auto"/>
                <w:w w:val="96"/>
              </w:rPr>
              <w:t>WYNN</w:t>
            </w:r>
          </w:p>
        </w:tc>
        <w:tc>
          <w:tcPr>
            <w:tcW w:w="418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color w:val="auto"/>
                <w:w w:val="97"/>
              </w:rPr>
              <w:t>Nasdaq Global Select Market</w:t>
            </w:r>
          </w:p>
        </w:tc>
      </w:tr>
      <w:tr>
        <w:trPr>
          <w:trHeight w:val="204"/>
        </w:trPr>
        <w:tc>
          <w:tcPr>
            <w:tcW w:w="8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r>
    </w:tbl>
    <w:p>
      <w:pPr>
        <w:spacing w:after="0" w:line="324" w:lineRule="exact"/>
        <w:rPr>
          <w:sz w:val="24"/>
          <w:szCs w:val="24"/>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 w:lineRule="exact"/>
        <w:rPr>
          <w:sz w:val="24"/>
          <w:szCs w:val="24"/>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3"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6"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3"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 w:lineRule="exact"/>
        <w:rPr>
          <w:sz w:val="24"/>
          <w:szCs w:val="24"/>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 w:lineRule="exact"/>
        <w:rPr>
          <w:sz w:val="24"/>
          <w:szCs w:val="24"/>
          <w:color w:val="auto"/>
        </w:rPr>
      </w:pPr>
    </w:p>
    <w:p>
      <w:pPr>
        <w:spacing w:after="0" w:line="224"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671830</wp:posOffset>
            </wp:positionV>
            <wp:extent cx="716089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7" w:right="339" w:bottom="1440" w:gutter="0" w:footer="0" w:header="0"/>
        </w:sectPr>
      </w:pPr>
    </w:p>
    <w:bookmarkStart w:id="1" w:name="page2"/>
    <w:bookmarkEnd w:id="1"/>
    <w:p>
      <w:pPr>
        <w:ind w:left="20"/>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6"/>
          <w:szCs w:val="16"/>
          <w:b w:val="1"/>
          <w:bCs w:val="1"/>
          <w:color w:val="auto"/>
        </w:rPr>
        <w:t>Creation of a Direct Financial Obligation or an Obligation under an Off-Balance Sheet Arrangement of a Registrant</w:t>
      </w:r>
    </w:p>
    <w:p>
      <w:pPr>
        <w:spacing w:after="0" w:line="203"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As previously reported, Wynn Resorts, Limited (the “Company”) has a 40% equity interest in Island 3 AMI FZ-LLC, an unconsolidated joint venture affiliate (“Island 3”), which is constructing an integrated resort property (“Wynn Al Marjan Island”) in Ras Al Khaimah, United Arab Emirates.</w:t>
      </w:r>
    </w:p>
    <w:p>
      <w:pPr>
        <w:spacing w:after="0" w:line="64"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On February 5, 2025, Wynn Al Marjan Island FZ-LLC, a wholly-owned direct subsidiary of Island 3 ("Wynn Al Marjan Island," or, the “Borrower”), entered into a facility agreement (the “Facility Agreement”) with a syndicate of lenders which provides the Borrower with a $2.4 billion (or equivalent in local currency) delayed draw secured term loan facility to finance the development of Wynn Al Marjan Island (the “Term Loan Facility”).</w:t>
      </w:r>
    </w:p>
    <w:p>
      <w:pPr>
        <w:spacing w:after="0" w:line="75"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Also on February 5, 2025, as a condition precedent to the Term Loan Facility being made available to the Borrower, the Company and the Government of Ras Al Khaimah acting through the Investment and Development Office of Ras Al Khaimah (collectively, the “Guarantors”), entered into a guarantee (the “Guarantee”) in favor of First Abu Dhabi Bank PJSC, as security agent for itself and the other secured parties (collectively, “the Secured Parties”) under the Facility Agreement (the “Security Agent”).</w:t>
      </w:r>
    </w:p>
    <w:p>
      <w:pPr>
        <w:spacing w:after="0" w:line="78" w:lineRule="exact"/>
        <w:rPr>
          <w:sz w:val="20"/>
          <w:szCs w:val="20"/>
          <w:color w:val="auto"/>
        </w:rPr>
      </w:pPr>
    </w:p>
    <w:p>
      <w:pPr>
        <w:jc w:val="both"/>
        <w:ind w:firstLine="395"/>
        <w:spacing w:after="0" w:line="284" w:lineRule="auto"/>
        <w:rPr>
          <w:sz w:val="20"/>
          <w:szCs w:val="20"/>
          <w:color w:val="auto"/>
        </w:rPr>
      </w:pPr>
      <w:r>
        <w:rPr>
          <w:rFonts w:ascii="Times New Roman" w:cs="Times New Roman" w:eastAsia="Times New Roman" w:hAnsi="Times New Roman"/>
          <w:sz w:val="16"/>
          <w:szCs w:val="16"/>
          <w:color w:val="auto"/>
        </w:rPr>
        <w:t>Under the terms of the Guarantee, the Guarantors, irrevocably and unconditionally jointly and severally, (a) have guaranteed to each Secured Party punctual performance by the Borrower of certain of its obligations under the Facility Agreement, and (b) have undertaken with each Secured Party: (i) to provide, within 10 business days upon receiving written demand by the Security Agent, (A) sufficient funds to ensure that practical completion of the project (as provided in the Facility Agreement) takes place no later than June 30, 2028 and (B) to fund amounts equal to any project cost overruns, to the extent the Borrower fails to fund such overruns; and (ii) to pay, whenever the Borrower does not pay, interest, commitment fees and other finance costs payable under the</w:t>
      </w:r>
    </w:p>
    <w:p>
      <w:pPr>
        <w:spacing w:after="0" w:line="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Facility Agreement as well as scheduled payments under any interest rate hedging agreement. In addition, upon the occurrence of certain specified events of default, change of control events or credit rating downgrades under the Facility Agreement or the occurrence of certain commercial gaming license related events (including, among others, the loss of the commercial gaming license permitting the Borrower to conduct commercial gaming at the project and as further provided in the Facility Agreement), the Guarantors, irrevocably and unconditionally jointly and severally, have undertaken to pay, to the extent the Borrower does not pay, all then outstanding principal, interest, hedging liabilities and any and all other amounts and expenses then due and payable under the Facility Agreement and related agreements, within 10 business days upon receiving written demand by the Security Agent (or, in respect of the occurrence of certain commercial gaming license related events, if later, on the date falling 180 days following the occurrence of such event).</w:t>
      </w:r>
    </w:p>
    <w:p>
      <w:pPr>
        <w:spacing w:after="0" w:line="82"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guarantees and undertakings provided by the Guarantors under the Guarantee terminate on the earlier of: (1) the date on which all secured liabilities under the Facility Agreement have been paid in full, and (2) the date of practical completion of the project.</w:t>
      </w:r>
    </w:p>
    <w:p>
      <w:pPr>
        <w:spacing w:after="0" w:line="64"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foregoing description of the Guarantee is qualified in its entirety by reference to the full text of the Guarantee, which is attached hereto as Exhibit 10.1 and incorporated herein by reference.</w:t>
      </w:r>
    </w:p>
    <w:p>
      <w:pPr>
        <w:spacing w:after="0" w:line="102" w:lineRule="exact"/>
        <w:rPr>
          <w:sz w:val="20"/>
          <w:szCs w:val="20"/>
          <w:color w:val="auto"/>
        </w:rPr>
      </w:pPr>
    </w:p>
    <w:p>
      <w:pPr>
        <w:ind w:left="20"/>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6"/>
          <w:szCs w:val="16"/>
          <w:b w:val="1"/>
          <w:bCs w:val="1"/>
          <w:color w:val="auto"/>
        </w:rPr>
        <w:t>Regulation FD Disclosure.</w:t>
      </w:r>
    </w:p>
    <w:p>
      <w:pPr>
        <w:spacing w:after="0" w:line="203"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On February 6, 2025, the Company issued a press release regarding the Facility Agreement. As disclosed in the press release, the Term Loan Facility makes available to Wynn Al Marjan Island a delayed-draw construction facility denominated in a combination of United Arab Emirates Dirham ("AED") and United States Dollars ("USD"), in an aggregate USD equivalent amount of $2.4 billion, which comprises the bulk of the expected expenditures to be incurred in AED. The press release is furnished herewith as Exhibit 99.1.</w:t>
      </w:r>
    </w:p>
    <w:p>
      <w:pPr>
        <w:spacing w:after="0" w:line="78" w:lineRule="exact"/>
        <w:rPr>
          <w:sz w:val="20"/>
          <w:szCs w:val="20"/>
          <w:color w:val="auto"/>
        </w:rPr>
      </w:pPr>
    </w:p>
    <w:p>
      <w:pPr>
        <w:jc w:val="both"/>
        <w:ind w:firstLine="632"/>
        <w:spacing w:after="0" w:line="256" w:lineRule="auto"/>
        <w:rPr>
          <w:sz w:val="20"/>
          <w:szCs w:val="20"/>
          <w:color w:val="auto"/>
        </w:rPr>
      </w:pPr>
      <w:r>
        <w:rPr>
          <w:rFonts w:ascii="Times New Roman" w:cs="Times New Roman" w:eastAsia="Times New Roman" w:hAnsi="Times New Roman"/>
          <w:sz w:val="18"/>
          <w:szCs w:val="18"/>
          <w:color w:val="auto"/>
        </w:rPr>
        <w:t>The information furnished pursuant to this Item 7.01, including Exhibit 99.1 hereto, shall not be deemed to be “filed” for purposes of Section 18 of the Securities Exchange Act of 1934, as amended, nor shall it be deemed incorporated by reference in any filing under the Securities Act of 1933, as amended, except as shall be expressly set forth by specific reference in such a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739775</wp:posOffset>
            </wp:positionV>
            <wp:extent cx="716089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8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29"/>
        </w:trPr>
        <w:tc>
          <w:tcPr>
            <w:tcW w:w="20" w:type="dxa"/>
            <w:vAlign w:val="bottom"/>
          </w:tcPr>
          <w:p>
            <w:pPr>
              <w:spacing w:after="0"/>
              <w:rPr>
                <w:sz w:val="24"/>
                <w:szCs w:val="24"/>
                <w:color w:val="auto"/>
              </w:rPr>
            </w:pP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 Exhibits.</w:t>
            </w: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59"/>
        </w:trPr>
        <w:tc>
          <w:tcPr>
            <w:tcW w:w="20" w:type="dxa"/>
            <w:vAlign w:val="bottom"/>
          </w:tcPr>
          <w:p>
            <w:pPr>
              <w:spacing w:after="0"/>
              <w:rPr>
                <w:sz w:val="13"/>
                <w:szCs w:val="13"/>
                <w:color w:val="auto"/>
              </w:rPr>
            </w:pPr>
          </w:p>
        </w:tc>
        <w:tc>
          <w:tcPr>
            <w:tcW w:w="1340" w:type="dxa"/>
            <w:vAlign w:val="bottom"/>
            <w:gridSpan w:val="2"/>
          </w:tcPr>
          <w:p>
            <w:pPr>
              <w:spacing w:after="0" w:line="159" w:lineRule="exact"/>
              <w:rPr>
                <w:sz w:val="20"/>
                <w:szCs w:val="20"/>
                <w:color w:val="auto"/>
              </w:rPr>
            </w:pPr>
            <w:r>
              <w:rPr>
                <w:rFonts w:ascii="Times New Roman" w:cs="Times New Roman" w:eastAsia="Times New Roman" w:hAnsi="Times New Roman"/>
                <w:sz w:val="14"/>
                <w:szCs w:val="14"/>
                <w:b w:val="1"/>
                <w:bCs w:val="1"/>
                <w:color w:val="auto"/>
              </w:rPr>
              <w:t>Exhibit No.</w:t>
            </w:r>
          </w:p>
        </w:tc>
        <w:tc>
          <w:tcPr>
            <w:tcW w:w="9880" w:type="dxa"/>
            <w:vAlign w:val="bottom"/>
            <w:gridSpan w:val="6"/>
          </w:tcPr>
          <w:p>
            <w:pPr>
              <w:spacing w:after="0" w:line="159" w:lineRule="exact"/>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9"/>
        </w:trPr>
        <w:tc>
          <w:tcPr>
            <w:tcW w:w="20" w:type="dxa"/>
            <w:vAlign w:val="bottom"/>
          </w:tcPr>
          <w:p>
            <w:pPr>
              <w:spacing w:after="0"/>
              <w:rPr>
                <w:sz w:val="23"/>
                <w:szCs w:val="23"/>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660" w:type="dxa"/>
            <w:vAlign w:val="bottom"/>
          </w:tcPr>
          <w:p>
            <w:pPr>
              <w:spacing w:after="0"/>
              <w:rPr>
                <w:sz w:val="23"/>
                <w:szCs w:val="23"/>
                <w:color w:val="auto"/>
              </w:rPr>
            </w:pPr>
          </w:p>
        </w:tc>
        <w:tc>
          <w:tcPr>
            <w:tcW w:w="98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Guarantee, dated as of February 5, 2025, between the Government of Ras Al Khaimah acting through the Investment and Development</w:t>
            </w:r>
          </w:p>
        </w:tc>
      </w:tr>
      <w:tr>
        <w:trPr>
          <w:trHeight w:val="15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840" w:type="dxa"/>
            <w:vAlign w:val="bottom"/>
            <w:tcBorders>
              <w:top w:val="single" w:sz="8" w:color="0000FF"/>
            </w:tcBorders>
            <w:gridSpan w:val="5"/>
          </w:tcPr>
          <w:p>
            <w:pPr>
              <w:spacing w:after="0" w:line="152" w:lineRule="exact"/>
              <w:rPr>
                <w:sz w:val="20"/>
                <w:szCs w:val="20"/>
                <w:color w:val="auto"/>
              </w:rPr>
            </w:pPr>
            <w:r>
              <w:rPr>
                <w:rFonts w:ascii="Times New Roman" w:cs="Times New Roman" w:eastAsia="Times New Roman" w:hAnsi="Times New Roman"/>
                <w:sz w:val="16"/>
                <w:szCs w:val="16"/>
                <w:color w:val="0000FF"/>
              </w:rPr>
              <w:t>Office of Ras Al Khaimah and Wynn Resorts, Limited, in favor of First Abu Dhabi Bank PJSC for itself and as security agent for the other</w:t>
            </w:r>
          </w:p>
        </w:tc>
        <w:tc>
          <w:tcPr>
            <w:tcW w:w="40" w:type="dxa"/>
            <w:vAlign w:val="bottom"/>
          </w:tcPr>
          <w:p>
            <w:pPr>
              <w:spacing w:after="0"/>
              <w:rPr>
                <w:sz w:val="13"/>
                <w:szCs w:val="13"/>
                <w:color w:val="auto"/>
              </w:rPr>
            </w:pPr>
          </w:p>
        </w:tc>
      </w:tr>
      <w:tr>
        <w:trPr>
          <w:trHeight w:val="164"/>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tcBorders>
              <w:top w:val="single" w:sz="8" w:color="0000FF"/>
              <w:bottom w:val="single" w:sz="8" w:color="0000FF"/>
            </w:tcBorders>
            <w:gridSpan w:val="2"/>
          </w:tcPr>
          <w:p>
            <w:pPr>
              <w:spacing w:after="0" w:line="164" w:lineRule="exact"/>
              <w:rPr>
                <w:sz w:val="20"/>
                <w:szCs w:val="20"/>
                <w:color w:val="auto"/>
              </w:rPr>
            </w:pPr>
            <w:r>
              <w:rPr>
                <w:rFonts w:ascii="Times New Roman" w:cs="Times New Roman" w:eastAsia="Times New Roman" w:hAnsi="Times New Roman"/>
                <w:sz w:val="18"/>
                <w:szCs w:val="18"/>
                <w:color w:val="0000FF"/>
                <w:w w:val="95"/>
              </w:rPr>
              <w:t>Secured Parties</w:t>
            </w:r>
          </w:p>
        </w:tc>
        <w:tc>
          <w:tcPr>
            <w:tcW w:w="8740" w:type="dxa"/>
            <w:vAlign w:val="bottom"/>
            <w:tcBorders>
              <w:top w:val="single" w:sz="8" w:color="0000FF"/>
            </w:tcBorders>
            <w:gridSpan w:val="2"/>
          </w:tcPr>
          <w:p>
            <w:pPr>
              <w:spacing w:after="0"/>
              <w:rPr>
                <w:sz w:val="14"/>
                <w:szCs w:val="14"/>
                <w:color w:val="auto"/>
              </w:rPr>
            </w:pPr>
          </w:p>
        </w:tc>
        <w:tc>
          <w:tcPr>
            <w:tcW w:w="60" w:type="dxa"/>
            <w:vAlign w:val="bottom"/>
            <w:gridSpan w:val="2"/>
          </w:tcPr>
          <w:p>
            <w:pPr>
              <w:spacing w:after="0"/>
              <w:rPr>
                <w:sz w:val="14"/>
                <w:szCs w:val="14"/>
                <w:color w:val="auto"/>
              </w:rPr>
            </w:pPr>
          </w:p>
        </w:tc>
      </w:tr>
      <w:tr>
        <w:trPr>
          <w:trHeight w:val="204"/>
        </w:trPr>
        <w:tc>
          <w:tcPr>
            <w:tcW w:w="700" w:type="dxa"/>
            <w:vAlign w:val="bottom"/>
            <w:gridSpan w:val="2"/>
          </w:tcPr>
          <w:p>
            <w:pPr>
              <w:ind w:left="20"/>
              <w:spacing w:after="0" w:line="204" w:lineRule="exact"/>
              <w:rPr>
                <w:sz w:val="20"/>
                <w:szCs w:val="20"/>
                <w:color w:val="auto"/>
              </w:rPr>
            </w:pPr>
            <w:r>
              <w:rPr>
                <w:rFonts w:ascii="Times New Roman" w:cs="Times New Roman" w:eastAsia="Times New Roman" w:hAnsi="Times New Roman"/>
                <w:sz w:val="18"/>
                <w:szCs w:val="18"/>
                <w:color w:val="auto"/>
              </w:rPr>
              <w:t>99.1</w:t>
            </w:r>
          </w:p>
        </w:tc>
        <w:tc>
          <w:tcPr>
            <w:tcW w:w="660" w:type="dxa"/>
            <w:vAlign w:val="bottom"/>
          </w:tcPr>
          <w:p>
            <w:pPr>
              <w:spacing w:after="0"/>
              <w:rPr>
                <w:sz w:val="17"/>
                <w:szCs w:val="17"/>
                <w:color w:val="auto"/>
              </w:rPr>
            </w:pPr>
          </w:p>
        </w:tc>
        <w:tc>
          <w:tcPr>
            <w:tcW w:w="9880" w:type="dxa"/>
            <w:vAlign w:val="bottom"/>
            <w:gridSpan w:val="6"/>
          </w:tcPr>
          <w:p>
            <w:pPr>
              <w:spacing w:after="0" w:line="204" w:lineRule="exact"/>
              <w:rPr>
                <w:sz w:val="20"/>
                <w:szCs w:val="20"/>
                <w:color w:val="auto"/>
              </w:rPr>
            </w:pPr>
            <w:r>
              <w:rPr>
                <w:rFonts w:ascii="Times New Roman" w:cs="Times New Roman" w:eastAsia="Times New Roman" w:hAnsi="Times New Roman"/>
                <w:sz w:val="18"/>
                <w:szCs w:val="18"/>
                <w:color w:val="0000FF"/>
              </w:rPr>
              <w:t>Press release of Wynn Resorts, dated February 6, 2025</w:t>
            </w:r>
          </w:p>
        </w:tc>
      </w:tr>
      <w:tr>
        <w:trPr>
          <w:trHeight w:val="20"/>
        </w:trPr>
        <w:tc>
          <w:tcPr>
            <w:tcW w:w="7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20" w:type="dxa"/>
            <w:vAlign w:val="bottom"/>
            <w:gridSpan w:val="3"/>
            <w:shd w:val="clear" w:color="auto" w:fill="0000FF"/>
          </w:tcPr>
          <w:p>
            <w:pPr>
              <w:spacing w:after="0" w:line="20" w:lineRule="exact"/>
              <w:rPr>
                <w:sz w:val="1"/>
                <w:szCs w:val="1"/>
                <w:color w:val="auto"/>
              </w:rPr>
            </w:pPr>
          </w:p>
        </w:tc>
        <w:tc>
          <w:tcPr>
            <w:tcW w:w="6060" w:type="dxa"/>
            <w:vAlign w:val="bottom"/>
            <w:gridSpan w:val="3"/>
          </w:tcPr>
          <w:p>
            <w:pPr>
              <w:spacing w:after="0" w:line="20" w:lineRule="exact"/>
              <w:rPr>
                <w:sz w:val="1"/>
                <w:szCs w:val="1"/>
                <w:color w:val="auto"/>
              </w:rPr>
            </w:pPr>
          </w:p>
        </w:tc>
      </w:tr>
      <w:tr>
        <w:trPr>
          <w:trHeight w:val="243"/>
        </w:trPr>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660" w:type="dxa"/>
            <w:vAlign w:val="bottom"/>
          </w:tcPr>
          <w:p>
            <w:pPr>
              <w:spacing w:after="0"/>
              <w:rPr>
                <w:sz w:val="21"/>
                <w:szCs w:val="21"/>
                <w:color w:val="auto"/>
              </w:rPr>
            </w:pPr>
          </w:p>
        </w:tc>
        <w:tc>
          <w:tcPr>
            <w:tcW w:w="9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r>
        <w:trPr>
          <w:trHeight w:val="954"/>
        </w:trPr>
        <w:tc>
          <w:tcPr>
            <w:tcW w:w="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6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356"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ind w:firstLine="434"/>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4"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b w:val="1"/>
          <w:bCs w:val="1"/>
          <w:color w:val="auto"/>
        </w:rPr>
        <w:t>WYNN RESORTS, LIMITED</w:t>
      </w:r>
    </w:p>
    <w:p>
      <w:pPr>
        <w:spacing w:after="0" w:line="71" w:lineRule="exact"/>
        <w:rPr>
          <w:sz w:val="20"/>
          <w:szCs w:val="20"/>
          <w:color w:val="auto"/>
        </w:rPr>
      </w:pPr>
    </w:p>
    <w:p>
      <w:pPr>
        <w:ind w:left="460"/>
        <w:spacing w:after="0"/>
        <w:tabs>
          <w:tab w:leader="none" w:pos="6880" w:val="left"/>
          <w:tab w:leader="none" w:pos="7620" w:val="left"/>
        </w:tabs>
        <w:rPr>
          <w:sz w:val="20"/>
          <w:szCs w:val="20"/>
          <w:color w:val="auto"/>
        </w:rPr>
      </w:pPr>
      <w:r>
        <w:rPr>
          <w:rFonts w:ascii="Times New Roman" w:cs="Times New Roman" w:eastAsia="Times New Roman" w:hAnsi="Times New Roman"/>
          <w:sz w:val="18"/>
          <w:szCs w:val="18"/>
          <w:color w:val="auto"/>
        </w:rPr>
        <w:t>Dated: February 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/s/ Julie Cameron-Doe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4766310</wp:posOffset>
            </wp:positionH>
            <wp:positionV relativeFrom="paragraph">
              <wp:posOffset>13970</wp:posOffset>
            </wp:positionV>
            <wp:extent cx="24345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10"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Julie Cameron-Doe</w:t>
      </w:r>
    </w:p>
    <w:p>
      <w:pPr>
        <w:spacing w:after="0" w:line="21"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869" w:right="339" w:bottom="1440" w:gutter="0" w:footer="0" w:header="0"/>
        </w:sectPr>
      </w:pPr>
    </w:p>
    <w:bookmarkStart w:id="4" w:name="page5"/>
    <w:bookmarkEnd w:id="4"/>
    <w:p>
      <w:pPr>
        <w:spacing w:after="0" w:line="200" w:lineRule="exact"/>
        <w:rPr>
          <w:sz w:val="20"/>
          <w:szCs w:val="20"/>
          <w:color w:val="auto"/>
        </w:rPr>
      </w:pPr>
    </w:p>
    <w:p>
      <w:pPr>
        <w:spacing w:after="0" w:line="3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60"/>
        <w:spacing w:after="0" w:line="282" w:lineRule="auto"/>
        <w:rPr>
          <w:sz w:val="20"/>
          <w:szCs w:val="20"/>
          <w:color w:val="auto"/>
        </w:rPr>
      </w:pPr>
      <w:r>
        <w:rPr>
          <w:rFonts w:ascii="Times New Roman" w:cs="Times New Roman" w:eastAsia="Times New Roman" w:hAnsi="Times New Roman"/>
          <w:sz w:val="21"/>
          <w:szCs w:val="21"/>
          <w:color w:val="auto"/>
        </w:rPr>
        <w:t>THE GOVERNMENT OF RAS AL KHAIMAH ACTING THROUGH THE INVESTMENT AND DEVELOPMENT OFFICE OF RAS AL KHAIMAH</w:t>
      </w:r>
    </w:p>
    <w:p>
      <w:pPr>
        <w:spacing w:after="0" w:line="3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1"/>
          <w:szCs w:val="21"/>
          <w:color w:val="auto"/>
        </w:rPr>
        <w:t>AND</w:t>
      </w:r>
    </w:p>
    <w:p>
      <w:pPr>
        <w:spacing w:after="0" w:line="114"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1"/>
          <w:szCs w:val="21"/>
          <w:color w:val="auto"/>
        </w:rPr>
        <w:t>WYNN RESORTS, LIMITED</w:t>
      </w:r>
    </w:p>
    <w:p>
      <w:pPr>
        <w:spacing w:after="0" w:line="23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1"/>
          <w:szCs w:val="21"/>
          <w:color w:val="auto"/>
        </w:rPr>
        <w:t>AS GUARANTORS</w:t>
      </w:r>
    </w:p>
    <w:p>
      <w:pPr>
        <w:spacing w:after="0" w:line="219"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1"/>
          <w:szCs w:val="21"/>
          <w:color w:val="auto"/>
        </w:rPr>
        <w:t>IN FAVOUR OF</w:t>
      </w:r>
    </w:p>
    <w:p>
      <w:pPr>
        <w:spacing w:after="0" w:line="219"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1"/>
          <w:szCs w:val="21"/>
          <w:color w:val="auto"/>
        </w:rPr>
        <w:t>FIRST ABU DHABI BANK PJSC</w:t>
      </w:r>
    </w:p>
    <w:p>
      <w:pPr>
        <w:spacing w:after="0" w:line="33"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1"/>
          <w:szCs w:val="21"/>
          <w:color w:val="auto"/>
        </w:rPr>
        <w:t>AS SECURITY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1150620</wp:posOffset>
            </wp:positionH>
            <wp:positionV relativeFrom="paragraph">
              <wp:posOffset>158115</wp:posOffset>
            </wp:positionV>
            <wp:extent cx="45954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5954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1"/>
          <w:szCs w:val="21"/>
          <w:color w:val="auto"/>
        </w:rPr>
        <w:t>COMPLETION GUARANTEE</w:t>
      </w:r>
    </w:p>
    <w:p>
      <w:pPr>
        <w:spacing w:after="0" w:line="3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1"/>
          <w:szCs w:val="21"/>
          <w:color w:val="auto"/>
        </w:rPr>
        <w:t>RELATING TO A</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1"/>
          <w:szCs w:val="21"/>
          <w:color w:val="auto"/>
        </w:rPr>
        <w:t>USD 175,000,000 TERM LOAN AND AED 8,171,312,500 TERM LOAN</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1"/>
          <w:szCs w:val="21"/>
          <w:color w:val="auto"/>
        </w:rPr>
        <w:t>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1150620</wp:posOffset>
            </wp:positionH>
            <wp:positionV relativeFrom="paragraph">
              <wp:posOffset>24130</wp:posOffset>
            </wp:positionV>
            <wp:extent cx="45954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5954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1"/>
          <w:szCs w:val="21"/>
          <w:color w:val="auto"/>
        </w:rPr>
        <w:t>- 1-</w:t>
      </w:r>
    </w:p>
    <w:p>
      <w:pPr>
        <w:sectPr>
          <w:pgSz w:w="11900" w:h="16838" w:orient="portrait"/>
          <w:cols w:equalWidth="0" w:num="1">
            <w:col w:w="10960"/>
          </w:cols>
          <w:pgMar w:left="540" w:top="1440" w:right="39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67"/>
        </w:trPr>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80" w:type="dxa"/>
            <w:vAlign w:val="bottom"/>
          </w:tcPr>
          <w:p>
            <w:pPr>
              <w:spacing w:after="0"/>
              <w:rPr>
                <w:sz w:val="23"/>
                <w:szCs w:val="23"/>
                <w:color w:val="auto"/>
              </w:rPr>
            </w:pPr>
          </w:p>
        </w:tc>
        <w:tc>
          <w:tcPr>
            <w:tcW w:w="6800" w:type="dxa"/>
            <w:vAlign w:val="bottom"/>
          </w:tcPr>
          <w:p>
            <w:pPr>
              <w:jc w:val="right"/>
              <w:ind w:right="4895"/>
              <w:spacing w:after="0"/>
              <w:rPr>
                <w:sz w:val="20"/>
                <w:szCs w:val="20"/>
                <w:color w:val="auto"/>
              </w:rPr>
            </w:pPr>
            <w:r>
              <w:rPr>
                <w:rFonts w:ascii="Times New Roman" w:cs="Times New Roman" w:eastAsia="Times New Roman" w:hAnsi="Times New Roman"/>
                <w:sz w:val="21"/>
                <w:szCs w:val="21"/>
                <w:b w:val="1"/>
                <w:bCs w:val="1"/>
                <w:color w:val="auto"/>
              </w:rPr>
              <w:t>CONTENTS</w:t>
            </w:r>
          </w:p>
        </w:tc>
      </w:tr>
      <w:tr>
        <w:trPr>
          <w:trHeight w:val="276"/>
        </w:trPr>
        <w:tc>
          <w:tcPr>
            <w:tcW w:w="438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Clause</w:t>
            </w:r>
          </w:p>
        </w:tc>
        <w:tc>
          <w:tcPr>
            <w:tcW w:w="6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Page</w:t>
            </w:r>
          </w:p>
        </w:tc>
      </w:tr>
      <w:tr>
        <w:trPr>
          <w:trHeight w:val="580"/>
        </w:trPr>
        <w:tc>
          <w:tcPr>
            <w:tcW w:w="180" w:type="dxa"/>
            <w:vAlign w:val="bottom"/>
          </w:tcPr>
          <w:p>
            <w:pPr>
              <w:spacing w:after="0"/>
              <w:rPr>
                <w:sz w:val="20"/>
                <w:szCs w:val="20"/>
                <w:color w:val="auto"/>
              </w:rPr>
            </w:pPr>
            <w:r>
              <w:rPr>
                <w:rFonts w:ascii="Times New Roman" w:cs="Times New Roman" w:eastAsia="Times New Roman" w:hAnsi="Times New Roman"/>
                <w:sz w:val="21"/>
                <w:szCs w:val="21"/>
                <w:color w:val="auto"/>
              </w:rPr>
              <w:t>1.</w:t>
            </w:r>
          </w:p>
        </w:tc>
        <w:tc>
          <w:tcPr>
            <w:tcW w:w="4200" w:type="dxa"/>
            <w:vAlign w:val="bottom"/>
            <w:gridSpan w:val="2"/>
          </w:tcPr>
          <w:p>
            <w:pPr>
              <w:ind w:left="40"/>
              <w:spacing w:after="0"/>
              <w:rPr>
                <w:sz w:val="20"/>
                <w:szCs w:val="20"/>
                <w:color w:val="auto"/>
              </w:rPr>
            </w:pPr>
            <w:r>
              <w:rPr>
                <w:rFonts w:ascii="Times New Roman" w:cs="Times New Roman" w:eastAsia="Times New Roman" w:hAnsi="Times New Roman"/>
                <w:sz w:val="21"/>
                <w:szCs w:val="21"/>
                <w:color w:val="auto"/>
              </w:rPr>
              <w:t>Interpretation</w:t>
            </w:r>
          </w:p>
        </w:tc>
        <w:tc>
          <w:tcPr>
            <w:tcW w:w="6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w:t>
            </w:r>
          </w:p>
        </w:tc>
      </w:tr>
      <w:tr>
        <w:trPr>
          <w:trHeight w:val="263"/>
        </w:trPr>
        <w:tc>
          <w:tcPr>
            <w:tcW w:w="180" w:type="dxa"/>
            <w:vAlign w:val="bottom"/>
          </w:tcPr>
          <w:p>
            <w:pPr>
              <w:spacing w:after="0"/>
              <w:rPr>
                <w:sz w:val="20"/>
                <w:szCs w:val="20"/>
                <w:color w:val="auto"/>
              </w:rPr>
            </w:pPr>
            <w:r>
              <w:rPr>
                <w:rFonts w:ascii="Times New Roman" w:cs="Times New Roman" w:eastAsia="Times New Roman" w:hAnsi="Times New Roman"/>
                <w:sz w:val="21"/>
                <w:szCs w:val="21"/>
                <w:color w:val="auto"/>
              </w:rPr>
              <w:t>2.</w:t>
            </w:r>
          </w:p>
        </w:tc>
        <w:tc>
          <w:tcPr>
            <w:tcW w:w="4200" w:type="dxa"/>
            <w:vAlign w:val="bottom"/>
            <w:gridSpan w:val="2"/>
          </w:tcPr>
          <w:p>
            <w:pPr>
              <w:ind w:left="40"/>
              <w:spacing w:after="0"/>
              <w:rPr>
                <w:sz w:val="20"/>
                <w:szCs w:val="20"/>
                <w:color w:val="auto"/>
              </w:rPr>
            </w:pPr>
            <w:r>
              <w:rPr>
                <w:rFonts w:ascii="Times New Roman" w:cs="Times New Roman" w:eastAsia="Times New Roman" w:hAnsi="Times New Roman"/>
                <w:sz w:val="21"/>
                <w:szCs w:val="21"/>
                <w:color w:val="auto"/>
              </w:rPr>
              <w:t>Guarantee</w:t>
            </w:r>
          </w:p>
        </w:tc>
        <w:tc>
          <w:tcPr>
            <w:tcW w:w="6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w:t>
            </w:r>
          </w:p>
        </w:tc>
      </w:tr>
      <w:tr>
        <w:trPr>
          <w:trHeight w:val="263"/>
        </w:trPr>
        <w:tc>
          <w:tcPr>
            <w:tcW w:w="180" w:type="dxa"/>
            <w:vAlign w:val="bottom"/>
          </w:tcPr>
          <w:p>
            <w:pPr>
              <w:spacing w:after="0"/>
              <w:rPr>
                <w:sz w:val="20"/>
                <w:szCs w:val="20"/>
                <w:color w:val="auto"/>
              </w:rPr>
            </w:pPr>
            <w:r>
              <w:rPr>
                <w:rFonts w:ascii="Times New Roman" w:cs="Times New Roman" w:eastAsia="Times New Roman" w:hAnsi="Times New Roman"/>
                <w:sz w:val="21"/>
                <w:szCs w:val="21"/>
                <w:color w:val="auto"/>
              </w:rPr>
              <w:t>3.</w:t>
            </w:r>
          </w:p>
        </w:tc>
        <w:tc>
          <w:tcPr>
            <w:tcW w:w="4200" w:type="dxa"/>
            <w:vAlign w:val="bottom"/>
            <w:gridSpan w:val="2"/>
          </w:tcPr>
          <w:p>
            <w:pPr>
              <w:ind w:left="40"/>
              <w:spacing w:after="0"/>
              <w:rPr>
                <w:sz w:val="20"/>
                <w:szCs w:val="20"/>
                <w:color w:val="auto"/>
              </w:rPr>
            </w:pPr>
            <w:r>
              <w:rPr>
                <w:rFonts w:ascii="Times New Roman" w:cs="Times New Roman" w:eastAsia="Times New Roman" w:hAnsi="Times New Roman"/>
                <w:sz w:val="21"/>
                <w:szCs w:val="21"/>
                <w:color w:val="auto"/>
              </w:rPr>
              <w:t>Representations</w:t>
            </w:r>
          </w:p>
        </w:tc>
        <w:tc>
          <w:tcPr>
            <w:tcW w:w="6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w:t>
            </w:r>
          </w:p>
        </w:tc>
      </w:tr>
      <w:tr>
        <w:trPr>
          <w:trHeight w:val="263"/>
        </w:trPr>
        <w:tc>
          <w:tcPr>
            <w:tcW w:w="180" w:type="dxa"/>
            <w:vAlign w:val="bottom"/>
          </w:tcPr>
          <w:p>
            <w:pPr>
              <w:spacing w:after="0"/>
              <w:rPr>
                <w:sz w:val="20"/>
                <w:szCs w:val="20"/>
                <w:color w:val="auto"/>
              </w:rPr>
            </w:pPr>
            <w:r>
              <w:rPr>
                <w:rFonts w:ascii="Times New Roman" w:cs="Times New Roman" w:eastAsia="Times New Roman" w:hAnsi="Times New Roman"/>
                <w:sz w:val="21"/>
                <w:szCs w:val="21"/>
                <w:color w:val="auto"/>
              </w:rPr>
              <w:t>4.</w:t>
            </w:r>
          </w:p>
        </w:tc>
        <w:tc>
          <w:tcPr>
            <w:tcW w:w="4200" w:type="dxa"/>
            <w:vAlign w:val="bottom"/>
            <w:gridSpan w:val="2"/>
          </w:tcPr>
          <w:p>
            <w:pPr>
              <w:ind w:left="40"/>
              <w:spacing w:after="0"/>
              <w:rPr>
                <w:sz w:val="20"/>
                <w:szCs w:val="20"/>
                <w:color w:val="auto"/>
              </w:rPr>
            </w:pPr>
            <w:r>
              <w:rPr>
                <w:rFonts w:ascii="Times New Roman" w:cs="Times New Roman" w:eastAsia="Times New Roman" w:hAnsi="Times New Roman"/>
                <w:sz w:val="21"/>
                <w:szCs w:val="21"/>
                <w:color w:val="auto"/>
              </w:rPr>
              <w:t>Costs and Expenses</w:t>
            </w:r>
          </w:p>
        </w:tc>
        <w:tc>
          <w:tcPr>
            <w:tcW w:w="6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w:t>
            </w:r>
          </w:p>
        </w:tc>
      </w:tr>
      <w:tr>
        <w:trPr>
          <w:trHeight w:val="263"/>
        </w:trPr>
        <w:tc>
          <w:tcPr>
            <w:tcW w:w="180" w:type="dxa"/>
            <w:vAlign w:val="bottom"/>
          </w:tcPr>
          <w:p>
            <w:pPr>
              <w:spacing w:after="0"/>
              <w:rPr>
                <w:sz w:val="20"/>
                <w:szCs w:val="20"/>
                <w:color w:val="auto"/>
              </w:rPr>
            </w:pPr>
            <w:r>
              <w:rPr>
                <w:rFonts w:ascii="Times New Roman" w:cs="Times New Roman" w:eastAsia="Times New Roman" w:hAnsi="Times New Roman"/>
                <w:sz w:val="21"/>
                <w:szCs w:val="21"/>
                <w:color w:val="auto"/>
              </w:rPr>
              <w:t>5.</w:t>
            </w:r>
          </w:p>
        </w:tc>
        <w:tc>
          <w:tcPr>
            <w:tcW w:w="4200" w:type="dxa"/>
            <w:vAlign w:val="bottom"/>
            <w:gridSpan w:val="2"/>
          </w:tcPr>
          <w:p>
            <w:pPr>
              <w:ind w:left="40"/>
              <w:spacing w:after="0"/>
              <w:rPr>
                <w:sz w:val="20"/>
                <w:szCs w:val="20"/>
                <w:color w:val="auto"/>
              </w:rPr>
            </w:pPr>
            <w:r>
              <w:rPr>
                <w:rFonts w:ascii="Times New Roman" w:cs="Times New Roman" w:eastAsia="Times New Roman" w:hAnsi="Times New Roman"/>
                <w:sz w:val="21"/>
                <w:szCs w:val="21"/>
                <w:color w:val="auto"/>
              </w:rPr>
              <w:t>Provisions as to Guarantee and Indemnity</w:t>
            </w:r>
          </w:p>
        </w:tc>
        <w:tc>
          <w:tcPr>
            <w:tcW w:w="6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w:t>
            </w:r>
          </w:p>
        </w:tc>
      </w:tr>
      <w:tr>
        <w:trPr>
          <w:trHeight w:val="263"/>
        </w:trPr>
        <w:tc>
          <w:tcPr>
            <w:tcW w:w="180" w:type="dxa"/>
            <w:vAlign w:val="bottom"/>
          </w:tcPr>
          <w:p>
            <w:pPr>
              <w:spacing w:after="0"/>
              <w:rPr>
                <w:sz w:val="20"/>
                <w:szCs w:val="20"/>
                <w:color w:val="auto"/>
              </w:rPr>
            </w:pPr>
            <w:r>
              <w:rPr>
                <w:rFonts w:ascii="Times New Roman" w:cs="Times New Roman" w:eastAsia="Times New Roman" w:hAnsi="Times New Roman"/>
                <w:sz w:val="21"/>
                <w:szCs w:val="21"/>
                <w:color w:val="auto"/>
              </w:rPr>
              <w:t>6.</w:t>
            </w:r>
          </w:p>
        </w:tc>
        <w:tc>
          <w:tcPr>
            <w:tcW w:w="4200" w:type="dxa"/>
            <w:vAlign w:val="bottom"/>
            <w:gridSpan w:val="2"/>
          </w:tcPr>
          <w:p>
            <w:pPr>
              <w:ind w:left="40"/>
              <w:spacing w:after="0"/>
              <w:rPr>
                <w:sz w:val="20"/>
                <w:szCs w:val="20"/>
                <w:color w:val="auto"/>
              </w:rPr>
            </w:pPr>
            <w:r>
              <w:rPr>
                <w:rFonts w:ascii="Times New Roman" w:cs="Times New Roman" w:eastAsia="Times New Roman" w:hAnsi="Times New Roman"/>
                <w:sz w:val="21"/>
                <w:szCs w:val="21"/>
                <w:color w:val="auto"/>
              </w:rPr>
              <w:t>Right of the Security Agent</w:t>
            </w:r>
          </w:p>
        </w:tc>
        <w:tc>
          <w:tcPr>
            <w:tcW w:w="6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w:t>
            </w:r>
          </w:p>
        </w:tc>
      </w:tr>
      <w:tr>
        <w:trPr>
          <w:trHeight w:val="263"/>
        </w:trPr>
        <w:tc>
          <w:tcPr>
            <w:tcW w:w="180" w:type="dxa"/>
            <w:vAlign w:val="bottom"/>
          </w:tcPr>
          <w:p>
            <w:pPr>
              <w:spacing w:after="0"/>
              <w:rPr>
                <w:sz w:val="20"/>
                <w:szCs w:val="20"/>
                <w:color w:val="auto"/>
              </w:rPr>
            </w:pPr>
            <w:r>
              <w:rPr>
                <w:rFonts w:ascii="Times New Roman" w:cs="Times New Roman" w:eastAsia="Times New Roman" w:hAnsi="Times New Roman"/>
                <w:sz w:val="21"/>
                <w:szCs w:val="21"/>
                <w:color w:val="auto"/>
              </w:rPr>
              <w:t>7.</w:t>
            </w:r>
          </w:p>
        </w:tc>
        <w:tc>
          <w:tcPr>
            <w:tcW w:w="4200" w:type="dxa"/>
            <w:vAlign w:val="bottom"/>
            <w:gridSpan w:val="2"/>
          </w:tcPr>
          <w:p>
            <w:pPr>
              <w:ind w:left="40"/>
              <w:spacing w:after="0"/>
              <w:rPr>
                <w:sz w:val="20"/>
                <w:szCs w:val="20"/>
                <w:color w:val="auto"/>
              </w:rPr>
            </w:pPr>
            <w:r>
              <w:rPr>
                <w:rFonts w:ascii="Times New Roman" w:cs="Times New Roman" w:eastAsia="Times New Roman" w:hAnsi="Times New Roman"/>
                <w:sz w:val="21"/>
                <w:szCs w:val="21"/>
                <w:color w:val="auto"/>
              </w:rPr>
              <w:t>Suspense Account</w:t>
            </w:r>
          </w:p>
        </w:tc>
        <w:tc>
          <w:tcPr>
            <w:tcW w:w="6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w:t>
            </w:r>
          </w:p>
        </w:tc>
      </w:tr>
      <w:tr>
        <w:trPr>
          <w:trHeight w:val="263"/>
        </w:trPr>
        <w:tc>
          <w:tcPr>
            <w:tcW w:w="180" w:type="dxa"/>
            <w:vAlign w:val="bottom"/>
          </w:tcPr>
          <w:p>
            <w:pPr>
              <w:spacing w:after="0"/>
              <w:rPr>
                <w:sz w:val="20"/>
                <w:szCs w:val="20"/>
                <w:color w:val="auto"/>
              </w:rPr>
            </w:pPr>
            <w:r>
              <w:rPr>
                <w:rFonts w:ascii="Times New Roman" w:cs="Times New Roman" w:eastAsia="Times New Roman" w:hAnsi="Times New Roman"/>
                <w:sz w:val="21"/>
                <w:szCs w:val="21"/>
                <w:color w:val="auto"/>
              </w:rPr>
              <w:t>8.</w:t>
            </w:r>
          </w:p>
        </w:tc>
        <w:tc>
          <w:tcPr>
            <w:tcW w:w="4200" w:type="dxa"/>
            <w:vAlign w:val="bottom"/>
            <w:gridSpan w:val="2"/>
          </w:tcPr>
          <w:p>
            <w:pPr>
              <w:ind w:left="40"/>
              <w:spacing w:after="0"/>
              <w:rPr>
                <w:sz w:val="20"/>
                <w:szCs w:val="20"/>
                <w:color w:val="auto"/>
              </w:rPr>
            </w:pPr>
            <w:r>
              <w:rPr>
                <w:rFonts w:ascii="Times New Roman" w:cs="Times New Roman" w:eastAsia="Times New Roman" w:hAnsi="Times New Roman"/>
                <w:sz w:val="21"/>
                <w:szCs w:val="21"/>
                <w:color w:val="auto"/>
              </w:rPr>
              <w:t>Further Assurance</w:t>
            </w:r>
          </w:p>
        </w:tc>
        <w:tc>
          <w:tcPr>
            <w:tcW w:w="6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13</w:t>
            </w:r>
          </w:p>
        </w:tc>
      </w:tr>
      <w:tr>
        <w:trPr>
          <w:trHeight w:val="263"/>
        </w:trPr>
        <w:tc>
          <w:tcPr>
            <w:tcW w:w="180" w:type="dxa"/>
            <w:vAlign w:val="bottom"/>
          </w:tcPr>
          <w:p>
            <w:pPr>
              <w:spacing w:after="0"/>
              <w:rPr>
                <w:sz w:val="20"/>
                <w:szCs w:val="20"/>
                <w:color w:val="auto"/>
              </w:rPr>
            </w:pPr>
            <w:r>
              <w:rPr>
                <w:rFonts w:ascii="Times New Roman" w:cs="Times New Roman" w:eastAsia="Times New Roman" w:hAnsi="Times New Roman"/>
                <w:sz w:val="21"/>
                <w:szCs w:val="21"/>
                <w:color w:val="auto"/>
              </w:rPr>
              <w:t>9.</w:t>
            </w:r>
          </w:p>
        </w:tc>
        <w:tc>
          <w:tcPr>
            <w:tcW w:w="4200" w:type="dxa"/>
            <w:vAlign w:val="bottom"/>
            <w:gridSpan w:val="2"/>
          </w:tcPr>
          <w:p>
            <w:pPr>
              <w:ind w:left="40"/>
              <w:spacing w:after="0"/>
              <w:rPr>
                <w:sz w:val="20"/>
                <w:szCs w:val="20"/>
                <w:color w:val="auto"/>
              </w:rPr>
            </w:pPr>
            <w:r>
              <w:rPr>
                <w:rFonts w:ascii="Times New Roman" w:cs="Times New Roman" w:eastAsia="Times New Roman" w:hAnsi="Times New Roman"/>
                <w:sz w:val="21"/>
                <w:szCs w:val="21"/>
                <w:color w:val="auto"/>
              </w:rPr>
              <w:t>Changes to the Parties</w:t>
            </w:r>
          </w:p>
        </w:tc>
        <w:tc>
          <w:tcPr>
            <w:tcW w:w="6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13</w:t>
            </w:r>
          </w:p>
        </w:tc>
      </w:tr>
      <w:tr>
        <w:trPr>
          <w:trHeight w:val="263"/>
        </w:trPr>
        <w:tc>
          <w:tcPr>
            <w:tcW w:w="3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10.</w:t>
            </w:r>
          </w:p>
        </w:tc>
        <w:tc>
          <w:tcPr>
            <w:tcW w:w="408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Notices</w:t>
            </w:r>
          </w:p>
        </w:tc>
        <w:tc>
          <w:tcPr>
            <w:tcW w:w="6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13</w:t>
            </w:r>
          </w:p>
        </w:tc>
      </w:tr>
      <w:tr>
        <w:trPr>
          <w:trHeight w:val="263"/>
        </w:trPr>
        <w:tc>
          <w:tcPr>
            <w:tcW w:w="438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11. Governing Law</w:t>
            </w:r>
          </w:p>
        </w:tc>
        <w:tc>
          <w:tcPr>
            <w:tcW w:w="6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15</w:t>
            </w:r>
          </w:p>
        </w:tc>
      </w:tr>
      <w:tr>
        <w:trPr>
          <w:trHeight w:val="263"/>
        </w:trPr>
        <w:tc>
          <w:tcPr>
            <w:tcW w:w="3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12.</w:t>
            </w:r>
          </w:p>
        </w:tc>
        <w:tc>
          <w:tcPr>
            <w:tcW w:w="408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Dispute Resolution</w:t>
            </w:r>
          </w:p>
        </w:tc>
        <w:tc>
          <w:tcPr>
            <w:tcW w:w="6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15</w:t>
            </w:r>
          </w:p>
        </w:tc>
      </w:tr>
      <w:tr>
        <w:trPr>
          <w:trHeight w:val="263"/>
        </w:trPr>
        <w:tc>
          <w:tcPr>
            <w:tcW w:w="3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13.</w:t>
            </w:r>
          </w:p>
        </w:tc>
        <w:tc>
          <w:tcPr>
            <w:tcW w:w="408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Severability</w:t>
            </w:r>
          </w:p>
        </w:tc>
        <w:tc>
          <w:tcPr>
            <w:tcW w:w="6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17</w:t>
            </w:r>
          </w:p>
        </w:tc>
      </w:tr>
      <w:tr>
        <w:trPr>
          <w:trHeight w:val="263"/>
        </w:trPr>
        <w:tc>
          <w:tcPr>
            <w:tcW w:w="3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14.</w:t>
            </w:r>
          </w:p>
        </w:tc>
        <w:tc>
          <w:tcPr>
            <w:tcW w:w="408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Counterparts</w:t>
            </w:r>
          </w:p>
        </w:tc>
        <w:tc>
          <w:tcPr>
            <w:tcW w:w="6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17</w:t>
            </w:r>
          </w:p>
        </w:tc>
      </w:tr>
      <w:tr>
        <w:trPr>
          <w:trHeight w:val="263"/>
        </w:trPr>
        <w:tc>
          <w:tcPr>
            <w:tcW w:w="3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15.</w:t>
            </w:r>
          </w:p>
        </w:tc>
        <w:tc>
          <w:tcPr>
            <w:tcW w:w="408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Non-Recourse Liability</w:t>
            </w:r>
          </w:p>
        </w:tc>
        <w:tc>
          <w:tcPr>
            <w:tcW w:w="6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17</w:t>
            </w:r>
          </w:p>
        </w:tc>
      </w:tr>
      <w:tr>
        <w:trPr>
          <w:trHeight w:val="276"/>
        </w:trPr>
        <w:tc>
          <w:tcPr>
            <w:tcW w:w="3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16.</w:t>
            </w:r>
          </w:p>
        </w:tc>
        <w:tc>
          <w:tcPr>
            <w:tcW w:w="408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Waiver of Immunity</w:t>
            </w:r>
          </w:p>
        </w:tc>
        <w:tc>
          <w:tcPr>
            <w:tcW w:w="68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 i-</w:t>
      </w:r>
    </w:p>
    <w:p>
      <w:pPr>
        <w:sectPr>
          <w:pgSz w:w="11900" w:h="16838" w:orient="portrait"/>
          <w:cols w:equalWidth="0" w:num="1">
            <w:col w:w="11180"/>
          </w:cols>
          <w:pgMar w:left="340" w:top="1411"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1"/>
          <w:szCs w:val="21"/>
          <w:b w:val="1"/>
          <w:bCs w:val="1"/>
          <w:color w:val="auto"/>
        </w:rPr>
        <w:t xml:space="preserve">THIS GUARANTEE </w:t>
      </w:r>
      <w:r>
        <w:rPr>
          <w:rFonts w:ascii="Times New Roman" w:cs="Times New Roman" w:eastAsia="Times New Roman" w:hAnsi="Times New Roman"/>
          <w:sz w:val="21"/>
          <w:szCs w:val="21"/>
          <w:color w:val="auto"/>
        </w:rPr>
        <w:t>(the "</w:t>
      </w:r>
      <w:r>
        <w:rPr>
          <w:rFonts w:ascii="Times New Roman" w:cs="Times New Roman" w:eastAsia="Times New Roman" w:hAnsi="Times New Roman"/>
          <w:sz w:val="21"/>
          <w:szCs w:val="21"/>
          <w:b w:val="1"/>
          <w:bCs w:val="1"/>
          <w:color w:val="auto"/>
        </w:rPr>
        <w:t>Guarantee</w:t>
      </w:r>
      <w:r>
        <w:rPr>
          <w:rFonts w:ascii="Times New Roman" w:cs="Times New Roman" w:eastAsia="Times New Roman" w:hAnsi="Times New Roman"/>
          <w:sz w:val="21"/>
          <w:szCs w:val="21"/>
          <w:color w:val="auto"/>
        </w:rPr>
        <w:t>") is made on 5 February 2025 by way of</w:t>
      </w:r>
      <w:r>
        <w:rPr>
          <w:rFonts w:ascii="Times New Roman" w:cs="Times New Roman" w:eastAsia="Times New Roman" w:hAnsi="Times New Roman"/>
          <w:sz w:val="21"/>
          <w:szCs w:val="21"/>
          <w:b w:val="1"/>
          <w:bCs w:val="1"/>
          <w:color w:val="auto"/>
        </w:rPr>
        <w:t xml:space="preserve"> DEED </w:t>
      </w:r>
      <w:r>
        <w:rPr>
          <w:rFonts w:ascii="Times New Roman" w:cs="Times New Roman" w:eastAsia="Times New Roman" w:hAnsi="Times New Roman"/>
          <w:sz w:val="21"/>
          <w:szCs w:val="21"/>
          <w:color w:val="auto"/>
        </w:rPr>
        <w:t>between:</w:t>
      </w:r>
    </w:p>
    <w:p>
      <w:pPr>
        <w:spacing w:after="0" w:line="219" w:lineRule="exact"/>
        <w:rPr>
          <w:sz w:val="20"/>
          <w:szCs w:val="20"/>
          <w:color w:val="auto"/>
        </w:rPr>
      </w:pPr>
    </w:p>
    <w:p>
      <w:pPr>
        <w:ind w:left="640" w:hanging="635"/>
        <w:spacing w:after="0" w:line="286" w:lineRule="auto"/>
        <w:tabs>
          <w:tab w:leader="none" w:pos="517"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THE GOVERNMENT OF RAS AL KHAIMAH ACTING THROUGH THE INVESTMENT AND DEVELOPMENT OFFICE OF RAS AL KHAIMAH </w:t>
      </w:r>
      <w:r>
        <w:rPr>
          <w:rFonts w:ascii="Times New Roman" w:cs="Times New Roman" w:eastAsia="Times New Roman" w:hAnsi="Times New Roman"/>
          <w:sz w:val="21"/>
          <w:szCs w:val="21"/>
          <w:color w:val="auto"/>
        </w:rPr>
        <w:t>(the "</w:t>
      </w:r>
      <w:r>
        <w:rPr>
          <w:rFonts w:ascii="Times New Roman" w:cs="Times New Roman" w:eastAsia="Times New Roman" w:hAnsi="Times New Roman"/>
          <w:sz w:val="21"/>
          <w:szCs w:val="21"/>
          <w:b w:val="1"/>
          <w:bCs w:val="1"/>
          <w:color w:val="auto"/>
        </w:rPr>
        <w:t>RAK Guarantor</w:t>
      </w:r>
      <w:r>
        <w:rPr>
          <w:rFonts w:ascii="Times New Roman" w:cs="Times New Roman" w:eastAsia="Times New Roman" w:hAnsi="Times New Roman"/>
          <w:sz w:val="21"/>
          <w:szCs w:val="21"/>
          <w:color w:val="auto"/>
        </w:rPr>
        <w:t>"); and</w:t>
      </w:r>
    </w:p>
    <w:p>
      <w:pPr>
        <w:spacing w:after="0" w:line="148" w:lineRule="exact"/>
        <w:rPr>
          <w:rFonts w:ascii="Times New Roman" w:cs="Times New Roman" w:eastAsia="Times New Roman" w:hAnsi="Times New Roman"/>
          <w:sz w:val="21"/>
          <w:szCs w:val="21"/>
          <w:color w:val="auto"/>
        </w:rPr>
      </w:pPr>
    </w:p>
    <w:p>
      <w:pPr>
        <w:ind w:left="640" w:hanging="635"/>
        <w:spacing w:after="0" w:line="267" w:lineRule="auto"/>
        <w:tabs>
          <w:tab w:leader="none" w:pos="517"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WYNN RESORTS, LIMITED, </w:t>
      </w:r>
      <w:r>
        <w:rPr>
          <w:rFonts w:ascii="Times New Roman" w:cs="Times New Roman" w:eastAsia="Times New Roman" w:hAnsi="Times New Roman"/>
          <w:sz w:val="21"/>
          <w:szCs w:val="21"/>
          <w:color w:val="auto"/>
        </w:rPr>
        <w:t>a NASDAQ listed company incorporated in the State of Nevada whose principal executive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office is at 3131 Las Vegas Blvd South, Las Vegas, NV 89109, USA (the "</w:t>
      </w:r>
      <w:r>
        <w:rPr>
          <w:rFonts w:ascii="Times New Roman" w:cs="Times New Roman" w:eastAsia="Times New Roman" w:hAnsi="Times New Roman"/>
          <w:sz w:val="21"/>
          <w:szCs w:val="21"/>
          <w:b w:val="1"/>
          <w:bCs w:val="1"/>
          <w:color w:val="auto"/>
        </w:rPr>
        <w:t>Wynn Guarantor</w:t>
      </w:r>
      <w:r>
        <w:rPr>
          <w:rFonts w:ascii="Times New Roman" w:cs="Times New Roman" w:eastAsia="Times New Roman" w:hAnsi="Times New Roman"/>
          <w:sz w:val="21"/>
          <w:szCs w:val="21"/>
          <w:color w:val="auto"/>
        </w:rPr>
        <w:t>" and, together with the RAK Guarantor, the "</w:t>
      </w:r>
      <w:r>
        <w:rPr>
          <w:rFonts w:ascii="Times New Roman" w:cs="Times New Roman" w:eastAsia="Times New Roman" w:hAnsi="Times New Roman"/>
          <w:sz w:val="21"/>
          <w:szCs w:val="21"/>
          <w:b w:val="1"/>
          <w:bCs w:val="1"/>
          <w:color w:val="auto"/>
        </w:rPr>
        <w:t>Guarantors</w:t>
      </w:r>
      <w:r>
        <w:rPr>
          <w:rFonts w:ascii="Times New Roman" w:cs="Times New Roman" w:eastAsia="Times New Roman" w:hAnsi="Times New Roman"/>
          <w:sz w:val="21"/>
          <w:szCs w:val="21"/>
          <w:color w:val="auto"/>
        </w:rPr>
        <w:t>");</w:t>
      </w:r>
    </w:p>
    <w:p>
      <w:pPr>
        <w:spacing w:after="0" w:line="15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in favour of:</w:t>
      </w:r>
    </w:p>
    <w:p>
      <w:pPr>
        <w:spacing w:after="0" w:line="21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1"/>
          <w:szCs w:val="21"/>
          <w:color w:val="auto"/>
        </w:rPr>
        <w:t>(3)</w:t>
      </w:r>
      <w:r>
        <w:rPr>
          <w:sz w:val="20"/>
          <w:szCs w:val="20"/>
          <w:color w:val="auto"/>
        </w:rPr>
        <w:tab/>
      </w:r>
      <w:r>
        <w:rPr>
          <w:rFonts w:ascii="Times New Roman" w:cs="Times New Roman" w:eastAsia="Times New Roman" w:hAnsi="Times New Roman"/>
          <w:sz w:val="21"/>
          <w:szCs w:val="21"/>
          <w:b w:val="1"/>
          <w:bCs w:val="1"/>
          <w:color w:val="auto"/>
        </w:rPr>
        <w:t xml:space="preserve">FIRST ABU DHABI BANK PJSC </w:t>
      </w:r>
      <w:r>
        <w:rPr>
          <w:rFonts w:ascii="Times New Roman" w:cs="Times New Roman" w:eastAsia="Times New Roman" w:hAnsi="Times New Roman"/>
          <w:sz w:val="21"/>
          <w:szCs w:val="21"/>
          <w:color w:val="auto"/>
        </w:rPr>
        <w:t>for itself and as security agent for the other Secured Parties (the "</w:t>
      </w:r>
      <w:r>
        <w:rPr>
          <w:rFonts w:ascii="Times New Roman" w:cs="Times New Roman" w:eastAsia="Times New Roman" w:hAnsi="Times New Roman"/>
          <w:sz w:val="21"/>
          <w:szCs w:val="21"/>
          <w:b w:val="1"/>
          <w:bCs w:val="1"/>
          <w:color w:val="auto"/>
        </w:rPr>
        <w:t>Security Agent</w:t>
      </w:r>
      <w:r>
        <w:rPr>
          <w:rFonts w:ascii="Times New Roman" w:cs="Times New Roman" w:eastAsia="Times New Roman" w:hAnsi="Times New Roman"/>
          <w:sz w:val="21"/>
          <w:szCs w:val="21"/>
          <w:color w:val="auto"/>
        </w:rPr>
        <w:t>").</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w:t>
      </w:r>
    </w:p>
    <w:p>
      <w:pPr>
        <w:spacing w:after="0" w:line="223" w:lineRule="exact"/>
        <w:rPr>
          <w:sz w:val="20"/>
          <w:szCs w:val="20"/>
          <w:color w:val="auto"/>
        </w:rPr>
      </w:pPr>
    </w:p>
    <w:p>
      <w:pPr>
        <w:ind w:left="640" w:hanging="635"/>
        <w:spacing w:after="0" w:line="259" w:lineRule="auto"/>
        <w:tabs>
          <w:tab w:leader="none" w:pos="507"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Lenders have agreed to make available to the Borrower a term loan facility of USD 175,000,000 and a term loan facility of AED 8,171,312,500 to finance the development and operation of a luxury integrated resort comprising beachfront property, 1500+ rooms, a commercial gaming area, and other amenities including food and beverage, retail, and entertainment spaces to be developed on Al Marjan Island, Ras Al Khaimah, United Arab Emirates.</w:t>
      </w:r>
    </w:p>
    <w:p>
      <w:pPr>
        <w:spacing w:after="0" w:line="168" w:lineRule="exact"/>
        <w:rPr>
          <w:rFonts w:ascii="Times New Roman" w:cs="Times New Roman" w:eastAsia="Times New Roman" w:hAnsi="Times New Roman"/>
          <w:sz w:val="21"/>
          <w:szCs w:val="21"/>
          <w:color w:val="auto"/>
        </w:rPr>
      </w:pPr>
    </w:p>
    <w:p>
      <w:pPr>
        <w:ind w:left="500" w:hanging="495"/>
        <w:spacing w:after="0"/>
        <w:tabs>
          <w:tab w:leader="none" w:pos="50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is a condition precedent to each term loan facility being made available that the Guarantors enter into this Guarantee.</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NOW THIS GUARANTEE WITNESSES </w:t>
      </w:r>
      <w:r>
        <w:rPr>
          <w:rFonts w:ascii="Times New Roman" w:cs="Times New Roman" w:eastAsia="Times New Roman" w:hAnsi="Times New Roman"/>
          <w:sz w:val="21"/>
          <w:szCs w:val="21"/>
          <w:color w:val="auto"/>
        </w:rPr>
        <w:t>as follows:</w:t>
      </w:r>
    </w:p>
    <w:p>
      <w:pPr>
        <w:spacing w:after="0" w:line="219" w:lineRule="exact"/>
        <w:rPr>
          <w:sz w:val="20"/>
          <w:szCs w:val="20"/>
          <w:color w:val="auto"/>
        </w:rPr>
      </w:pPr>
    </w:p>
    <w:p>
      <w:pPr>
        <w:ind w:left="380" w:hanging="375"/>
        <w:spacing w:after="0"/>
        <w:tabs>
          <w:tab w:leader="none" w:pos="38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INTERPRETATION</w:t>
      </w:r>
    </w:p>
    <w:p>
      <w:pPr>
        <w:spacing w:after="0" w:line="219"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color w:val="auto"/>
        </w:rPr>
        <w:t>1.1</w:t>
      </w:r>
      <w:r>
        <w:rPr>
          <w:sz w:val="20"/>
          <w:szCs w:val="20"/>
          <w:color w:val="auto"/>
        </w:rPr>
        <w:tab/>
      </w:r>
      <w:r>
        <w:rPr>
          <w:rFonts w:ascii="Times New Roman" w:cs="Times New Roman" w:eastAsia="Times New Roman" w:hAnsi="Times New Roman"/>
          <w:sz w:val="20"/>
          <w:szCs w:val="20"/>
          <w:b w:val="1"/>
          <w:bCs w:val="1"/>
          <w:color w:val="auto"/>
        </w:rPr>
        <w:t>Terms defined</w:t>
      </w:r>
    </w:p>
    <w:p>
      <w:pPr>
        <w:spacing w:after="0" w:line="2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In this Guarantee:</w:t>
      </w:r>
    </w:p>
    <w:p>
      <w:pPr>
        <w:spacing w:after="0" w:line="215" w:lineRule="exact"/>
        <w:rPr>
          <w:sz w:val="20"/>
          <w:szCs w:val="20"/>
          <w:color w:val="auto"/>
        </w:rPr>
      </w:pPr>
    </w:p>
    <w:p>
      <w:pPr>
        <w:ind w:left="640"/>
        <w:spacing w:after="0" w:line="29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Applicable Acceleration Event</w:t>
      </w:r>
      <w:r>
        <w:rPr>
          <w:rFonts w:ascii="Times New Roman" w:cs="Times New Roman" w:eastAsia="Times New Roman" w:hAnsi="Times New Roman"/>
          <w:sz w:val="21"/>
          <w:szCs w:val="21"/>
          <w:color w:val="auto"/>
        </w:rPr>
        <w:t>" means that the Agent has served an Acceleration Notice to the Borrower (with a copy to the Security Agent) under the Facility Agreement as a result of an Event of Default occurring under:</w:t>
      </w:r>
    </w:p>
    <w:p>
      <w:pPr>
        <w:spacing w:after="0" w:line="124" w:lineRule="exact"/>
        <w:rPr>
          <w:sz w:val="20"/>
          <w:szCs w:val="20"/>
          <w:color w:val="auto"/>
        </w:rPr>
      </w:pPr>
    </w:p>
    <w:p>
      <w:pPr>
        <w:ind w:left="1080" w:hanging="443"/>
        <w:spacing w:after="0"/>
        <w:tabs>
          <w:tab w:leader="none" w:pos="108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Clause 25.12 (</w:t>
      </w:r>
      <w:r>
        <w:rPr>
          <w:rFonts w:ascii="Times New Roman" w:cs="Times New Roman" w:eastAsia="Times New Roman" w:hAnsi="Times New Roman"/>
          <w:sz w:val="21"/>
          <w:szCs w:val="21"/>
          <w:i w:val="1"/>
          <w:iCs w:val="1"/>
          <w:color w:val="auto"/>
        </w:rPr>
        <w:t>Suspension or Abandonment</w:t>
      </w:r>
      <w:r>
        <w:rPr>
          <w:rFonts w:ascii="Times New Roman" w:cs="Times New Roman" w:eastAsia="Times New Roman" w:hAnsi="Times New Roman"/>
          <w:sz w:val="21"/>
          <w:szCs w:val="21"/>
          <w:color w:val="auto"/>
        </w:rPr>
        <w:t>) of the Facility Agreement; and/or</w:t>
      </w:r>
    </w:p>
    <w:p>
      <w:pPr>
        <w:spacing w:after="0" w:line="219" w:lineRule="exact"/>
        <w:rPr>
          <w:rFonts w:ascii="Times New Roman" w:cs="Times New Roman" w:eastAsia="Times New Roman" w:hAnsi="Times New Roman"/>
          <w:sz w:val="21"/>
          <w:szCs w:val="21"/>
          <w:color w:val="auto"/>
        </w:rPr>
      </w:pPr>
    </w:p>
    <w:p>
      <w:pPr>
        <w:ind w:left="1100" w:hanging="463"/>
        <w:spacing w:after="0"/>
        <w:tabs>
          <w:tab w:leader="none" w:pos="110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Clause 25.13 (</w:t>
      </w:r>
      <w:r>
        <w:rPr>
          <w:rFonts w:ascii="Times New Roman" w:cs="Times New Roman" w:eastAsia="Times New Roman" w:hAnsi="Times New Roman"/>
          <w:sz w:val="21"/>
          <w:szCs w:val="21"/>
          <w:i w:val="1"/>
          <w:iCs w:val="1"/>
          <w:color w:val="auto"/>
        </w:rPr>
        <w:t>Practical Completion</w:t>
      </w:r>
      <w:r>
        <w:rPr>
          <w:rFonts w:ascii="Times New Roman" w:cs="Times New Roman" w:eastAsia="Times New Roman" w:hAnsi="Times New Roman"/>
          <w:sz w:val="21"/>
          <w:szCs w:val="21"/>
          <w:color w:val="auto"/>
        </w:rPr>
        <w:t>) of the Facility Agreement.</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Completion Guarantee Discharge Date</w:t>
      </w:r>
      <w:r>
        <w:rPr>
          <w:rFonts w:ascii="Times New Roman" w:cs="Times New Roman" w:eastAsia="Times New Roman" w:hAnsi="Times New Roman"/>
          <w:sz w:val="21"/>
          <w:szCs w:val="21"/>
          <w:color w:val="auto"/>
        </w:rPr>
        <w:t>" means the earliest of:</w:t>
      </w:r>
    </w:p>
    <w:p>
      <w:pPr>
        <w:spacing w:after="0" w:line="223" w:lineRule="exact"/>
        <w:rPr>
          <w:sz w:val="20"/>
          <w:szCs w:val="20"/>
          <w:color w:val="auto"/>
        </w:rPr>
      </w:pPr>
    </w:p>
    <w:p>
      <w:pPr>
        <w:ind w:left="1260" w:hanging="623"/>
        <w:spacing w:after="0" w:line="295" w:lineRule="auto"/>
        <w:tabs>
          <w:tab w:leader="none" w:pos="1105"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date on which the Security Agent is satisfied that all Secured Liabilities have been irrevocably and unconditionally paid and discharged in full and the Commitments of each Lender are reduced to nil;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385" w:right="339" w:bottom="1440" w:gutter="0" w:footer="0" w:header="0"/>
        </w:sectPr>
      </w:pPr>
    </w:p>
    <w:bookmarkStart w:id="7" w:name="page8"/>
    <w:bookmarkEnd w:id="7"/>
    <w:p>
      <w:pPr>
        <w:ind w:left="463" w:hanging="463"/>
        <w:spacing w:after="0"/>
        <w:tabs>
          <w:tab w:leader="none" w:pos="463"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date of Practical Completion.</w:t>
      </w:r>
    </w:p>
    <w:p>
      <w:pPr>
        <w:spacing w:after="0" w:line="215" w:lineRule="exact"/>
        <w:rPr>
          <w:sz w:val="20"/>
          <w:szCs w:val="20"/>
          <w:color w:val="auto"/>
        </w:rPr>
      </w:pPr>
    </w:p>
    <w:p>
      <w:pPr>
        <w:jc w:val="both"/>
        <w:ind w:left="3"/>
        <w:spacing w:after="0" w:line="26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Facility Agreement</w:t>
      </w:r>
      <w:r>
        <w:rPr>
          <w:rFonts w:ascii="Times New Roman" w:cs="Times New Roman" w:eastAsia="Times New Roman" w:hAnsi="Times New Roman"/>
          <w:sz w:val="21"/>
          <w:szCs w:val="21"/>
          <w:color w:val="auto"/>
        </w:rPr>
        <w:t>" means the facility agreement dated on or before the date hereof between, among others, Wynn Al Marjan Island FZ-LLC as the borrower, Abu Dhabi Commercial Bank PJSC and Deutsche Bank AG as initial mandated lead arrangers, bookrunners and underwriters, First Abu Dhabi Bank PJSC as agent, the Security Agent and the Lenders (all as defined therein).</w:t>
      </w:r>
    </w:p>
    <w:p>
      <w:pPr>
        <w:spacing w:after="0" w:line="157" w:lineRule="exact"/>
        <w:rPr>
          <w:sz w:val="20"/>
          <w:szCs w:val="20"/>
          <w:color w:val="auto"/>
        </w:rPr>
      </w:pPr>
    </w:p>
    <w:p>
      <w:pPr>
        <w:ind w:left="3"/>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Finance Costs</w:t>
      </w:r>
      <w:r>
        <w:rPr>
          <w:rFonts w:ascii="Times New Roman" w:cs="Times New Roman" w:eastAsia="Times New Roman" w:hAnsi="Times New Roman"/>
          <w:sz w:val="21"/>
          <w:szCs w:val="21"/>
          <w:color w:val="auto"/>
        </w:rPr>
        <w:t>" means:</w:t>
      </w:r>
    </w:p>
    <w:p>
      <w:pPr>
        <w:spacing w:after="0" w:line="223" w:lineRule="exact"/>
        <w:rPr>
          <w:sz w:val="20"/>
          <w:szCs w:val="20"/>
          <w:color w:val="auto"/>
        </w:rPr>
      </w:pPr>
    </w:p>
    <w:p>
      <w:pPr>
        <w:ind w:left="623" w:hanging="623"/>
        <w:spacing w:after="0" w:line="282" w:lineRule="auto"/>
        <w:tabs>
          <w:tab w:leader="none" w:pos="502"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interest, commitment fees and other finance costs payable under any Finance Document (whether or not capitalised); and</w:t>
      </w:r>
    </w:p>
    <w:p>
      <w:pPr>
        <w:spacing w:after="0" w:line="156" w:lineRule="exact"/>
        <w:rPr>
          <w:rFonts w:ascii="Times New Roman" w:cs="Times New Roman" w:eastAsia="Times New Roman" w:hAnsi="Times New Roman"/>
          <w:sz w:val="21"/>
          <w:szCs w:val="21"/>
          <w:color w:val="auto"/>
        </w:rPr>
      </w:pPr>
    </w:p>
    <w:p>
      <w:pPr>
        <w:ind w:left="463" w:hanging="463"/>
        <w:spacing w:after="0"/>
        <w:tabs>
          <w:tab w:leader="none" w:pos="463"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scheduled payments to the Hedge Counterparty under any Hedging Agreement,</w:t>
      </w:r>
    </w:p>
    <w:p>
      <w:pPr>
        <w:spacing w:after="0" w:line="219" w:lineRule="exact"/>
        <w:rPr>
          <w:sz w:val="20"/>
          <w:szCs w:val="20"/>
          <w:color w:val="auto"/>
        </w:rPr>
      </w:pPr>
    </w:p>
    <w:p>
      <w:pPr>
        <w:ind w:left="3"/>
        <w:spacing w:after="0" w:line="282" w:lineRule="auto"/>
        <w:rPr>
          <w:sz w:val="20"/>
          <w:szCs w:val="20"/>
          <w:color w:val="auto"/>
        </w:rPr>
      </w:pPr>
      <w:r>
        <w:rPr>
          <w:rFonts w:ascii="Times New Roman" w:cs="Times New Roman" w:eastAsia="Times New Roman" w:hAnsi="Times New Roman"/>
          <w:sz w:val="21"/>
          <w:szCs w:val="21"/>
          <w:color w:val="auto"/>
        </w:rPr>
        <w:t>excluding in all cases (for the avoidance of doubt) any repayment of any principal amount in respect of any Loan and any Hedging Termination Payments.</w:t>
      </w:r>
    </w:p>
    <w:p>
      <w:pPr>
        <w:spacing w:after="0" w:line="139" w:lineRule="exact"/>
        <w:rPr>
          <w:sz w:val="20"/>
          <w:szCs w:val="20"/>
          <w:color w:val="auto"/>
        </w:rPr>
      </w:pPr>
    </w:p>
    <w:p>
      <w:pPr>
        <w:ind w:left="3"/>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Guaranteed Backstop Amount</w:t>
      </w:r>
      <w:r>
        <w:rPr>
          <w:rFonts w:ascii="Times New Roman" w:cs="Times New Roman" w:eastAsia="Times New Roman" w:hAnsi="Times New Roman"/>
          <w:sz w:val="21"/>
          <w:szCs w:val="21"/>
          <w:color w:val="auto"/>
        </w:rPr>
        <w:t>" means, at any time (without double-counting), the aggregate of:</w:t>
      </w:r>
    </w:p>
    <w:p>
      <w:pPr>
        <w:spacing w:after="0" w:line="223" w:lineRule="exact"/>
        <w:rPr>
          <w:sz w:val="20"/>
          <w:szCs w:val="20"/>
          <w:color w:val="auto"/>
        </w:rPr>
      </w:pPr>
    </w:p>
    <w:p>
      <w:pPr>
        <w:ind w:left="443" w:hanging="443"/>
        <w:spacing w:after="0"/>
        <w:tabs>
          <w:tab w:leader="none" w:pos="443"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principal amount then outstanding under the terms of the Facility Agreement; and</w:t>
      </w:r>
    </w:p>
    <w:p>
      <w:pPr>
        <w:spacing w:after="0" w:line="219" w:lineRule="exact"/>
        <w:rPr>
          <w:rFonts w:ascii="Times New Roman" w:cs="Times New Roman" w:eastAsia="Times New Roman" w:hAnsi="Times New Roman"/>
          <w:sz w:val="21"/>
          <w:szCs w:val="21"/>
          <w:color w:val="auto"/>
        </w:rPr>
      </w:pPr>
    </w:p>
    <w:p>
      <w:pPr>
        <w:ind w:left="623" w:hanging="623"/>
        <w:spacing w:after="0" w:line="295" w:lineRule="auto"/>
        <w:tabs>
          <w:tab w:leader="none" w:pos="457"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amount of all liabilities of the Borrower in respect of interest, hedging liabilities and all other amounts and expenses then due and payable in respect of the Finance Documents.</w:t>
      </w:r>
    </w:p>
    <w:p>
      <w:pPr>
        <w:spacing w:after="0" w:line="126" w:lineRule="exact"/>
        <w:rPr>
          <w:sz w:val="20"/>
          <w:szCs w:val="20"/>
          <w:color w:val="auto"/>
        </w:rPr>
      </w:pPr>
    </w:p>
    <w:p>
      <w:pPr>
        <w:ind w:left="3"/>
        <w:spacing w:after="0" w:line="28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Guaranteed Prepayment Amount</w:t>
      </w:r>
      <w:r>
        <w:rPr>
          <w:rFonts w:ascii="Times New Roman" w:cs="Times New Roman" w:eastAsia="Times New Roman" w:hAnsi="Times New Roman"/>
          <w:sz w:val="21"/>
          <w:szCs w:val="21"/>
          <w:color w:val="auto"/>
        </w:rPr>
        <w:t>" means each Guaranteed Prepayment CoC Amount, each Guaranteed Prepayment Downgrade Amount and each Guaranteed Prepayment Loss of Licence Amount.</w:t>
      </w:r>
    </w:p>
    <w:p>
      <w:pPr>
        <w:spacing w:after="0" w:line="135" w:lineRule="exact"/>
        <w:rPr>
          <w:sz w:val="20"/>
          <w:szCs w:val="20"/>
          <w:color w:val="auto"/>
        </w:rPr>
      </w:pPr>
    </w:p>
    <w:p>
      <w:pPr>
        <w:ind w:left="3"/>
        <w:spacing w:after="0" w:line="28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Guaranteed Prepayment CoC Amount</w:t>
      </w:r>
      <w:r>
        <w:rPr>
          <w:rFonts w:ascii="Times New Roman" w:cs="Times New Roman" w:eastAsia="Times New Roman" w:hAnsi="Times New Roman"/>
          <w:sz w:val="21"/>
          <w:szCs w:val="21"/>
          <w:color w:val="auto"/>
        </w:rPr>
        <w:t>" means, at any time, all amounts then due and payable pursuant to clause 7.2 (</w:t>
      </w:r>
      <w:r>
        <w:rPr>
          <w:rFonts w:ascii="Times New Roman" w:cs="Times New Roman" w:eastAsia="Times New Roman" w:hAnsi="Times New Roman"/>
          <w:sz w:val="21"/>
          <w:szCs w:val="21"/>
          <w:i w:val="1"/>
          <w:iCs w:val="1"/>
          <w:color w:val="auto"/>
        </w:rPr>
        <w:t>Change of Control Event</w:t>
      </w:r>
      <w:r>
        <w:rPr>
          <w:rFonts w:ascii="Times New Roman" w:cs="Times New Roman" w:eastAsia="Times New Roman" w:hAnsi="Times New Roman"/>
          <w:sz w:val="21"/>
          <w:szCs w:val="21"/>
          <w:color w:val="auto"/>
        </w:rPr>
        <w:t>) of the Facility Agreement.</w:t>
      </w:r>
    </w:p>
    <w:p>
      <w:pPr>
        <w:spacing w:after="0" w:line="148" w:lineRule="exact"/>
        <w:rPr>
          <w:sz w:val="20"/>
          <w:szCs w:val="20"/>
          <w:color w:val="auto"/>
        </w:rPr>
      </w:pPr>
    </w:p>
    <w:p>
      <w:pPr>
        <w:ind w:left="3"/>
        <w:spacing w:after="0" w:line="28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Guaranteed Prepayment Downgrade Amount</w:t>
      </w:r>
      <w:r>
        <w:rPr>
          <w:rFonts w:ascii="Times New Roman" w:cs="Times New Roman" w:eastAsia="Times New Roman" w:hAnsi="Times New Roman"/>
          <w:sz w:val="21"/>
          <w:szCs w:val="21"/>
          <w:color w:val="auto"/>
        </w:rPr>
        <w:t>" means, at any time, all amounts then due and payable pursuant to clause 7.3 (</w:t>
      </w:r>
      <w:r>
        <w:rPr>
          <w:rFonts w:ascii="Times New Roman" w:cs="Times New Roman" w:eastAsia="Times New Roman" w:hAnsi="Times New Roman"/>
          <w:sz w:val="21"/>
          <w:szCs w:val="21"/>
          <w:i w:val="1"/>
          <w:iCs w:val="1"/>
          <w:color w:val="auto"/>
        </w:rPr>
        <w:t>Sponsors' Credit Rating Downgrade</w:t>
      </w:r>
      <w:r>
        <w:rPr>
          <w:rFonts w:ascii="Times New Roman" w:cs="Times New Roman" w:eastAsia="Times New Roman" w:hAnsi="Times New Roman"/>
          <w:sz w:val="21"/>
          <w:szCs w:val="21"/>
          <w:color w:val="auto"/>
        </w:rPr>
        <w:t>) of the Facility Agreement.</w:t>
      </w:r>
    </w:p>
    <w:p>
      <w:pPr>
        <w:spacing w:after="0" w:line="135" w:lineRule="exact"/>
        <w:rPr>
          <w:sz w:val="20"/>
          <w:szCs w:val="20"/>
          <w:color w:val="auto"/>
        </w:rPr>
      </w:pPr>
    </w:p>
    <w:p>
      <w:pPr>
        <w:ind w:left="3"/>
        <w:spacing w:after="0" w:line="28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Guaranteed Prepayment Loss of Licence Amount</w:t>
      </w:r>
      <w:r>
        <w:rPr>
          <w:rFonts w:ascii="Times New Roman" w:cs="Times New Roman" w:eastAsia="Times New Roman" w:hAnsi="Times New Roman"/>
          <w:sz w:val="21"/>
          <w:szCs w:val="21"/>
          <w:color w:val="auto"/>
        </w:rPr>
        <w:t>" means, at any time, all amounts then due and payable pursuant to clause 7.4 (</w:t>
      </w:r>
      <w:r>
        <w:rPr>
          <w:rFonts w:ascii="Times New Roman" w:cs="Times New Roman" w:eastAsia="Times New Roman" w:hAnsi="Times New Roman"/>
          <w:sz w:val="21"/>
          <w:szCs w:val="21"/>
          <w:i w:val="1"/>
          <w:iCs w:val="1"/>
          <w:color w:val="auto"/>
        </w:rPr>
        <w:t>Loss of GCGRA Licence</w:t>
      </w:r>
      <w:r>
        <w:rPr>
          <w:rFonts w:ascii="Times New Roman" w:cs="Times New Roman" w:eastAsia="Times New Roman" w:hAnsi="Times New Roman"/>
          <w:sz w:val="21"/>
          <w:szCs w:val="21"/>
          <w:color w:val="auto"/>
        </w:rPr>
        <w:t>) of the Facility Agreement.</w:t>
      </w:r>
    </w:p>
    <w:p>
      <w:pPr>
        <w:spacing w:after="0" w:line="135" w:lineRule="exact"/>
        <w:rPr>
          <w:sz w:val="20"/>
          <w:szCs w:val="20"/>
          <w:color w:val="auto"/>
        </w:rPr>
      </w:pPr>
    </w:p>
    <w:p>
      <w:pPr>
        <w:ind w:left="3"/>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Party</w:t>
      </w:r>
      <w:r>
        <w:rPr>
          <w:rFonts w:ascii="Times New Roman" w:cs="Times New Roman" w:eastAsia="Times New Roman" w:hAnsi="Times New Roman"/>
          <w:sz w:val="21"/>
          <w:szCs w:val="21"/>
          <w:color w:val="auto"/>
        </w:rPr>
        <w:t>" means a party to this Guarantee.</w:t>
      </w:r>
    </w:p>
    <w:p>
      <w:pPr>
        <w:spacing w:after="0" w:line="232" w:lineRule="exact"/>
        <w:rPr>
          <w:sz w:val="20"/>
          <w:szCs w:val="20"/>
          <w:color w:val="auto"/>
        </w:rPr>
      </w:pPr>
    </w:p>
    <w:p>
      <w:pPr>
        <w:ind w:left="3"/>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Relevant Jurisdiction</w:t>
      </w:r>
      <w:r>
        <w:rPr>
          <w:rFonts w:ascii="Times New Roman" w:cs="Times New Roman" w:eastAsia="Times New Roman" w:hAnsi="Times New Roman"/>
          <w:sz w:val="21"/>
          <w:szCs w:val="21"/>
          <w:color w:val="auto"/>
        </w:rPr>
        <w:t>" means:</w:t>
      </w:r>
    </w:p>
    <w:p>
      <w:pPr>
        <w:spacing w:after="0" w:line="223" w:lineRule="exact"/>
        <w:rPr>
          <w:sz w:val="20"/>
          <w:szCs w:val="20"/>
          <w:color w:val="auto"/>
        </w:rPr>
      </w:pPr>
    </w:p>
    <w:p>
      <w:pPr>
        <w:ind w:left="443" w:hanging="443"/>
        <w:spacing w:after="0"/>
        <w:tabs>
          <w:tab w:leader="none" w:pos="443"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respect of the RAK Guarantor, RAK;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943"/>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0603"/>
          </w:cols>
          <w:pgMar w:left="957" w:top="1389" w:right="339" w:bottom="1440" w:gutter="0" w:footer="0" w:header="0"/>
        </w:sectPr>
      </w:pPr>
    </w:p>
    <w:bookmarkStart w:id="8" w:name="page9"/>
    <w:bookmarkEnd w:id="8"/>
    <w:p>
      <w:pPr>
        <w:ind w:left="1100" w:hanging="463"/>
        <w:spacing w:after="0"/>
        <w:tabs>
          <w:tab w:leader="none" w:pos="1100"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respect of the Wynn Guarantor, the State of Nevada.</w:t>
      </w:r>
    </w:p>
    <w:p>
      <w:pPr>
        <w:spacing w:after="0" w:line="2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UAE Civil Code</w:t>
      </w:r>
      <w:r>
        <w:rPr>
          <w:rFonts w:ascii="Times New Roman" w:cs="Times New Roman" w:eastAsia="Times New Roman" w:hAnsi="Times New Roman"/>
          <w:sz w:val="21"/>
          <w:szCs w:val="21"/>
          <w:color w:val="auto"/>
        </w:rPr>
        <w:t>" means the UAE Federal Law No. 5 of 1985 concerning the civil transactions law (as amended).</w:t>
      </w:r>
    </w:p>
    <w:p>
      <w:pPr>
        <w:spacing w:after="0" w:line="219"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color w:val="auto"/>
        </w:rPr>
        <w:t>1.2</w:t>
      </w:r>
      <w:r>
        <w:rPr>
          <w:sz w:val="20"/>
          <w:szCs w:val="20"/>
          <w:color w:val="auto"/>
        </w:rPr>
        <w:tab/>
      </w:r>
      <w:r>
        <w:rPr>
          <w:rFonts w:ascii="Times New Roman" w:cs="Times New Roman" w:eastAsia="Times New Roman" w:hAnsi="Times New Roman"/>
          <w:sz w:val="20"/>
          <w:szCs w:val="20"/>
          <w:b w:val="1"/>
          <w:bCs w:val="1"/>
          <w:color w:val="auto"/>
        </w:rPr>
        <w:t>Terms defined in other Finance Documents</w:t>
      </w:r>
    </w:p>
    <w:p>
      <w:pPr>
        <w:spacing w:after="0" w:line="236" w:lineRule="exact"/>
        <w:rPr>
          <w:sz w:val="20"/>
          <w:szCs w:val="20"/>
          <w:color w:val="auto"/>
        </w:rPr>
      </w:pPr>
    </w:p>
    <w:p>
      <w:pPr>
        <w:jc w:val="both"/>
        <w:ind w:left="640"/>
        <w:spacing w:after="0" w:line="265" w:lineRule="auto"/>
        <w:rPr>
          <w:sz w:val="20"/>
          <w:szCs w:val="20"/>
          <w:color w:val="auto"/>
        </w:rPr>
      </w:pPr>
      <w:r>
        <w:rPr>
          <w:rFonts w:ascii="Times New Roman" w:cs="Times New Roman" w:eastAsia="Times New Roman" w:hAnsi="Times New Roman"/>
          <w:sz w:val="21"/>
          <w:szCs w:val="21"/>
          <w:color w:val="auto"/>
        </w:rPr>
        <w:t>Unless defined in this Guarantee or in any notice given under or in connection with this Guarantee or the context otherwise requires, a term defined in the Facility Agreement or in any other Finance Document has the same meaning in this Guarantee or any notice given under or in connection with this Guarantee.</w:t>
      </w:r>
    </w:p>
    <w:p>
      <w:pPr>
        <w:spacing w:after="0" w:line="157"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color w:val="auto"/>
        </w:rPr>
        <w:t>1.3</w:t>
      </w:r>
      <w:r>
        <w:rPr>
          <w:sz w:val="20"/>
          <w:szCs w:val="20"/>
          <w:color w:val="auto"/>
        </w:rPr>
        <w:tab/>
      </w:r>
      <w:r>
        <w:rPr>
          <w:rFonts w:ascii="Times New Roman" w:cs="Times New Roman" w:eastAsia="Times New Roman" w:hAnsi="Times New Roman"/>
          <w:sz w:val="21"/>
          <w:szCs w:val="21"/>
          <w:b w:val="1"/>
          <w:bCs w:val="1"/>
          <w:color w:val="auto"/>
        </w:rPr>
        <w:t>Construction</w:t>
      </w:r>
    </w:p>
    <w:p>
      <w:pPr>
        <w:spacing w:after="0" w:line="221" w:lineRule="exact"/>
        <w:rPr>
          <w:sz w:val="20"/>
          <w:szCs w:val="20"/>
          <w:color w:val="auto"/>
        </w:rPr>
      </w:pPr>
    </w:p>
    <w:p>
      <w:pPr>
        <w:jc w:val="both"/>
        <w:ind w:left="640"/>
        <w:spacing w:after="0" w:line="272" w:lineRule="auto"/>
        <w:rPr>
          <w:sz w:val="20"/>
          <w:szCs w:val="20"/>
          <w:color w:val="auto"/>
        </w:rPr>
      </w:pPr>
      <w:r>
        <w:rPr>
          <w:rFonts w:ascii="Times New Roman" w:cs="Times New Roman" w:eastAsia="Times New Roman" w:hAnsi="Times New Roman"/>
          <w:sz w:val="21"/>
          <w:szCs w:val="21"/>
          <w:color w:val="auto"/>
        </w:rPr>
        <w:t>The provisions of clause 1.2 (</w:t>
      </w:r>
      <w:r>
        <w:rPr>
          <w:rFonts w:ascii="Times New Roman" w:cs="Times New Roman" w:eastAsia="Times New Roman" w:hAnsi="Times New Roman"/>
          <w:sz w:val="21"/>
          <w:szCs w:val="21"/>
          <w:i w:val="1"/>
          <w:iCs w:val="1"/>
          <w:color w:val="auto"/>
        </w:rPr>
        <w:t>Construction</w:t>
      </w:r>
      <w:r>
        <w:rPr>
          <w:rFonts w:ascii="Times New Roman" w:cs="Times New Roman" w:eastAsia="Times New Roman" w:hAnsi="Times New Roman"/>
          <w:sz w:val="21"/>
          <w:szCs w:val="21"/>
          <w:color w:val="auto"/>
        </w:rPr>
        <w:t>) of the Facility Agreement will apply as if incorporated in this Guarantee or in any notice given under or in connection with this Guarantee, as if all references in that Clause to the Facility Agreement were a reference to this Guarantee or such notice.</w:t>
      </w:r>
    </w:p>
    <w:p>
      <w:pPr>
        <w:spacing w:after="0" w:line="151"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color w:val="auto"/>
        </w:rPr>
        <w:t>1.4</w:t>
      </w:r>
      <w:r>
        <w:rPr>
          <w:sz w:val="20"/>
          <w:szCs w:val="20"/>
          <w:color w:val="auto"/>
        </w:rPr>
        <w:tab/>
      </w:r>
      <w:r>
        <w:rPr>
          <w:rFonts w:ascii="Times New Roman" w:cs="Times New Roman" w:eastAsia="Times New Roman" w:hAnsi="Times New Roman"/>
          <w:sz w:val="21"/>
          <w:szCs w:val="21"/>
          <w:b w:val="1"/>
          <w:bCs w:val="1"/>
          <w:color w:val="auto"/>
        </w:rPr>
        <w:t>Application of provisions in Facility Agreement</w:t>
      </w:r>
    </w:p>
    <w:p>
      <w:pPr>
        <w:spacing w:after="0" w:line="221" w:lineRule="exact"/>
        <w:rPr>
          <w:sz w:val="20"/>
          <w:szCs w:val="20"/>
          <w:color w:val="auto"/>
        </w:rPr>
      </w:pPr>
    </w:p>
    <w:p>
      <w:pPr>
        <w:jc w:val="both"/>
        <w:ind w:left="640"/>
        <w:spacing w:after="0" w:line="264" w:lineRule="auto"/>
        <w:rPr>
          <w:sz w:val="20"/>
          <w:szCs w:val="20"/>
          <w:color w:val="auto"/>
        </w:rPr>
      </w:pPr>
      <w:r>
        <w:rPr>
          <w:rFonts w:ascii="Times New Roman" w:cs="Times New Roman" w:eastAsia="Times New Roman" w:hAnsi="Times New Roman"/>
          <w:sz w:val="21"/>
          <w:szCs w:val="21"/>
          <w:color w:val="auto"/>
        </w:rPr>
        <w:t>Clauses 8.4 (</w:t>
      </w:r>
      <w:r>
        <w:rPr>
          <w:rFonts w:ascii="Times New Roman" w:cs="Times New Roman" w:eastAsia="Times New Roman" w:hAnsi="Times New Roman"/>
          <w:sz w:val="21"/>
          <w:szCs w:val="21"/>
          <w:i w:val="1"/>
          <w:iCs w:val="1"/>
          <w:color w:val="auto"/>
        </w:rPr>
        <w:t>Default interest</w:t>
      </w:r>
      <w:r>
        <w:rPr>
          <w:rFonts w:ascii="Times New Roman" w:cs="Times New Roman" w:eastAsia="Times New Roman" w:hAnsi="Times New Roman"/>
          <w:sz w:val="21"/>
          <w:szCs w:val="21"/>
          <w:color w:val="auto"/>
        </w:rPr>
        <w:t>), 10.6 (</w:t>
      </w:r>
      <w:r>
        <w:rPr>
          <w:rFonts w:ascii="Times New Roman" w:cs="Times New Roman" w:eastAsia="Times New Roman" w:hAnsi="Times New Roman"/>
          <w:sz w:val="21"/>
          <w:szCs w:val="21"/>
          <w:i w:val="1"/>
          <w:iCs w:val="1"/>
          <w:color w:val="auto"/>
        </w:rPr>
        <w:t>Break costs</w:t>
      </w:r>
      <w:r>
        <w:rPr>
          <w:rFonts w:ascii="Times New Roman" w:cs="Times New Roman" w:eastAsia="Times New Roman" w:hAnsi="Times New Roman"/>
          <w:sz w:val="21"/>
          <w:szCs w:val="21"/>
          <w:color w:val="auto"/>
        </w:rPr>
        <w:t>), 12 (</w:t>
      </w:r>
      <w:r>
        <w:rPr>
          <w:rFonts w:ascii="Times New Roman" w:cs="Times New Roman" w:eastAsia="Times New Roman" w:hAnsi="Times New Roman"/>
          <w:sz w:val="21"/>
          <w:szCs w:val="21"/>
          <w:i w:val="1"/>
          <w:iCs w:val="1"/>
          <w:color w:val="auto"/>
        </w:rPr>
        <w:t>Tax gross-up and indemnities</w:t>
      </w:r>
      <w:r>
        <w:rPr>
          <w:rFonts w:ascii="Times New Roman" w:cs="Times New Roman" w:eastAsia="Times New Roman" w:hAnsi="Times New Roman"/>
          <w:sz w:val="21"/>
          <w:szCs w:val="21"/>
          <w:color w:val="auto"/>
        </w:rPr>
        <w:t>), 14 (</w:t>
      </w:r>
      <w:r>
        <w:rPr>
          <w:rFonts w:ascii="Times New Roman" w:cs="Times New Roman" w:eastAsia="Times New Roman" w:hAnsi="Times New Roman"/>
          <w:sz w:val="21"/>
          <w:szCs w:val="21"/>
          <w:i w:val="1"/>
          <w:iCs w:val="1"/>
          <w:color w:val="auto"/>
        </w:rPr>
        <w:t>Other indemnities</w:t>
      </w:r>
      <w:r>
        <w:rPr>
          <w:rFonts w:ascii="Times New Roman" w:cs="Times New Roman" w:eastAsia="Times New Roman" w:hAnsi="Times New Roman"/>
          <w:sz w:val="21"/>
          <w:szCs w:val="21"/>
          <w:color w:val="auto"/>
        </w:rPr>
        <w:t>), 33 (</w:t>
      </w:r>
      <w:r>
        <w:rPr>
          <w:rFonts w:ascii="Times New Roman" w:cs="Times New Roman" w:eastAsia="Times New Roman" w:hAnsi="Times New Roman"/>
          <w:sz w:val="21"/>
          <w:szCs w:val="21"/>
          <w:i w:val="1"/>
          <w:iCs w:val="1"/>
          <w:color w:val="auto"/>
        </w:rPr>
        <w:t>Payment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mechanics</w:t>
      </w:r>
      <w:r>
        <w:rPr>
          <w:rFonts w:ascii="Times New Roman" w:cs="Times New Roman" w:eastAsia="Times New Roman" w:hAnsi="Times New Roman"/>
          <w:sz w:val="21"/>
          <w:szCs w:val="21"/>
          <w:color w:val="auto"/>
        </w:rPr>
        <w:t>), 34 (</w:t>
      </w:r>
      <w:r>
        <w:rPr>
          <w:rFonts w:ascii="Times New Roman" w:cs="Times New Roman" w:eastAsia="Times New Roman" w:hAnsi="Times New Roman"/>
          <w:sz w:val="21"/>
          <w:szCs w:val="21"/>
          <w:i w:val="1"/>
          <w:iCs w:val="1"/>
          <w:color w:val="auto"/>
        </w:rPr>
        <w:t>Set-off</w:t>
      </w:r>
      <w:r>
        <w:rPr>
          <w:rFonts w:ascii="Times New Roman" w:cs="Times New Roman" w:eastAsia="Times New Roman" w:hAnsi="Times New Roman"/>
          <w:sz w:val="21"/>
          <w:szCs w:val="21"/>
          <w:color w:val="auto"/>
        </w:rPr>
        <w:t>), 36 (</w:t>
      </w:r>
      <w:r>
        <w:rPr>
          <w:rFonts w:ascii="Times New Roman" w:cs="Times New Roman" w:eastAsia="Times New Roman" w:hAnsi="Times New Roman"/>
          <w:sz w:val="21"/>
          <w:szCs w:val="21"/>
          <w:i w:val="1"/>
          <w:iCs w:val="1"/>
          <w:color w:val="auto"/>
        </w:rPr>
        <w:t>Calculations and certificates</w:t>
      </w:r>
      <w:r>
        <w:rPr>
          <w:rFonts w:ascii="Times New Roman" w:cs="Times New Roman" w:eastAsia="Times New Roman" w:hAnsi="Times New Roman"/>
          <w:sz w:val="21"/>
          <w:szCs w:val="21"/>
          <w:color w:val="auto"/>
        </w:rPr>
        <w:t>), 37 (</w:t>
      </w:r>
      <w:r>
        <w:rPr>
          <w:rFonts w:ascii="Times New Roman" w:cs="Times New Roman" w:eastAsia="Times New Roman" w:hAnsi="Times New Roman"/>
          <w:sz w:val="21"/>
          <w:szCs w:val="21"/>
          <w:i w:val="1"/>
          <w:iCs w:val="1"/>
          <w:color w:val="auto"/>
        </w:rPr>
        <w:t>Partial invalidity</w:t>
      </w:r>
      <w:r>
        <w:rPr>
          <w:rFonts w:ascii="Times New Roman" w:cs="Times New Roman" w:eastAsia="Times New Roman" w:hAnsi="Times New Roman"/>
          <w:sz w:val="21"/>
          <w:szCs w:val="21"/>
          <w:color w:val="auto"/>
        </w:rPr>
        <w:t>), 38 (</w:t>
      </w:r>
      <w:r>
        <w:rPr>
          <w:rFonts w:ascii="Times New Roman" w:cs="Times New Roman" w:eastAsia="Times New Roman" w:hAnsi="Times New Roman"/>
          <w:sz w:val="21"/>
          <w:szCs w:val="21"/>
          <w:i w:val="1"/>
          <w:iCs w:val="1"/>
          <w:color w:val="auto"/>
        </w:rPr>
        <w:t>Remedies and waivers</w:t>
      </w:r>
      <w:r>
        <w:rPr>
          <w:rFonts w:ascii="Times New Roman" w:cs="Times New Roman" w:eastAsia="Times New Roman" w:hAnsi="Times New Roman"/>
          <w:sz w:val="21"/>
          <w:szCs w:val="21"/>
          <w:color w:val="auto"/>
        </w:rPr>
        <w:t>) and 39</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Amendments and waivers</w:t>
      </w:r>
      <w:r>
        <w:rPr>
          <w:rFonts w:ascii="Times New Roman" w:cs="Times New Roman" w:eastAsia="Times New Roman" w:hAnsi="Times New Roman"/>
          <w:sz w:val="21"/>
          <w:szCs w:val="21"/>
          <w:color w:val="auto"/>
        </w:rPr>
        <w:t>) of the Facility Agreement are deemed to form part of this Guarantee as if expressly incorporated into it as if all references in such clauses to:</w:t>
      </w:r>
    </w:p>
    <w:p>
      <w:pPr>
        <w:spacing w:after="0" w:line="163" w:lineRule="exact"/>
        <w:rPr>
          <w:sz w:val="20"/>
          <w:szCs w:val="20"/>
          <w:color w:val="auto"/>
        </w:rPr>
      </w:pPr>
    </w:p>
    <w:p>
      <w:pPr>
        <w:ind w:left="1080" w:hanging="443"/>
        <w:spacing w:after="0"/>
        <w:tabs>
          <w:tab w:leader="none" w:pos="1080"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Facility Agreement were a reference to this Guarantee;</w:t>
      </w:r>
    </w:p>
    <w:p>
      <w:pPr>
        <w:spacing w:after="0" w:line="219" w:lineRule="exact"/>
        <w:rPr>
          <w:rFonts w:ascii="Times New Roman" w:cs="Times New Roman" w:eastAsia="Times New Roman" w:hAnsi="Times New Roman"/>
          <w:sz w:val="21"/>
          <w:szCs w:val="21"/>
          <w:color w:val="auto"/>
        </w:rPr>
      </w:pPr>
    </w:p>
    <w:p>
      <w:pPr>
        <w:ind w:left="1100" w:hanging="463"/>
        <w:spacing w:after="0"/>
        <w:tabs>
          <w:tab w:leader="none" w:pos="1100"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Borrower were a reference to each Guarantor; and</w:t>
      </w:r>
    </w:p>
    <w:p>
      <w:pPr>
        <w:spacing w:after="0" w:line="217" w:lineRule="exact"/>
        <w:rPr>
          <w:rFonts w:ascii="Times New Roman" w:cs="Times New Roman" w:eastAsia="Times New Roman" w:hAnsi="Times New Roman"/>
          <w:sz w:val="21"/>
          <w:szCs w:val="21"/>
          <w:color w:val="auto"/>
        </w:rPr>
      </w:pPr>
    </w:p>
    <w:p>
      <w:pPr>
        <w:ind w:left="1260" w:hanging="623"/>
        <w:spacing w:after="0" w:line="284" w:lineRule="auto"/>
        <w:tabs>
          <w:tab w:leader="none" w:pos="1131"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respect of clause 33.1 (</w:t>
      </w:r>
      <w:r>
        <w:rPr>
          <w:rFonts w:ascii="Times New Roman" w:cs="Times New Roman" w:eastAsia="Times New Roman" w:hAnsi="Times New Roman"/>
          <w:sz w:val="21"/>
          <w:szCs w:val="21"/>
          <w:i w:val="1"/>
          <w:iCs w:val="1"/>
          <w:color w:val="auto"/>
        </w:rPr>
        <w:t>Payments to the Agent</w:t>
      </w:r>
      <w:r>
        <w:rPr>
          <w:rFonts w:ascii="Times New Roman" w:cs="Times New Roman" w:eastAsia="Times New Roman" w:hAnsi="Times New Roman"/>
          <w:sz w:val="21"/>
          <w:szCs w:val="21"/>
          <w:color w:val="auto"/>
        </w:rPr>
        <w:t>) of the Facility Agreement only), the Agent were a reference to the Security Agent.</w:t>
      </w:r>
    </w:p>
    <w:p>
      <w:pPr>
        <w:spacing w:after="0" w:line="150"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color w:val="auto"/>
        </w:rPr>
        <w:t>1.5</w:t>
      </w:r>
      <w:r>
        <w:rPr>
          <w:sz w:val="20"/>
          <w:szCs w:val="20"/>
          <w:color w:val="auto"/>
        </w:rPr>
        <w:tab/>
      </w:r>
      <w:r>
        <w:rPr>
          <w:rFonts w:ascii="Times New Roman" w:cs="Times New Roman" w:eastAsia="Times New Roman" w:hAnsi="Times New Roman"/>
          <w:sz w:val="21"/>
          <w:szCs w:val="21"/>
          <w:b w:val="1"/>
          <w:bCs w:val="1"/>
          <w:color w:val="auto"/>
        </w:rPr>
        <w:t>Third Party Rights</w:t>
      </w:r>
    </w:p>
    <w:p>
      <w:pPr>
        <w:spacing w:after="0" w:line="223" w:lineRule="exact"/>
        <w:rPr>
          <w:sz w:val="20"/>
          <w:szCs w:val="20"/>
          <w:color w:val="auto"/>
        </w:rPr>
      </w:pPr>
    </w:p>
    <w:p>
      <w:pPr>
        <w:jc w:val="both"/>
        <w:ind w:left="640"/>
        <w:spacing w:after="0" w:line="282" w:lineRule="auto"/>
        <w:rPr>
          <w:sz w:val="20"/>
          <w:szCs w:val="20"/>
          <w:color w:val="auto"/>
        </w:rPr>
      </w:pPr>
      <w:r>
        <w:rPr>
          <w:rFonts w:ascii="Times New Roman" w:cs="Times New Roman" w:eastAsia="Times New Roman" w:hAnsi="Times New Roman"/>
          <w:sz w:val="21"/>
          <w:szCs w:val="21"/>
          <w:color w:val="auto"/>
        </w:rPr>
        <w:t>Unless expressly provided to the contrary in this Guarantee, a person who is not a party to this Guarantee has no rights under the Contracts (Rights of Third Parties) Act 1999 to enforce or enjoy the benefit of any term of this Guarantee.</w:t>
      </w:r>
    </w:p>
    <w:p>
      <w:pPr>
        <w:spacing w:after="0" w:line="139"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color w:val="auto"/>
        </w:rPr>
        <w:t>1.6</w:t>
      </w:r>
      <w:r>
        <w:rPr>
          <w:sz w:val="20"/>
          <w:szCs w:val="20"/>
          <w:color w:val="auto"/>
        </w:rPr>
        <w:tab/>
      </w:r>
      <w:r>
        <w:rPr>
          <w:rFonts w:ascii="Times New Roman" w:cs="Times New Roman" w:eastAsia="Times New Roman" w:hAnsi="Times New Roman"/>
          <w:sz w:val="20"/>
          <w:szCs w:val="20"/>
          <w:b w:val="1"/>
          <w:bCs w:val="1"/>
          <w:color w:val="auto"/>
        </w:rPr>
        <w:t>Indirect or consequential losses</w:t>
      </w:r>
    </w:p>
    <w:p>
      <w:pPr>
        <w:spacing w:after="0" w:line="223" w:lineRule="exact"/>
        <w:rPr>
          <w:sz w:val="20"/>
          <w:szCs w:val="20"/>
          <w:color w:val="auto"/>
        </w:rPr>
      </w:pPr>
    </w:p>
    <w:p>
      <w:pPr>
        <w:jc w:val="both"/>
        <w:ind w:left="640"/>
        <w:spacing w:after="0" w:line="264" w:lineRule="auto"/>
        <w:rPr>
          <w:sz w:val="20"/>
          <w:szCs w:val="20"/>
          <w:color w:val="auto"/>
        </w:rPr>
      </w:pPr>
      <w:r>
        <w:rPr>
          <w:rFonts w:ascii="Times New Roman" w:cs="Times New Roman" w:eastAsia="Times New Roman" w:hAnsi="Times New Roman"/>
          <w:sz w:val="21"/>
          <w:szCs w:val="21"/>
          <w:color w:val="auto"/>
        </w:rPr>
        <w:t>Any loss, cost, expense or liability indemnified to a Secured Party under any Finance Document (including this Guarantee but excluding for the purposes of this Clause the indemnity given in Clause 2.6 to the extent it relates to any of Clause 2.1 to Clause 2.4) shall be limited to such actual loss, cost, expense or liability and shall exclude any opportunity costs, cost of funding, loss of profit (other than Finance Costs) or indirect or consequential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389" w:right="339" w:bottom="1440" w:gutter="0" w:footer="0" w:header="0"/>
        </w:sectPr>
      </w:pPr>
    </w:p>
    <w:bookmarkStart w:id="9" w:name="page10"/>
    <w:bookmarkEnd w:id="9"/>
    <w:p>
      <w:pPr>
        <w:ind w:left="380" w:hanging="375"/>
        <w:spacing w:after="0"/>
        <w:tabs>
          <w:tab w:leader="none" w:pos="380"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GUARANTEE</w:t>
      </w:r>
    </w:p>
    <w:p>
      <w:pPr>
        <w:spacing w:after="0" w:line="219"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color w:val="auto"/>
        </w:rPr>
        <w:t>2.1</w:t>
      </w:r>
      <w:r>
        <w:rPr>
          <w:sz w:val="20"/>
          <w:szCs w:val="20"/>
          <w:color w:val="auto"/>
        </w:rPr>
        <w:tab/>
      </w:r>
      <w:r>
        <w:rPr>
          <w:rFonts w:ascii="Times New Roman" w:cs="Times New Roman" w:eastAsia="Times New Roman" w:hAnsi="Times New Roman"/>
          <w:sz w:val="21"/>
          <w:szCs w:val="21"/>
          <w:b w:val="1"/>
          <w:bCs w:val="1"/>
          <w:color w:val="auto"/>
        </w:rPr>
        <w:t>Completion and Cost Overrun guarantee</w:t>
      </w:r>
    </w:p>
    <w:p>
      <w:pPr>
        <w:spacing w:after="0" w:line="221" w:lineRule="exact"/>
        <w:rPr>
          <w:sz w:val="20"/>
          <w:szCs w:val="20"/>
          <w:color w:val="auto"/>
        </w:rPr>
      </w:pPr>
    </w:p>
    <w:p>
      <w:pPr>
        <w:ind w:left="640"/>
        <w:spacing w:after="0" w:line="297" w:lineRule="auto"/>
        <w:rPr>
          <w:sz w:val="20"/>
          <w:szCs w:val="20"/>
          <w:color w:val="auto"/>
        </w:rPr>
      </w:pPr>
      <w:r>
        <w:rPr>
          <w:rFonts w:ascii="Times New Roman" w:cs="Times New Roman" w:eastAsia="Times New Roman" w:hAnsi="Times New Roman"/>
          <w:sz w:val="21"/>
          <w:szCs w:val="21"/>
          <w:color w:val="auto"/>
        </w:rPr>
        <w:t>Subject to Clause 2.5 (</w:t>
      </w:r>
      <w:r>
        <w:rPr>
          <w:rFonts w:ascii="Times New Roman" w:cs="Times New Roman" w:eastAsia="Times New Roman" w:hAnsi="Times New Roman"/>
          <w:sz w:val="21"/>
          <w:szCs w:val="21"/>
          <w:i w:val="1"/>
          <w:iCs w:val="1"/>
          <w:color w:val="auto"/>
        </w:rPr>
        <w:t>Completion Guarantee Discharge Date</w:t>
      </w:r>
      <w:r>
        <w:rPr>
          <w:rFonts w:ascii="Times New Roman" w:cs="Times New Roman" w:eastAsia="Times New Roman" w:hAnsi="Times New Roman"/>
          <w:sz w:val="21"/>
          <w:szCs w:val="21"/>
          <w:color w:val="auto"/>
        </w:rPr>
        <w:t>) below, the Guarantors irrevocably and unconditionally jointly and severally:</w:t>
      </w:r>
    </w:p>
    <w:p>
      <w:pPr>
        <w:spacing w:after="0" w:line="128" w:lineRule="exact"/>
        <w:rPr>
          <w:sz w:val="20"/>
          <w:szCs w:val="20"/>
          <w:color w:val="auto"/>
        </w:rPr>
      </w:pPr>
    </w:p>
    <w:p>
      <w:pPr>
        <w:ind w:left="1080" w:hanging="443"/>
        <w:spacing w:after="0"/>
        <w:tabs>
          <w:tab w:leader="none" w:pos="1080"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guarantee to each Secured Party punctual performance by the Borrower of its obligations:</w:t>
      </w:r>
    </w:p>
    <w:p>
      <w:pPr>
        <w:spacing w:after="0" w:line="219" w:lineRule="exact"/>
        <w:rPr>
          <w:rFonts w:ascii="Times New Roman" w:cs="Times New Roman" w:eastAsia="Times New Roman" w:hAnsi="Times New Roman"/>
          <w:sz w:val="21"/>
          <w:szCs w:val="21"/>
          <w:color w:val="auto"/>
        </w:rPr>
      </w:pPr>
    </w:p>
    <w:p>
      <w:pPr>
        <w:ind w:left="1680" w:hanging="412"/>
        <w:spacing w:after="0"/>
        <w:tabs>
          <w:tab w:leader="none" w:pos="1680" w:val="left"/>
        </w:tabs>
        <w:numPr>
          <w:ilvl w:val="1"/>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ensure that Practical Completion takes place no later than the Required Completion Date; and</w:t>
      </w:r>
    </w:p>
    <w:p>
      <w:pPr>
        <w:spacing w:after="0" w:line="219" w:lineRule="exact"/>
        <w:rPr>
          <w:rFonts w:ascii="Times New Roman" w:cs="Times New Roman" w:eastAsia="Times New Roman" w:hAnsi="Times New Roman"/>
          <w:sz w:val="21"/>
          <w:szCs w:val="21"/>
          <w:color w:val="auto"/>
        </w:rPr>
      </w:pPr>
    </w:p>
    <w:p>
      <w:pPr>
        <w:ind w:left="1900" w:hanging="632"/>
        <w:spacing w:after="0" w:line="271" w:lineRule="auto"/>
        <w:tabs>
          <w:tab w:leader="none" w:pos="1745" w:val="left"/>
        </w:tabs>
        <w:numPr>
          <w:ilvl w:val="1"/>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fund each Cost Overrun (as and when it is determined by the Agent following consultation with the LTA) and required to be funded in accordance with paragraph (b) of clause 23.5 (</w:t>
      </w:r>
      <w:r>
        <w:rPr>
          <w:rFonts w:ascii="Times New Roman" w:cs="Times New Roman" w:eastAsia="Times New Roman" w:hAnsi="Times New Roman"/>
          <w:sz w:val="21"/>
          <w:szCs w:val="21"/>
          <w:i w:val="1"/>
          <w:iCs w:val="1"/>
          <w:color w:val="auto"/>
        </w:rPr>
        <w:t>Project Costs</w:t>
      </w:r>
      <w:r>
        <w:rPr>
          <w:rFonts w:ascii="Times New Roman" w:cs="Times New Roman" w:eastAsia="Times New Roman" w:hAnsi="Times New Roman"/>
          <w:sz w:val="21"/>
          <w:szCs w:val="21"/>
          <w:color w:val="auto"/>
        </w:rPr>
        <w:t>) of the Facility Agreement; and</w:t>
      </w:r>
    </w:p>
    <w:p>
      <w:pPr>
        <w:spacing w:after="0" w:line="155" w:lineRule="exact"/>
        <w:rPr>
          <w:rFonts w:ascii="Times New Roman" w:cs="Times New Roman" w:eastAsia="Times New Roman" w:hAnsi="Times New Roman"/>
          <w:sz w:val="21"/>
          <w:szCs w:val="21"/>
          <w:color w:val="auto"/>
        </w:rPr>
      </w:pPr>
    </w:p>
    <w:p>
      <w:pPr>
        <w:ind w:left="1260" w:hanging="623"/>
        <w:spacing w:after="0" w:line="282" w:lineRule="auto"/>
        <w:tabs>
          <w:tab w:leader="none" w:pos="1110"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undertake with each Secured Party to provide within 10 Business Days of written demand by the Security Agent to the Capital Contributions Accounts:</w:t>
      </w:r>
    </w:p>
    <w:p>
      <w:pPr>
        <w:spacing w:after="0" w:line="143" w:lineRule="exact"/>
        <w:rPr>
          <w:rFonts w:ascii="Times New Roman" w:cs="Times New Roman" w:eastAsia="Times New Roman" w:hAnsi="Times New Roman"/>
          <w:sz w:val="21"/>
          <w:szCs w:val="21"/>
          <w:color w:val="auto"/>
        </w:rPr>
      </w:pPr>
    </w:p>
    <w:p>
      <w:pPr>
        <w:ind w:left="1680" w:hanging="412"/>
        <w:spacing w:after="0"/>
        <w:tabs>
          <w:tab w:leader="none" w:pos="1680" w:val="left"/>
        </w:tabs>
        <w:numPr>
          <w:ilvl w:val="1"/>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sufficient funds to ensure that Practical Completion takes place no later than the Required Completion Date; and</w:t>
      </w:r>
    </w:p>
    <w:p>
      <w:pPr>
        <w:spacing w:after="0" w:line="219" w:lineRule="exact"/>
        <w:rPr>
          <w:rFonts w:ascii="Times New Roman" w:cs="Times New Roman" w:eastAsia="Times New Roman" w:hAnsi="Times New Roman"/>
          <w:sz w:val="21"/>
          <w:szCs w:val="21"/>
          <w:color w:val="auto"/>
        </w:rPr>
      </w:pPr>
    </w:p>
    <w:p>
      <w:pPr>
        <w:ind w:left="1900" w:hanging="632"/>
        <w:spacing w:after="0" w:line="271" w:lineRule="auto"/>
        <w:tabs>
          <w:tab w:leader="none" w:pos="1810" w:val="left"/>
        </w:tabs>
        <w:numPr>
          <w:ilvl w:val="1"/>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funds equal to any Cost Overrun (as and when it is determined by the Agent following consultation with the LTA) required to be funded in accordance with paragraph (b) of clause 23.5 (</w:t>
      </w:r>
      <w:r>
        <w:rPr>
          <w:rFonts w:ascii="Times New Roman" w:cs="Times New Roman" w:eastAsia="Times New Roman" w:hAnsi="Times New Roman"/>
          <w:sz w:val="21"/>
          <w:szCs w:val="21"/>
          <w:i w:val="1"/>
          <w:iCs w:val="1"/>
          <w:color w:val="auto"/>
        </w:rPr>
        <w:t>Project Costs</w:t>
      </w:r>
      <w:r>
        <w:rPr>
          <w:rFonts w:ascii="Times New Roman" w:cs="Times New Roman" w:eastAsia="Times New Roman" w:hAnsi="Times New Roman"/>
          <w:sz w:val="21"/>
          <w:szCs w:val="21"/>
          <w:color w:val="auto"/>
        </w:rPr>
        <w:t>) of the Facility Agreement, to the extent the Borrower has failed to fund (or procure the funding of) such Cost Overrun.</w:t>
      </w:r>
    </w:p>
    <w:p>
      <w:pPr>
        <w:spacing w:after="0" w:line="152"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color w:val="auto"/>
        </w:rPr>
        <w:t>2.2</w:t>
      </w:r>
      <w:r>
        <w:rPr>
          <w:sz w:val="20"/>
          <w:szCs w:val="20"/>
          <w:color w:val="auto"/>
        </w:rPr>
        <w:tab/>
      </w:r>
      <w:r>
        <w:rPr>
          <w:rFonts w:ascii="Times New Roman" w:cs="Times New Roman" w:eastAsia="Times New Roman" w:hAnsi="Times New Roman"/>
          <w:sz w:val="21"/>
          <w:szCs w:val="21"/>
          <w:b w:val="1"/>
          <w:bCs w:val="1"/>
          <w:color w:val="auto"/>
        </w:rPr>
        <w:t>Finance Costs shortfall guarantee</w:t>
      </w:r>
    </w:p>
    <w:p>
      <w:pPr>
        <w:spacing w:after="0" w:line="221" w:lineRule="exact"/>
        <w:rPr>
          <w:sz w:val="20"/>
          <w:szCs w:val="20"/>
          <w:color w:val="auto"/>
        </w:rPr>
      </w:pPr>
    </w:p>
    <w:p>
      <w:pPr>
        <w:ind w:left="640"/>
        <w:spacing w:after="0" w:line="284" w:lineRule="auto"/>
        <w:rPr>
          <w:sz w:val="20"/>
          <w:szCs w:val="20"/>
          <w:color w:val="auto"/>
        </w:rPr>
      </w:pPr>
      <w:r>
        <w:rPr>
          <w:rFonts w:ascii="Times New Roman" w:cs="Times New Roman" w:eastAsia="Times New Roman" w:hAnsi="Times New Roman"/>
          <w:sz w:val="21"/>
          <w:szCs w:val="21"/>
          <w:color w:val="auto"/>
        </w:rPr>
        <w:t>Subject to Clause 2.5 (</w:t>
      </w:r>
      <w:r>
        <w:rPr>
          <w:rFonts w:ascii="Times New Roman" w:cs="Times New Roman" w:eastAsia="Times New Roman" w:hAnsi="Times New Roman"/>
          <w:sz w:val="21"/>
          <w:szCs w:val="21"/>
          <w:i w:val="1"/>
          <w:iCs w:val="1"/>
          <w:color w:val="auto"/>
        </w:rPr>
        <w:t>Completion Guarantee Discharge Date</w:t>
      </w:r>
      <w:r>
        <w:rPr>
          <w:rFonts w:ascii="Times New Roman" w:cs="Times New Roman" w:eastAsia="Times New Roman" w:hAnsi="Times New Roman"/>
          <w:sz w:val="21"/>
          <w:szCs w:val="21"/>
          <w:color w:val="auto"/>
        </w:rPr>
        <w:t>) below, the Guarantors irrevocably and unconditionally jointly and severally:</w:t>
      </w:r>
    </w:p>
    <w:p>
      <w:pPr>
        <w:spacing w:after="0" w:line="141" w:lineRule="exact"/>
        <w:rPr>
          <w:sz w:val="20"/>
          <w:szCs w:val="20"/>
          <w:color w:val="auto"/>
        </w:rPr>
      </w:pPr>
    </w:p>
    <w:p>
      <w:pPr>
        <w:ind w:left="1260" w:hanging="623"/>
        <w:spacing w:after="0" w:line="295" w:lineRule="auto"/>
        <w:tabs>
          <w:tab w:leader="none" w:pos="1077"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guarantee to each Secured Party punctual performance by the Borrower of its obligations to pay the Finance Costs when due under any Finance Document; and</w:t>
      </w:r>
    </w:p>
    <w:p>
      <w:pPr>
        <w:spacing w:after="0" w:line="130" w:lineRule="exact"/>
        <w:rPr>
          <w:rFonts w:ascii="Times New Roman" w:cs="Times New Roman" w:eastAsia="Times New Roman" w:hAnsi="Times New Roman"/>
          <w:sz w:val="21"/>
          <w:szCs w:val="21"/>
          <w:color w:val="auto"/>
        </w:rPr>
      </w:pPr>
    </w:p>
    <w:p>
      <w:pPr>
        <w:ind w:left="1260" w:hanging="623"/>
        <w:spacing w:after="0" w:line="259" w:lineRule="auto"/>
        <w:tabs>
          <w:tab w:leader="none" w:pos="1137"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undertake with each Secured Party that whenever the Borrower does not pay (or procure the payment of) the Finance Costs when due under or in connection with any Finance Document, it must within 10 Business Days of written demand by the Security Agent (on the instructions of any Secured Party), pay that amount as if it were the principal obligor.</w:t>
      </w:r>
    </w:p>
    <w:p>
      <w:pPr>
        <w:spacing w:after="0" w:line="177"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color w:val="auto"/>
        </w:rPr>
        <w:t>2.3</w:t>
      </w:r>
      <w:r>
        <w:rPr>
          <w:sz w:val="20"/>
          <w:szCs w:val="20"/>
          <w:color w:val="auto"/>
        </w:rPr>
        <w:tab/>
      </w:r>
      <w:r>
        <w:rPr>
          <w:rFonts w:ascii="Times New Roman" w:cs="Times New Roman" w:eastAsia="Times New Roman" w:hAnsi="Times New Roman"/>
          <w:sz w:val="21"/>
          <w:szCs w:val="21"/>
          <w:b w:val="1"/>
          <w:bCs w:val="1"/>
          <w:color w:val="auto"/>
        </w:rPr>
        <w:t>Long Stop, Abandonment or Suspension Undertaking</w:t>
      </w:r>
    </w:p>
    <w:p>
      <w:pPr>
        <w:spacing w:after="0" w:line="221" w:lineRule="exact"/>
        <w:rPr>
          <w:sz w:val="20"/>
          <w:szCs w:val="20"/>
          <w:color w:val="auto"/>
        </w:rPr>
      </w:pPr>
    </w:p>
    <w:p>
      <w:pPr>
        <w:ind w:left="640"/>
        <w:spacing w:after="0" w:line="284" w:lineRule="auto"/>
        <w:rPr>
          <w:sz w:val="20"/>
          <w:szCs w:val="20"/>
          <w:color w:val="auto"/>
        </w:rPr>
      </w:pPr>
      <w:r>
        <w:rPr>
          <w:rFonts w:ascii="Times New Roman" w:cs="Times New Roman" w:eastAsia="Times New Roman" w:hAnsi="Times New Roman"/>
          <w:sz w:val="21"/>
          <w:szCs w:val="21"/>
          <w:color w:val="auto"/>
        </w:rPr>
        <w:t>Subject to Clause 2.5 (</w:t>
      </w:r>
      <w:r>
        <w:rPr>
          <w:rFonts w:ascii="Times New Roman" w:cs="Times New Roman" w:eastAsia="Times New Roman" w:hAnsi="Times New Roman"/>
          <w:sz w:val="21"/>
          <w:szCs w:val="21"/>
          <w:i w:val="1"/>
          <w:iCs w:val="1"/>
          <w:color w:val="auto"/>
        </w:rPr>
        <w:t>Completion Guarantee Discharge Date</w:t>
      </w:r>
      <w:r>
        <w:rPr>
          <w:rFonts w:ascii="Times New Roman" w:cs="Times New Roman" w:eastAsia="Times New Roman" w:hAnsi="Times New Roman"/>
          <w:sz w:val="21"/>
          <w:szCs w:val="21"/>
          <w:color w:val="auto"/>
        </w:rPr>
        <w:t>) below, the Guarantors irrevocably and unconditionally jointly and severally: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385" w:right="339" w:bottom="1440" w:gutter="0" w:footer="0" w:header="0"/>
        </w:sectPr>
      </w:pPr>
    </w:p>
    <w:bookmarkStart w:id="10" w:name="page11"/>
    <w:bookmarkEnd w:id="10"/>
    <w:p>
      <w:pPr>
        <w:ind w:left="1260" w:hanging="623"/>
        <w:spacing w:after="0" w:line="282" w:lineRule="auto"/>
        <w:tabs>
          <w:tab w:leader="none" w:pos="1223"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guarantee to each Secured Party punctual performance by the Borrower of its obligations to pay the Guaranteed Backstop Amount upon the occurrence of an Applicable Acceleration Event; and</w:t>
      </w:r>
    </w:p>
    <w:p>
      <w:pPr>
        <w:spacing w:after="0" w:line="143" w:lineRule="exact"/>
        <w:rPr>
          <w:rFonts w:ascii="Times New Roman" w:cs="Times New Roman" w:eastAsia="Times New Roman" w:hAnsi="Times New Roman"/>
          <w:sz w:val="21"/>
          <w:szCs w:val="21"/>
          <w:color w:val="auto"/>
        </w:rPr>
      </w:pPr>
    </w:p>
    <w:p>
      <w:pPr>
        <w:jc w:val="both"/>
        <w:ind w:left="1260" w:hanging="623"/>
        <w:spacing w:after="0" w:line="264" w:lineRule="auto"/>
        <w:tabs>
          <w:tab w:leader="none" w:pos="1275"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undertake with each Secured Party that whenever the Borrower does not pay (or procure the payment of) the Guaranteed Backstop Amount upon the occurrence of an Applicable Acceleration Event, it must within 10 Business Days of written demand by the Security Agent (on the instructions of any Secured Party), pay that amount as if it were the principal obligor.</w:t>
      </w:r>
    </w:p>
    <w:p>
      <w:pPr>
        <w:spacing w:after="0" w:line="157"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color w:val="auto"/>
        </w:rPr>
        <w:t>2.4</w:t>
      </w:r>
      <w:r>
        <w:rPr>
          <w:sz w:val="20"/>
          <w:szCs w:val="20"/>
          <w:color w:val="auto"/>
        </w:rPr>
        <w:tab/>
      </w:r>
      <w:r>
        <w:rPr>
          <w:rFonts w:ascii="Times New Roman" w:cs="Times New Roman" w:eastAsia="Times New Roman" w:hAnsi="Times New Roman"/>
          <w:sz w:val="20"/>
          <w:szCs w:val="20"/>
          <w:b w:val="1"/>
          <w:bCs w:val="1"/>
          <w:color w:val="auto"/>
        </w:rPr>
        <w:t>Mandatory Prepayment Events</w:t>
      </w:r>
    </w:p>
    <w:p>
      <w:pPr>
        <w:spacing w:after="0" w:line="221" w:lineRule="exact"/>
        <w:rPr>
          <w:sz w:val="20"/>
          <w:szCs w:val="20"/>
          <w:color w:val="auto"/>
        </w:rPr>
      </w:pPr>
    </w:p>
    <w:p>
      <w:pPr>
        <w:ind w:left="640"/>
        <w:spacing w:after="0" w:line="297" w:lineRule="auto"/>
        <w:rPr>
          <w:sz w:val="20"/>
          <w:szCs w:val="20"/>
          <w:color w:val="auto"/>
        </w:rPr>
      </w:pPr>
      <w:r>
        <w:rPr>
          <w:rFonts w:ascii="Times New Roman" w:cs="Times New Roman" w:eastAsia="Times New Roman" w:hAnsi="Times New Roman"/>
          <w:sz w:val="21"/>
          <w:szCs w:val="21"/>
          <w:color w:val="auto"/>
        </w:rPr>
        <w:t>Subject to Clause 2.5 (</w:t>
      </w:r>
      <w:r>
        <w:rPr>
          <w:rFonts w:ascii="Times New Roman" w:cs="Times New Roman" w:eastAsia="Times New Roman" w:hAnsi="Times New Roman"/>
          <w:sz w:val="21"/>
          <w:szCs w:val="21"/>
          <w:i w:val="1"/>
          <w:iCs w:val="1"/>
          <w:color w:val="auto"/>
        </w:rPr>
        <w:t>Completion Guarantee Discharge Date</w:t>
      </w:r>
      <w:r>
        <w:rPr>
          <w:rFonts w:ascii="Times New Roman" w:cs="Times New Roman" w:eastAsia="Times New Roman" w:hAnsi="Times New Roman"/>
          <w:sz w:val="21"/>
          <w:szCs w:val="21"/>
          <w:color w:val="auto"/>
        </w:rPr>
        <w:t>) below, the Guarantors irrevocably and unconditionally jointly and severally:</w:t>
      </w:r>
    </w:p>
    <w:p>
      <w:pPr>
        <w:spacing w:after="0" w:line="128" w:lineRule="exact"/>
        <w:rPr>
          <w:sz w:val="20"/>
          <w:szCs w:val="20"/>
          <w:color w:val="auto"/>
        </w:rPr>
      </w:pPr>
    </w:p>
    <w:p>
      <w:pPr>
        <w:ind w:left="1260" w:hanging="623"/>
        <w:spacing w:after="0" w:line="282" w:lineRule="auto"/>
        <w:tabs>
          <w:tab w:leader="none" w:pos="1199"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guarantee to each Secured Party punctual performance by the Borrower of its obligations to pay each Guaranteed Prepayment Amount; and</w:t>
      </w:r>
    </w:p>
    <w:p>
      <w:pPr>
        <w:spacing w:after="0" w:line="143" w:lineRule="exact"/>
        <w:rPr>
          <w:rFonts w:ascii="Times New Roman" w:cs="Times New Roman" w:eastAsia="Times New Roman" w:hAnsi="Times New Roman"/>
          <w:sz w:val="21"/>
          <w:szCs w:val="21"/>
          <w:color w:val="auto"/>
        </w:rPr>
      </w:pPr>
    </w:p>
    <w:p>
      <w:pPr>
        <w:ind w:left="1260" w:hanging="623"/>
        <w:spacing w:after="0" w:line="282" w:lineRule="auto"/>
        <w:tabs>
          <w:tab w:leader="none" w:pos="1267"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undertake with each Secured Party that whenever the Borrower does not pay (or procure the payment of) any Guaranteed Prepayment Amount, it must:</w:t>
      </w:r>
    </w:p>
    <w:p>
      <w:pPr>
        <w:spacing w:after="0" w:line="143" w:lineRule="exact"/>
        <w:rPr>
          <w:rFonts w:ascii="Times New Roman" w:cs="Times New Roman" w:eastAsia="Times New Roman" w:hAnsi="Times New Roman"/>
          <w:sz w:val="21"/>
          <w:szCs w:val="21"/>
          <w:color w:val="auto"/>
        </w:rPr>
      </w:pPr>
    </w:p>
    <w:p>
      <w:pPr>
        <w:ind w:left="1900" w:hanging="632"/>
        <w:spacing w:after="0" w:line="271" w:lineRule="auto"/>
        <w:tabs>
          <w:tab w:leader="none" w:pos="1743" w:val="left"/>
        </w:tabs>
        <w:numPr>
          <w:ilvl w:val="1"/>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respect of any Guaranteed Prepayment CoC Amount and any Guaranteed Prepayment Downgrade Amount, within 10 Business Days of written demand by the Security Agent (on the instructions of any Secured Party), pay that amount as if it were the principal obligor; and</w:t>
      </w:r>
    </w:p>
    <w:p>
      <w:pPr>
        <w:spacing w:after="0" w:line="155" w:lineRule="exact"/>
        <w:rPr>
          <w:rFonts w:ascii="Times New Roman" w:cs="Times New Roman" w:eastAsia="Times New Roman" w:hAnsi="Times New Roman"/>
          <w:sz w:val="21"/>
          <w:szCs w:val="21"/>
          <w:color w:val="auto"/>
        </w:rPr>
      </w:pPr>
    </w:p>
    <w:p>
      <w:pPr>
        <w:ind w:left="1900" w:hanging="632"/>
        <w:spacing w:after="0" w:line="264" w:lineRule="auto"/>
        <w:tabs>
          <w:tab w:leader="none" w:pos="1754" w:val="left"/>
        </w:tabs>
        <w:numPr>
          <w:ilvl w:val="1"/>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respect of any Guaranteed Prepayment Loss of Licence Amount, within 10 Business Days of written demand by the Security Agent (on the instructions of any Secured Party) or, if later, on the date falling 180 days following the occurrence of the relevant Loss of Licence Event, pay that amount as if it were the principal obligor.</w:t>
      </w:r>
    </w:p>
    <w:p>
      <w:pPr>
        <w:spacing w:after="0" w:line="157"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color w:val="auto"/>
        </w:rPr>
        <w:t>2.5</w:t>
      </w:r>
      <w:r>
        <w:rPr>
          <w:sz w:val="20"/>
          <w:szCs w:val="20"/>
          <w:color w:val="auto"/>
        </w:rPr>
        <w:tab/>
      </w:r>
      <w:r>
        <w:rPr>
          <w:rFonts w:ascii="Times New Roman" w:cs="Times New Roman" w:eastAsia="Times New Roman" w:hAnsi="Times New Roman"/>
          <w:sz w:val="21"/>
          <w:szCs w:val="21"/>
          <w:b w:val="1"/>
          <w:bCs w:val="1"/>
          <w:color w:val="auto"/>
        </w:rPr>
        <w:t>Completion Guarantee Discharge Date</w:t>
      </w:r>
    </w:p>
    <w:p>
      <w:pPr>
        <w:spacing w:after="0" w:line="221" w:lineRule="exact"/>
        <w:rPr>
          <w:sz w:val="20"/>
          <w:szCs w:val="20"/>
          <w:color w:val="auto"/>
        </w:rPr>
      </w:pPr>
    </w:p>
    <w:p>
      <w:pPr>
        <w:jc w:val="both"/>
        <w:ind w:left="640"/>
        <w:spacing w:after="0" w:line="284" w:lineRule="auto"/>
        <w:rPr>
          <w:sz w:val="20"/>
          <w:szCs w:val="20"/>
          <w:color w:val="auto"/>
        </w:rPr>
      </w:pPr>
      <w:r>
        <w:rPr>
          <w:rFonts w:ascii="Times New Roman" w:cs="Times New Roman" w:eastAsia="Times New Roman" w:hAnsi="Times New Roman"/>
          <w:sz w:val="21"/>
          <w:szCs w:val="21"/>
          <w:color w:val="auto"/>
        </w:rPr>
        <w:t>The guarantees and undertakings referred to in Clauses 2.1 (</w:t>
      </w:r>
      <w:r>
        <w:rPr>
          <w:rFonts w:ascii="Times New Roman" w:cs="Times New Roman" w:eastAsia="Times New Roman" w:hAnsi="Times New Roman"/>
          <w:sz w:val="21"/>
          <w:szCs w:val="21"/>
          <w:i w:val="1"/>
          <w:iCs w:val="1"/>
          <w:color w:val="auto"/>
        </w:rPr>
        <w:t>Completion and Cost Overrun guarantee</w:t>
      </w:r>
      <w:r>
        <w:rPr>
          <w:rFonts w:ascii="Times New Roman" w:cs="Times New Roman" w:eastAsia="Times New Roman" w:hAnsi="Times New Roman"/>
          <w:sz w:val="21"/>
          <w:szCs w:val="21"/>
          <w:color w:val="auto"/>
        </w:rPr>
        <w:t>) to 2.4 (</w:t>
      </w:r>
      <w:r>
        <w:rPr>
          <w:rFonts w:ascii="Times New Roman" w:cs="Times New Roman" w:eastAsia="Times New Roman" w:hAnsi="Times New Roman"/>
          <w:sz w:val="21"/>
          <w:szCs w:val="21"/>
          <w:i w:val="1"/>
          <w:iCs w:val="1"/>
          <w:color w:val="auto"/>
        </w:rPr>
        <w:t>Mandatory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Prepayment Events</w:t>
      </w:r>
      <w:r>
        <w:rPr>
          <w:rFonts w:ascii="Times New Roman" w:cs="Times New Roman" w:eastAsia="Times New Roman" w:hAnsi="Times New Roman"/>
          <w:sz w:val="21"/>
          <w:szCs w:val="21"/>
          <w:color w:val="auto"/>
        </w:rPr>
        <w:t>) (inclusive) above will terminate in full on the Completion Guarantee Discharge Date.</w:t>
      </w:r>
    </w:p>
    <w:p>
      <w:pPr>
        <w:spacing w:after="0" w:line="137"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color w:val="auto"/>
        </w:rPr>
        <w:t>2.6</w:t>
      </w:r>
      <w:r>
        <w:rPr>
          <w:sz w:val="20"/>
          <w:szCs w:val="20"/>
          <w:color w:val="auto"/>
        </w:rPr>
        <w:tab/>
      </w:r>
      <w:r>
        <w:rPr>
          <w:rFonts w:ascii="Times New Roman" w:cs="Times New Roman" w:eastAsia="Times New Roman" w:hAnsi="Times New Roman"/>
          <w:sz w:val="21"/>
          <w:szCs w:val="21"/>
          <w:b w:val="1"/>
          <w:bCs w:val="1"/>
          <w:color w:val="auto"/>
        </w:rPr>
        <w:t>Indemnity</w:t>
      </w:r>
    </w:p>
    <w:p>
      <w:pPr>
        <w:spacing w:after="0" w:line="236" w:lineRule="exact"/>
        <w:rPr>
          <w:sz w:val="20"/>
          <w:szCs w:val="20"/>
          <w:color w:val="auto"/>
        </w:rPr>
      </w:pPr>
    </w:p>
    <w:p>
      <w:pPr>
        <w:jc w:val="both"/>
        <w:ind w:left="640"/>
        <w:spacing w:after="0" w:line="256" w:lineRule="auto"/>
        <w:rPr>
          <w:sz w:val="20"/>
          <w:szCs w:val="20"/>
          <w:color w:val="auto"/>
        </w:rPr>
      </w:pPr>
      <w:r>
        <w:rPr>
          <w:rFonts w:ascii="Times New Roman" w:cs="Times New Roman" w:eastAsia="Times New Roman" w:hAnsi="Times New Roman"/>
          <w:sz w:val="21"/>
          <w:szCs w:val="21"/>
          <w:color w:val="auto"/>
        </w:rPr>
        <w:t>The Guarantors irrevocably and unconditionally jointly and severally agree with each Secured Party that if any obligation guaranteed or undertaken by the Guarantors under this Guarantee is or becomes unenforceable, invalid or illegal it will, as an independent and primary obligation, indemnify that Secured Party within 10 Business Days of written demand against any cost, loss or liability it incurs as a result of the Borrower not paying any amount which would, but for such unenforceability, invalidity or illegality, have been payable by it on the date when it would have been due. The amount payable by the Guarantors under this indemnity will not exceed the amount they would have had to pay under this Clause 2 if the amount claimed had been recoverable on the basis of a guarantee or undertaking.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389" w:right="339" w:bottom="1440" w:gutter="0" w:footer="0" w:header="0"/>
        </w:sectPr>
      </w:pPr>
    </w:p>
    <w:bookmarkStart w:id="11" w:name="page12"/>
    <w:bookmarkEnd w:id="11"/>
    <w:p>
      <w:pPr>
        <w:spacing w:after="0"/>
        <w:tabs>
          <w:tab w:leader="none" w:pos="460" w:val="left"/>
        </w:tabs>
        <w:rPr>
          <w:sz w:val="20"/>
          <w:szCs w:val="20"/>
          <w:color w:val="auto"/>
        </w:rPr>
      </w:pPr>
      <w:r>
        <w:rPr>
          <w:rFonts w:ascii="Times New Roman" w:cs="Times New Roman" w:eastAsia="Times New Roman" w:hAnsi="Times New Roman"/>
          <w:sz w:val="21"/>
          <w:szCs w:val="21"/>
          <w:color w:val="auto"/>
        </w:rPr>
        <w:t>2.7</w:t>
      </w:r>
      <w:r>
        <w:rPr>
          <w:sz w:val="20"/>
          <w:szCs w:val="20"/>
          <w:color w:val="auto"/>
        </w:rPr>
        <w:tab/>
      </w:r>
      <w:r>
        <w:rPr>
          <w:rFonts w:ascii="Times New Roman" w:cs="Times New Roman" w:eastAsia="Times New Roman" w:hAnsi="Times New Roman"/>
          <w:sz w:val="21"/>
          <w:szCs w:val="21"/>
          <w:b w:val="1"/>
          <w:bCs w:val="1"/>
          <w:color w:val="auto"/>
        </w:rPr>
        <w:t>Priority</w:t>
      </w:r>
    </w:p>
    <w:p>
      <w:pPr>
        <w:spacing w:after="0" w:line="223" w:lineRule="exact"/>
        <w:rPr>
          <w:sz w:val="20"/>
          <w:szCs w:val="20"/>
          <w:color w:val="auto"/>
        </w:rPr>
      </w:pPr>
    </w:p>
    <w:p>
      <w:pPr>
        <w:jc w:val="both"/>
        <w:ind w:left="640"/>
        <w:spacing w:after="0" w:line="260" w:lineRule="auto"/>
        <w:rPr>
          <w:sz w:val="20"/>
          <w:szCs w:val="20"/>
          <w:color w:val="auto"/>
        </w:rPr>
      </w:pPr>
      <w:r>
        <w:rPr>
          <w:rFonts w:ascii="Times New Roman" w:cs="Times New Roman" w:eastAsia="Times New Roman" w:hAnsi="Times New Roman"/>
          <w:sz w:val="21"/>
          <w:szCs w:val="21"/>
          <w:color w:val="auto"/>
        </w:rPr>
        <w:t>To the extent that the same event or circumstance gives rise to a specific amount being recoverable from the Guarantors under Clause 2.1 (</w:t>
      </w:r>
      <w:r>
        <w:rPr>
          <w:rFonts w:ascii="Times New Roman" w:cs="Times New Roman" w:eastAsia="Times New Roman" w:hAnsi="Times New Roman"/>
          <w:sz w:val="21"/>
          <w:szCs w:val="21"/>
          <w:i w:val="1"/>
          <w:iCs w:val="1"/>
          <w:color w:val="auto"/>
        </w:rPr>
        <w:t>Completion and Cost Overrun Guarantee</w:t>
      </w:r>
      <w:r>
        <w:rPr>
          <w:rFonts w:ascii="Times New Roman" w:cs="Times New Roman" w:eastAsia="Times New Roman" w:hAnsi="Times New Roman"/>
          <w:sz w:val="21"/>
          <w:szCs w:val="21"/>
          <w:color w:val="auto"/>
        </w:rPr>
        <w:t>), Clause 2.2 (</w:t>
      </w:r>
      <w:r>
        <w:rPr>
          <w:rFonts w:ascii="Times New Roman" w:cs="Times New Roman" w:eastAsia="Times New Roman" w:hAnsi="Times New Roman"/>
          <w:sz w:val="21"/>
          <w:szCs w:val="21"/>
          <w:i w:val="1"/>
          <w:iCs w:val="1"/>
          <w:color w:val="auto"/>
        </w:rPr>
        <w:t>Finance Costs shortfall guarantee</w:t>
      </w:r>
      <w:r>
        <w:rPr>
          <w:rFonts w:ascii="Times New Roman" w:cs="Times New Roman" w:eastAsia="Times New Roman" w:hAnsi="Times New Roman"/>
          <w:sz w:val="21"/>
          <w:szCs w:val="21"/>
          <w:color w:val="auto"/>
        </w:rPr>
        <w:t>), Clause 2.3 (</w:t>
      </w:r>
      <w:r>
        <w:rPr>
          <w:rFonts w:ascii="Times New Roman" w:cs="Times New Roman" w:eastAsia="Times New Roman" w:hAnsi="Times New Roman"/>
          <w:sz w:val="21"/>
          <w:szCs w:val="21"/>
          <w:i w:val="1"/>
          <w:iCs w:val="1"/>
          <w:color w:val="auto"/>
        </w:rPr>
        <w:t>Long Stop, Abandonment or Suspension Undertaking</w:t>
      </w:r>
      <w:r>
        <w:rPr>
          <w:rFonts w:ascii="Times New Roman" w:cs="Times New Roman" w:eastAsia="Times New Roman" w:hAnsi="Times New Roman"/>
          <w:sz w:val="21"/>
          <w:szCs w:val="21"/>
          <w:color w:val="auto"/>
        </w:rPr>
        <w:t>) and/or 2.4 (</w:t>
      </w:r>
      <w:r>
        <w:rPr>
          <w:rFonts w:ascii="Times New Roman" w:cs="Times New Roman" w:eastAsia="Times New Roman" w:hAnsi="Times New Roman"/>
          <w:sz w:val="21"/>
          <w:szCs w:val="21"/>
          <w:i w:val="1"/>
          <w:iCs w:val="1"/>
          <w:color w:val="auto"/>
        </w:rPr>
        <w:t>Mandatory Prepayment Events</w:t>
      </w:r>
      <w:r>
        <w:rPr>
          <w:rFonts w:ascii="Times New Roman" w:cs="Times New Roman" w:eastAsia="Times New Roman" w:hAnsi="Times New Roman"/>
          <w:sz w:val="21"/>
          <w:szCs w:val="21"/>
          <w:color w:val="auto"/>
        </w:rPr>
        <w:t>) in accordance with their respective terms, the Security Agent may (without prejudice to any subsequent or concurrent claim) elect to make a demand under any one or more of those Clauses in its absolute discretion.</w:t>
      </w:r>
    </w:p>
    <w:p>
      <w:pPr>
        <w:spacing w:after="0" w:line="162" w:lineRule="exact"/>
        <w:rPr>
          <w:sz w:val="20"/>
          <w:szCs w:val="20"/>
          <w:color w:val="auto"/>
        </w:rPr>
      </w:pPr>
    </w:p>
    <w:p>
      <w:pPr>
        <w:ind w:left="380" w:hanging="375"/>
        <w:spacing w:after="0"/>
        <w:tabs>
          <w:tab w:leader="none" w:pos="380"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REPRESENTATIONS</w:t>
      </w:r>
    </w:p>
    <w:p>
      <w:pPr>
        <w:spacing w:after="0" w:line="221" w:lineRule="exact"/>
        <w:rPr>
          <w:sz w:val="20"/>
          <w:szCs w:val="20"/>
          <w:color w:val="auto"/>
        </w:rPr>
      </w:pPr>
    </w:p>
    <w:p>
      <w:pPr>
        <w:ind w:left="640"/>
        <w:spacing w:after="0" w:line="297" w:lineRule="auto"/>
        <w:rPr>
          <w:sz w:val="20"/>
          <w:szCs w:val="20"/>
          <w:color w:val="auto"/>
        </w:rPr>
      </w:pPr>
      <w:r>
        <w:rPr>
          <w:rFonts w:ascii="Times New Roman" w:cs="Times New Roman" w:eastAsia="Times New Roman" w:hAnsi="Times New Roman"/>
          <w:sz w:val="21"/>
          <w:szCs w:val="21"/>
          <w:color w:val="auto"/>
        </w:rPr>
        <w:t>Each Guarantor makes the representations and warranties applicable to it as set out in this Clause 3 (</w:t>
      </w:r>
      <w:r>
        <w:rPr>
          <w:rFonts w:ascii="Times New Roman" w:cs="Times New Roman" w:eastAsia="Times New Roman" w:hAnsi="Times New Roman"/>
          <w:sz w:val="21"/>
          <w:szCs w:val="21"/>
          <w:i w:val="1"/>
          <w:iCs w:val="1"/>
          <w:color w:val="auto"/>
        </w:rPr>
        <w:t>Representations</w:t>
      </w:r>
      <w:r>
        <w:rPr>
          <w:rFonts w:ascii="Times New Roman" w:cs="Times New Roman" w:eastAsia="Times New Roman" w:hAnsi="Times New Roman"/>
          <w:sz w:val="21"/>
          <w:szCs w:val="21"/>
          <w:color w:val="auto"/>
        </w:rPr>
        <w:t>) to each Secured Party.</w:t>
      </w:r>
    </w:p>
    <w:p>
      <w:pPr>
        <w:spacing w:after="0" w:line="124"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color w:val="auto"/>
        </w:rPr>
        <w:t>3.1</w:t>
      </w:r>
      <w:r>
        <w:rPr>
          <w:sz w:val="20"/>
          <w:szCs w:val="20"/>
          <w:color w:val="auto"/>
        </w:rPr>
        <w:tab/>
      </w:r>
      <w:r>
        <w:rPr>
          <w:rFonts w:ascii="Times New Roman" w:cs="Times New Roman" w:eastAsia="Times New Roman" w:hAnsi="Times New Roman"/>
          <w:sz w:val="20"/>
          <w:szCs w:val="20"/>
          <w:b w:val="1"/>
          <w:bCs w:val="1"/>
          <w:color w:val="auto"/>
        </w:rPr>
        <w:t>Status</w:t>
      </w:r>
    </w:p>
    <w:p>
      <w:pPr>
        <w:spacing w:after="0" w:line="223" w:lineRule="exact"/>
        <w:rPr>
          <w:sz w:val="20"/>
          <w:szCs w:val="20"/>
          <w:color w:val="auto"/>
        </w:rPr>
      </w:pPr>
    </w:p>
    <w:p>
      <w:pPr>
        <w:ind w:left="1260" w:hanging="623"/>
        <w:spacing w:after="0" w:line="282" w:lineRule="auto"/>
        <w:tabs>
          <w:tab w:leader="none" w:pos="1217"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Wynn Guarantor is duly organized, incorporated and validly existing in good standing under the laws of its jurisdiction of incorporation.</w:t>
      </w:r>
    </w:p>
    <w:p>
      <w:pPr>
        <w:spacing w:after="0" w:line="143" w:lineRule="exact"/>
        <w:rPr>
          <w:rFonts w:ascii="Times New Roman" w:cs="Times New Roman" w:eastAsia="Times New Roman" w:hAnsi="Times New Roman"/>
          <w:sz w:val="21"/>
          <w:szCs w:val="21"/>
          <w:color w:val="auto"/>
        </w:rPr>
      </w:pPr>
    </w:p>
    <w:p>
      <w:pPr>
        <w:ind w:left="1080" w:hanging="443"/>
        <w:spacing w:after="0"/>
        <w:tabs>
          <w:tab w:leader="none" w:pos="1080"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Guarantors have the power to own their assets and to carry on their business as it is being conducted.</w:t>
      </w:r>
    </w:p>
    <w:p>
      <w:pPr>
        <w:spacing w:after="0" w:line="215"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color w:val="auto"/>
        </w:rPr>
        <w:t>3.2</w:t>
      </w:r>
      <w:r>
        <w:rPr>
          <w:sz w:val="20"/>
          <w:szCs w:val="20"/>
          <w:color w:val="auto"/>
        </w:rPr>
        <w:tab/>
      </w:r>
      <w:r>
        <w:rPr>
          <w:rFonts w:ascii="Times New Roman" w:cs="Times New Roman" w:eastAsia="Times New Roman" w:hAnsi="Times New Roman"/>
          <w:sz w:val="20"/>
          <w:szCs w:val="20"/>
          <w:b w:val="1"/>
          <w:bCs w:val="1"/>
          <w:color w:val="auto"/>
        </w:rPr>
        <w:t>Binding obligations</w:t>
      </w:r>
    </w:p>
    <w:p>
      <w:pPr>
        <w:spacing w:after="0" w:line="236" w:lineRule="exact"/>
        <w:rPr>
          <w:sz w:val="20"/>
          <w:szCs w:val="20"/>
          <w:color w:val="auto"/>
        </w:rPr>
      </w:pPr>
    </w:p>
    <w:p>
      <w:pPr>
        <w:ind w:left="640"/>
        <w:spacing w:after="0" w:line="282" w:lineRule="auto"/>
        <w:rPr>
          <w:sz w:val="20"/>
          <w:szCs w:val="20"/>
          <w:color w:val="auto"/>
        </w:rPr>
      </w:pPr>
      <w:r>
        <w:rPr>
          <w:rFonts w:ascii="Times New Roman" w:cs="Times New Roman" w:eastAsia="Times New Roman" w:hAnsi="Times New Roman"/>
          <w:sz w:val="21"/>
          <w:szCs w:val="21"/>
          <w:color w:val="auto"/>
        </w:rPr>
        <w:t>The obligations expressed to be assumed by the Guarantors in this Guarantee are, subject to the Legal Reservations, legal, valid, binding and enforceable in accordance with the terms thereof.</w:t>
      </w:r>
    </w:p>
    <w:p>
      <w:pPr>
        <w:spacing w:after="0" w:line="139"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color w:val="auto"/>
        </w:rPr>
        <w:t>3.3</w:t>
      </w:r>
      <w:r>
        <w:rPr>
          <w:sz w:val="20"/>
          <w:szCs w:val="20"/>
          <w:color w:val="auto"/>
        </w:rPr>
        <w:tab/>
      </w:r>
      <w:r>
        <w:rPr>
          <w:rFonts w:ascii="Times New Roman" w:cs="Times New Roman" w:eastAsia="Times New Roman" w:hAnsi="Times New Roman"/>
          <w:sz w:val="20"/>
          <w:szCs w:val="20"/>
          <w:b w:val="1"/>
          <w:bCs w:val="1"/>
          <w:color w:val="auto"/>
        </w:rPr>
        <w:t>Non-conflict with other obligations</w:t>
      </w:r>
    </w:p>
    <w:p>
      <w:pPr>
        <w:spacing w:after="0" w:line="223" w:lineRule="exact"/>
        <w:rPr>
          <w:sz w:val="20"/>
          <w:szCs w:val="20"/>
          <w:color w:val="auto"/>
        </w:rPr>
      </w:pPr>
    </w:p>
    <w:p>
      <w:pPr>
        <w:ind w:left="1260" w:hanging="623"/>
        <w:spacing w:after="0" w:line="282" w:lineRule="auto"/>
        <w:tabs>
          <w:tab w:leader="none" w:pos="1220"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execution of and the exercise of the rights and performance of the RAK Guarantor of, and the transactions contemplated by, this Guarantee do not and will not conflict with:</w:t>
      </w:r>
    </w:p>
    <w:p>
      <w:pPr>
        <w:spacing w:after="0" w:line="156" w:lineRule="exact"/>
        <w:rPr>
          <w:rFonts w:ascii="Times New Roman" w:cs="Times New Roman" w:eastAsia="Times New Roman" w:hAnsi="Times New Roman"/>
          <w:sz w:val="21"/>
          <w:szCs w:val="21"/>
          <w:color w:val="auto"/>
        </w:rPr>
      </w:pPr>
    </w:p>
    <w:p>
      <w:pPr>
        <w:ind w:left="1680" w:hanging="412"/>
        <w:spacing w:after="0"/>
        <w:tabs>
          <w:tab w:leader="none" w:pos="1680" w:val="left"/>
        </w:tabs>
        <w:numPr>
          <w:ilvl w:val="1"/>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law or regulation applicable to it; or</w:t>
      </w:r>
    </w:p>
    <w:p>
      <w:pPr>
        <w:spacing w:after="0" w:line="219" w:lineRule="exact"/>
        <w:rPr>
          <w:rFonts w:ascii="Times New Roman" w:cs="Times New Roman" w:eastAsia="Times New Roman" w:hAnsi="Times New Roman"/>
          <w:sz w:val="21"/>
          <w:szCs w:val="21"/>
          <w:color w:val="auto"/>
        </w:rPr>
      </w:pPr>
    </w:p>
    <w:p>
      <w:pPr>
        <w:ind w:left="1900" w:hanging="632"/>
        <w:spacing w:after="0" w:line="282" w:lineRule="auto"/>
        <w:tabs>
          <w:tab w:leader="none" w:pos="1768" w:val="left"/>
        </w:tabs>
        <w:numPr>
          <w:ilvl w:val="1"/>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agreement or instrument binding upon it or any of its assets in any material respect or constitute a material default or termination event (however described) under any such agreement or instrument.</w:t>
      </w:r>
    </w:p>
    <w:p>
      <w:pPr>
        <w:spacing w:after="0" w:line="143" w:lineRule="exact"/>
        <w:rPr>
          <w:rFonts w:ascii="Times New Roman" w:cs="Times New Roman" w:eastAsia="Times New Roman" w:hAnsi="Times New Roman"/>
          <w:sz w:val="21"/>
          <w:szCs w:val="21"/>
          <w:color w:val="auto"/>
        </w:rPr>
      </w:pPr>
    </w:p>
    <w:p>
      <w:pPr>
        <w:ind w:left="1260" w:hanging="623"/>
        <w:spacing w:after="0" w:line="282" w:lineRule="auto"/>
        <w:tabs>
          <w:tab w:leader="none" w:pos="1097"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entry into and performance by the Wynn Guarantor of, and the transactions contemplated by, this Guarantee do not and shall not conflict with:</w:t>
      </w:r>
    </w:p>
    <w:p>
      <w:pPr>
        <w:spacing w:after="0" w:line="156" w:lineRule="exact"/>
        <w:rPr>
          <w:rFonts w:ascii="Times New Roman" w:cs="Times New Roman" w:eastAsia="Times New Roman" w:hAnsi="Times New Roman"/>
          <w:sz w:val="21"/>
          <w:szCs w:val="21"/>
          <w:color w:val="auto"/>
        </w:rPr>
      </w:pPr>
    </w:p>
    <w:p>
      <w:pPr>
        <w:ind w:left="1680" w:hanging="412"/>
        <w:spacing w:after="0"/>
        <w:tabs>
          <w:tab w:leader="none" w:pos="1680" w:val="left"/>
        </w:tabs>
        <w:numPr>
          <w:ilvl w:val="1"/>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law or regulation applicable to it;</w:t>
      </w:r>
    </w:p>
    <w:p>
      <w:pPr>
        <w:spacing w:after="0" w:line="219" w:lineRule="exact"/>
        <w:rPr>
          <w:rFonts w:ascii="Times New Roman" w:cs="Times New Roman" w:eastAsia="Times New Roman" w:hAnsi="Times New Roman"/>
          <w:sz w:val="21"/>
          <w:szCs w:val="21"/>
          <w:color w:val="auto"/>
        </w:rPr>
      </w:pPr>
    </w:p>
    <w:p>
      <w:pPr>
        <w:ind w:left="1740" w:hanging="472"/>
        <w:spacing w:after="0"/>
        <w:tabs>
          <w:tab w:leader="none" w:pos="1740" w:val="left"/>
        </w:tabs>
        <w:numPr>
          <w:ilvl w:val="1"/>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its articles of incorporation or bylaws, as amended, or any other constitutional documents;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40"/>
          </w:cols>
          <w:pgMar w:left="320" w:top="1385" w:right="339" w:bottom="1440" w:gutter="0" w:footer="0" w:header="0"/>
        </w:sectPr>
      </w:pPr>
    </w:p>
    <w:bookmarkStart w:id="12" w:name="page13"/>
    <w:bookmarkEnd w:id="12"/>
    <w:p>
      <w:pPr>
        <w:ind w:left="1900" w:hanging="632"/>
        <w:spacing w:after="0" w:line="282" w:lineRule="auto"/>
        <w:tabs>
          <w:tab w:leader="none" w:pos="1817"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agreement or instrument binding upon it or any of its assets in any material respect or constitute a material default or termination event (however described) under any such agreement or instrument.</w:t>
      </w:r>
    </w:p>
    <w:p>
      <w:pPr>
        <w:spacing w:after="0" w:line="139"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color w:val="auto"/>
        </w:rPr>
        <w:t>3.4</w:t>
      </w:r>
      <w:r>
        <w:rPr>
          <w:sz w:val="20"/>
          <w:szCs w:val="20"/>
          <w:color w:val="auto"/>
        </w:rPr>
        <w:tab/>
      </w:r>
      <w:r>
        <w:rPr>
          <w:rFonts w:ascii="Times New Roman" w:cs="Times New Roman" w:eastAsia="Times New Roman" w:hAnsi="Times New Roman"/>
          <w:sz w:val="21"/>
          <w:szCs w:val="21"/>
          <w:b w:val="1"/>
          <w:bCs w:val="1"/>
          <w:color w:val="auto"/>
        </w:rPr>
        <w:t>Power and authority</w:t>
      </w:r>
    </w:p>
    <w:p>
      <w:pPr>
        <w:spacing w:after="0" w:line="236" w:lineRule="exact"/>
        <w:rPr>
          <w:sz w:val="20"/>
          <w:szCs w:val="20"/>
          <w:color w:val="auto"/>
        </w:rPr>
      </w:pPr>
    </w:p>
    <w:p>
      <w:pPr>
        <w:ind w:left="640"/>
        <w:spacing w:after="0" w:line="282" w:lineRule="auto"/>
        <w:rPr>
          <w:sz w:val="20"/>
          <w:szCs w:val="20"/>
          <w:color w:val="auto"/>
        </w:rPr>
      </w:pPr>
      <w:r>
        <w:rPr>
          <w:rFonts w:ascii="Times New Roman" w:cs="Times New Roman" w:eastAsia="Times New Roman" w:hAnsi="Times New Roman"/>
          <w:sz w:val="21"/>
          <w:szCs w:val="21"/>
          <w:color w:val="auto"/>
        </w:rPr>
        <w:t>The Guarantors have the power to enter into, perform and deliver, and have taken all necessary action to authorise their execution and performance and delivery of, this Guarantee and the transactions contemplated by this Guarantee.</w:t>
      </w:r>
    </w:p>
    <w:p>
      <w:pPr>
        <w:spacing w:after="0" w:line="139"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color w:val="auto"/>
        </w:rPr>
        <w:t>3.5</w:t>
      </w:r>
      <w:r>
        <w:rPr>
          <w:sz w:val="20"/>
          <w:szCs w:val="20"/>
          <w:color w:val="auto"/>
        </w:rPr>
        <w:tab/>
      </w:r>
      <w:r>
        <w:rPr>
          <w:rFonts w:ascii="Times New Roman" w:cs="Times New Roman" w:eastAsia="Times New Roman" w:hAnsi="Times New Roman"/>
          <w:sz w:val="20"/>
          <w:szCs w:val="20"/>
          <w:b w:val="1"/>
          <w:bCs w:val="1"/>
          <w:color w:val="auto"/>
        </w:rPr>
        <w:t>Validity and admissibility in evidence</w:t>
      </w:r>
    </w:p>
    <w:p>
      <w:pPr>
        <w:spacing w:after="0" w:line="2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All acts, conditions and things required to be done, fulfilled and performed in order:</w:t>
      </w:r>
    </w:p>
    <w:p>
      <w:pPr>
        <w:spacing w:after="0" w:line="219" w:lineRule="exact"/>
        <w:rPr>
          <w:sz w:val="20"/>
          <w:szCs w:val="20"/>
          <w:color w:val="auto"/>
        </w:rPr>
      </w:pPr>
    </w:p>
    <w:p>
      <w:pPr>
        <w:ind w:left="1260" w:hanging="623"/>
        <w:spacing w:after="0" w:line="295" w:lineRule="auto"/>
        <w:tabs>
          <w:tab w:leader="none" w:pos="1140"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enable the Guarantors lawfully to enter into, exercise their rights and comply with their obligations under, and the transactions contemplated by, this Guarantee; and</w:t>
      </w:r>
    </w:p>
    <w:p>
      <w:pPr>
        <w:spacing w:after="0" w:line="130" w:lineRule="exact"/>
        <w:rPr>
          <w:rFonts w:ascii="Times New Roman" w:cs="Times New Roman" w:eastAsia="Times New Roman" w:hAnsi="Times New Roman"/>
          <w:sz w:val="21"/>
          <w:szCs w:val="21"/>
          <w:color w:val="auto"/>
        </w:rPr>
      </w:pPr>
    </w:p>
    <w:p>
      <w:pPr>
        <w:ind w:left="1100" w:hanging="463"/>
        <w:spacing w:after="0"/>
        <w:tabs>
          <w:tab w:leader="none" w:pos="1100"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make this Guarantee admissible in evidence in the Relevant Jurisdiction,</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have been done, fulfilled and performed.</w:t>
      </w:r>
    </w:p>
    <w:p>
      <w:pPr>
        <w:spacing w:after="0" w:line="215"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color w:val="auto"/>
        </w:rPr>
        <w:t>3.6</w:t>
      </w:r>
      <w:r>
        <w:rPr>
          <w:sz w:val="20"/>
          <w:szCs w:val="20"/>
          <w:color w:val="auto"/>
        </w:rPr>
        <w:tab/>
      </w:r>
      <w:r>
        <w:rPr>
          <w:rFonts w:ascii="Times New Roman" w:cs="Times New Roman" w:eastAsia="Times New Roman" w:hAnsi="Times New Roman"/>
          <w:sz w:val="20"/>
          <w:szCs w:val="20"/>
          <w:b w:val="1"/>
          <w:bCs w:val="1"/>
          <w:color w:val="auto"/>
        </w:rPr>
        <w:t>Governing law and enforcement</w:t>
      </w:r>
    </w:p>
    <w:p>
      <w:pPr>
        <w:spacing w:after="0" w:line="2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Subject to the Legal Reservations:</w:t>
      </w:r>
    </w:p>
    <w:p>
      <w:pPr>
        <w:spacing w:after="0" w:line="219" w:lineRule="exact"/>
        <w:rPr>
          <w:sz w:val="20"/>
          <w:szCs w:val="20"/>
          <w:color w:val="auto"/>
        </w:rPr>
      </w:pPr>
    </w:p>
    <w:p>
      <w:pPr>
        <w:ind w:left="1260" w:hanging="623"/>
        <w:spacing w:after="0" w:line="295" w:lineRule="auto"/>
        <w:tabs>
          <w:tab w:leader="none" w:pos="1162"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choice of English law as the governing law of this Guarantee will be recognised and enforced in each Relevant Jurisdiction;</w:t>
      </w:r>
    </w:p>
    <w:p>
      <w:pPr>
        <w:spacing w:after="0" w:line="130" w:lineRule="exact"/>
        <w:rPr>
          <w:rFonts w:ascii="Times New Roman" w:cs="Times New Roman" w:eastAsia="Times New Roman" w:hAnsi="Times New Roman"/>
          <w:sz w:val="21"/>
          <w:szCs w:val="21"/>
          <w:color w:val="auto"/>
        </w:rPr>
      </w:pPr>
    </w:p>
    <w:p>
      <w:pPr>
        <w:ind w:left="1260" w:hanging="623"/>
        <w:spacing w:after="0" w:line="282" w:lineRule="auto"/>
        <w:tabs>
          <w:tab w:leader="none" w:pos="1125"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judgment or arbitral award (as applicable) obtained in relation to this Guarantee under and in accordance with the dispute resolution provisions of this Guarantee will be recognised and enforced in each Relevant Jurisdiction.</w:t>
      </w:r>
    </w:p>
    <w:p>
      <w:pPr>
        <w:spacing w:after="0" w:line="139"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color w:val="auto"/>
        </w:rPr>
        <w:t>3.7</w:t>
      </w:r>
      <w:r>
        <w:rPr>
          <w:sz w:val="20"/>
          <w:szCs w:val="20"/>
          <w:color w:val="auto"/>
        </w:rPr>
        <w:tab/>
      </w:r>
      <w:r>
        <w:rPr>
          <w:rFonts w:ascii="Times New Roman" w:cs="Times New Roman" w:eastAsia="Times New Roman" w:hAnsi="Times New Roman"/>
          <w:sz w:val="20"/>
          <w:szCs w:val="20"/>
          <w:b w:val="1"/>
          <w:bCs w:val="1"/>
          <w:color w:val="auto"/>
        </w:rPr>
        <w:t>Deduction of Tax</w:t>
      </w:r>
    </w:p>
    <w:p>
      <w:pPr>
        <w:spacing w:after="0" w:line="223" w:lineRule="exact"/>
        <w:rPr>
          <w:sz w:val="20"/>
          <w:szCs w:val="20"/>
          <w:color w:val="auto"/>
        </w:rPr>
      </w:pPr>
    </w:p>
    <w:p>
      <w:pPr>
        <w:ind w:left="1260" w:hanging="623"/>
        <w:spacing w:after="0" w:line="271" w:lineRule="auto"/>
        <w:tabs>
          <w:tab w:leader="none" w:pos="1124"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Wynn Guarantor is not required under the law of its jurisdiction of incorporation or under the laws of the United Arab Emirates in force at the date of this Guarantee to make any deduction or withholding for or on account of Tax from any payment it may make under this Guarantee.</w:t>
      </w:r>
    </w:p>
    <w:p>
      <w:pPr>
        <w:spacing w:after="0" w:line="155" w:lineRule="exact"/>
        <w:rPr>
          <w:rFonts w:ascii="Times New Roman" w:cs="Times New Roman" w:eastAsia="Times New Roman" w:hAnsi="Times New Roman"/>
          <w:sz w:val="21"/>
          <w:szCs w:val="21"/>
          <w:color w:val="auto"/>
        </w:rPr>
      </w:pPr>
    </w:p>
    <w:p>
      <w:pPr>
        <w:ind w:left="1260" w:hanging="623"/>
        <w:spacing w:after="0" w:line="265" w:lineRule="auto"/>
        <w:tabs>
          <w:tab w:leader="none" w:pos="1179"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Under the laws of the United Arab Emirates in force at the date of this Guarantee, the RAK Guarantor will not be required to make any deduction or withholding for or on account of Tax from any payment it may make under this Guarantee.</w:t>
      </w:r>
    </w:p>
    <w:p>
      <w:pPr>
        <w:spacing w:after="0" w:line="170"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color w:val="auto"/>
        </w:rPr>
        <w:t>3.8</w:t>
      </w:r>
      <w:r>
        <w:rPr>
          <w:sz w:val="20"/>
          <w:szCs w:val="20"/>
          <w:color w:val="auto"/>
        </w:rPr>
        <w:tab/>
      </w:r>
      <w:r>
        <w:rPr>
          <w:rFonts w:ascii="Times New Roman" w:cs="Times New Roman" w:eastAsia="Times New Roman" w:hAnsi="Times New Roman"/>
          <w:sz w:val="21"/>
          <w:szCs w:val="21"/>
          <w:b w:val="1"/>
          <w:bCs w:val="1"/>
          <w:color w:val="auto"/>
        </w:rPr>
        <w:t>No filing or stamp taxes</w:t>
      </w:r>
    </w:p>
    <w:p>
      <w:pPr>
        <w:spacing w:after="0" w:line="223" w:lineRule="exact"/>
        <w:rPr>
          <w:sz w:val="20"/>
          <w:szCs w:val="20"/>
          <w:color w:val="auto"/>
        </w:rPr>
      </w:pPr>
    </w:p>
    <w:p>
      <w:pPr>
        <w:jc w:val="both"/>
        <w:ind w:left="640"/>
        <w:spacing w:after="0" w:line="265" w:lineRule="auto"/>
        <w:rPr>
          <w:sz w:val="20"/>
          <w:szCs w:val="20"/>
          <w:color w:val="auto"/>
        </w:rPr>
      </w:pPr>
      <w:r>
        <w:rPr>
          <w:rFonts w:ascii="Times New Roman" w:cs="Times New Roman" w:eastAsia="Times New Roman" w:hAnsi="Times New Roman"/>
          <w:sz w:val="21"/>
          <w:szCs w:val="21"/>
          <w:color w:val="auto"/>
        </w:rPr>
        <w:t>Under the laws of each Relevant Jurisdiction in force at the date of this Guarantee, it is not necessary that this Guarantee be registered, filed, recorded or enrolled with any court or other authority in that jurisdiction or that any stamp duty, registration or similar Taxes be paid on or in relation to this Guarantee.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40"/>
          </w:cols>
          <w:pgMar w:left="320" w:top="1389" w:right="339" w:bottom="1440" w:gutter="0" w:footer="0" w:header="0"/>
        </w:sectPr>
      </w:pPr>
    </w:p>
    <w:bookmarkStart w:id="13" w:name="page14"/>
    <w:bookmarkEnd w:id="13"/>
    <w:p>
      <w:pPr>
        <w:spacing w:after="0"/>
        <w:tabs>
          <w:tab w:leader="none" w:pos="460" w:val="left"/>
        </w:tabs>
        <w:rPr>
          <w:sz w:val="20"/>
          <w:szCs w:val="20"/>
          <w:color w:val="auto"/>
        </w:rPr>
      </w:pPr>
      <w:r>
        <w:rPr>
          <w:rFonts w:ascii="Times New Roman" w:cs="Times New Roman" w:eastAsia="Times New Roman" w:hAnsi="Times New Roman"/>
          <w:sz w:val="21"/>
          <w:szCs w:val="21"/>
          <w:color w:val="auto"/>
        </w:rPr>
        <w:t>3.9</w:t>
      </w:r>
      <w:r>
        <w:rPr>
          <w:sz w:val="20"/>
          <w:szCs w:val="20"/>
          <w:color w:val="auto"/>
        </w:rPr>
        <w:tab/>
      </w:r>
      <w:r>
        <w:rPr>
          <w:rFonts w:ascii="Times New Roman" w:cs="Times New Roman" w:eastAsia="Times New Roman" w:hAnsi="Times New Roman"/>
          <w:sz w:val="20"/>
          <w:szCs w:val="20"/>
          <w:b w:val="1"/>
          <w:bCs w:val="1"/>
          <w:color w:val="auto"/>
        </w:rPr>
        <w:t>Pari passu ranking</w:t>
      </w:r>
    </w:p>
    <w:p>
      <w:pPr>
        <w:spacing w:after="0" w:line="221" w:lineRule="exact"/>
        <w:rPr>
          <w:sz w:val="20"/>
          <w:szCs w:val="20"/>
          <w:color w:val="auto"/>
        </w:rPr>
      </w:pPr>
    </w:p>
    <w:p>
      <w:pPr>
        <w:ind w:left="1260" w:hanging="623"/>
        <w:spacing w:after="0" w:line="272" w:lineRule="auto"/>
        <w:tabs>
          <w:tab w:leader="none" w:pos="1097"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payment obligations of the Wynn Guarantor under this Guarantee rank at least </w:t>
      </w:r>
      <w:r>
        <w:rPr>
          <w:rFonts w:ascii="Times New Roman" w:cs="Times New Roman" w:eastAsia="Times New Roman" w:hAnsi="Times New Roman"/>
          <w:sz w:val="21"/>
          <w:szCs w:val="21"/>
          <w:i w:val="1"/>
          <w:iCs w:val="1"/>
          <w:color w:val="auto"/>
        </w:rPr>
        <w:t>pari passu</w:t>
      </w:r>
      <w:r>
        <w:rPr>
          <w:rFonts w:ascii="Times New Roman" w:cs="Times New Roman" w:eastAsia="Times New Roman" w:hAnsi="Times New Roman"/>
          <w:sz w:val="21"/>
          <w:szCs w:val="21"/>
          <w:color w:val="auto"/>
        </w:rPr>
        <w:t xml:space="preserve"> with the claims of all its other unsecured and unsubordinated creditors, except for obligations mandatorily preferred by law applying to companies generally.</w:t>
      </w:r>
    </w:p>
    <w:p>
      <w:pPr>
        <w:spacing w:after="0" w:line="152" w:lineRule="exact"/>
        <w:rPr>
          <w:rFonts w:ascii="Times New Roman" w:cs="Times New Roman" w:eastAsia="Times New Roman" w:hAnsi="Times New Roman"/>
          <w:sz w:val="21"/>
          <w:szCs w:val="21"/>
          <w:color w:val="auto"/>
        </w:rPr>
      </w:pPr>
    </w:p>
    <w:p>
      <w:pPr>
        <w:ind w:left="1260" w:hanging="623"/>
        <w:spacing w:after="0" w:line="266" w:lineRule="auto"/>
        <w:tabs>
          <w:tab w:leader="none" w:pos="1091"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claims of the Security Agent against the RAK Guarantor under this Guarantee will rank at least </w:t>
      </w:r>
      <w:r>
        <w:rPr>
          <w:rFonts w:ascii="Times New Roman" w:cs="Times New Roman" w:eastAsia="Times New Roman" w:hAnsi="Times New Roman"/>
          <w:sz w:val="21"/>
          <w:szCs w:val="21"/>
          <w:i w:val="1"/>
          <w:iCs w:val="1"/>
          <w:color w:val="auto"/>
        </w:rPr>
        <w:t>pari passu</w:t>
      </w:r>
      <w:r>
        <w:rPr>
          <w:rFonts w:ascii="Times New Roman" w:cs="Times New Roman" w:eastAsia="Times New Roman" w:hAnsi="Times New Roman"/>
          <w:sz w:val="21"/>
          <w:szCs w:val="21"/>
          <w:color w:val="auto"/>
        </w:rPr>
        <w:t xml:space="preserve"> with the claims of all its other unsecured creditors, save for such obligations as may be preferred by provisions of law that are both mandatory and of general application.</w:t>
      </w:r>
    </w:p>
    <w:p>
      <w:pPr>
        <w:spacing w:after="0" w:line="15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21"/>
          <w:szCs w:val="21"/>
          <w:color w:val="auto"/>
        </w:rPr>
        <w:t>3.10</w:t>
      </w:r>
      <w:r>
        <w:rPr>
          <w:sz w:val="20"/>
          <w:szCs w:val="20"/>
          <w:color w:val="auto"/>
        </w:rPr>
        <w:tab/>
      </w:r>
      <w:r>
        <w:rPr>
          <w:rFonts w:ascii="Times New Roman" w:cs="Times New Roman" w:eastAsia="Times New Roman" w:hAnsi="Times New Roman"/>
          <w:sz w:val="21"/>
          <w:szCs w:val="21"/>
          <w:b w:val="1"/>
          <w:bCs w:val="1"/>
          <w:color w:val="auto"/>
        </w:rPr>
        <w:t>Repetition</w:t>
      </w:r>
    </w:p>
    <w:p>
      <w:pPr>
        <w:spacing w:after="0" w:line="234" w:lineRule="exact"/>
        <w:rPr>
          <w:sz w:val="20"/>
          <w:szCs w:val="20"/>
          <w:color w:val="auto"/>
        </w:rPr>
      </w:pPr>
    </w:p>
    <w:p>
      <w:pPr>
        <w:jc w:val="both"/>
        <w:ind w:left="640"/>
        <w:spacing w:after="0" w:line="260" w:lineRule="auto"/>
        <w:rPr>
          <w:sz w:val="20"/>
          <w:szCs w:val="20"/>
          <w:color w:val="auto"/>
        </w:rPr>
      </w:pPr>
      <w:r>
        <w:rPr>
          <w:rFonts w:ascii="Times New Roman" w:cs="Times New Roman" w:eastAsia="Times New Roman" w:hAnsi="Times New Roman"/>
          <w:sz w:val="21"/>
          <w:szCs w:val="21"/>
          <w:color w:val="auto"/>
        </w:rPr>
        <w:t>Each of the applicable representations and warranties set out in this Clause 3 (</w:t>
      </w:r>
      <w:r>
        <w:rPr>
          <w:rFonts w:ascii="Times New Roman" w:cs="Times New Roman" w:eastAsia="Times New Roman" w:hAnsi="Times New Roman"/>
          <w:sz w:val="21"/>
          <w:szCs w:val="21"/>
          <w:i w:val="1"/>
          <w:iCs w:val="1"/>
          <w:color w:val="auto"/>
        </w:rPr>
        <w:t>Representations</w:t>
      </w:r>
      <w:r>
        <w:rPr>
          <w:rFonts w:ascii="Times New Roman" w:cs="Times New Roman" w:eastAsia="Times New Roman" w:hAnsi="Times New Roman"/>
          <w:sz w:val="21"/>
          <w:szCs w:val="21"/>
          <w:color w:val="auto"/>
        </w:rPr>
        <w:t>) are made and thereafter deemed to be repeated by each Guarantor by reference to the facts and circumstances then subsisting on the date of this Guarantee and (excluding Clauses 3.7 (</w:t>
      </w:r>
      <w:r>
        <w:rPr>
          <w:rFonts w:ascii="Times New Roman" w:cs="Times New Roman" w:eastAsia="Times New Roman" w:hAnsi="Times New Roman"/>
          <w:sz w:val="21"/>
          <w:szCs w:val="21"/>
          <w:i w:val="1"/>
          <w:iCs w:val="1"/>
          <w:color w:val="auto"/>
        </w:rPr>
        <w:t>Deduction of tax</w:t>
      </w:r>
      <w:r>
        <w:rPr>
          <w:rFonts w:ascii="Times New Roman" w:cs="Times New Roman" w:eastAsia="Times New Roman" w:hAnsi="Times New Roman"/>
          <w:sz w:val="21"/>
          <w:szCs w:val="21"/>
          <w:color w:val="auto"/>
        </w:rPr>
        <w:t>) and 3.8 (</w:t>
      </w:r>
      <w:r>
        <w:rPr>
          <w:rFonts w:ascii="Times New Roman" w:cs="Times New Roman" w:eastAsia="Times New Roman" w:hAnsi="Times New Roman"/>
          <w:sz w:val="21"/>
          <w:szCs w:val="21"/>
          <w:i w:val="1"/>
          <w:iCs w:val="1"/>
          <w:color w:val="auto"/>
        </w:rPr>
        <w:t>No filing or stamp taxes</w:t>
      </w:r>
      <w:r>
        <w:rPr>
          <w:rFonts w:ascii="Times New Roman" w:cs="Times New Roman" w:eastAsia="Times New Roman" w:hAnsi="Times New Roman"/>
          <w:sz w:val="21"/>
          <w:szCs w:val="21"/>
          <w:color w:val="auto"/>
        </w:rPr>
        <w:t>)), on the date of each Utilisation Request, each Utilisation Date and the first day of each Interest Period.</w:t>
      </w:r>
    </w:p>
    <w:p>
      <w:pPr>
        <w:spacing w:after="0" w:line="162" w:lineRule="exact"/>
        <w:rPr>
          <w:sz w:val="20"/>
          <w:szCs w:val="20"/>
          <w:color w:val="auto"/>
        </w:rPr>
      </w:pPr>
    </w:p>
    <w:p>
      <w:pPr>
        <w:ind w:left="380" w:hanging="375"/>
        <w:spacing w:after="0"/>
        <w:tabs>
          <w:tab w:leader="none" w:pos="380"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COSTS AND EXPENSES</w:t>
      </w:r>
    </w:p>
    <w:p>
      <w:pPr>
        <w:spacing w:after="0" w:line="223" w:lineRule="exact"/>
        <w:rPr>
          <w:sz w:val="20"/>
          <w:szCs w:val="20"/>
          <w:color w:val="auto"/>
        </w:rPr>
      </w:pPr>
    </w:p>
    <w:p>
      <w:pPr>
        <w:jc w:val="both"/>
        <w:ind w:left="640"/>
        <w:spacing w:after="0" w:line="260" w:lineRule="auto"/>
        <w:rPr>
          <w:sz w:val="20"/>
          <w:szCs w:val="20"/>
          <w:color w:val="auto"/>
        </w:rPr>
      </w:pPr>
      <w:r>
        <w:rPr>
          <w:rFonts w:ascii="Times New Roman" w:cs="Times New Roman" w:eastAsia="Times New Roman" w:hAnsi="Times New Roman"/>
          <w:sz w:val="21"/>
          <w:szCs w:val="21"/>
          <w:color w:val="auto"/>
        </w:rPr>
        <w:t>To the extent not paid by the Borrower in accordance with the terms of the Facility Agreement, the Guarantors shall as soon as reasonably practicable on demand pay to each Secured Party the amount of all costs and expenses (including legal fees) incurred by that Secured Party in connection with the enforcement of, or the preservation of any rights under, this Guarantee and with any proceedings instituted by or against that Secured Party as a consequence of it entering into this Guarantee or enforcing those rights.</w:t>
      </w:r>
    </w:p>
    <w:p>
      <w:pPr>
        <w:spacing w:after="0" w:line="162" w:lineRule="exact"/>
        <w:rPr>
          <w:sz w:val="20"/>
          <w:szCs w:val="20"/>
          <w:color w:val="auto"/>
        </w:rPr>
      </w:pPr>
    </w:p>
    <w:p>
      <w:pPr>
        <w:ind w:left="380" w:hanging="375"/>
        <w:spacing w:after="0"/>
        <w:tabs>
          <w:tab w:leader="none" w:pos="38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PROVISIONS AS TO GUARANTEE AND INDEMNITY</w:t>
      </w:r>
    </w:p>
    <w:p>
      <w:pPr>
        <w:spacing w:after="0" w:line="232"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color w:val="auto"/>
        </w:rPr>
        <w:t>5.1</w:t>
      </w:r>
      <w:r>
        <w:rPr>
          <w:sz w:val="20"/>
          <w:szCs w:val="20"/>
          <w:color w:val="auto"/>
        </w:rPr>
        <w:tab/>
      </w:r>
      <w:r>
        <w:rPr>
          <w:rFonts w:ascii="Times New Roman" w:cs="Times New Roman" w:eastAsia="Times New Roman" w:hAnsi="Times New Roman"/>
          <w:sz w:val="21"/>
          <w:szCs w:val="21"/>
          <w:b w:val="1"/>
          <w:bCs w:val="1"/>
          <w:color w:val="auto"/>
        </w:rPr>
        <w:t>Continuing guarantee</w:t>
      </w:r>
    </w:p>
    <w:p>
      <w:pPr>
        <w:spacing w:after="0" w:line="223" w:lineRule="exact"/>
        <w:rPr>
          <w:sz w:val="20"/>
          <w:szCs w:val="20"/>
          <w:color w:val="auto"/>
        </w:rPr>
      </w:pPr>
    </w:p>
    <w:p>
      <w:pPr>
        <w:jc w:val="both"/>
        <w:ind w:left="640"/>
        <w:spacing w:after="0" w:line="259" w:lineRule="auto"/>
        <w:rPr>
          <w:sz w:val="20"/>
          <w:szCs w:val="20"/>
          <w:color w:val="auto"/>
        </w:rPr>
      </w:pPr>
      <w:r>
        <w:rPr>
          <w:rFonts w:ascii="Times New Roman" w:cs="Times New Roman" w:eastAsia="Times New Roman" w:hAnsi="Times New Roman"/>
          <w:sz w:val="21"/>
          <w:szCs w:val="21"/>
          <w:color w:val="auto"/>
        </w:rPr>
        <w:t>The obligations of each of the Guarantors under this Guarantee are continuing and will extend to the ultimate balance of sums payable by the Borrower under the Finance Documents to any Secured Party (or otherwise to fund a Cost Overrun or to ensure that Practical Completion takes place no later than the Required Completion Date), regardless of any intermediate payment or discharge in whole or in part.</w:t>
      </w:r>
    </w:p>
    <w:p>
      <w:pPr>
        <w:spacing w:after="0" w:line="177"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color w:val="auto"/>
        </w:rPr>
        <w:t>5.2</w:t>
      </w:r>
      <w:r>
        <w:rPr>
          <w:sz w:val="20"/>
          <w:szCs w:val="20"/>
          <w:color w:val="auto"/>
        </w:rPr>
        <w:tab/>
      </w:r>
      <w:r>
        <w:rPr>
          <w:rFonts w:ascii="Times New Roman" w:cs="Times New Roman" w:eastAsia="Times New Roman" w:hAnsi="Times New Roman"/>
          <w:sz w:val="21"/>
          <w:szCs w:val="21"/>
          <w:b w:val="1"/>
          <w:bCs w:val="1"/>
          <w:color w:val="auto"/>
        </w:rPr>
        <w:t>Reinstatement</w:t>
      </w:r>
    </w:p>
    <w:p>
      <w:pPr>
        <w:spacing w:after="0" w:line="223" w:lineRule="exact"/>
        <w:rPr>
          <w:sz w:val="20"/>
          <w:szCs w:val="20"/>
          <w:color w:val="auto"/>
        </w:rPr>
      </w:pPr>
    </w:p>
    <w:p>
      <w:pPr>
        <w:jc w:val="both"/>
        <w:ind w:left="640"/>
        <w:spacing w:after="0" w:line="256" w:lineRule="auto"/>
        <w:rPr>
          <w:sz w:val="20"/>
          <w:szCs w:val="20"/>
          <w:color w:val="auto"/>
        </w:rPr>
      </w:pPr>
      <w:r>
        <w:rPr>
          <w:rFonts w:ascii="Times New Roman" w:cs="Times New Roman" w:eastAsia="Times New Roman" w:hAnsi="Times New Roman"/>
          <w:sz w:val="21"/>
          <w:szCs w:val="21"/>
          <w:color w:val="auto"/>
        </w:rPr>
        <w:t>If any discharge, release or arrangement (whether in respect of the obligations of the Borrower or any security for those obligations or otherwise) is made by a Secured Party in whole or in part on the basis of any payment, security or other disposition which is avoided or must be restored in insolvency, liquidation, administration or otherwise, without limitation, then the liability of each of the Guarantors under this Guarantee will continue or be reinstated as if the discharge, release or arrangement had not occurred.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40"/>
          </w:cols>
          <w:pgMar w:left="320" w:top="1385" w:right="339" w:bottom="1440" w:gutter="0" w:footer="0" w:header="0"/>
        </w:sectPr>
      </w:pPr>
    </w:p>
    <w:bookmarkStart w:id="14" w:name="page15"/>
    <w:bookmarkEnd w:id="14"/>
    <w:p>
      <w:pPr>
        <w:spacing w:after="0"/>
        <w:tabs>
          <w:tab w:leader="none" w:pos="460" w:val="left"/>
        </w:tabs>
        <w:rPr>
          <w:sz w:val="20"/>
          <w:szCs w:val="20"/>
          <w:color w:val="auto"/>
        </w:rPr>
      </w:pPr>
      <w:r>
        <w:rPr>
          <w:rFonts w:ascii="Times New Roman" w:cs="Times New Roman" w:eastAsia="Times New Roman" w:hAnsi="Times New Roman"/>
          <w:sz w:val="21"/>
          <w:szCs w:val="21"/>
          <w:color w:val="auto"/>
        </w:rPr>
        <w:t>5.3</w:t>
      </w:r>
      <w:r>
        <w:rPr>
          <w:sz w:val="20"/>
          <w:szCs w:val="20"/>
          <w:color w:val="auto"/>
        </w:rPr>
        <w:tab/>
      </w:r>
      <w:r>
        <w:rPr>
          <w:rFonts w:ascii="Times New Roman" w:cs="Times New Roman" w:eastAsia="Times New Roman" w:hAnsi="Times New Roman"/>
          <w:sz w:val="20"/>
          <w:szCs w:val="20"/>
          <w:b w:val="1"/>
          <w:bCs w:val="1"/>
          <w:color w:val="auto"/>
        </w:rPr>
        <w:t>Waiver of defences</w:t>
      </w:r>
    </w:p>
    <w:p>
      <w:pPr>
        <w:spacing w:after="0" w:line="223" w:lineRule="exact"/>
        <w:rPr>
          <w:sz w:val="20"/>
          <w:szCs w:val="20"/>
          <w:color w:val="auto"/>
        </w:rPr>
      </w:pPr>
    </w:p>
    <w:p>
      <w:pPr>
        <w:jc w:val="both"/>
        <w:ind w:left="640"/>
        <w:spacing w:after="0" w:line="271" w:lineRule="auto"/>
        <w:rPr>
          <w:sz w:val="20"/>
          <w:szCs w:val="20"/>
          <w:color w:val="auto"/>
        </w:rPr>
      </w:pPr>
      <w:r>
        <w:rPr>
          <w:rFonts w:ascii="Times New Roman" w:cs="Times New Roman" w:eastAsia="Times New Roman" w:hAnsi="Times New Roman"/>
          <w:sz w:val="21"/>
          <w:szCs w:val="21"/>
          <w:color w:val="auto"/>
        </w:rPr>
        <w:t>The obligations of each of the Guarantors under this Guarantee will not be affected by any act, omission, matter or thing which, but for this Clause, would reduce, release or prejudice any of their obligations under this Guarantee (without limitation and whether or not known to it or any Secured Party) including:</w:t>
      </w:r>
    </w:p>
    <w:p>
      <w:pPr>
        <w:spacing w:after="0" w:line="156" w:lineRule="exact"/>
        <w:rPr>
          <w:sz w:val="20"/>
          <w:szCs w:val="20"/>
          <w:color w:val="auto"/>
        </w:rPr>
      </w:pPr>
    </w:p>
    <w:p>
      <w:pPr>
        <w:ind w:left="1080" w:hanging="443"/>
        <w:spacing w:after="0"/>
        <w:tabs>
          <w:tab w:leader="none" w:pos="1080"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time, waiver or consent granted to, or composition with, the Borrower or other person;</w:t>
      </w:r>
    </w:p>
    <w:p>
      <w:pPr>
        <w:spacing w:after="0" w:line="219" w:lineRule="exact"/>
        <w:rPr>
          <w:rFonts w:ascii="Times New Roman" w:cs="Times New Roman" w:eastAsia="Times New Roman" w:hAnsi="Times New Roman"/>
          <w:sz w:val="21"/>
          <w:szCs w:val="21"/>
          <w:color w:val="auto"/>
        </w:rPr>
      </w:pPr>
    </w:p>
    <w:p>
      <w:pPr>
        <w:ind w:left="1260" w:hanging="623"/>
        <w:spacing w:after="0" w:line="282" w:lineRule="auto"/>
        <w:tabs>
          <w:tab w:leader="none" w:pos="1098"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release of the Borrower or any other person under the terms of any composition or arrangement with any creditor of the Borrower;</w:t>
      </w:r>
    </w:p>
    <w:p>
      <w:pPr>
        <w:spacing w:after="0" w:line="143" w:lineRule="exact"/>
        <w:rPr>
          <w:rFonts w:ascii="Times New Roman" w:cs="Times New Roman" w:eastAsia="Times New Roman" w:hAnsi="Times New Roman"/>
          <w:sz w:val="21"/>
          <w:szCs w:val="21"/>
          <w:color w:val="auto"/>
        </w:rPr>
      </w:pPr>
    </w:p>
    <w:p>
      <w:pPr>
        <w:ind w:left="1260" w:hanging="623"/>
        <w:spacing w:after="0" w:line="264" w:lineRule="auto"/>
        <w:tabs>
          <w:tab w:leader="none" w:pos="1075"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taking, variation, compromise, exchange, renewal or release of, or refusal or neglect to perfect, preserve or maintain, take up or enforce, any rights against, or security over assets of or other guarantee in respect of, the Borrower or other person or any non-presentation or non-observance of any formality or other requirement in respect of any instrument or any failure to realise the full value of any Security;</w:t>
      </w:r>
    </w:p>
    <w:p>
      <w:pPr>
        <w:spacing w:after="0" w:line="161" w:lineRule="exact"/>
        <w:rPr>
          <w:rFonts w:ascii="Times New Roman" w:cs="Times New Roman" w:eastAsia="Times New Roman" w:hAnsi="Times New Roman"/>
          <w:sz w:val="21"/>
          <w:szCs w:val="21"/>
          <w:color w:val="auto"/>
        </w:rPr>
      </w:pPr>
    </w:p>
    <w:p>
      <w:pPr>
        <w:ind w:left="1260" w:hanging="623"/>
        <w:spacing w:after="0" w:line="282" w:lineRule="auto"/>
        <w:tabs>
          <w:tab w:leader="none" w:pos="1135"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incapacity or lack of power, authority or legal personality of or dissolution or change in the members or status of the Borrower or any other person;</w:t>
      </w:r>
    </w:p>
    <w:p>
      <w:pPr>
        <w:spacing w:after="0" w:line="143" w:lineRule="exact"/>
        <w:rPr>
          <w:rFonts w:ascii="Times New Roman" w:cs="Times New Roman" w:eastAsia="Times New Roman" w:hAnsi="Times New Roman"/>
          <w:sz w:val="21"/>
          <w:szCs w:val="21"/>
          <w:color w:val="auto"/>
        </w:rPr>
      </w:pPr>
    </w:p>
    <w:p>
      <w:pPr>
        <w:ind w:left="1260" w:hanging="623"/>
        <w:spacing w:after="0" w:line="260" w:lineRule="auto"/>
        <w:tabs>
          <w:tab w:leader="none" w:pos="1079"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amendment, novation, supplement, extension (whether of maturity or otherwise), restatement (in each case however fundamental and of whatsoever nature and whether or not more onerous) or replacement of a Finance Document or any other document or security (including, without limitation, any change in the purpose of, any extension of, or any variation or increase in any facility or amount made available under any facility or the addition of any new facility under any Finance Document or other documents or security);</w:t>
      </w:r>
    </w:p>
    <w:p>
      <w:pPr>
        <w:spacing w:after="0" w:line="165" w:lineRule="exact"/>
        <w:rPr>
          <w:rFonts w:ascii="Times New Roman" w:cs="Times New Roman" w:eastAsia="Times New Roman" w:hAnsi="Times New Roman"/>
          <w:sz w:val="21"/>
          <w:szCs w:val="21"/>
          <w:color w:val="auto"/>
        </w:rPr>
      </w:pPr>
    </w:p>
    <w:p>
      <w:pPr>
        <w:ind w:left="1260" w:hanging="623"/>
        <w:spacing w:after="0" w:line="295" w:lineRule="auto"/>
        <w:tabs>
          <w:tab w:leader="none" w:pos="1231"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unenforceability, illegality, invalidity or non-provability of any obligation of any person under any Finance Document or any other document or security; or</w:t>
      </w:r>
    </w:p>
    <w:p>
      <w:pPr>
        <w:spacing w:after="0" w:line="130" w:lineRule="exact"/>
        <w:rPr>
          <w:rFonts w:ascii="Times New Roman" w:cs="Times New Roman" w:eastAsia="Times New Roman" w:hAnsi="Times New Roman"/>
          <w:sz w:val="21"/>
          <w:szCs w:val="21"/>
          <w:color w:val="auto"/>
        </w:rPr>
      </w:pPr>
    </w:p>
    <w:p>
      <w:pPr>
        <w:ind w:left="1100" w:hanging="463"/>
        <w:spacing w:after="0"/>
        <w:tabs>
          <w:tab w:leader="none" w:pos="1100"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insolvency, resolution or similar proceedings.</w:t>
      </w:r>
    </w:p>
    <w:p>
      <w:pPr>
        <w:spacing w:after="0" w:line="215"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color w:val="auto"/>
        </w:rPr>
        <w:t>5.4</w:t>
      </w:r>
      <w:r>
        <w:rPr>
          <w:sz w:val="20"/>
          <w:szCs w:val="20"/>
          <w:color w:val="auto"/>
        </w:rPr>
        <w:tab/>
      </w:r>
      <w:r>
        <w:rPr>
          <w:rFonts w:ascii="Times New Roman" w:cs="Times New Roman" w:eastAsia="Times New Roman" w:hAnsi="Times New Roman"/>
          <w:sz w:val="20"/>
          <w:szCs w:val="20"/>
          <w:b w:val="1"/>
          <w:bCs w:val="1"/>
          <w:color w:val="auto"/>
        </w:rPr>
        <w:t>Guarantor intent</w:t>
      </w:r>
    </w:p>
    <w:p>
      <w:pPr>
        <w:spacing w:after="0" w:line="221" w:lineRule="exact"/>
        <w:rPr>
          <w:sz w:val="20"/>
          <w:szCs w:val="20"/>
          <w:color w:val="auto"/>
        </w:rPr>
      </w:pPr>
    </w:p>
    <w:p>
      <w:pPr>
        <w:jc w:val="both"/>
        <w:ind w:left="640"/>
        <w:spacing w:after="0" w:line="256" w:lineRule="auto"/>
        <w:rPr>
          <w:sz w:val="20"/>
          <w:szCs w:val="20"/>
          <w:color w:val="auto"/>
        </w:rPr>
      </w:pPr>
      <w:r>
        <w:rPr>
          <w:rFonts w:ascii="Times New Roman" w:cs="Times New Roman" w:eastAsia="Times New Roman" w:hAnsi="Times New Roman"/>
          <w:sz w:val="21"/>
          <w:szCs w:val="21"/>
          <w:color w:val="auto"/>
        </w:rPr>
        <w:t>Without prejudice to the generality of Clause 5.3 (</w:t>
      </w:r>
      <w:r>
        <w:rPr>
          <w:rFonts w:ascii="Times New Roman" w:cs="Times New Roman" w:eastAsia="Times New Roman" w:hAnsi="Times New Roman"/>
          <w:sz w:val="21"/>
          <w:szCs w:val="21"/>
          <w:i w:val="1"/>
          <w:iCs w:val="1"/>
          <w:color w:val="auto"/>
        </w:rPr>
        <w:t>Waiver of Defences</w:t>
      </w:r>
      <w:r>
        <w:rPr>
          <w:rFonts w:ascii="Times New Roman" w:cs="Times New Roman" w:eastAsia="Times New Roman" w:hAnsi="Times New Roman"/>
          <w:sz w:val="21"/>
          <w:szCs w:val="21"/>
          <w:color w:val="auto"/>
        </w:rPr>
        <w:t>), each Guarantor expressly confirms that it intends that this Guarantee shall extend from time to time to any (however fundamental and of whatsoever nature and whether or not more onerous) variation, increase, extension or addition of or to any of the Transaction Documents and/or any facility or amount made available under any of the Transaction Documents for the purposes of or in connection with any of the following: acquisitions of any nature; increasing working capital; enabling distributions to be made; carrying out restructurings; refinancing existing facilities; refinancing any other indebtedness; making facilities available to new borrowers; any other variation or extension of the purposes for which any such facility or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240"/>
          </w:cols>
          <w:pgMar w:left="320" w:top="1385" w:right="339" w:bottom="1440" w:gutter="0" w:footer="0" w:header="0"/>
        </w:sectPr>
      </w:pPr>
    </w:p>
    <w:bookmarkStart w:id="15" w:name="page16"/>
    <w:bookmarkEnd w:id="15"/>
    <w:p>
      <w:pPr>
        <w:ind w:left="640"/>
        <w:spacing w:after="0"/>
        <w:rPr>
          <w:sz w:val="20"/>
          <w:szCs w:val="20"/>
          <w:color w:val="auto"/>
        </w:rPr>
      </w:pPr>
      <w:r>
        <w:rPr>
          <w:rFonts w:ascii="Times New Roman" w:cs="Times New Roman" w:eastAsia="Times New Roman" w:hAnsi="Times New Roman"/>
          <w:sz w:val="21"/>
          <w:szCs w:val="21"/>
          <w:color w:val="auto"/>
        </w:rPr>
        <w:t>might be made available from time to time; and any fees, costs and/or expenses associated with any of the foregoing.</w:t>
      </w:r>
    </w:p>
    <w:p>
      <w:pPr>
        <w:spacing w:after="0" w:line="215"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color w:val="auto"/>
        </w:rPr>
        <w:t>5.5</w:t>
      </w:r>
      <w:r>
        <w:rPr>
          <w:sz w:val="20"/>
          <w:szCs w:val="20"/>
          <w:color w:val="auto"/>
        </w:rPr>
        <w:tab/>
      </w:r>
      <w:r>
        <w:rPr>
          <w:rFonts w:ascii="Times New Roman" w:cs="Times New Roman" w:eastAsia="Times New Roman" w:hAnsi="Times New Roman"/>
          <w:sz w:val="21"/>
          <w:szCs w:val="21"/>
          <w:b w:val="1"/>
          <w:bCs w:val="1"/>
          <w:color w:val="auto"/>
        </w:rPr>
        <w:t>Immediate recourse</w:t>
      </w:r>
    </w:p>
    <w:p>
      <w:pPr>
        <w:spacing w:after="0" w:line="223" w:lineRule="exact"/>
        <w:rPr>
          <w:sz w:val="20"/>
          <w:szCs w:val="20"/>
          <w:color w:val="auto"/>
        </w:rPr>
      </w:pPr>
    </w:p>
    <w:p>
      <w:pPr>
        <w:jc w:val="both"/>
        <w:ind w:left="640"/>
        <w:spacing w:after="0" w:line="264" w:lineRule="auto"/>
        <w:rPr>
          <w:sz w:val="20"/>
          <w:szCs w:val="20"/>
          <w:color w:val="auto"/>
        </w:rPr>
      </w:pPr>
      <w:r>
        <w:rPr>
          <w:rFonts w:ascii="Times New Roman" w:cs="Times New Roman" w:eastAsia="Times New Roman" w:hAnsi="Times New Roman"/>
          <w:sz w:val="21"/>
          <w:szCs w:val="21"/>
          <w:color w:val="auto"/>
        </w:rPr>
        <w:t>Each Guarantor waives any right it may have of first requiring any Secured Party (or any trustee or agent on its behalf) to proceed against or enforce any other rights or security or claim payment from any person before claiming from any of the Guarantors under this Guarantee. This waiver applies irrespective of any law or any provision of any document to the contrary.</w:t>
      </w:r>
    </w:p>
    <w:p>
      <w:pPr>
        <w:spacing w:after="0" w:line="157"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color w:val="auto"/>
        </w:rPr>
        <w:t>5.6</w:t>
      </w:r>
      <w:r>
        <w:rPr>
          <w:sz w:val="20"/>
          <w:szCs w:val="20"/>
          <w:color w:val="auto"/>
        </w:rPr>
        <w:tab/>
      </w:r>
      <w:r>
        <w:rPr>
          <w:rFonts w:ascii="Times New Roman" w:cs="Times New Roman" w:eastAsia="Times New Roman" w:hAnsi="Times New Roman"/>
          <w:sz w:val="20"/>
          <w:szCs w:val="20"/>
          <w:b w:val="1"/>
          <w:bCs w:val="1"/>
          <w:color w:val="auto"/>
        </w:rPr>
        <w:t>Appropriations</w:t>
      </w:r>
    </w:p>
    <w:p>
      <w:pPr>
        <w:spacing w:after="0" w:line="2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Until the Completion Guarantee Discharge Date, each Secured Party (or any trustee or agent on its behalf) may:</w:t>
      </w:r>
    </w:p>
    <w:p>
      <w:pPr>
        <w:spacing w:after="0" w:line="232" w:lineRule="exact"/>
        <w:rPr>
          <w:sz w:val="20"/>
          <w:szCs w:val="20"/>
          <w:color w:val="auto"/>
        </w:rPr>
      </w:pPr>
    </w:p>
    <w:p>
      <w:pPr>
        <w:ind w:left="1260" w:hanging="623"/>
        <w:spacing w:after="0" w:line="259" w:lineRule="auto"/>
        <w:tabs>
          <w:tab w:leader="none" w:pos="1116"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refrain from applying or enforcing any other moneys, security or rights held or received by that Secured Party (or any trustee or agent on its behalf) in respect of those amounts, or apply and enforce the same in such manner and order as it sees fit (whether against those amounts or otherwise) and the Guarantors shall not be entitled to the benefit of the same; and</w:t>
      </w:r>
    </w:p>
    <w:p>
      <w:pPr>
        <w:spacing w:after="0" w:line="168" w:lineRule="exact"/>
        <w:rPr>
          <w:rFonts w:ascii="Times New Roman" w:cs="Times New Roman" w:eastAsia="Times New Roman" w:hAnsi="Times New Roman"/>
          <w:sz w:val="21"/>
          <w:szCs w:val="21"/>
          <w:color w:val="auto"/>
        </w:rPr>
      </w:pPr>
    </w:p>
    <w:p>
      <w:pPr>
        <w:ind w:left="1260" w:hanging="623"/>
        <w:spacing w:after="0" w:line="282" w:lineRule="auto"/>
        <w:tabs>
          <w:tab w:leader="none" w:pos="1121"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hold in a suspense account any moneys received from any of the Guarantors or on account of any Guarantor's liability under this Guarantee.</w:t>
      </w:r>
    </w:p>
    <w:p>
      <w:pPr>
        <w:spacing w:after="0" w:line="152"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color w:val="auto"/>
        </w:rPr>
        <w:t>5.7</w:t>
      </w:r>
      <w:r>
        <w:rPr>
          <w:sz w:val="20"/>
          <w:szCs w:val="20"/>
          <w:color w:val="auto"/>
        </w:rPr>
        <w:tab/>
      </w:r>
      <w:r>
        <w:rPr>
          <w:rFonts w:ascii="Times New Roman" w:cs="Times New Roman" w:eastAsia="Times New Roman" w:hAnsi="Times New Roman"/>
          <w:sz w:val="20"/>
          <w:szCs w:val="20"/>
          <w:b w:val="1"/>
          <w:bCs w:val="1"/>
          <w:color w:val="auto"/>
        </w:rPr>
        <w:t>Deferral of Guarantors' rights</w:t>
      </w:r>
    </w:p>
    <w:p>
      <w:pPr>
        <w:spacing w:after="0" w:line="223" w:lineRule="exact"/>
        <w:rPr>
          <w:sz w:val="20"/>
          <w:szCs w:val="20"/>
          <w:color w:val="auto"/>
        </w:rPr>
      </w:pPr>
    </w:p>
    <w:p>
      <w:pPr>
        <w:jc w:val="both"/>
        <w:ind w:left="640"/>
        <w:spacing w:after="0" w:line="259" w:lineRule="auto"/>
        <w:rPr>
          <w:sz w:val="20"/>
          <w:szCs w:val="20"/>
          <w:color w:val="auto"/>
        </w:rPr>
      </w:pPr>
      <w:r>
        <w:rPr>
          <w:rFonts w:ascii="Times New Roman" w:cs="Times New Roman" w:eastAsia="Times New Roman" w:hAnsi="Times New Roman"/>
          <w:sz w:val="21"/>
          <w:szCs w:val="21"/>
          <w:color w:val="auto"/>
        </w:rPr>
        <w:t>Until the date on which the Security Agent is satisfied that all Secured Liabilities have been irrevocably and unconditionally paid and discharged in full and the Commitments of each Lender are reduced to nil and unless the Security Agent otherwise directs in writing, no Guarantor shall exercise any rights which it may have by reason of performance by it of its obligations under the Finance Documents or by reason of any amount being payable or liability arising under this Guarantee:</w:t>
      </w:r>
    </w:p>
    <w:p>
      <w:pPr>
        <w:spacing w:after="0" w:line="181" w:lineRule="exact"/>
        <w:rPr>
          <w:sz w:val="20"/>
          <w:szCs w:val="20"/>
          <w:color w:val="auto"/>
        </w:rPr>
      </w:pPr>
    </w:p>
    <w:p>
      <w:pPr>
        <w:ind w:left="1080" w:hanging="443"/>
        <w:spacing w:after="0"/>
        <w:tabs>
          <w:tab w:leader="none" w:pos="1080"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be indemnified by the Borrower;</w:t>
      </w:r>
    </w:p>
    <w:p>
      <w:pPr>
        <w:spacing w:after="0" w:line="219" w:lineRule="exact"/>
        <w:rPr>
          <w:rFonts w:ascii="Times New Roman" w:cs="Times New Roman" w:eastAsia="Times New Roman" w:hAnsi="Times New Roman"/>
          <w:sz w:val="21"/>
          <w:szCs w:val="21"/>
          <w:color w:val="auto"/>
        </w:rPr>
      </w:pPr>
    </w:p>
    <w:p>
      <w:pPr>
        <w:ind w:left="1100" w:hanging="463"/>
        <w:spacing w:after="0"/>
        <w:tabs>
          <w:tab w:leader="none" w:pos="1100"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claim any contribution from any other guarantor of the Borrower's obligations under the Transaction Documents;</w:t>
      </w:r>
    </w:p>
    <w:p>
      <w:pPr>
        <w:spacing w:after="0" w:line="219" w:lineRule="exact"/>
        <w:rPr>
          <w:rFonts w:ascii="Times New Roman" w:cs="Times New Roman" w:eastAsia="Times New Roman" w:hAnsi="Times New Roman"/>
          <w:sz w:val="21"/>
          <w:szCs w:val="21"/>
          <w:color w:val="auto"/>
        </w:rPr>
      </w:pPr>
    </w:p>
    <w:p>
      <w:pPr>
        <w:ind w:left="1260" w:hanging="623"/>
        <w:spacing w:after="0" w:line="265" w:lineRule="auto"/>
        <w:tabs>
          <w:tab w:leader="none" w:pos="1131"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take the benefit (in whole or in part and whether by way of subrogation or otherwise) of any rights of the Secured Parties under the Finance Documents or of any other guarantee or security taken pursuant to, or in connection with, the Finance Documents by any Secured Party;</w:t>
      </w:r>
    </w:p>
    <w:p>
      <w:pPr>
        <w:spacing w:after="0" w:line="173" w:lineRule="exact"/>
        <w:rPr>
          <w:rFonts w:ascii="Times New Roman" w:cs="Times New Roman" w:eastAsia="Times New Roman" w:hAnsi="Times New Roman"/>
          <w:sz w:val="21"/>
          <w:szCs w:val="21"/>
          <w:color w:val="auto"/>
        </w:rPr>
      </w:pPr>
    </w:p>
    <w:p>
      <w:pPr>
        <w:ind w:left="1260" w:hanging="623"/>
        <w:spacing w:after="0" w:line="282" w:lineRule="auto"/>
        <w:tabs>
          <w:tab w:leader="none" w:pos="1087"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bring legal or other proceedings for an order requiring the Borrower to make any payment, or perform any obligation, in respect of which the Guarantors has given a guarantee, undertaking or indemnity under this Guarantee;</w:t>
      </w:r>
    </w:p>
    <w:p>
      <w:pPr>
        <w:spacing w:after="0" w:line="143" w:lineRule="exact"/>
        <w:rPr>
          <w:rFonts w:ascii="Times New Roman" w:cs="Times New Roman" w:eastAsia="Times New Roman" w:hAnsi="Times New Roman"/>
          <w:sz w:val="21"/>
          <w:szCs w:val="21"/>
          <w:color w:val="auto"/>
        </w:rPr>
      </w:pPr>
    </w:p>
    <w:p>
      <w:pPr>
        <w:ind w:left="1080" w:hanging="443"/>
        <w:spacing w:after="0"/>
        <w:tabs>
          <w:tab w:leader="none" w:pos="1080"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exercise any right of set-off against the Borrower; and/or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1240"/>
          </w:cols>
          <w:pgMar w:left="320" w:top="1389" w:right="339" w:bottom="1440" w:gutter="0" w:footer="0" w:header="0"/>
        </w:sectPr>
      </w:pPr>
    </w:p>
    <w:bookmarkStart w:id="16" w:name="page17"/>
    <w:bookmarkEnd w:id="16"/>
    <w:p>
      <w:pPr>
        <w:ind w:left="1060" w:hanging="423"/>
        <w:spacing w:after="0"/>
        <w:tabs>
          <w:tab w:leader="none" w:pos="1060"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claim or prove as a creditor of the Borrower in competition with any Secured Party.</w:t>
      </w:r>
    </w:p>
    <w:p>
      <w:pPr>
        <w:spacing w:after="0" w:line="219" w:lineRule="exact"/>
        <w:rPr>
          <w:sz w:val="20"/>
          <w:szCs w:val="20"/>
          <w:color w:val="auto"/>
        </w:rPr>
      </w:pPr>
    </w:p>
    <w:p>
      <w:pPr>
        <w:jc w:val="both"/>
        <w:ind w:left="640"/>
        <w:spacing w:after="0" w:line="264" w:lineRule="auto"/>
        <w:rPr>
          <w:sz w:val="20"/>
          <w:szCs w:val="20"/>
          <w:color w:val="auto"/>
        </w:rPr>
      </w:pPr>
      <w:r>
        <w:rPr>
          <w:rFonts w:ascii="Times New Roman" w:cs="Times New Roman" w:eastAsia="Times New Roman" w:hAnsi="Times New Roman"/>
          <w:sz w:val="21"/>
          <w:szCs w:val="21"/>
          <w:color w:val="auto"/>
        </w:rPr>
        <w:t>If any Guarantor receives any benefit, payment or distribution in relation to such rights it shall hold that benefit, payment or distribution to the extent necessary to enable all the Secured Liabilities to be repaid in full, on trust for the Secured Parties and shall as soon as reasonably practicable pay or transfer the same to the Security Agent or as the Security Agent may direct for application in accordance with the Facility Agreement.</w:t>
      </w:r>
    </w:p>
    <w:p>
      <w:pPr>
        <w:spacing w:after="0" w:line="157"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color w:val="auto"/>
        </w:rPr>
        <w:t>5.8</w:t>
      </w:r>
      <w:r>
        <w:rPr>
          <w:sz w:val="20"/>
          <w:szCs w:val="20"/>
          <w:color w:val="auto"/>
        </w:rPr>
        <w:tab/>
      </w:r>
      <w:r>
        <w:rPr>
          <w:rFonts w:ascii="Times New Roman" w:cs="Times New Roman" w:eastAsia="Times New Roman" w:hAnsi="Times New Roman"/>
          <w:sz w:val="20"/>
          <w:szCs w:val="20"/>
          <w:b w:val="1"/>
          <w:bCs w:val="1"/>
          <w:color w:val="auto"/>
        </w:rPr>
        <w:t>Additional security</w:t>
      </w:r>
    </w:p>
    <w:p>
      <w:pPr>
        <w:spacing w:after="0" w:line="223" w:lineRule="exact"/>
        <w:rPr>
          <w:sz w:val="20"/>
          <w:szCs w:val="20"/>
          <w:color w:val="auto"/>
        </w:rPr>
      </w:pPr>
    </w:p>
    <w:p>
      <w:pPr>
        <w:jc w:val="both"/>
        <w:ind w:left="640"/>
        <w:spacing w:after="0" w:line="282" w:lineRule="auto"/>
        <w:rPr>
          <w:sz w:val="20"/>
          <w:szCs w:val="20"/>
          <w:color w:val="auto"/>
        </w:rPr>
      </w:pPr>
      <w:r>
        <w:rPr>
          <w:rFonts w:ascii="Times New Roman" w:cs="Times New Roman" w:eastAsia="Times New Roman" w:hAnsi="Times New Roman"/>
          <w:sz w:val="21"/>
          <w:szCs w:val="21"/>
          <w:color w:val="auto"/>
        </w:rPr>
        <w:t>This Guarantee is in addition to and is not in any way prejudiced by any other guarantee or security now or subsequently held by any Secured Party.</w:t>
      </w:r>
    </w:p>
    <w:p>
      <w:pPr>
        <w:spacing w:after="0" w:line="152"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color w:val="auto"/>
        </w:rPr>
        <w:t>5.9</w:t>
      </w:r>
      <w:r>
        <w:rPr>
          <w:sz w:val="20"/>
          <w:szCs w:val="20"/>
          <w:color w:val="auto"/>
        </w:rPr>
        <w:tab/>
      </w:r>
      <w:r>
        <w:rPr>
          <w:rFonts w:ascii="Times New Roman" w:cs="Times New Roman" w:eastAsia="Times New Roman" w:hAnsi="Times New Roman"/>
          <w:sz w:val="20"/>
          <w:szCs w:val="20"/>
          <w:b w:val="1"/>
          <w:bCs w:val="1"/>
          <w:color w:val="auto"/>
        </w:rPr>
        <w:t>Waiver of certain provisions of the UAE Civil Code</w:t>
      </w:r>
    </w:p>
    <w:p>
      <w:pPr>
        <w:spacing w:after="0" w:line="223" w:lineRule="exact"/>
        <w:rPr>
          <w:sz w:val="20"/>
          <w:szCs w:val="20"/>
          <w:color w:val="auto"/>
        </w:rPr>
      </w:pPr>
    </w:p>
    <w:p>
      <w:pPr>
        <w:jc w:val="both"/>
        <w:ind w:left="640"/>
        <w:spacing w:after="0" w:line="259" w:lineRule="auto"/>
        <w:rPr>
          <w:sz w:val="20"/>
          <w:szCs w:val="20"/>
          <w:color w:val="auto"/>
        </w:rPr>
      </w:pPr>
      <w:r>
        <w:rPr>
          <w:rFonts w:ascii="Times New Roman" w:cs="Times New Roman" w:eastAsia="Times New Roman" w:hAnsi="Times New Roman"/>
          <w:sz w:val="21"/>
          <w:szCs w:val="21"/>
          <w:color w:val="auto"/>
        </w:rPr>
        <w:t>To the extent possible under the UAE Civil Code, each Guarantor agrees that the provisions of Articles 1080, 1089, 1092, 1101 and 1105 of the UAE Civil Code (to the extent that a court would hold these Articles to be applicable to its obligations under this Guarantee) shall not apply to this Guarantee and, insofar as Article 1092 of the UAE Civil Code is concerned, that no Secured Party shall be obliged to make any demand within the six-month period mentioned in that Article.</w:t>
      </w:r>
    </w:p>
    <w:p>
      <w:pPr>
        <w:spacing w:after="0" w:line="164" w:lineRule="exact"/>
        <w:rPr>
          <w:sz w:val="20"/>
          <w:szCs w:val="20"/>
          <w:color w:val="auto"/>
        </w:rPr>
      </w:pPr>
    </w:p>
    <w:p>
      <w:pPr>
        <w:ind w:left="380" w:hanging="375"/>
        <w:spacing w:after="0"/>
        <w:tabs>
          <w:tab w:leader="none" w:pos="380"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RIGHTS OF THE SECURITY AGENT</w:t>
      </w:r>
    </w:p>
    <w:p>
      <w:pPr>
        <w:spacing w:after="0" w:line="232"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color w:val="auto"/>
        </w:rPr>
        <w:t>6.1</w:t>
      </w:r>
      <w:r>
        <w:rPr>
          <w:sz w:val="20"/>
          <w:szCs w:val="20"/>
          <w:color w:val="auto"/>
        </w:rPr>
        <w:tab/>
      </w:r>
      <w:r>
        <w:rPr>
          <w:rFonts w:ascii="Times New Roman" w:cs="Times New Roman" w:eastAsia="Times New Roman" w:hAnsi="Times New Roman"/>
          <w:sz w:val="21"/>
          <w:szCs w:val="21"/>
          <w:b w:val="1"/>
          <w:bCs w:val="1"/>
          <w:color w:val="auto"/>
        </w:rPr>
        <w:t>Role of the Security Agent</w:t>
      </w:r>
    </w:p>
    <w:p>
      <w:pPr>
        <w:spacing w:after="0" w:line="223" w:lineRule="exact"/>
        <w:rPr>
          <w:sz w:val="20"/>
          <w:szCs w:val="20"/>
          <w:color w:val="auto"/>
        </w:rPr>
      </w:pPr>
    </w:p>
    <w:p>
      <w:pPr>
        <w:jc w:val="both"/>
        <w:ind w:left="640"/>
        <w:spacing w:after="0" w:line="257" w:lineRule="auto"/>
        <w:rPr>
          <w:sz w:val="20"/>
          <w:szCs w:val="20"/>
          <w:color w:val="auto"/>
        </w:rPr>
      </w:pPr>
      <w:r>
        <w:rPr>
          <w:rFonts w:ascii="Times New Roman" w:cs="Times New Roman" w:eastAsia="Times New Roman" w:hAnsi="Times New Roman"/>
          <w:sz w:val="21"/>
          <w:szCs w:val="21"/>
          <w:color w:val="auto"/>
        </w:rPr>
        <w:t>The Security Agent has agreed to become a party to this Agreement for the better presentation and enforcement of its rights and the rights of the Secured Parties. The parties acknowledge that the Security Agent has been appointed as the security agent of and authorised to act on behalf of the Secured Parties pursuant to the Facility Agreement and will exercise its rights under this Agreement in accordance with the terms of the Facility Agreement. The rights, powers, authorities, duties, discretions and protections (including indemnities) given to the Security Agent under the Facility Agreement will apply to this Agreement.</w:t>
      </w:r>
    </w:p>
    <w:p>
      <w:pPr>
        <w:spacing w:after="0" w:line="168"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color w:val="auto"/>
        </w:rPr>
        <w:t>6.2</w:t>
      </w:r>
      <w:r>
        <w:rPr>
          <w:sz w:val="20"/>
          <w:szCs w:val="20"/>
          <w:color w:val="auto"/>
        </w:rPr>
        <w:tab/>
      </w:r>
      <w:r>
        <w:rPr>
          <w:rFonts w:ascii="Times New Roman" w:cs="Times New Roman" w:eastAsia="Times New Roman" w:hAnsi="Times New Roman"/>
          <w:sz w:val="20"/>
          <w:szCs w:val="20"/>
          <w:b w:val="1"/>
          <w:bCs w:val="1"/>
          <w:color w:val="auto"/>
        </w:rPr>
        <w:t>Discretions</w:t>
      </w:r>
    </w:p>
    <w:p>
      <w:pPr>
        <w:spacing w:after="0" w:line="223" w:lineRule="exact"/>
        <w:rPr>
          <w:sz w:val="20"/>
          <w:szCs w:val="20"/>
          <w:color w:val="auto"/>
        </w:rPr>
      </w:pPr>
    </w:p>
    <w:p>
      <w:pPr>
        <w:jc w:val="both"/>
        <w:ind w:left="640"/>
        <w:spacing w:after="0" w:line="282" w:lineRule="auto"/>
        <w:rPr>
          <w:sz w:val="20"/>
          <w:szCs w:val="20"/>
          <w:color w:val="auto"/>
        </w:rPr>
      </w:pPr>
      <w:r>
        <w:rPr>
          <w:rFonts w:ascii="Times New Roman" w:cs="Times New Roman" w:eastAsia="Times New Roman" w:hAnsi="Times New Roman"/>
          <w:sz w:val="21"/>
          <w:szCs w:val="21"/>
          <w:color w:val="auto"/>
        </w:rPr>
        <w:t>Any right which may be exercised or any determination which may be made under this Guarantee by the Security Agent may be exercised or made at its absolute and unfettered discretion.</w:t>
      </w:r>
    </w:p>
    <w:p>
      <w:pPr>
        <w:spacing w:after="0" w:line="152" w:lineRule="exact"/>
        <w:rPr>
          <w:sz w:val="20"/>
          <w:szCs w:val="20"/>
          <w:color w:val="auto"/>
        </w:rPr>
      </w:pPr>
    </w:p>
    <w:p>
      <w:pPr>
        <w:ind w:left="380" w:hanging="375"/>
        <w:spacing w:after="0"/>
        <w:tabs>
          <w:tab w:leader="none" w:pos="380"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SUSPENSE ACCOUNT</w:t>
      </w:r>
    </w:p>
    <w:p>
      <w:pPr>
        <w:spacing w:after="0" w:line="223" w:lineRule="exact"/>
        <w:rPr>
          <w:sz w:val="20"/>
          <w:szCs w:val="20"/>
          <w:color w:val="auto"/>
        </w:rPr>
      </w:pPr>
    </w:p>
    <w:p>
      <w:pPr>
        <w:jc w:val="both"/>
        <w:ind w:left="640"/>
        <w:spacing w:after="0" w:line="259" w:lineRule="auto"/>
        <w:rPr>
          <w:sz w:val="20"/>
          <w:szCs w:val="20"/>
          <w:color w:val="auto"/>
        </w:rPr>
      </w:pPr>
      <w:r>
        <w:rPr>
          <w:rFonts w:ascii="Times New Roman" w:cs="Times New Roman" w:eastAsia="Times New Roman" w:hAnsi="Times New Roman"/>
          <w:sz w:val="21"/>
          <w:szCs w:val="21"/>
          <w:color w:val="auto"/>
        </w:rPr>
        <w:t>All monies received, recovered or realised by a Secured Party under this Guarantee may, at the direction of the Security Agent, be credited to a suspense or impersonal account and may be held in such account for so long as the Security Agent thinks fit pending the application from time to time (as the Security Agent may think fit) of such monies in or towards the payment and discharge of the Secured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1240"/>
          </w:cols>
          <w:pgMar w:left="320" w:top="1389" w:right="339" w:bottom="1440" w:gutter="0" w:footer="0" w:header="0"/>
        </w:sectPr>
      </w:pPr>
    </w:p>
    <w:bookmarkStart w:id="17" w:name="page18"/>
    <w:bookmarkEnd w:id="17"/>
    <w:p>
      <w:pPr>
        <w:ind w:left="380" w:hanging="375"/>
        <w:spacing w:after="0"/>
        <w:tabs>
          <w:tab w:leader="none" w:pos="380"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FURTHER ASSURANCE</w:t>
      </w:r>
    </w:p>
    <w:p>
      <w:pPr>
        <w:spacing w:after="0" w:line="223" w:lineRule="exact"/>
        <w:rPr>
          <w:sz w:val="20"/>
          <w:szCs w:val="20"/>
          <w:color w:val="auto"/>
        </w:rPr>
      </w:pPr>
    </w:p>
    <w:p>
      <w:pPr>
        <w:jc w:val="both"/>
        <w:ind w:left="640"/>
        <w:spacing w:after="0" w:line="264" w:lineRule="auto"/>
        <w:rPr>
          <w:sz w:val="20"/>
          <w:szCs w:val="20"/>
          <w:color w:val="auto"/>
        </w:rPr>
      </w:pPr>
      <w:r>
        <w:rPr>
          <w:rFonts w:ascii="Times New Roman" w:cs="Times New Roman" w:eastAsia="Times New Roman" w:hAnsi="Times New Roman"/>
          <w:sz w:val="21"/>
          <w:szCs w:val="21"/>
          <w:color w:val="auto"/>
        </w:rPr>
        <w:t>Each Guarantor agrees that it shall as soon as reasonably practicable, at the direction of the Security Agent (acting reasonably), execute and deliver at its own expense any document (executed as a deed or under hand as the Security Agent may direct in writing) and do any act or thing in order to confirm or establish the validity and enforceability of the guarantee and indemnity intended to be created by this Guarantee.</w:t>
      </w:r>
    </w:p>
    <w:p>
      <w:pPr>
        <w:spacing w:after="0" w:line="157" w:lineRule="exact"/>
        <w:rPr>
          <w:sz w:val="20"/>
          <w:szCs w:val="20"/>
          <w:color w:val="auto"/>
        </w:rPr>
      </w:pPr>
    </w:p>
    <w:p>
      <w:pPr>
        <w:ind w:left="380" w:hanging="375"/>
        <w:spacing w:after="0"/>
        <w:tabs>
          <w:tab w:leader="none" w:pos="380"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CHANGES TO THE PARTIES</w:t>
      </w:r>
    </w:p>
    <w:p>
      <w:pPr>
        <w:spacing w:after="0" w:line="223" w:lineRule="exact"/>
        <w:rPr>
          <w:rFonts w:ascii="Times New Roman" w:cs="Times New Roman" w:eastAsia="Times New Roman" w:hAnsi="Times New Roman"/>
          <w:sz w:val="21"/>
          <w:szCs w:val="21"/>
          <w:color w:val="auto"/>
        </w:rPr>
      </w:pPr>
    </w:p>
    <w:p>
      <w:pPr>
        <w:ind w:left="1080" w:hanging="443"/>
        <w:spacing w:after="0"/>
        <w:tabs>
          <w:tab w:leader="none" w:pos="1080" w:val="left"/>
        </w:tabs>
        <w:numPr>
          <w:ilvl w:val="1"/>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Guarantor may assign any of its rights or transfer any of its rights or obligations under this Guarantee.</w:t>
      </w:r>
    </w:p>
    <w:p>
      <w:pPr>
        <w:spacing w:after="0" w:line="219" w:lineRule="exact"/>
        <w:rPr>
          <w:rFonts w:ascii="Times New Roman" w:cs="Times New Roman" w:eastAsia="Times New Roman" w:hAnsi="Times New Roman"/>
          <w:sz w:val="21"/>
          <w:szCs w:val="21"/>
          <w:color w:val="auto"/>
        </w:rPr>
      </w:pPr>
    </w:p>
    <w:p>
      <w:pPr>
        <w:ind w:left="1260" w:hanging="623"/>
        <w:spacing w:after="0" w:line="271" w:lineRule="auto"/>
        <w:tabs>
          <w:tab w:leader="none" w:pos="1102" w:val="left"/>
        </w:tabs>
        <w:numPr>
          <w:ilvl w:val="1"/>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Security Agent may assign any of its rights and transfer any of its rights or obligations under this Guarantee at any time to any person to whom it has transferred or assigned all or any of its rights and/or obligations under the Facility Agreement. The Guarantors' consent is not required for any such assignment or transfer by the Security Agent.</w:t>
      </w:r>
    </w:p>
    <w:p>
      <w:pPr>
        <w:spacing w:after="0" w:line="151" w:lineRule="exact"/>
        <w:rPr>
          <w:rFonts w:ascii="Times New Roman" w:cs="Times New Roman" w:eastAsia="Times New Roman" w:hAnsi="Times New Roman"/>
          <w:sz w:val="21"/>
          <w:szCs w:val="21"/>
          <w:color w:val="auto"/>
        </w:rPr>
      </w:pPr>
    </w:p>
    <w:p>
      <w:pPr>
        <w:ind w:left="480" w:hanging="475"/>
        <w:spacing w:after="0"/>
        <w:tabs>
          <w:tab w:leader="none" w:pos="480"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NOTICES</w:t>
      </w:r>
    </w:p>
    <w:p>
      <w:pPr>
        <w:spacing w:after="0" w:line="21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21"/>
          <w:szCs w:val="21"/>
          <w:color w:val="auto"/>
        </w:rPr>
        <w:t>10.1</w:t>
      </w:r>
      <w:r>
        <w:rPr>
          <w:sz w:val="20"/>
          <w:szCs w:val="20"/>
          <w:color w:val="auto"/>
        </w:rPr>
        <w:tab/>
      </w:r>
      <w:r>
        <w:rPr>
          <w:rFonts w:ascii="Times New Roman" w:cs="Times New Roman" w:eastAsia="Times New Roman" w:hAnsi="Times New Roman"/>
          <w:sz w:val="21"/>
          <w:szCs w:val="21"/>
          <w:b w:val="1"/>
          <w:bCs w:val="1"/>
          <w:color w:val="auto"/>
        </w:rPr>
        <w:t>Communications in writing</w:t>
      </w:r>
    </w:p>
    <w:p>
      <w:pPr>
        <w:spacing w:after="0" w:line="223" w:lineRule="exact"/>
        <w:rPr>
          <w:sz w:val="20"/>
          <w:szCs w:val="20"/>
          <w:color w:val="auto"/>
        </w:rPr>
      </w:pPr>
    </w:p>
    <w:p>
      <w:pPr>
        <w:jc w:val="both"/>
        <w:ind w:left="640"/>
        <w:spacing w:after="0" w:line="282" w:lineRule="auto"/>
        <w:rPr>
          <w:sz w:val="20"/>
          <w:szCs w:val="20"/>
          <w:color w:val="auto"/>
        </w:rPr>
      </w:pPr>
      <w:r>
        <w:rPr>
          <w:rFonts w:ascii="Times New Roman" w:cs="Times New Roman" w:eastAsia="Times New Roman" w:hAnsi="Times New Roman"/>
          <w:sz w:val="21"/>
          <w:szCs w:val="21"/>
          <w:color w:val="auto"/>
        </w:rPr>
        <w:t>Any communication to be made under or in connection with this Guarantee shall be made in writing and, unless otherwise stated, may be made by letter.</w:t>
      </w:r>
    </w:p>
    <w:p>
      <w:pPr>
        <w:spacing w:after="0" w:line="15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21"/>
          <w:szCs w:val="21"/>
          <w:color w:val="auto"/>
        </w:rPr>
        <w:t>10.2</w:t>
      </w:r>
      <w:r>
        <w:rPr>
          <w:sz w:val="20"/>
          <w:szCs w:val="20"/>
          <w:color w:val="auto"/>
        </w:rPr>
        <w:tab/>
      </w:r>
      <w:r>
        <w:rPr>
          <w:rFonts w:ascii="Times New Roman" w:cs="Times New Roman" w:eastAsia="Times New Roman" w:hAnsi="Times New Roman"/>
          <w:sz w:val="21"/>
          <w:szCs w:val="21"/>
          <w:b w:val="1"/>
          <w:bCs w:val="1"/>
          <w:color w:val="auto"/>
        </w:rPr>
        <w:t>Addresses</w:t>
      </w:r>
    </w:p>
    <w:p>
      <w:pPr>
        <w:spacing w:after="0" w:line="223" w:lineRule="exact"/>
        <w:rPr>
          <w:sz w:val="20"/>
          <w:szCs w:val="20"/>
          <w:color w:val="auto"/>
        </w:rPr>
      </w:pPr>
    </w:p>
    <w:p>
      <w:pPr>
        <w:jc w:val="both"/>
        <w:ind w:left="640"/>
        <w:spacing w:after="0" w:line="260" w:lineRule="auto"/>
        <w:rPr>
          <w:sz w:val="20"/>
          <w:szCs w:val="20"/>
          <w:color w:val="auto"/>
        </w:rPr>
      </w:pPr>
      <w:r>
        <w:rPr>
          <w:rFonts w:ascii="Times New Roman" w:cs="Times New Roman" w:eastAsia="Times New Roman" w:hAnsi="Times New Roman"/>
          <w:sz w:val="21"/>
          <w:szCs w:val="21"/>
          <w:color w:val="auto"/>
        </w:rPr>
        <w:t>The address (and the department or officer, if any, for whose attention the communication is to be made) of each party to this Guarantee for any communication or document to be made or delivered under or in connection with this Guarantee is that identified with its name in the execution pages to this Guarantee or any substitute address or department or officer as each Guarantor may notify to the Security Agent (or the Security Agent may notify to each Guarantor, if a change is made by the Security Agent) by not less than five (5) Business Days' notice.</w:t>
      </w:r>
    </w:p>
    <w:p>
      <w:pPr>
        <w:spacing w:after="0" w:line="16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21"/>
          <w:szCs w:val="21"/>
          <w:color w:val="auto"/>
        </w:rPr>
        <w:t>10.3</w:t>
      </w:r>
      <w:r>
        <w:rPr>
          <w:sz w:val="20"/>
          <w:szCs w:val="20"/>
          <w:color w:val="auto"/>
        </w:rPr>
        <w:tab/>
      </w:r>
      <w:r>
        <w:rPr>
          <w:rFonts w:ascii="Times New Roman" w:cs="Times New Roman" w:eastAsia="Times New Roman" w:hAnsi="Times New Roman"/>
          <w:sz w:val="21"/>
          <w:szCs w:val="21"/>
          <w:b w:val="1"/>
          <w:bCs w:val="1"/>
          <w:color w:val="auto"/>
        </w:rPr>
        <w:t>Delivery</w:t>
      </w:r>
    </w:p>
    <w:p>
      <w:pPr>
        <w:spacing w:after="0" w:line="223" w:lineRule="exact"/>
        <w:rPr>
          <w:sz w:val="20"/>
          <w:szCs w:val="20"/>
          <w:color w:val="auto"/>
        </w:rPr>
      </w:pPr>
    </w:p>
    <w:p>
      <w:pPr>
        <w:jc w:val="both"/>
        <w:ind w:left="1260" w:hanging="623"/>
        <w:spacing w:after="0" w:line="260" w:lineRule="auto"/>
        <w:tabs>
          <w:tab w:leader="none" w:pos="1229"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communication or document made or delivered by one person to another under or in connection with this Guarantee will only be effective, if by way of letter, when it has been left at the relevant address or five (5) Business Days after being deposited in the post postage prepaid in an envelope addressed to it at that address and, if a particular department or officer is specified as part of its address details provided under Clause 10.2 (</w:t>
      </w:r>
      <w:r>
        <w:rPr>
          <w:rFonts w:ascii="Times New Roman" w:cs="Times New Roman" w:eastAsia="Times New Roman" w:hAnsi="Times New Roman"/>
          <w:sz w:val="21"/>
          <w:szCs w:val="21"/>
          <w:i w:val="1"/>
          <w:iCs w:val="1"/>
          <w:color w:val="auto"/>
        </w:rPr>
        <w:t>Addresses</w:t>
      </w:r>
      <w:r>
        <w:rPr>
          <w:rFonts w:ascii="Times New Roman" w:cs="Times New Roman" w:eastAsia="Times New Roman" w:hAnsi="Times New Roman"/>
          <w:sz w:val="21"/>
          <w:szCs w:val="21"/>
          <w:color w:val="auto"/>
        </w:rPr>
        <w:t>), if addressed to that department or officer.</w:t>
      </w:r>
    </w:p>
    <w:p>
      <w:pPr>
        <w:spacing w:after="0" w:line="165" w:lineRule="exact"/>
        <w:rPr>
          <w:rFonts w:ascii="Times New Roman" w:cs="Times New Roman" w:eastAsia="Times New Roman" w:hAnsi="Times New Roman"/>
          <w:sz w:val="21"/>
          <w:szCs w:val="21"/>
          <w:color w:val="auto"/>
        </w:rPr>
      </w:pPr>
    </w:p>
    <w:p>
      <w:pPr>
        <w:ind w:left="1260" w:hanging="623"/>
        <w:spacing w:after="0" w:line="282" w:lineRule="auto"/>
        <w:tabs>
          <w:tab w:leader="none" w:pos="1137"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communication or document to be made or delivered to the Security Agent will be effective only when actually received by the Security Agent and then only if it is expressly marked for the attention of the department or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w:t>
      </w:r>
    </w:p>
    <w:p>
      <w:pPr>
        <w:sectPr>
          <w:pgSz w:w="11900" w:h="16838" w:orient="portrait"/>
          <w:cols w:equalWidth="0" w:num="1">
            <w:col w:w="11240"/>
          </w:cols>
          <w:pgMar w:left="320" w:top="1385" w:right="339" w:bottom="1440" w:gutter="0" w:footer="0" w:header="0"/>
        </w:sectPr>
      </w:pPr>
    </w:p>
    <w:bookmarkStart w:id="18" w:name="page19"/>
    <w:bookmarkEnd w:id="18"/>
    <w:p>
      <w:pPr>
        <w:ind w:left="1260"/>
        <w:spacing w:after="0" w:line="282" w:lineRule="auto"/>
        <w:rPr>
          <w:sz w:val="20"/>
          <w:szCs w:val="20"/>
          <w:color w:val="auto"/>
        </w:rPr>
      </w:pPr>
      <w:r>
        <w:rPr>
          <w:rFonts w:ascii="Times New Roman" w:cs="Times New Roman" w:eastAsia="Times New Roman" w:hAnsi="Times New Roman"/>
          <w:sz w:val="21"/>
          <w:szCs w:val="21"/>
          <w:color w:val="auto"/>
        </w:rPr>
        <w:t>identified with the Security Agent's signature below (or any substitute department or officer as the Security Agent shall specify for this purpose).</w:t>
      </w:r>
    </w:p>
    <w:p>
      <w:pPr>
        <w:spacing w:after="0" w:line="143" w:lineRule="exact"/>
        <w:rPr>
          <w:sz w:val="20"/>
          <w:szCs w:val="20"/>
          <w:color w:val="auto"/>
        </w:rPr>
      </w:pPr>
    </w:p>
    <w:p>
      <w:pPr>
        <w:ind w:left="1060" w:hanging="423"/>
        <w:spacing w:after="0"/>
        <w:tabs>
          <w:tab w:leader="none" w:pos="1060"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notices from or to each Guarantor shall be sent through the Security Agent.</w:t>
      </w:r>
    </w:p>
    <w:p>
      <w:pPr>
        <w:spacing w:after="0" w:line="232" w:lineRule="exact"/>
        <w:rPr>
          <w:rFonts w:ascii="Times New Roman" w:cs="Times New Roman" w:eastAsia="Times New Roman" w:hAnsi="Times New Roman"/>
          <w:sz w:val="21"/>
          <w:szCs w:val="21"/>
          <w:color w:val="auto"/>
        </w:rPr>
      </w:pPr>
    </w:p>
    <w:p>
      <w:pPr>
        <w:ind w:left="1260" w:hanging="623"/>
        <w:spacing w:after="0" w:line="282" w:lineRule="auto"/>
        <w:tabs>
          <w:tab w:leader="none" w:pos="1123"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communication or document which becomes effective, in accordance with paragraphs (a) to (c) above, after 5.00 p.m. in the place of receipt shall be deemed only to become effective on the following day.</w:t>
      </w:r>
    </w:p>
    <w:p>
      <w:pPr>
        <w:spacing w:after="0" w:line="13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21"/>
          <w:szCs w:val="21"/>
          <w:color w:val="auto"/>
        </w:rPr>
        <w:t>10.4</w:t>
      </w:r>
      <w:r>
        <w:rPr>
          <w:sz w:val="20"/>
          <w:szCs w:val="20"/>
          <w:color w:val="auto"/>
        </w:rPr>
        <w:tab/>
      </w:r>
      <w:r>
        <w:rPr>
          <w:rFonts w:ascii="Times New Roman" w:cs="Times New Roman" w:eastAsia="Times New Roman" w:hAnsi="Times New Roman"/>
          <w:sz w:val="20"/>
          <w:szCs w:val="20"/>
          <w:b w:val="1"/>
          <w:bCs w:val="1"/>
          <w:color w:val="auto"/>
        </w:rPr>
        <w:t>Electronic communication</w:t>
      </w:r>
    </w:p>
    <w:p>
      <w:pPr>
        <w:spacing w:after="0" w:line="223" w:lineRule="exact"/>
        <w:rPr>
          <w:sz w:val="20"/>
          <w:szCs w:val="20"/>
          <w:color w:val="auto"/>
        </w:rPr>
      </w:pPr>
    </w:p>
    <w:p>
      <w:pPr>
        <w:ind w:left="1260" w:hanging="623"/>
        <w:spacing w:after="0" w:line="271" w:lineRule="auto"/>
        <w:tabs>
          <w:tab w:leader="none" w:pos="1157"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communication or document to be made or delivered by one party to another under or in connection with this Guarantee may be made or delivered by electronic mail or other electronic means (including without limitation by way of posting to a secure website) if those two Parties:</w:t>
      </w:r>
    </w:p>
    <w:p>
      <w:pPr>
        <w:spacing w:after="0" w:line="155" w:lineRule="exact"/>
        <w:rPr>
          <w:rFonts w:ascii="Times New Roman" w:cs="Times New Roman" w:eastAsia="Times New Roman" w:hAnsi="Times New Roman"/>
          <w:sz w:val="21"/>
          <w:szCs w:val="21"/>
          <w:color w:val="auto"/>
        </w:rPr>
      </w:pPr>
    </w:p>
    <w:p>
      <w:pPr>
        <w:ind w:left="1900" w:hanging="632"/>
        <w:spacing w:after="0" w:line="282" w:lineRule="auto"/>
        <w:tabs>
          <w:tab w:leader="none" w:pos="1723" w:val="left"/>
        </w:tabs>
        <w:numPr>
          <w:ilvl w:val="1"/>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notify each other in writing of their electronic mail address and/or any other information required to enable the transmission of information by that means; and</w:t>
      </w:r>
    </w:p>
    <w:p>
      <w:pPr>
        <w:spacing w:after="0" w:line="143" w:lineRule="exact"/>
        <w:rPr>
          <w:rFonts w:ascii="Times New Roman" w:cs="Times New Roman" w:eastAsia="Times New Roman" w:hAnsi="Times New Roman"/>
          <w:sz w:val="21"/>
          <w:szCs w:val="21"/>
          <w:color w:val="auto"/>
        </w:rPr>
      </w:pPr>
    </w:p>
    <w:p>
      <w:pPr>
        <w:ind w:left="1900" w:hanging="632"/>
        <w:spacing w:after="0" w:line="282" w:lineRule="auto"/>
        <w:tabs>
          <w:tab w:leader="none" w:pos="1749" w:val="left"/>
        </w:tabs>
        <w:numPr>
          <w:ilvl w:val="1"/>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notify each other of any change to their address or any other such information supplied by them by not less than five (5) Business Days' notice.</w:t>
      </w:r>
    </w:p>
    <w:p>
      <w:pPr>
        <w:spacing w:after="0" w:line="143" w:lineRule="exact"/>
        <w:rPr>
          <w:rFonts w:ascii="Times New Roman" w:cs="Times New Roman" w:eastAsia="Times New Roman" w:hAnsi="Times New Roman"/>
          <w:sz w:val="21"/>
          <w:szCs w:val="21"/>
          <w:color w:val="auto"/>
        </w:rPr>
      </w:pPr>
    </w:p>
    <w:p>
      <w:pPr>
        <w:ind w:left="1260" w:hanging="623"/>
        <w:spacing w:after="0" w:line="271" w:lineRule="auto"/>
        <w:tabs>
          <w:tab w:leader="none" w:pos="1073"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such electronic communication or delivery as specified in paragraph (a) above to be made between a Guarantor and the Security Agent may only be made in that way to the extent that those two parties agree that, unless and until notified to the contrary, this is to be an accepted form of communication or delivery.</w:t>
      </w:r>
    </w:p>
    <w:p>
      <w:pPr>
        <w:spacing w:after="0" w:line="155" w:lineRule="exact"/>
        <w:rPr>
          <w:rFonts w:ascii="Times New Roman" w:cs="Times New Roman" w:eastAsia="Times New Roman" w:hAnsi="Times New Roman"/>
          <w:sz w:val="21"/>
          <w:szCs w:val="21"/>
          <w:color w:val="auto"/>
        </w:rPr>
      </w:pPr>
    </w:p>
    <w:p>
      <w:pPr>
        <w:ind w:left="1260" w:hanging="623"/>
        <w:spacing w:after="0" w:line="264" w:lineRule="auto"/>
        <w:tabs>
          <w:tab w:leader="none" w:pos="1083"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such electronic communication or document as specified in paragraph (a) above made or delivered by one party to another will be effective only when actually received (or made available) in readable form and in the case of any electronic communication or document made or delivered by a Guarantor to the Security Agent only if it is addressed in such a manner as the Security Agent shall specify for this purpose.</w:t>
      </w:r>
    </w:p>
    <w:p>
      <w:pPr>
        <w:spacing w:after="0" w:line="161" w:lineRule="exact"/>
        <w:rPr>
          <w:rFonts w:ascii="Times New Roman" w:cs="Times New Roman" w:eastAsia="Times New Roman" w:hAnsi="Times New Roman"/>
          <w:sz w:val="21"/>
          <w:szCs w:val="21"/>
          <w:color w:val="auto"/>
        </w:rPr>
      </w:pPr>
    </w:p>
    <w:p>
      <w:pPr>
        <w:ind w:left="1260" w:hanging="623"/>
        <w:spacing w:after="0" w:line="265" w:lineRule="auto"/>
        <w:tabs>
          <w:tab w:leader="none" w:pos="1152"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electronic communication or document which becomes effective, in accordance with paragraph (b) above, after 5:00 p.m. in the place in which the party to whom the relevant communication or document is sent or made available has its address for the purpose of this Guarantee shall be deemed only to become effective on the following day.</w:t>
      </w:r>
    </w:p>
    <w:p>
      <w:pPr>
        <w:spacing w:after="0" w:line="160" w:lineRule="exact"/>
        <w:rPr>
          <w:rFonts w:ascii="Times New Roman" w:cs="Times New Roman" w:eastAsia="Times New Roman" w:hAnsi="Times New Roman"/>
          <w:sz w:val="21"/>
          <w:szCs w:val="21"/>
          <w:color w:val="auto"/>
        </w:rPr>
      </w:pPr>
    </w:p>
    <w:p>
      <w:pPr>
        <w:ind w:left="1260" w:hanging="623"/>
        <w:spacing w:after="0" w:line="295" w:lineRule="auto"/>
        <w:tabs>
          <w:tab w:leader="none" w:pos="1157"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reference in this Guarantee to a communication being sent or received or a document being delivered shall be construed to include that communication or document being made available in accordance with this Clause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w:t>
      </w:r>
    </w:p>
    <w:p>
      <w:pPr>
        <w:sectPr>
          <w:pgSz w:w="11900" w:h="16838" w:orient="portrait"/>
          <w:cols w:equalWidth="0" w:num="1">
            <w:col w:w="11240"/>
          </w:cols>
          <w:pgMar w:left="320" w:top="1389" w:right="339" w:bottom="1440" w:gutter="0" w:footer="0" w:header="0"/>
        </w:sectPr>
      </w:pPr>
    </w:p>
    <w:bookmarkStart w:id="19" w:name="page20"/>
    <w:bookmarkEnd w:id="19"/>
    <w:p>
      <w:pPr>
        <w:spacing w:after="0"/>
        <w:tabs>
          <w:tab w:leader="none" w:pos="560" w:val="left"/>
        </w:tabs>
        <w:rPr>
          <w:sz w:val="20"/>
          <w:szCs w:val="20"/>
          <w:color w:val="auto"/>
        </w:rPr>
      </w:pPr>
      <w:r>
        <w:rPr>
          <w:rFonts w:ascii="Times New Roman" w:cs="Times New Roman" w:eastAsia="Times New Roman" w:hAnsi="Times New Roman"/>
          <w:sz w:val="21"/>
          <w:szCs w:val="21"/>
          <w:color w:val="auto"/>
        </w:rPr>
        <w:t>10.5</w:t>
      </w:r>
      <w:r>
        <w:rPr>
          <w:sz w:val="20"/>
          <w:szCs w:val="20"/>
          <w:color w:val="auto"/>
        </w:rPr>
        <w:tab/>
      </w:r>
      <w:r>
        <w:rPr>
          <w:rFonts w:ascii="Times New Roman" w:cs="Times New Roman" w:eastAsia="Times New Roman" w:hAnsi="Times New Roman"/>
          <w:sz w:val="21"/>
          <w:szCs w:val="21"/>
          <w:b w:val="1"/>
          <w:bCs w:val="1"/>
          <w:color w:val="auto"/>
        </w:rPr>
        <w:t>English language</w:t>
      </w:r>
    </w:p>
    <w:p>
      <w:pPr>
        <w:spacing w:after="0" w:line="223" w:lineRule="exact"/>
        <w:rPr>
          <w:sz w:val="20"/>
          <w:szCs w:val="20"/>
          <w:color w:val="auto"/>
        </w:rPr>
      </w:pPr>
    </w:p>
    <w:p>
      <w:pPr>
        <w:ind w:left="1060" w:hanging="423"/>
        <w:spacing w:after="0"/>
        <w:tabs>
          <w:tab w:leader="none" w:pos="1060" w:val="left"/>
        </w:tabs>
        <w:numPr>
          <w:ilvl w:val="1"/>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notice given under or in connection with this Guarantee must be in English.</w:t>
      </w:r>
    </w:p>
    <w:p>
      <w:pPr>
        <w:spacing w:after="0" w:line="219" w:lineRule="exact"/>
        <w:rPr>
          <w:rFonts w:ascii="Times New Roman" w:cs="Times New Roman" w:eastAsia="Times New Roman" w:hAnsi="Times New Roman"/>
          <w:sz w:val="21"/>
          <w:szCs w:val="21"/>
          <w:color w:val="auto"/>
        </w:rPr>
      </w:pPr>
    </w:p>
    <w:p>
      <w:pPr>
        <w:ind w:left="1080" w:hanging="443"/>
        <w:spacing w:after="0"/>
        <w:tabs>
          <w:tab w:leader="none" w:pos="1080" w:val="left"/>
        </w:tabs>
        <w:numPr>
          <w:ilvl w:val="1"/>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other documents provided under or in connection with this Guarantee must be:</w:t>
      </w:r>
    </w:p>
    <w:p>
      <w:pPr>
        <w:spacing w:after="0" w:line="232" w:lineRule="exact"/>
        <w:rPr>
          <w:rFonts w:ascii="Times New Roman" w:cs="Times New Roman" w:eastAsia="Times New Roman" w:hAnsi="Times New Roman"/>
          <w:sz w:val="21"/>
          <w:szCs w:val="21"/>
          <w:color w:val="auto"/>
        </w:rPr>
      </w:pPr>
    </w:p>
    <w:p>
      <w:pPr>
        <w:ind w:left="1680" w:hanging="412"/>
        <w:spacing w:after="0"/>
        <w:tabs>
          <w:tab w:leader="none" w:pos="1680" w:val="left"/>
        </w:tabs>
        <w:numPr>
          <w:ilvl w:val="2"/>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English; or</w:t>
      </w:r>
    </w:p>
    <w:p>
      <w:pPr>
        <w:spacing w:after="0" w:line="219" w:lineRule="exact"/>
        <w:rPr>
          <w:rFonts w:ascii="Times New Roman" w:cs="Times New Roman" w:eastAsia="Times New Roman" w:hAnsi="Times New Roman"/>
          <w:sz w:val="21"/>
          <w:szCs w:val="21"/>
          <w:color w:val="auto"/>
        </w:rPr>
      </w:pPr>
    </w:p>
    <w:p>
      <w:pPr>
        <w:ind w:left="1900" w:hanging="632"/>
        <w:spacing w:after="0" w:line="265" w:lineRule="auto"/>
        <w:tabs>
          <w:tab w:leader="none" w:pos="1738" w:val="left"/>
        </w:tabs>
        <w:numPr>
          <w:ilvl w:val="2"/>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not in English, and if so required by the Security Agent, accompanied by a certified English translation and, in this case, the English translation will prevail unless the document is a constitutional, statutory or other official document.</w:t>
      </w:r>
    </w:p>
    <w:p>
      <w:pPr>
        <w:spacing w:after="0" w:line="156" w:lineRule="exact"/>
        <w:rPr>
          <w:rFonts w:ascii="Times New Roman" w:cs="Times New Roman" w:eastAsia="Times New Roman" w:hAnsi="Times New Roman"/>
          <w:sz w:val="21"/>
          <w:szCs w:val="21"/>
          <w:color w:val="auto"/>
        </w:rPr>
      </w:pPr>
    </w:p>
    <w:p>
      <w:pPr>
        <w:ind w:left="480" w:hanging="475"/>
        <w:spacing w:after="0"/>
        <w:tabs>
          <w:tab w:leader="none" w:pos="480"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GOVERNING LAW</w:t>
      </w:r>
    </w:p>
    <w:p>
      <w:pPr>
        <w:spacing w:after="0" w:line="236" w:lineRule="exact"/>
        <w:rPr>
          <w:sz w:val="20"/>
          <w:szCs w:val="20"/>
          <w:color w:val="auto"/>
        </w:rPr>
      </w:pPr>
    </w:p>
    <w:p>
      <w:pPr>
        <w:ind w:left="640"/>
        <w:spacing w:after="0" w:line="282" w:lineRule="auto"/>
        <w:rPr>
          <w:sz w:val="20"/>
          <w:szCs w:val="20"/>
          <w:color w:val="auto"/>
        </w:rPr>
      </w:pPr>
      <w:r>
        <w:rPr>
          <w:rFonts w:ascii="Times New Roman" w:cs="Times New Roman" w:eastAsia="Times New Roman" w:hAnsi="Times New Roman"/>
          <w:sz w:val="21"/>
          <w:szCs w:val="21"/>
          <w:color w:val="auto"/>
        </w:rPr>
        <w:t>This Guarantee and any non-contractual obligations arising out of or in connection with it (including any non-contractual obligations arising out of the negotiation of the transaction contemplated by this letter) are governed by English law.</w:t>
      </w:r>
    </w:p>
    <w:p>
      <w:pPr>
        <w:spacing w:after="0" w:line="139" w:lineRule="exact"/>
        <w:rPr>
          <w:sz w:val="20"/>
          <w:szCs w:val="20"/>
          <w:color w:val="auto"/>
        </w:rPr>
      </w:pPr>
    </w:p>
    <w:p>
      <w:pPr>
        <w:ind w:left="480" w:hanging="475"/>
        <w:spacing w:after="0"/>
        <w:tabs>
          <w:tab w:leader="none" w:pos="480"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DISPUTE RESOLUTION</w:t>
      </w:r>
    </w:p>
    <w:p>
      <w:pPr>
        <w:spacing w:after="0" w:line="21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21"/>
          <w:szCs w:val="21"/>
          <w:color w:val="auto"/>
        </w:rPr>
        <w:t>12.1</w:t>
      </w:r>
      <w:r>
        <w:rPr>
          <w:sz w:val="20"/>
          <w:szCs w:val="20"/>
          <w:color w:val="auto"/>
        </w:rPr>
        <w:tab/>
      </w:r>
      <w:r>
        <w:rPr>
          <w:rFonts w:ascii="Times New Roman" w:cs="Times New Roman" w:eastAsia="Times New Roman" w:hAnsi="Times New Roman"/>
          <w:sz w:val="21"/>
          <w:szCs w:val="21"/>
          <w:b w:val="1"/>
          <w:bCs w:val="1"/>
          <w:color w:val="auto"/>
        </w:rPr>
        <w:t>Governing Law</w:t>
      </w:r>
    </w:p>
    <w:p>
      <w:pPr>
        <w:spacing w:after="0" w:line="221" w:lineRule="exact"/>
        <w:rPr>
          <w:sz w:val="20"/>
          <w:szCs w:val="20"/>
          <w:color w:val="auto"/>
        </w:rPr>
      </w:pPr>
    </w:p>
    <w:p>
      <w:pPr>
        <w:ind w:left="640"/>
        <w:spacing w:after="0" w:line="284" w:lineRule="auto"/>
        <w:rPr>
          <w:sz w:val="20"/>
          <w:szCs w:val="20"/>
          <w:color w:val="auto"/>
        </w:rPr>
      </w:pPr>
      <w:r>
        <w:rPr>
          <w:rFonts w:ascii="Times New Roman" w:cs="Times New Roman" w:eastAsia="Times New Roman" w:hAnsi="Times New Roman"/>
          <w:sz w:val="21"/>
          <w:szCs w:val="21"/>
          <w:color w:val="auto"/>
        </w:rPr>
        <w:t>This Clause 12 (</w:t>
      </w:r>
      <w:r>
        <w:rPr>
          <w:rFonts w:ascii="Times New Roman" w:cs="Times New Roman" w:eastAsia="Times New Roman" w:hAnsi="Times New Roman"/>
          <w:sz w:val="21"/>
          <w:szCs w:val="21"/>
          <w:i w:val="1"/>
          <w:iCs w:val="1"/>
          <w:color w:val="auto"/>
        </w:rPr>
        <w:t>Dispute Resolution</w:t>
      </w:r>
      <w:r>
        <w:rPr>
          <w:rFonts w:ascii="Times New Roman" w:cs="Times New Roman" w:eastAsia="Times New Roman" w:hAnsi="Times New Roman"/>
          <w:sz w:val="21"/>
          <w:szCs w:val="21"/>
          <w:color w:val="auto"/>
        </w:rPr>
        <w:t>) and any non-contractual obligations arising out of or in connection with it shall be governed by and shall be construed in accordance with English law.</w:t>
      </w:r>
    </w:p>
    <w:p>
      <w:pPr>
        <w:spacing w:after="0" w:line="150"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21"/>
          <w:szCs w:val="21"/>
          <w:color w:val="auto"/>
        </w:rPr>
        <w:t>12.2</w:t>
      </w:r>
      <w:r>
        <w:rPr>
          <w:sz w:val="20"/>
          <w:szCs w:val="20"/>
          <w:color w:val="auto"/>
        </w:rPr>
        <w:tab/>
      </w:r>
      <w:r>
        <w:rPr>
          <w:rFonts w:ascii="Times New Roman" w:cs="Times New Roman" w:eastAsia="Times New Roman" w:hAnsi="Times New Roman"/>
          <w:sz w:val="21"/>
          <w:szCs w:val="21"/>
          <w:b w:val="1"/>
          <w:bCs w:val="1"/>
          <w:color w:val="auto"/>
        </w:rPr>
        <w:t>Arbitration</w:t>
      </w:r>
    </w:p>
    <w:p>
      <w:pPr>
        <w:spacing w:after="0" w:line="221" w:lineRule="exact"/>
        <w:rPr>
          <w:sz w:val="20"/>
          <w:szCs w:val="20"/>
          <w:color w:val="auto"/>
        </w:rPr>
      </w:pPr>
    </w:p>
    <w:p>
      <w:pPr>
        <w:ind w:left="1260" w:hanging="623"/>
        <w:spacing w:after="0" w:line="260" w:lineRule="auto"/>
        <w:tabs>
          <w:tab w:leader="none" w:pos="1099"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Clause 12.3 (</w:t>
      </w:r>
      <w:r>
        <w:rPr>
          <w:rFonts w:ascii="Times New Roman" w:cs="Times New Roman" w:eastAsia="Times New Roman" w:hAnsi="Times New Roman"/>
          <w:sz w:val="21"/>
          <w:szCs w:val="21"/>
          <w:i w:val="1"/>
          <w:iCs w:val="1"/>
          <w:color w:val="auto"/>
        </w:rPr>
        <w:t>Option to litigate</w:t>
      </w:r>
      <w:r>
        <w:rPr>
          <w:rFonts w:ascii="Times New Roman" w:cs="Times New Roman" w:eastAsia="Times New Roman" w:hAnsi="Times New Roman"/>
          <w:sz w:val="21"/>
          <w:szCs w:val="21"/>
          <w:color w:val="auto"/>
        </w:rPr>
        <w:t>), any dispute, claim, difference or controversy arising out of or in connection with this Guarantee (including a dispute relating to any noncontractual obligations arising out of or in connection with this Guarantee) (for the purpose of this Clause 12.2 (</w:t>
      </w:r>
      <w:r>
        <w:rPr>
          <w:rFonts w:ascii="Times New Roman" w:cs="Times New Roman" w:eastAsia="Times New Roman" w:hAnsi="Times New Roman"/>
          <w:sz w:val="21"/>
          <w:szCs w:val="21"/>
          <w:i w:val="1"/>
          <w:iCs w:val="1"/>
          <w:color w:val="auto"/>
        </w:rPr>
        <w:t>Arbitration</w:t>
      </w:r>
      <w:r>
        <w:rPr>
          <w:rFonts w:ascii="Times New Roman" w:cs="Times New Roman" w:eastAsia="Times New Roman" w:hAnsi="Times New Roman"/>
          <w:sz w:val="21"/>
          <w:szCs w:val="21"/>
          <w:color w:val="auto"/>
        </w:rPr>
        <w:t>), a "</w:t>
      </w:r>
      <w:r>
        <w:rPr>
          <w:rFonts w:ascii="Times New Roman" w:cs="Times New Roman" w:eastAsia="Times New Roman" w:hAnsi="Times New Roman"/>
          <w:sz w:val="21"/>
          <w:szCs w:val="21"/>
          <w:b w:val="1"/>
          <w:bCs w:val="1"/>
          <w:color w:val="auto"/>
        </w:rPr>
        <w:t>Dispute</w:t>
      </w:r>
      <w:r>
        <w:rPr>
          <w:rFonts w:ascii="Times New Roman" w:cs="Times New Roman" w:eastAsia="Times New Roman" w:hAnsi="Times New Roman"/>
          <w:sz w:val="21"/>
          <w:szCs w:val="21"/>
          <w:color w:val="auto"/>
        </w:rPr>
        <w:t>"), shall be referred to and finally resolved by arbitration under the Arbitration Rules of the London Court of International Arbitration ("</w:t>
      </w:r>
      <w:r>
        <w:rPr>
          <w:rFonts w:ascii="Times New Roman" w:cs="Times New Roman" w:eastAsia="Times New Roman" w:hAnsi="Times New Roman"/>
          <w:sz w:val="21"/>
          <w:szCs w:val="21"/>
          <w:b w:val="1"/>
          <w:bCs w:val="1"/>
          <w:color w:val="auto"/>
        </w:rPr>
        <w:t>LCIA</w:t>
      </w:r>
      <w:r>
        <w:rPr>
          <w:rFonts w:ascii="Times New Roman" w:cs="Times New Roman" w:eastAsia="Times New Roman" w:hAnsi="Times New Roman"/>
          <w:sz w:val="21"/>
          <w:szCs w:val="21"/>
          <w:color w:val="auto"/>
        </w:rPr>
        <w:t>") (for the purpose of this Clause 12.2 (</w:t>
      </w:r>
      <w:r>
        <w:rPr>
          <w:rFonts w:ascii="Times New Roman" w:cs="Times New Roman" w:eastAsia="Times New Roman" w:hAnsi="Times New Roman"/>
          <w:sz w:val="21"/>
          <w:szCs w:val="21"/>
          <w:i w:val="1"/>
          <w:iCs w:val="1"/>
          <w:color w:val="auto"/>
        </w:rPr>
        <w:t>Arbitration</w:t>
      </w:r>
      <w:r>
        <w:rPr>
          <w:rFonts w:ascii="Times New Roman" w:cs="Times New Roman" w:eastAsia="Times New Roman" w:hAnsi="Times New Roman"/>
          <w:sz w:val="21"/>
          <w:szCs w:val="21"/>
          <w:color w:val="auto"/>
        </w:rPr>
        <w:t>), the "</w:t>
      </w:r>
      <w:r>
        <w:rPr>
          <w:rFonts w:ascii="Times New Roman" w:cs="Times New Roman" w:eastAsia="Times New Roman" w:hAnsi="Times New Roman"/>
          <w:sz w:val="21"/>
          <w:szCs w:val="21"/>
          <w:b w:val="1"/>
          <w:bCs w:val="1"/>
          <w:color w:val="auto"/>
        </w:rPr>
        <w:t>Rules</w:t>
      </w:r>
      <w:r>
        <w:rPr>
          <w:rFonts w:ascii="Times New Roman" w:cs="Times New Roman" w:eastAsia="Times New Roman" w:hAnsi="Times New Roman"/>
          <w:sz w:val="21"/>
          <w:szCs w:val="21"/>
          <w:color w:val="auto"/>
        </w:rPr>
        <w:t>").</w:t>
      </w:r>
    </w:p>
    <w:p>
      <w:pPr>
        <w:spacing w:after="0" w:line="165" w:lineRule="exact"/>
        <w:rPr>
          <w:rFonts w:ascii="Times New Roman" w:cs="Times New Roman" w:eastAsia="Times New Roman" w:hAnsi="Times New Roman"/>
          <w:sz w:val="21"/>
          <w:szCs w:val="21"/>
          <w:color w:val="auto"/>
        </w:rPr>
      </w:pPr>
    </w:p>
    <w:p>
      <w:pPr>
        <w:ind w:left="1260" w:hanging="623"/>
        <w:spacing w:after="0" w:line="284" w:lineRule="auto"/>
        <w:tabs>
          <w:tab w:leader="none" w:pos="1112"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Rules are deemed to be incorporated by reference into this Clause 12.2 (</w:t>
      </w:r>
      <w:r>
        <w:rPr>
          <w:rFonts w:ascii="Times New Roman" w:cs="Times New Roman" w:eastAsia="Times New Roman" w:hAnsi="Times New Roman"/>
          <w:sz w:val="21"/>
          <w:szCs w:val="21"/>
          <w:i w:val="1"/>
          <w:iCs w:val="1"/>
          <w:color w:val="auto"/>
        </w:rPr>
        <w:t>Arbitration</w:t>
      </w:r>
      <w:r>
        <w:rPr>
          <w:rFonts w:ascii="Times New Roman" w:cs="Times New Roman" w:eastAsia="Times New Roman" w:hAnsi="Times New Roman"/>
          <w:sz w:val="21"/>
          <w:szCs w:val="21"/>
          <w:color w:val="auto"/>
        </w:rPr>
        <w:t>) and capitalised terms used in this Clause 12.2 (</w:t>
      </w:r>
      <w:r>
        <w:rPr>
          <w:rFonts w:ascii="Times New Roman" w:cs="Times New Roman" w:eastAsia="Times New Roman" w:hAnsi="Times New Roman"/>
          <w:sz w:val="21"/>
          <w:szCs w:val="21"/>
          <w:i w:val="1"/>
          <w:iCs w:val="1"/>
          <w:color w:val="auto"/>
        </w:rPr>
        <w:t>Arbitration</w:t>
      </w:r>
      <w:r>
        <w:rPr>
          <w:rFonts w:ascii="Times New Roman" w:cs="Times New Roman" w:eastAsia="Times New Roman" w:hAnsi="Times New Roman"/>
          <w:sz w:val="21"/>
          <w:szCs w:val="21"/>
          <w:color w:val="auto"/>
        </w:rPr>
        <w:t>) which are not otherwise defined shall have the meaning given to them in the Rules.</w:t>
      </w:r>
    </w:p>
    <w:p>
      <w:pPr>
        <w:spacing w:after="0" w:line="141" w:lineRule="exact"/>
        <w:rPr>
          <w:rFonts w:ascii="Times New Roman" w:cs="Times New Roman" w:eastAsia="Times New Roman" w:hAnsi="Times New Roman"/>
          <w:sz w:val="21"/>
          <w:szCs w:val="21"/>
          <w:color w:val="auto"/>
        </w:rPr>
      </w:pPr>
    </w:p>
    <w:p>
      <w:pPr>
        <w:jc w:val="both"/>
        <w:ind w:left="1260" w:hanging="623"/>
        <w:spacing w:after="0" w:line="271" w:lineRule="auto"/>
        <w:tabs>
          <w:tab w:leader="none" w:pos="1282"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number of arbitrators shall be three. The claimant (or claimants jointly) will nominate one arbitrator for appointment by the LCIA Court. The respondent (or respondents jointly) will nominate one arbitrator for appointment by the LCIA Court. The LCIA Court will appoint the presiding arbitrator.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15</w:t>
      </w:r>
    </w:p>
    <w:p>
      <w:pPr>
        <w:sectPr>
          <w:pgSz w:w="11900" w:h="16838" w:orient="portrait"/>
          <w:cols w:equalWidth="0" w:num="1">
            <w:col w:w="11240"/>
          </w:cols>
          <w:pgMar w:left="320" w:top="1384" w:right="339" w:bottom="1440" w:gutter="0" w:footer="0" w:header="0"/>
        </w:sectPr>
      </w:pPr>
    </w:p>
    <w:bookmarkStart w:id="20" w:name="page21"/>
    <w:bookmarkEnd w:id="20"/>
    <w:p>
      <w:pPr>
        <w:ind w:left="1260" w:hanging="623"/>
        <w:spacing w:after="0" w:line="265" w:lineRule="auto"/>
        <w:tabs>
          <w:tab w:leader="none" w:pos="1081"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seat or legal place of arbitration will be the DIFC and the language used in the arbitral proceedings shall be English. All documents submitted in connection with the proceedings shall be in English or, if in another language, accompanied by a certified English translation. The governing law of the arbitration shall be English law.</w:t>
      </w:r>
    </w:p>
    <w:p>
      <w:pPr>
        <w:spacing w:after="0" w:line="171" w:lineRule="exact"/>
        <w:rPr>
          <w:rFonts w:ascii="Times New Roman" w:cs="Times New Roman" w:eastAsia="Times New Roman" w:hAnsi="Times New Roman"/>
          <w:sz w:val="21"/>
          <w:szCs w:val="21"/>
          <w:color w:val="auto"/>
        </w:rPr>
      </w:pPr>
    </w:p>
    <w:p>
      <w:pPr>
        <w:ind w:left="1260" w:hanging="623"/>
        <w:spacing w:after="0" w:line="284" w:lineRule="auto"/>
        <w:tabs>
          <w:tab w:leader="none" w:pos="1135"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Service of any Request for Arbitration made pursuant to this Clause 12.2 (</w:t>
      </w:r>
      <w:r>
        <w:rPr>
          <w:rFonts w:ascii="Times New Roman" w:cs="Times New Roman" w:eastAsia="Times New Roman" w:hAnsi="Times New Roman"/>
          <w:sz w:val="21"/>
          <w:szCs w:val="21"/>
          <w:i w:val="1"/>
          <w:iCs w:val="1"/>
          <w:color w:val="auto"/>
        </w:rPr>
        <w:t>Arbitration</w:t>
      </w:r>
      <w:r>
        <w:rPr>
          <w:rFonts w:ascii="Times New Roman" w:cs="Times New Roman" w:eastAsia="Times New Roman" w:hAnsi="Times New Roman"/>
          <w:sz w:val="21"/>
          <w:szCs w:val="21"/>
          <w:color w:val="auto"/>
        </w:rPr>
        <w:t>) must be made pursuant to the Rules at the address given for sending of notices under Clause 10 (</w:t>
      </w:r>
      <w:r>
        <w:rPr>
          <w:rFonts w:ascii="Times New Roman" w:cs="Times New Roman" w:eastAsia="Times New Roman" w:hAnsi="Times New Roman"/>
          <w:sz w:val="21"/>
          <w:szCs w:val="21"/>
          <w:i w:val="1"/>
          <w:iCs w:val="1"/>
          <w:color w:val="auto"/>
        </w:rPr>
        <w:t>Notices</w:t>
      </w:r>
      <w:r>
        <w:rPr>
          <w:rFonts w:ascii="Times New Roman" w:cs="Times New Roman" w:eastAsia="Times New Roman" w:hAnsi="Times New Roman"/>
          <w:sz w:val="21"/>
          <w:szCs w:val="21"/>
          <w:color w:val="auto"/>
        </w:rPr>
        <w:t>).</w:t>
      </w:r>
    </w:p>
    <w:p>
      <w:pPr>
        <w:spacing w:after="0" w:line="139" w:lineRule="exact"/>
        <w:rPr>
          <w:rFonts w:ascii="Times New Roman" w:cs="Times New Roman" w:eastAsia="Times New Roman" w:hAnsi="Times New Roman"/>
          <w:sz w:val="21"/>
          <w:szCs w:val="21"/>
          <w:color w:val="auto"/>
        </w:rPr>
      </w:pPr>
    </w:p>
    <w:p>
      <w:pPr>
        <w:ind w:left="1060" w:hanging="423"/>
        <w:spacing w:after="0"/>
        <w:tabs>
          <w:tab w:leader="none" w:pos="1060"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permitted under Clause 12.3 (</w:t>
      </w:r>
      <w:r>
        <w:rPr>
          <w:rFonts w:ascii="Times New Roman" w:cs="Times New Roman" w:eastAsia="Times New Roman" w:hAnsi="Times New Roman"/>
          <w:sz w:val="21"/>
          <w:szCs w:val="21"/>
          <w:i w:val="1"/>
          <w:iCs w:val="1"/>
          <w:color w:val="auto"/>
        </w:rPr>
        <w:t>Option to litigate</w:t>
      </w:r>
      <w:r>
        <w:rPr>
          <w:rFonts w:ascii="Times New Roman" w:cs="Times New Roman" w:eastAsia="Times New Roman" w:hAnsi="Times New Roman"/>
          <w:sz w:val="21"/>
          <w:szCs w:val="21"/>
          <w:color w:val="auto"/>
        </w:rPr>
        <w:t>), each Party agrees:</w:t>
      </w:r>
    </w:p>
    <w:p>
      <w:pPr>
        <w:spacing w:after="0" w:line="221" w:lineRule="exact"/>
        <w:rPr>
          <w:rFonts w:ascii="Times New Roman" w:cs="Times New Roman" w:eastAsia="Times New Roman" w:hAnsi="Times New Roman"/>
          <w:sz w:val="21"/>
          <w:szCs w:val="21"/>
          <w:color w:val="auto"/>
        </w:rPr>
      </w:pPr>
    </w:p>
    <w:p>
      <w:pPr>
        <w:ind w:left="1900" w:hanging="632"/>
        <w:spacing w:after="0" w:line="260" w:lineRule="auto"/>
        <w:tabs>
          <w:tab w:leader="none" w:pos="1691" w:val="left"/>
        </w:tabs>
        <w:numPr>
          <w:ilvl w:val="1"/>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 to commence, procure or participate in, or otherwise be involved in, any action or proceeding of any court or other tribunal with respect to a matter which is already the subject of arbitral proceedings commenced pursuant to this Clause 12.2 (</w:t>
      </w:r>
      <w:r>
        <w:rPr>
          <w:rFonts w:ascii="Times New Roman" w:cs="Times New Roman" w:eastAsia="Times New Roman" w:hAnsi="Times New Roman"/>
          <w:sz w:val="21"/>
          <w:szCs w:val="21"/>
          <w:i w:val="1"/>
          <w:iCs w:val="1"/>
          <w:color w:val="auto"/>
        </w:rPr>
        <w:t>Arbitration</w:t>
      </w:r>
      <w:r>
        <w:rPr>
          <w:rFonts w:ascii="Times New Roman" w:cs="Times New Roman" w:eastAsia="Times New Roman" w:hAnsi="Times New Roman"/>
          <w:sz w:val="21"/>
          <w:szCs w:val="21"/>
          <w:color w:val="auto"/>
        </w:rPr>
        <w:t>) (except for compelling arbitration, restraining court proceedings brought in breach of this Guarantee or initiating actions to obtain a judgment recognising or enforcing an arbitral award or any order for conservatory or provisional measures); and</w:t>
      </w:r>
    </w:p>
    <w:p>
      <w:pPr>
        <w:spacing w:after="0" w:line="165" w:lineRule="exact"/>
        <w:rPr>
          <w:rFonts w:ascii="Times New Roman" w:cs="Times New Roman" w:eastAsia="Times New Roman" w:hAnsi="Times New Roman"/>
          <w:sz w:val="21"/>
          <w:szCs w:val="21"/>
          <w:color w:val="auto"/>
        </w:rPr>
      </w:pPr>
    </w:p>
    <w:p>
      <w:pPr>
        <w:ind w:left="1900" w:hanging="632"/>
        <w:spacing w:after="0" w:line="282" w:lineRule="auto"/>
        <w:tabs>
          <w:tab w:leader="none" w:pos="1782" w:val="left"/>
        </w:tabs>
        <w:numPr>
          <w:ilvl w:val="1"/>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waive any right it may have to appeal any arbitral award or order, to the extent such waiver is permitted by law.</w:t>
      </w:r>
    </w:p>
    <w:p>
      <w:pPr>
        <w:spacing w:after="0" w:line="13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21"/>
          <w:szCs w:val="21"/>
          <w:color w:val="auto"/>
        </w:rPr>
        <w:t>12.3</w:t>
      </w:r>
      <w:r>
        <w:rPr>
          <w:sz w:val="20"/>
          <w:szCs w:val="20"/>
          <w:color w:val="auto"/>
        </w:rPr>
        <w:tab/>
      </w:r>
      <w:r>
        <w:rPr>
          <w:rFonts w:ascii="Times New Roman" w:cs="Times New Roman" w:eastAsia="Times New Roman" w:hAnsi="Times New Roman"/>
          <w:sz w:val="21"/>
          <w:szCs w:val="21"/>
          <w:b w:val="1"/>
          <w:bCs w:val="1"/>
          <w:color w:val="auto"/>
        </w:rPr>
        <w:t>Option to litigate</w:t>
      </w:r>
    </w:p>
    <w:p>
      <w:pPr>
        <w:spacing w:after="0" w:line="234" w:lineRule="exact"/>
        <w:rPr>
          <w:sz w:val="20"/>
          <w:szCs w:val="20"/>
          <w:color w:val="auto"/>
        </w:rPr>
      </w:pPr>
    </w:p>
    <w:p>
      <w:pPr>
        <w:ind w:left="1260" w:hanging="623"/>
        <w:spacing w:after="0" w:line="260" w:lineRule="auto"/>
        <w:tabs>
          <w:tab w:leader="none" w:pos="1163"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Clause 12.2 (</w:t>
      </w:r>
      <w:r>
        <w:rPr>
          <w:rFonts w:ascii="Times New Roman" w:cs="Times New Roman" w:eastAsia="Times New Roman" w:hAnsi="Times New Roman"/>
          <w:sz w:val="21"/>
          <w:szCs w:val="21"/>
          <w:i w:val="1"/>
          <w:iCs w:val="1"/>
          <w:color w:val="auto"/>
        </w:rPr>
        <w:t>Arbitration</w:t>
      </w:r>
      <w:r>
        <w:rPr>
          <w:rFonts w:ascii="Times New Roman" w:cs="Times New Roman" w:eastAsia="Times New Roman" w:hAnsi="Times New Roman"/>
          <w:sz w:val="21"/>
          <w:szCs w:val="21"/>
          <w:color w:val="auto"/>
        </w:rPr>
        <w:t>), the Secured Parties may bring court proceedings in accordance with the terms of this Clause 12.3 (</w:t>
      </w:r>
      <w:r>
        <w:rPr>
          <w:rFonts w:ascii="Times New Roman" w:cs="Times New Roman" w:eastAsia="Times New Roman" w:hAnsi="Times New Roman"/>
          <w:sz w:val="21"/>
          <w:szCs w:val="21"/>
          <w:i w:val="1"/>
          <w:iCs w:val="1"/>
          <w:color w:val="auto"/>
        </w:rPr>
        <w:t>Option to litigate</w:t>
      </w:r>
      <w:r>
        <w:rPr>
          <w:rFonts w:ascii="Times New Roman" w:cs="Times New Roman" w:eastAsia="Times New Roman" w:hAnsi="Times New Roman"/>
          <w:sz w:val="21"/>
          <w:szCs w:val="21"/>
          <w:color w:val="auto"/>
        </w:rPr>
        <w:t>) and may, before commencing arbitration proceedings or within 28 days of receipt of a Request for Arbitration, by notice in writing to the Guarantors, require that all Disputes or a specific Dispute be heard by a court of law ("</w:t>
      </w:r>
      <w:r>
        <w:rPr>
          <w:rFonts w:ascii="Times New Roman" w:cs="Times New Roman" w:eastAsia="Times New Roman" w:hAnsi="Times New Roman"/>
          <w:sz w:val="21"/>
          <w:szCs w:val="21"/>
          <w:b w:val="1"/>
          <w:bCs w:val="1"/>
          <w:color w:val="auto"/>
        </w:rPr>
        <w:t>Litigation Notice</w:t>
      </w:r>
      <w:r>
        <w:rPr>
          <w:rFonts w:ascii="Times New Roman" w:cs="Times New Roman" w:eastAsia="Times New Roman" w:hAnsi="Times New Roman"/>
          <w:sz w:val="21"/>
          <w:szCs w:val="21"/>
          <w:color w:val="auto"/>
        </w:rPr>
        <w:t>").</w:t>
      </w:r>
    </w:p>
    <w:p>
      <w:pPr>
        <w:spacing w:after="0" w:line="166" w:lineRule="exact"/>
        <w:rPr>
          <w:rFonts w:ascii="Times New Roman" w:cs="Times New Roman" w:eastAsia="Times New Roman" w:hAnsi="Times New Roman"/>
          <w:sz w:val="21"/>
          <w:szCs w:val="21"/>
          <w:color w:val="auto"/>
        </w:rPr>
      </w:pPr>
    </w:p>
    <w:p>
      <w:pPr>
        <w:ind w:left="1080" w:hanging="443"/>
        <w:spacing w:after="0"/>
        <w:tabs>
          <w:tab w:leader="none" w:pos="1080"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Litigation Notice shall specify the following:</w:t>
      </w:r>
    </w:p>
    <w:p>
      <w:pPr>
        <w:spacing w:after="0" w:line="232" w:lineRule="exact"/>
        <w:rPr>
          <w:rFonts w:ascii="Times New Roman" w:cs="Times New Roman" w:eastAsia="Times New Roman" w:hAnsi="Times New Roman"/>
          <w:sz w:val="21"/>
          <w:szCs w:val="21"/>
          <w:color w:val="auto"/>
        </w:rPr>
      </w:pPr>
    </w:p>
    <w:p>
      <w:pPr>
        <w:ind w:left="1680" w:hanging="412"/>
        <w:spacing w:after="0"/>
        <w:tabs>
          <w:tab w:leader="none" w:pos="1680" w:val="left"/>
        </w:tabs>
        <w:numPr>
          <w:ilvl w:val="1"/>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that a Dispute has arisen;</w:t>
      </w:r>
    </w:p>
    <w:p>
      <w:pPr>
        <w:spacing w:after="0" w:line="219" w:lineRule="exact"/>
        <w:rPr>
          <w:rFonts w:ascii="Times New Roman" w:cs="Times New Roman" w:eastAsia="Times New Roman" w:hAnsi="Times New Roman"/>
          <w:sz w:val="21"/>
          <w:szCs w:val="21"/>
          <w:color w:val="auto"/>
        </w:rPr>
      </w:pPr>
    </w:p>
    <w:p>
      <w:pPr>
        <w:ind w:left="1740" w:hanging="472"/>
        <w:spacing w:after="0"/>
        <w:tabs>
          <w:tab w:leader="none" w:pos="1740" w:val="left"/>
        </w:tabs>
        <w:numPr>
          <w:ilvl w:val="1"/>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Parties involved in the Dispute; and</w:t>
      </w:r>
    </w:p>
    <w:p>
      <w:pPr>
        <w:spacing w:after="0" w:line="219" w:lineRule="exact"/>
        <w:rPr>
          <w:rFonts w:ascii="Times New Roman" w:cs="Times New Roman" w:eastAsia="Times New Roman" w:hAnsi="Times New Roman"/>
          <w:sz w:val="21"/>
          <w:szCs w:val="21"/>
          <w:color w:val="auto"/>
        </w:rPr>
      </w:pPr>
    </w:p>
    <w:p>
      <w:pPr>
        <w:ind w:left="1800" w:hanging="532"/>
        <w:spacing w:after="0"/>
        <w:tabs>
          <w:tab w:leader="none" w:pos="1800" w:val="left"/>
        </w:tabs>
        <w:numPr>
          <w:ilvl w:val="1"/>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nature of the Dispute that the Party giving the Litigation Notice wishes to be heard by a court of law.</w:t>
      </w:r>
    </w:p>
    <w:p>
      <w:pPr>
        <w:spacing w:after="0" w:line="217" w:lineRule="exact"/>
        <w:rPr>
          <w:rFonts w:ascii="Times New Roman" w:cs="Times New Roman" w:eastAsia="Times New Roman" w:hAnsi="Times New Roman"/>
          <w:sz w:val="21"/>
          <w:szCs w:val="21"/>
          <w:color w:val="auto"/>
        </w:rPr>
      </w:pPr>
    </w:p>
    <w:p>
      <w:pPr>
        <w:ind w:left="1260" w:hanging="623"/>
        <w:spacing w:after="0" w:line="284" w:lineRule="auto"/>
        <w:tabs>
          <w:tab w:leader="none" w:pos="1152"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 Litigation Notice is given by a Party entitled to give such notice under this Clause 12.3 (</w:t>
      </w:r>
      <w:r>
        <w:rPr>
          <w:rFonts w:ascii="Times New Roman" w:cs="Times New Roman" w:eastAsia="Times New Roman" w:hAnsi="Times New Roman"/>
          <w:sz w:val="21"/>
          <w:szCs w:val="21"/>
          <w:i w:val="1"/>
          <w:iCs w:val="1"/>
          <w:color w:val="auto"/>
        </w:rPr>
        <w:t>Option to litigate</w:t>
      </w:r>
      <w:r>
        <w:rPr>
          <w:rFonts w:ascii="Times New Roman" w:cs="Times New Roman" w:eastAsia="Times New Roman" w:hAnsi="Times New Roman"/>
          <w:sz w:val="21"/>
          <w:szCs w:val="21"/>
          <w:color w:val="auto"/>
        </w:rPr>
        <w:t>), the Parties agree that:</w:t>
      </w:r>
    </w:p>
    <w:p>
      <w:pPr>
        <w:spacing w:after="0" w:line="152" w:lineRule="exact"/>
        <w:rPr>
          <w:rFonts w:ascii="Times New Roman" w:cs="Times New Roman" w:eastAsia="Times New Roman" w:hAnsi="Times New Roman"/>
          <w:sz w:val="21"/>
          <w:szCs w:val="21"/>
          <w:color w:val="auto"/>
        </w:rPr>
      </w:pPr>
    </w:p>
    <w:p>
      <w:pPr>
        <w:ind w:left="1900" w:hanging="632"/>
        <w:spacing w:after="0" w:line="284" w:lineRule="auto"/>
        <w:tabs>
          <w:tab w:leader="none" w:pos="1695" w:val="left"/>
        </w:tabs>
        <w:numPr>
          <w:ilvl w:val="1"/>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Dispute to which the Litigation Notice refers will be determined in accordance with this Clause 12.3 (</w:t>
      </w:r>
      <w:r>
        <w:rPr>
          <w:rFonts w:ascii="Times New Roman" w:cs="Times New Roman" w:eastAsia="Times New Roman" w:hAnsi="Times New Roman"/>
          <w:sz w:val="21"/>
          <w:szCs w:val="21"/>
          <w:i w:val="1"/>
          <w:iCs w:val="1"/>
          <w:color w:val="auto"/>
        </w:rPr>
        <w:t>Option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to litigate</w:t>
      </w:r>
      <w:r>
        <w:rPr>
          <w:rFonts w:ascii="Times New Roman" w:cs="Times New Roman" w:eastAsia="Times New Roman" w:hAnsi="Times New Roman"/>
          <w:sz w:val="21"/>
          <w:szCs w:val="21"/>
          <w:color w:val="auto"/>
        </w:rPr>
        <w: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16</w:t>
      </w:r>
    </w:p>
    <w:p>
      <w:pPr>
        <w:sectPr>
          <w:pgSz w:w="11900" w:h="16838" w:orient="portrait"/>
          <w:cols w:equalWidth="0" w:num="1">
            <w:col w:w="11240"/>
          </w:cols>
          <w:pgMar w:left="320" w:top="1389" w:right="339" w:bottom="1440" w:gutter="0" w:footer="0" w:header="0"/>
        </w:sectPr>
      </w:pPr>
    </w:p>
    <w:bookmarkStart w:id="21" w:name="page22"/>
    <w:bookmarkEnd w:id="21"/>
    <w:p>
      <w:pPr>
        <w:ind w:left="1900" w:hanging="632"/>
        <w:spacing w:after="0" w:line="282" w:lineRule="auto"/>
        <w:tabs>
          <w:tab w:leader="none" w:pos="1844" w:val="left"/>
        </w:tabs>
        <w:numPr>
          <w:ilvl w:val="2"/>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Parties cannot commence arbitration proceedings in respect of the Dispute(s) specified in the Litigation Notice and any arbitration proceedings commenced by a Guarantor will be terminated.</w:t>
      </w:r>
    </w:p>
    <w:p>
      <w:pPr>
        <w:spacing w:after="0" w:line="141" w:lineRule="exact"/>
        <w:rPr>
          <w:rFonts w:ascii="Times New Roman" w:cs="Times New Roman" w:eastAsia="Times New Roman" w:hAnsi="Times New Roman"/>
          <w:sz w:val="21"/>
          <w:szCs w:val="21"/>
          <w:color w:val="auto"/>
        </w:rPr>
      </w:pPr>
    </w:p>
    <w:p>
      <w:pPr>
        <w:ind w:left="1260" w:right="220" w:hanging="623"/>
        <w:spacing w:after="0" w:line="264" w:lineRule="auto"/>
        <w:tabs>
          <w:tab w:leader="none" w:pos="1085" w:val="left"/>
        </w:tabs>
        <w:numPr>
          <w:ilvl w:val="1"/>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Clause 12.2 (</w:t>
      </w:r>
      <w:r>
        <w:rPr>
          <w:rFonts w:ascii="Times New Roman" w:cs="Times New Roman" w:eastAsia="Times New Roman" w:hAnsi="Times New Roman"/>
          <w:sz w:val="21"/>
          <w:szCs w:val="21"/>
          <w:i w:val="1"/>
          <w:iCs w:val="1"/>
          <w:color w:val="auto"/>
        </w:rPr>
        <w:t>Arbitration</w:t>
      </w:r>
      <w:r>
        <w:rPr>
          <w:rFonts w:ascii="Times New Roman" w:cs="Times New Roman" w:eastAsia="Times New Roman" w:hAnsi="Times New Roman"/>
          <w:sz w:val="21"/>
          <w:szCs w:val="21"/>
          <w:color w:val="auto"/>
        </w:rPr>
        <w:t>), the Parties agree that the courts of the DIFC have exclusive jurisdiction to settle any Dispute. The Parties irrevocably submit to the jurisdiction of the courts of the DIFC and agree that the courts of the DIFC are the most appropriate and convenient courts to settle Disputes and accordingly waive objection to the courts of the DIFC on the grounds of inconvenient forum.</w:t>
      </w:r>
    </w:p>
    <w:p>
      <w:pPr>
        <w:spacing w:after="0" w:line="159" w:lineRule="exact"/>
        <w:rPr>
          <w:rFonts w:ascii="Times New Roman" w:cs="Times New Roman" w:eastAsia="Times New Roman" w:hAnsi="Times New Roman"/>
          <w:sz w:val="21"/>
          <w:szCs w:val="21"/>
          <w:color w:val="auto"/>
        </w:rPr>
      </w:pPr>
    </w:p>
    <w:p>
      <w:pPr>
        <w:ind w:left="480" w:hanging="475"/>
        <w:spacing w:after="0"/>
        <w:tabs>
          <w:tab w:leader="none" w:pos="480"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SEVERABILITY</w:t>
      </w:r>
    </w:p>
    <w:p>
      <w:pPr>
        <w:spacing w:after="0" w:line="223" w:lineRule="exact"/>
        <w:rPr>
          <w:sz w:val="20"/>
          <w:szCs w:val="20"/>
          <w:color w:val="auto"/>
        </w:rPr>
      </w:pPr>
    </w:p>
    <w:p>
      <w:pPr>
        <w:ind w:left="640"/>
        <w:spacing w:after="0" w:line="295" w:lineRule="auto"/>
        <w:rPr>
          <w:sz w:val="20"/>
          <w:szCs w:val="20"/>
          <w:color w:val="auto"/>
        </w:rPr>
      </w:pPr>
      <w:r>
        <w:rPr>
          <w:rFonts w:ascii="Times New Roman" w:cs="Times New Roman" w:eastAsia="Times New Roman" w:hAnsi="Times New Roman"/>
          <w:sz w:val="21"/>
          <w:szCs w:val="21"/>
          <w:color w:val="auto"/>
        </w:rPr>
        <w:t>If a term of this Guarantee is or becomes illegal, invalid or unenforceable in any respect under any jurisdiction, that will not affect:</w:t>
      </w:r>
    </w:p>
    <w:p>
      <w:pPr>
        <w:spacing w:after="0" w:line="130" w:lineRule="exact"/>
        <w:rPr>
          <w:sz w:val="20"/>
          <w:szCs w:val="20"/>
          <w:color w:val="auto"/>
        </w:rPr>
      </w:pPr>
    </w:p>
    <w:p>
      <w:pPr>
        <w:ind w:left="1080" w:hanging="443"/>
        <w:spacing w:after="0"/>
        <w:tabs>
          <w:tab w:leader="none" w:pos="1080" w:val="left"/>
        </w:tabs>
        <w:numPr>
          <w:ilvl w:val="1"/>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legality, validity or enforceability in that jurisdiction of any other term of this Guarantee; or</w:t>
      </w:r>
    </w:p>
    <w:p>
      <w:pPr>
        <w:spacing w:after="0" w:line="219" w:lineRule="exact"/>
        <w:rPr>
          <w:rFonts w:ascii="Times New Roman" w:cs="Times New Roman" w:eastAsia="Times New Roman" w:hAnsi="Times New Roman"/>
          <w:sz w:val="21"/>
          <w:szCs w:val="21"/>
          <w:color w:val="auto"/>
        </w:rPr>
      </w:pPr>
    </w:p>
    <w:p>
      <w:pPr>
        <w:ind w:left="1100" w:hanging="463"/>
        <w:spacing w:after="0"/>
        <w:tabs>
          <w:tab w:leader="none" w:pos="1100" w:val="left"/>
        </w:tabs>
        <w:numPr>
          <w:ilvl w:val="1"/>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legality, validity or enforceability in other jurisdictions of that or any other term of this Guarantee.</w:t>
      </w:r>
    </w:p>
    <w:p>
      <w:pPr>
        <w:spacing w:after="0" w:line="215" w:lineRule="exact"/>
        <w:rPr>
          <w:rFonts w:ascii="Times New Roman" w:cs="Times New Roman" w:eastAsia="Times New Roman" w:hAnsi="Times New Roman"/>
          <w:sz w:val="21"/>
          <w:szCs w:val="21"/>
          <w:color w:val="auto"/>
        </w:rPr>
      </w:pPr>
    </w:p>
    <w:p>
      <w:pPr>
        <w:ind w:left="480" w:hanging="475"/>
        <w:spacing w:after="0"/>
        <w:tabs>
          <w:tab w:leader="none" w:pos="480"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COUNTERPARTS</w:t>
      </w:r>
    </w:p>
    <w:p>
      <w:pPr>
        <w:spacing w:after="0" w:line="223" w:lineRule="exact"/>
        <w:rPr>
          <w:sz w:val="20"/>
          <w:szCs w:val="20"/>
          <w:color w:val="auto"/>
        </w:rPr>
      </w:pPr>
    </w:p>
    <w:p>
      <w:pPr>
        <w:ind w:left="640"/>
        <w:spacing w:after="0" w:line="282" w:lineRule="auto"/>
        <w:rPr>
          <w:sz w:val="20"/>
          <w:szCs w:val="20"/>
          <w:color w:val="auto"/>
        </w:rPr>
      </w:pPr>
      <w:r>
        <w:rPr>
          <w:rFonts w:ascii="Times New Roman" w:cs="Times New Roman" w:eastAsia="Times New Roman" w:hAnsi="Times New Roman"/>
          <w:sz w:val="21"/>
          <w:szCs w:val="21"/>
          <w:color w:val="auto"/>
        </w:rPr>
        <w:t>This Guarantee may be executed in any number of counterparts, each of which is an original and all of which together evidence the same Guarantee.</w:t>
      </w:r>
    </w:p>
    <w:p>
      <w:pPr>
        <w:spacing w:after="0" w:line="152" w:lineRule="exact"/>
        <w:rPr>
          <w:sz w:val="20"/>
          <w:szCs w:val="20"/>
          <w:color w:val="auto"/>
        </w:rPr>
      </w:pPr>
    </w:p>
    <w:p>
      <w:pPr>
        <w:ind w:left="480" w:hanging="475"/>
        <w:spacing w:after="0"/>
        <w:tabs>
          <w:tab w:leader="none" w:pos="480"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NON-RECOURSE LIABILITY</w:t>
      </w:r>
    </w:p>
    <w:p>
      <w:pPr>
        <w:spacing w:after="0" w:line="219" w:lineRule="exact"/>
        <w:rPr>
          <w:rFonts w:ascii="Times New Roman" w:cs="Times New Roman" w:eastAsia="Times New Roman" w:hAnsi="Times New Roman"/>
          <w:sz w:val="21"/>
          <w:szCs w:val="21"/>
          <w:color w:val="auto"/>
        </w:rPr>
      </w:pPr>
    </w:p>
    <w:p>
      <w:pPr>
        <w:ind w:left="1260" w:hanging="623"/>
        <w:spacing w:after="0" w:line="267" w:lineRule="auto"/>
        <w:tabs>
          <w:tab w:leader="none" w:pos="1080" w:val="left"/>
        </w:tabs>
        <w:numPr>
          <w:ilvl w:val="1"/>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this Clause, "</w:t>
      </w:r>
      <w:r>
        <w:rPr>
          <w:rFonts w:ascii="Times New Roman" w:cs="Times New Roman" w:eastAsia="Times New Roman" w:hAnsi="Times New Roman"/>
          <w:sz w:val="21"/>
          <w:szCs w:val="21"/>
          <w:b w:val="1"/>
          <w:bCs w:val="1"/>
          <w:color w:val="auto"/>
        </w:rPr>
        <w:t>Operative</w:t>
      </w:r>
      <w:r>
        <w:rPr>
          <w:rFonts w:ascii="Times New Roman" w:cs="Times New Roman" w:eastAsia="Times New Roman" w:hAnsi="Times New Roman"/>
          <w:sz w:val="21"/>
          <w:szCs w:val="21"/>
          <w:color w:val="auto"/>
        </w:rPr>
        <w:t>" means any individual which is a shareholder, officer, employee, servant, controlling person, executive, director, agent, authorised representative of any of the Borrower, the Holdco, any Sponsor, any Shareholder or any other Transaction Obligor (together, the "</w:t>
      </w:r>
      <w:r>
        <w:rPr>
          <w:rFonts w:ascii="Times New Roman" w:cs="Times New Roman" w:eastAsia="Times New Roman" w:hAnsi="Times New Roman"/>
          <w:sz w:val="21"/>
          <w:szCs w:val="21"/>
          <w:b w:val="1"/>
          <w:bCs w:val="1"/>
          <w:color w:val="auto"/>
        </w:rPr>
        <w:t>Operatives</w:t>
      </w:r>
      <w:r>
        <w:rPr>
          <w:rFonts w:ascii="Times New Roman" w:cs="Times New Roman" w:eastAsia="Times New Roman" w:hAnsi="Times New Roman"/>
          <w:sz w:val="21"/>
          <w:szCs w:val="21"/>
          <w:color w:val="auto"/>
        </w:rPr>
        <w:t>").</w:t>
      </w:r>
    </w:p>
    <w:p>
      <w:pPr>
        <w:spacing w:after="0" w:line="158" w:lineRule="exact"/>
        <w:rPr>
          <w:rFonts w:ascii="Times New Roman" w:cs="Times New Roman" w:eastAsia="Times New Roman" w:hAnsi="Times New Roman"/>
          <w:sz w:val="21"/>
          <w:szCs w:val="21"/>
          <w:color w:val="auto"/>
        </w:rPr>
      </w:pPr>
    </w:p>
    <w:p>
      <w:pPr>
        <w:ind w:left="1260" w:hanging="623"/>
        <w:spacing w:after="0" w:line="258" w:lineRule="auto"/>
        <w:tabs>
          <w:tab w:leader="none" w:pos="1158" w:val="left"/>
        </w:tabs>
        <w:numPr>
          <w:ilvl w:val="1"/>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 provision in the Finance Documents to the contrary, no Operative shall be personally liable for payments due hereunder or under any of the Finance Documents or for the performance of any obligation hereunder or thereunder, save, in relation to any Operative, pursuant to any Finance Document to which such Operative is party. The sole recourse of the Secured Parties for satisfaction of any of the obligations of each Guarantor hereunder and under the Finance Documents to which each Guarantor is a party shall be against such Guarantor, and not against any assets or property of any Operative save to the extent such Operative is party to a Finance Document and is expressed to be liable for such obligation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17</w:t>
      </w:r>
    </w:p>
    <w:p>
      <w:pPr>
        <w:sectPr>
          <w:pgSz w:w="11900" w:h="16838" w:orient="portrait"/>
          <w:cols w:equalWidth="0" w:num="1">
            <w:col w:w="11240"/>
          </w:cols>
          <w:pgMar w:left="320" w:top="1389" w:right="339" w:bottom="1440" w:gutter="0" w:footer="0" w:header="0"/>
        </w:sectPr>
      </w:pPr>
    </w:p>
    <w:bookmarkStart w:id="22" w:name="page23"/>
    <w:bookmarkEnd w:id="22"/>
    <w:p>
      <w:pPr>
        <w:ind w:left="480" w:hanging="475"/>
        <w:spacing w:after="0"/>
        <w:tabs>
          <w:tab w:leader="none" w:pos="480"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WAIVER OF IMMUNITY</w:t>
      </w:r>
    </w:p>
    <w:p>
      <w:pPr>
        <w:spacing w:after="0" w:line="223" w:lineRule="exact"/>
        <w:rPr>
          <w:sz w:val="20"/>
          <w:szCs w:val="20"/>
          <w:color w:val="auto"/>
        </w:rPr>
      </w:pPr>
    </w:p>
    <w:p>
      <w:pPr>
        <w:ind w:left="640"/>
        <w:spacing w:after="0" w:line="282" w:lineRule="auto"/>
        <w:rPr>
          <w:sz w:val="20"/>
          <w:szCs w:val="20"/>
          <w:color w:val="auto"/>
        </w:rPr>
      </w:pPr>
      <w:r>
        <w:rPr>
          <w:rFonts w:ascii="Times New Roman" w:cs="Times New Roman" w:eastAsia="Times New Roman" w:hAnsi="Times New Roman"/>
          <w:sz w:val="21"/>
          <w:szCs w:val="21"/>
          <w:color w:val="auto"/>
        </w:rPr>
        <w:t>In relation to this Guarantee, and to the extent permitted by law, the RAK Guarantor irrevocably waives and agrees not to raise, claim, or rely upon any and all immunity from:</w:t>
      </w:r>
    </w:p>
    <w:p>
      <w:pPr>
        <w:spacing w:after="0" w:line="156" w:lineRule="exact"/>
        <w:rPr>
          <w:sz w:val="20"/>
          <w:szCs w:val="20"/>
          <w:color w:val="auto"/>
        </w:rPr>
      </w:pPr>
    </w:p>
    <w:p>
      <w:pPr>
        <w:ind w:left="1080" w:hanging="443"/>
        <w:spacing w:after="0"/>
        <w:tabs>
          <w:tab w:leader="none" w:pos="1080"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jurisdiction of any court or arbitral tribunal;</w:t>
      </w:r>
    </w:p>
    <w:p>
      <w:pPr>
        <w:spacing w:after="0" w:line="219" w:lineRule="exact"/>
        <w:rPr>
          <w:rFonts w:ascii="Times New Roman" w:cs="Times New Roman" w:eastAsia="Times New Roman" w:hAnsi="Times New Roman"/>
          <w:sz w:val="21"/>
          <w:szCs w:val="21"/>
          <w:color w:val="auto"/>
        </w:rPr>
      </w:pPr>
    </w:p>
    <w:p>
      <w:pPr>
        <w:ind w:left="1100" w:hanging="463"/>
        <w:spacing w:after="0"/>
        <w:tabs>
          <w:tab w:leader="none" w:pos="1100"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recognition and enforcement of any judgment or arbitral award; and</w:t>
      </w:r>
    </w:p>
    <w:p>
      <w:pPr>
        <w:spacing w:after="0" w:line="219" w:lineRule="exact"/>
        <w:rPr>
          <w:rFonts w:ascii="Times New Roman" w:cs="Times New Roman" w:eastAsia="Times New Roman" w:hAnsi="Times New Roman"/>
          <w:sz w:val="21"/>
          <w:szCs w:val="21"/>
          <w:color w:val="auto"/>
        </w:rPr>
      </w:pPr>
    </w:p>
    <w:p>
      <w:pPr>
        <w:ind w:left="1260" w:hanging="623"/>
        <w:spacing w:after="0" w:line="282" w:lineRule="auto"/>
        <w:tabs>
          <w:tab w:leader="none" w:pos="1327"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interim measures and relief in any court or arbitration proceedings, including any prejudgment proceedings, attachments, and injunctions,</w:t>
      </w:r>
    </w:p>
    <w:p>
      <w:pPr>
        <w:spacing w:after="0" w:line="1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to which it may be or become entitled in respect of itself and its assets.</w:t>
      </w:r>
    </w:p>
    <w:p>
      <w:pPr>
        <w:spacing w:after="0" w:line="22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21"/>
          <w:szCs w:val="21"/>
          <w:b w:val="1"/>
          <w:bCs w:val="1"/>
          <w:color w:val="auto"/>
        </w:rPr>
        <w:t xml:space="preserve">THIS GUARANTEE </w:t>
      </w:r>
      <w:r>
        <w:rPr>
          <w:rFonts w:ascii="Times New Roman" w:cs="Times New Roman" w:eastAsia="Times New Roman" w:hAnsi="Times New Roman"/>
          <w:sz w:val="21"/>
          <w:szCs w:val="21"/>
          <w:color w:val="auto"/>
        </w:rPr>
        <w:t>has been signed by the Security Agent on behalf of the Secured Parties and executed as a deed by each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Guarantor and is delivered by it as a deed on the date stated at the beginning of this Guarantee.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18</w:t>
      </w:r>
    </w:p>
    <w:p>
      <w:pPr>
        <w:sectPr>
          <w:pgSz w:w="11900" w:h="16838" w:orient="portrait"/>
          <w:cols w:equalWidth="0" w:num="1">
            <w:col w:w="11240"/>
          </w:cols>
          <w:pgMar w:left="320" w:top="1384" w:right="339" w:bottom="1440" w:gutter="0" w:footer="0" w:header="0"/>
        </w:sectPr>
      </w:pPr>
    </w:p>
    <w:bookmarkStart w:id="23" w:name="page24"/>
    <w:bookmarkEnd w:id="23"/>
    <w:p>
      <w:pPr>
        <w:jc w:val="right"/>
        <w:ind w:right="3559"/>
        <w:spacing w:after="0"/>
        <w:rPr>
          <w:sz w:val="20"/>
          <w:szCs w:val="20"/>
          <w:color w:val="auto"/>
        </w:rPr>
      </w:pPr>
      <w:r>
        <w:rPr>
          <w:rFonts w:ascii="Times New Roman" w:cs="Times New Roman" w:eastAsia="Times New Roman" w:hAnsi="Times New Roman"/>
          <w:sz w:val="21"/>
          <w:szCs w:val="21"/>
          <w:b w:val="1"/>
          <w:bCs w:val="1"/>
          <w:color w:val="auto"/>
        </w:rPr>
        <w:t>EXECUTION PAGE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GUARANTORS</w:t>
      </w:r>
    </w:p>
    <w:p>
      <w:pPr>
        <w:spacing w:after="0" w:line="249" w:lineRule="exact"/>
        <w:rPr>
          <w:sz w:val="20"/>
          <w:szCs w:val="20"/>
          <w:color w:val="auto"/>
        </w:rPr>
      </w:pPr>
    </w:p>
    <w:p>
      <w:pPr>
        <w:ind w:left="80"/>
        <w:spacing w:after="0"/>
        <w:tabs>
          <w:tab w:leader="none" w:pos="4480" w:val="left"/>
        </w:tabs>
        <w:rPr>
          <w:sz w:val="20"/>
          <w:szCs w:val="20"/>
          <w:color w:val="auto"/>
        </w:rPr>
      </w:pPr>
      <w:r>
        <w:rPr>
          <w:rFonts w:ascii="Times New Roman" w:cs="Times New Roman" w:eastAsia="Times New Roman" w:hAnsi="Times New Roman"/>
          <w:sz w:val="21"/>
          <w:szCs w:val="21"/>
          <w:b w:val="1"/>
          <w:bCs w:val="1"/>
          <w:color w:val="auto"/>
        </w:rPr>
        <w:t xml:space="preserve">EXECUTED AS A DEED </w:t>
      </w: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18"/>
          <w:szCs w:val="18"/>
          <w:color w:val="auto"/>
        </w:rPr>
        <w:t>)</w:t>
      </w:r>
    </w:p>
    <w:p>
      <w:pPr>
        <w:spacing w:after="0" w:line="2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b w:val="1"/>
          <w:bCs w:val="1"/>
          <w:color w:val="auto"/>
        </w:rPr>
        <w:t xml:space="preserve">THE GOVERNMENT OF RAS AL KHAIMAH </w:t>
      </w:r>
      <w:r>
        <w:rPr>
          <w:rFonts w:ascii="Times New Roman" w:cs="Times New Roman" w:eastAsia="Times New Roman" w:hAnsi="Times New Roman"/>
          <w:sz w:val="21"/>
          <w:szCs w:val="21"/>
          <w:color w:val="auto"/>
        </w:rPr>
        <w:t>)</w:t>
      </w:r>
    </w:p>
    <w:p>
      <w:pPr>
        <w:ind w:left="20"/>
        <w:spacing w:after="0" w:line="209" w:lineRule="auto"/>
        <w:rPr>
          <w:sz w:val="20"/>
          <w:szCs w:val="20"/>
          <w:color w:val="auto"/>
        </w:rPr>
      </w:pPr>
      <w:r>
        <w:rPr>
          <w:rFonts w:ascii="Times New Roman" w:cs="Times New Roman" w:eastAsia="Times New Roman" w:hAnsi="Times New Roman"/>
          <w:sz w:val="21"/>
          <w:szCs w:val="21"/>
          <w:b w:val="1"/>
          <w:bCs w:val="1"/>
          <w:color w:val="auto"/>
        </w:rPr>
        <w:t>(ACTING  THROUGH  THE  INVESTMENT</w:t>
      </w:r>
    </w:p>
    <w:p>
      <w:pPr>
        <w:ind w:left="20"/>
        <w:spacing w:after="0" w:line="209" w:lineRule="auto"/>
        <w:rPr>
          <w:sz w:val="20"/>
          <w:szCs w:val="20"/>
          <w:color w:val="auto"/>
        </w:rPr>
      </w:pPr>
      <w:r>
        <w:rPr>
          <w:rFonts w:ascii="Times New Roman" w:cs="Times New Roman" w:eastAsia="Times New Roman" w:hAnsi="Times New Roman"/>
          <w:sz w:val="21"/>
          <w:szCs w:val="21"/>
          <w:b w:val="1"/>
          <w:bCs w:val="1"/>
          <w:color w:val="auto"/>
        </w:rPr>
        <w:t>AND DEVELOPMENT OFFICE OF RAS AL</w:t>
      </w:r>
    </w:p>
    <w:p>
      <w:pPr>
        <w:ind w:left="20"/>
        <w:spacing w:after="0"/>
        <w:rPr>
          <w:sz w:val="20"/>
          <w:szCs w:val="20"/>
          <w:color w:val="auto"/>
        </w:rPr>
      </w:pPr>
      <w:r>
        <w:rPr>
          <w:rFonts w:ascii="Times New Roman" w:cs="Times New Roman" w:eastAsia="Times New Roman" w:hAnsi="Times New Roman"/>
          <w:sz w:val="21"/>
          <w:szCs w:val="21"/>
          <w:b w:val="1"/>
          <w:bCs w:val="1"/>
          <w:color w:val="auto"/>
        </w:rPr>
        <w:t>KHAIMAH)</w:t>
      </w:r>
    </w:p>
    <w:p>
      <w:pPr>
        <w:sectPr>
          <w:pgSz w:w="11900" w:h="16838" w:orient="portrait"/>
          <w:cols w:equalWidth="0" w:num="1">
            <w:col w:w="10139"/>
          </w:cols>
          <w:pgMar w:left="320" w:top="1385" w:right="1440" w:bottom="1440" w:gutter="0" w:footer="0" w:header="0"/>
        </w:sectPr>
      </w:pPr>
    </w:p>
    <w:p>
      <w:pPr>
        <w:spacing w:after="0" w:line="200" w:lineRule="exact"/>
        <w:rPr>
          <w:sz w:val="20"/>
          <w:szCs w:val="20"/>
          <w:color w:val="auto"/>
        </w:rPr>
      </w:pPr>
    </w:p>
    <w:p>
      <w:pPr>
        <w:spacing w:after="0" w:line="27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/s/ Sheikha Amneh Saud Al Qasimi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Signature of authorised signatory</w:t>
      </w:r>
    </w:p>
    <w:p>
      <w:pPr>
        <w:spacing w:after="0" w:line="200" w:lineRule="exact"/>
        <w:rPr>
          <w:sz w:val="20"/>
          <w:szCs w:val="20"/>
          <w:color w:val="auto"/>
        </w:rPr>
      </w:pPr>
    </w:p>
    <w:p>
      <w:pPr>
        <w:sectPr>
          <w:pgSz w:w="11900" w:h="16838" w:orient="portrait"/>
          <w:cols w:equalWidth="0" w:num="2">
            <w:col w:w="3820" w:space="720"/>
            <w:col w:w="5599"/>
          </w:cols>
          <w:pgMar w:left="320" w:top="1385" w:right="1440" w:bottom="1440" w:gutter="0" w:footer="0" w:header="0"/>
          <w:type w:val="continuous"/>
        </w:sectPr>
      </w:pPr>
    </w:p>
    <w:p>
      <w:pPr>
        <w:spacing w:after="0" w:line="45" w:lineRule="exact"/>
        <w:rPr>
          <w:sz w:val="20"/>
          <w:szCs w:val="20"/>
          <w:color w:val="auto"/>
        </w:rPr>
      </w:pPr>
    </w:p>
    <w:p>
      <w:pPr>
        <w:ind w:left="20" w:right="1000"/>
        <w:spacing w:after="0" w:line="295" w:lineRule="auto"/>
        <w:rPr>
          <w:sz w:val="20"/>
          <w:szCs w:val="20"/>
          <w:color w:val="auto"/>
        </w:rPr>
      </w:pPr>
      <w:r>
        <w:rPr>
          <w:rFonts w:ascii="Times New Roman" w:cs="Times New Roman" w:eastAsia="Times New Roman" w:hAnsi="Times New Roman"/>
          <w:sz w:val="21"/>
          <w:szCs w:val="21"/>
          <w:color w:val="auto"/>
        </w:rPr>
        <w:t>Sheikha Amneh Saud Al Qasimi In the presence of:</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of authorised signatory</w:t>
      </w:r>
    </w:p>
    <w:p>
      <w:pPr>
        <w:spacing w:after="0" w:line="552" w:lineRule="exact"/>
        <w:rPr>
          <w:sz w:val="20"/>
          <w:szCs w:val="20"/>
          <w:color w:val="auto"/>
        </w:rPr>
      </w:pPr>
    </w:p>
    <w:p>
      <w:pPr>
        <w:sectPr>
          <w:pgSz w:w="11900" w:h="16838" w:orient="portrait"/>
          <w:cols w:equalWidth="0" w:num="2">
            <w:col w:w="3780" w:space="720"/>
            <w:col w:w="5639"/>
          </w:cols>
          <w:pgMar w:left="320" w:top="1385" w:right="1440" w:bottom="1440" w:gutter="0" w:footer="0" w:header="0"/>
          <w:type w:val="continuous"/>
        </w:sectPr>
      </w:pPr>
    </w:p>
    <w:p>
      <w:pPr>
        <w:spacing w:after="0" w:line="20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/s/ Laurent Hensby</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Signature of witness</w:t>
      </w:r>
    </w:p>
    <w:p>
      <w:pPr>
        <w:spacing w:after="0" w:line="200" w:lineRule="exact"/>
        <w:rPr>
          <w:sz w:val="20"/>
          <w:szCs w:val="20"/>
          <w:color w:val="auto"/>
        </w:rPr>
      </w:pPr>
    </w:p>
    <w:p>
      <w:pPr>
        <w:sectPr>
          <w:pgSz w:w="11900" w:h="16838" w:orient="portrait"/>
          <w:cols w:equalWidth="0" w:num="2">
            <w:col w:w="3820" w:space="720"/>
            <w:col w:w="5599"/>
          </w:cols>
          <w:pgMar w:left="320" w:top="1385" w:right="1440" w:bottom="1440" w:gutter="0" w:footer="0" w:header="0"/>
          <w:type w:val="continuous"/>
        </w:sectPr>
      </w:pP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Laurent Hensby</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Ras Al Khaimah</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UAE</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of witness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Address of witness</w:t>
      </w:r>
    </w:p>
    <w:p>
      <w:pPr>
        <w:spacing w:after="0" w:line="463" w:lineRule="exact"/>
        <w:rPr>
          <w:sz w:val="20"/>
          <w:szCs w:val="20"/>
          <w:color w:val="auto"/>
        </w:rPr>
      </w:pPr>
    </w:p>
    <w:p>
      <w:pPr>
        <w:sectPr>
          <w:pgSz w:w="11900" w:h="16838" w:orient="portrait"/>
          <w:cols w:equalWidth="0" w:num="2">
            <w:col w:w="3780" w:space="720"/>
            <w:col w:w="5639"/>
          </w:cols>
          <w:pgMar w:left="320" w:top="1385" w:right="1440" w:bottom="1440" w:gutter="0" w:footer="0" w:header="0"/>
          <w:type w:val="continuous"/>
        </w:sectPr>
      </w:pPr>
    </w:p>
    <w:p>
      <w:pPr>
        <w:spacing w:after="0" w:line="2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Address for notices for Guarantor:</w:t>
      </w:r>
    </w:p>
    <w:p>
      <w:pPr>
        <w:spacing w:after="0" w:line="48" w:lineRule="exact"/>
        <w:rPr>
          <w:sz w:val="20"/>
          <w:szCs w:val="20"/>
          <w:color w:val="auto"/>
        </w:rPr>
      </w:pPr>
    </w:p>
    <w:p>
      <w:pPr>
        <w:ind w:left="80"/>
        <w:spacing w:after="0"/>
        <w:tabs>
          <w:tab w:leader="none" w:pos="540" w:val="left"/>
          <w:tab w:leader="none" w:pos="1760" w:val="left"/>
          <w:tab w:leader="none" w:pos="2100" w:val="left"/>
          <w:tab w:leader="none" w:pos="2520" w:val="left"/>
          <w:tab w:leader="none" w:pos="3360" w:val="left"/>
          <w:tab w:leader="none" w:pos="3700" w:val="left"/>
          <w:tab w:leader="none" w:pos="4180" w:val="left"/>
        </w:tabs>
        <w:rPr>
          <w:sz w:val="20"/>
          <w:szCs w:val="20"/>
          <w:color w:val="auto"/>
        </w:rPr>
      </w:pPr>
      <w:r>
        <w:rPr>
          <w:rFonts w:ascii="Times New Roman" w:cs="Times New Roman" w:eastAsia="Times New Roman" w:hAnsi="Times New Roman"/>
          <w:sz w:val="21"/>
          <w:szCs w:val="21"/>
          <w:color w:val="auto"/>
        </w:rPr>
        <w:t>The</w:t>
        <w:tab/>
        <w:t>Government</w:t>
        <w:tab/>
        <w:t>of</w:t>
        <w:tab/>
        <w:t>the</w:t>
        <w:tab/>
        <w:t>Emirate</w:t>
        <w:tab/>
        <w:t>of</w:t>
        <w:tab/>
        <w:t>Ras</w:t>
      </w:r>
      <w:r>
        <w:rPr>
          <w:sz w:val="20"/>
          <w:szCs w:val="20"/>
          <w:color w:val="auto"/>
        </w:rPr>
        <w:tab/>
      </w:r>
      <w:r>
        <w:rPr>
          <w:rFonts w:ascii="Times New Roman" w:cs="Times New Roman" w:eastAsia="Times New Roman" w:hAnsi="Times New Roman"/>
          <w:sz w:val="20"/>
          <w:szCs w:val="20"/>
          <w:color w:val="auto"/>
        </w:rPr>
        <w:t>Al</w:t>
      </w:r>
    </w:p>
    <w:p>
      <w:pPr>
        <w:spacing w:after="0" w:line="34" w:lineRule="exact"/>
        <w:rPr>
          <w:sz w:val="20"/>
          <w:szCs w:val="20"/>
          <w:color w:val="auto"/>
        </w:rPr>
      </w:pPr>
    </w:p>
    <w:p>
      <w:pPr>
        <w:ind w:left="80"/>
        <w:spacing w:after="0"/>
        <w:tabs>
          <w:tab w:leader="none" w:pos="1000" w:val="left"/>
          <w:tab w:leader="none" w:pos="1700" w:val="left"/>
          <w:tab w:leader="none" w:pos="2520" w:val="left"/>
          <w:tab w:leader="none" w:pos="2960" w:val="left"/>
          <w:tab w:leader="none" w:pos="4080" w:val="left"/>
        </w:tabs>
        <w:rPr>
          <w:sz w:val="20"/>
          <w:szCs w:val="20"/>
          <w:color w:val="auto"/>
        </w:rPr>
      </w:pPr>
      <w:r>
        <w:rPr>
          <w:rFonts w:ascii="Times New Roman" w:cs="Times New Roman" w:eastAsia="Times New Roman" w:hAnsi="Times New Roman"/>
          <w:sz w:val="21"/>
          <w:szCs w:val="21"/>
          <w:color w:val="auto"/>
        </w:rPr>
        <w:t>Khaimah</w:t>
        <w:tab/>
        <w:t>acting</w:t>
        <w:tab/>
        <w:t>through</w:t>
        <w:tab/>
        <w:t>the</w:t>
        <w:tab/>
        <w:t>Investment</w:t>
      </w:r>
      <w:r>
        <w:rPr>
          <w:sz w:val="20"/>
          <w:szCs w:val="20"/>
          <w:color w:val="auto"/>
        </w:rPr>
        <w:tab/>
      </w:r>
      <w:r>
        <w:rPr>
          <w:rFonts w:ascii="Times New Roman" w:cs="Times New Roman" w:eastAsia="Times New Roman" w:hAnsi="Times New Roman"/>
          <w:sz w:val="20"/>
          <w:szCs w:val="20"/>
          <w:color w:val="auto"/>
        </w:rPr>
        <w:t>and</w:t>
      </w:r>
    </w:p>
    <w:p>
      <w:pPr>
        <w:spacing w:after="0" w:line="2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Development Office</w:t>
      </w:r>
    </w:p>
    <w:p>
      <w:pPr>
        <w:spacing w:after="0" w:line="19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Government of Ras Al Khaimah</w:t>
      </w:r>
    </w:p>
    <w:p>
      <w:pPr>
        <w:spacing w:after="0" w:line="21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Investment and Development Office</w:t>
      </w:r>
    </w:p>
    <w:p>
      <w:pPr>
        <w:spacing w:after="0" w:line="21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P.O. Box 12222, Ras Al Khaimah, United Arab</w:t>
      </w:r>
    </w:p>
    <w:p>
      <w:pPr>
        <w:spacing w:after="0" w:line="3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Emirates</w:t>
      </w:r>
    </w:p>
    <w:p>
      <w:pPr>
        <w:spacing w:after="0" w:line="20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Attention: [E-mail address redacted]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19</w:t>
      </w:r>
    </w:p>
    <w:p>
      <w:pPr>
        <w:sectPr>
          <w:pgSz w:w="11900" w:h="16838" w:orient="portrait"/>
          <w:cols w:equalWidth="0" w:num="1">
            <w:col w:w="10139"/>
          </w:cols>
          <w:pgMar w:left="320" w:top="1385" w:right="1440" w:bottom="1440" w:gutter="0" w:footer="0" w:header="0"/>
          <w:type w:val="continuous"/>
        </w:sectPr>
      </w:pPr>
    </w:p>
    <w:bookmarkStart w:id="24" w:name="page25"/>
    <w:bookmarkEnd w:id="24"/>
    <w:p>
      <w:pPr>
        <w:spacing w:after="0" w:line="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 xml:space="preserve">EXECUTED AS A DEED </w:t>
      </w: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45" w:lineRule="exact"/>
        <w:rPr>
          <w:sz w:val="20"/>
          <w:szCs w:val="20"/>
          <w:color w:val="auto"/>
        </w:rPr>
      </w:pPr>
    </w:p>
    <w:p>
      <w:pPr>
        <w:sectPr>
          <w:pgSz w:w="11900" w:h="16838" w:orient="portrait"/>
          <w:cols w:equalWidth="0" w:num="2">
            <w:col w:w="3760" w:space="720"/>
            <w:col w:w="5639"/>
          </w:cols>
          <w:pgMar w:left="340" w:top="1415" w:right="1440" w:bottom="1440" w:gutter="0" w:footer="0" w:header="0"/>
        </w:sectPr>
      </w:pPr>
    </w:p>
    <w:p>
      <w:pPr>
        <w:spacing w:after="0" w:line="83" w:lineRule="exact"/>
        <w:rPr>
          <w:sz w:val="20"/>
          <w:szCs w:val="20"/>
          <w:color w:val="auto"/>
        </w:rPr>
      </w:pPr>
    </w:p>
    <w:p>
      <w:pPr>
        <w:ind w:left="60" w:right="980"/>
        <w:spacing w:after="0" w:line="312" w:lineRule="auto"/>
        <w:rPr>
          <w:sz w:val="20"/>
          <w:szCs w:val="20"/>
          <w:color w:val="auto"/>
        </w:rPr>
      </w:pPr>
      <w:r>
        <w:rPr>
          <w:rFonts w:ascii="Times New Roman" w:cs="Times New Roman" w:eastAsia="Times New Roman" w:hAnsi="Times New Roman"/>
          <w:sz w:val="20"/>
          <w:szCs w:val="20"/>
          <w:b w:val="1"/>
          <w:bCs w:val="1"/>
          <w:color w:val="auto"/>
        </w:rPr>
        <w:t xml:space="preserve">WYNN RESORTS, LIMITED </w:t>
      </w:r>
      <w:r>
        <w:rPr>
          <w:rFonts w:ascii="Times New Roman" w:cs="Times New Roman" w:eastAsia="Times New Roman" w:hAnsi="Times New Roman"/>
          <w:sz w:val="20"/>
          <w:szCs w:val="20"/>
          <w:color w:val="auto"/>
        </w:rPr>
        <w:t>a Nevada corporation</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13" w:lineRule="exact"/>
        <w:rPr>
          <w:sz w:val="20"/>
          <w:szCs w:val="20"/>
          <w:color w:val="auto"/>
        </w:rPr>
      </w:pPr>
    </w:p>
    <w:p>
      <w:pPr>
        <w:sectPr>
          <w:pgSz w:w="11900" w:h="16838" w:orient="portrait"/>
          <w:cols w:equalWidth="0" w:num="2">
            <w:col w:w="3760" w:space="720"/>
            <w:col w:w="5639"/>
          </w:cols>
          <w:pgMar w:left="340" w:top="1415" w:right="1440" w:bottom="1440" w:gutter="0" w:footer="0" w:header="0"/>
          <w:type w:val="continuous"/>
        </w:sectPr>
      </w:pPr>
    </w:p>
    <w:p>
      <w:pPr>
        <w:spacing w:after="0" w:line="2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/s/ Julie Cameron-Doe</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jc w:val="center"/>
        <w:ind w:right="2799"/>
        <w:spacing w:after="0"/>
        <w:rPr>
          <w:sz w:val="20"/>
          <w:szCs w:val="20"/>
          <w:color w:val="auto"/>
        </w:rPr>
      </w:pPr>
      <w:r>
        <w:rPr>
          <w:rFonts w:ascii="Times New Roman" w:cs="Times New Roman" w:eastAsia="Times New Roman" w:hAnsi="Times New Roman"/>
          <w:sz w:val="21"/>
          <w:szCs w:val="21"/>
          <w:color w:val="auto"/>
        </w:rPr>
        <w:t>Signature of authorised signatory</w:t>
      </w:r>
    </w:p>
    <w:p>
      <w:pPr>
        <w:spacing w:after="0" w:line="200" w:lineRule="exact"/>
        <w:rPr>
          <w:sz w:val="20"/>
          <w:szCs w:val="20"/>
          <w:color w:val="auto"/>
        </w:rPr>
      </w:pPr>
    </w:p>
    <w:p>
      <w:pPr>
        <w:sectPr>
          <w:pgSz w:w="11900" w:h="16838" w:orient="portrait"/>
          <w:cols w:equalWidth="0" w:num="2">
            <w:col w:w="3800" w:space="720"/>
            <w:col w:w="5599"/>
          </w:cols>
          <w:pgMar w:left="340" w:top="1415" w:right="1440" w:bottom="1440" w:gutter="0" w:footer="0" w:header="0"/>
          <w:type w:val="continuous"/>
        </w:sectPr>
      </w:pP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Julie Cameron-Doe</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the presence of:</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of authorised signatory</w:t>
      </w:r>
    </w:p>
    <w:p>
      <w:pPr>
        <w:spacing w:after="0" w:line="475" w:lineRule="exact"/>
        <w:rPr>
          <w:sz w:val="20"/>
          <w:szCs w:val="20"/>
          <w:color w:val="auto"/>
        </w:rPr>
      </w:pPr>
    </w:p>
    <w:p>
      <w:pPr>
        <w:sectPr>
          <w:pgSz w:w="11900" w:h="16838" w:orient="portrait"/>
          <w:cols w:equalWidth="0" w:num="2">
            <w:col w:w="3760" w:space="720"/>
            <w:col w:w="5639"/>
          </w:cols>
          <w:pgMar w:left="340" w:top="1415" w:right="1440" w:bottom="1440" w:gutter="0" w:footer="0" w:header="0"/>
          <w:type w:val="continuous"/>
        </w:sectPr>
      </w:pPr>
    </w:p>
    <w:p>
      <w:pPr>
        <w:spacing w:after="0" w:line="2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/s/ Andrea M. Johnson</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Signature of witness</w:t>
      </w:r>
    </w:p>
    <w:p>
      <w:pPr>
        <w:spacing w:after="0" w:line="200" w:lineRule="exact"/>
        <w:rPr>
          <w:sz w:val="20"/>
          <w:szCs w:val="20"/>
          <w:color w:val="auto"/>
        </w:rPr>
      </w:pPr>
    </w:p>
    <w:p>
      <w:pPr>
        <w:sectPr>
          <w:pgSz w:w="11900" w:h="16838" w:orient="portrait"/>
          <w:cols w:equalWidth="0" w:num="2">
            <w:col w:w="3800" w:space="720"/>
            <w:col w:w="5599"/>
          </w:cols>
          <w:pgMar w:left="340" w:top="1415" w:right="1440" w:bottom="1440" w:gutter="0" w:footer="0" w:header="0"/>
          <w:type w:val="continuous"/>
        </w:sectPr>
      </w:pP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Andrea M. Johnson</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[Address redacted]</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of witness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Address of witness</w:t>
      </w:r>
    </w:p>
    <w:p>
      <w:pPr>
        <w:spacing w:after="0" w:line="200" w:lineRule="exact"/>
        <w:rPr>
          <w:sz w:val="20"/>
          <w:szCs w:val="20"/>
          <w:color w:val="auto"/>
        </w:rPr>
      </w:pPr>
    </w:p>
    <w:p>
      <w:pPr>
        <w:sectPr>
          <w:pgSz w:w="11900" w:h="16838" w:orient="portrait"/>
          <w:cols w:equalWidth="0" w:num="2">
            <w:col w:w="3760" w:space="720"/>
            <w:col w:w="5639"/>
          </w:cols>
          <w:pgMar w:left="340" w:top="141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Address for notices for Guarantor:</w:t>
      </w:r>
    </w:p>
    <w:p>
      <w:pPr>
        <w:spacing w:after="0" w:line="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Wynn Resorts Limited</w:t>
      </w:r>
    </w:p>
    <w:p>
      <w:pPr>
        <w:spacing w:after="0" w:line="2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3131 Las Vegas Blvd South</w:t>
      </w:r>
    </w:p>
    <w:p>
      <w:pPr>
        <w:spacing w:after="0" w:line="2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Las Vegas NV 89109</w:t>
      </w:r>
    </w:p>
    <w:p>
      <w:pPr>
        <w:spacing w:after="0" w:line="2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USA</w:t>
      </w:r>
    </w:p>
    <w:p>
      <w:pPr>
        <w:spacing w:after="0" w:line="2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Attention: General Counsel / [E-mail address</w:t>
      </w:r>
    </w:p>
    <w:p>
      <w:pPr>
        <w:spacing w:after="0" w:line="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redacted]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20</w:t>
      </w:r>
    </w:p>
    <w:p>
      <w:pPr>
        <w:sectPr>
          <w:pgSz w:w="11900" w:h="16838" w:orient="portrait"/>
          <w:cols w:equalWidth="0" w:num="1">
            <w:col w:w="10119"/>
          </w:cols>
          <w:pgMar w:left="340" w:top="1415" w:right="1440"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21"/>
          <w:szCs w:val="21"/>
          <w:b w:val="1"/>
          <w:bCs w:val="1"/>
          <w:color w:val="auto"/>
        </w:rPr>
        <w:t>SECURITY AGENT</w:t>
      </w:r>
    </w:p>
    <w:p>
      <w:pPr>
        <w:sectPr>
          <w:pgSz w:w="11900" w:h="16838" w:orient="portrait"/>
          <w:cols w:equalWidth="0" w:num="1">
            <w:col w:w="10139"/>
          </w:cols>
          <w:pgMar w:left="320" w:top="1385" w:right="1440" w:bottom="1440" w:gutter="0" w:footer="0" w:header="0"/>
        </w:sectPr>
      </w:pPr>
    </w:p>
    <w:p>
      <w:pPr>
        <w:spacing w:after="0" w:line="2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For and on behalf of</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b w:val="1"/>
          <w:bCs w:val="1"/>
          <w:color w:val="auto"/>
        </w:rPr>
        <w:t>FIRST ABU DHABI BANK PJSC</w:t>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by its duly authorised officer</w:t>
      </w:r>
    </w:p>
    <w:p>
      <w:pPr>
        <w:spacing w:after="0" w:line="3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/s/ Urvi Widhani</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Signature of authorised signatory</w:t>
      </w:r>
    </w:p>
    <w:p>
      <w:pPr>
        <w:spacing w:after="0" w:line="200" w:lineRule="exact"/>
        <w:rPr>
          <w:sz w:val="20"/>
          <w:szCs w:val="20"/>
          <w:color w:val="auto"/>
        </w:rPr>
      </w:pPr>
    </w:p>
    <w:p>
      <w:pPr>
        <w:sectPr>
          <w:pgSz w:w="11900" w:h="16838" w:orient="portrait"/>
          <w:cols w:equalWidth="0" w:num="2">
            <w:col w:w="3780" w:space="720"/>
            <w:col w:w="5639"/>
          </w:cols>
          <w:pgMar w:left="320" w:top="1385" w:right="1440" w:bottom="1440" w:gutter="0" w:footer="0" w:header="0"/>
          <w:type w:val="continuous"/>
        </w:sectPr>
      </w:pPr>
    </w:p>
    <w:p>
      <w:pPr>
        <w:spacing w:after="0" w:line="200" w:lineRule="exact"/>
        <w:rPr>
          <w:sz w:val="20"/>
          <w:szCs w:val="20"/>
          <w:color w:val="auto"/>
        </w:rPr>
      </w:pPr>
    </w:p>
    <w:p>
      <w:pPr>
        <w:spacing w:after="0" w:line="26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/s/ Praveen Damani</w:t>
      </w:r>
    </w:p>
    <w:p>
      <w:pPr>
        <w:sectPr>
          <w:pgSz w:w="11900" w:h="16838" w:orient="portrait"/>
          <w:cols w:equalWidth="0" w:num="1">
            <w:col w:w="10139"/>
          </w:cols>
          <w:pgMar w:left="320" w:top="1385" w:right="1440" w:bottom="1440" w:gutter="0" w:footer="0" w:header="0"/>
          <w:type w:val="continuous"/>
        </w:sectPr>
      </w:pPr>
    </w:p>
    <w:p>
      <w:pPr>
        <w:spacing w:after="0" w:line="28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Urvi Widhani</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jc w:val="center"/>
        <w:ind w:right="3139"/>
        <w:spacing w:after="0"/>
        <w:rPr>
          <w:sz w:val="20"/>
          <w:szCs w:val="20"/>
          <w:color w:val="auto"/>
        </w:rPr>
      </w:pPr>
      <w:r>
        <w:rPr>
          <w:rFonts w:ascii="Times New Roman" w:cs="Times New Roman" w:eastAsia="Times New Roman" w:hAnsi="Times New Roman"/>
          <w:sz w:val="21"/>
          <w:szCs w:val="21"/>
          <w:color w:val="auto"/>
        </w:rPr>
        <w:t>Name of authorised signatory</w:t>
      </w:r>
    </w:p>
    <w:p>
      <w:pPr>
        <w:spacing w:after="0" w:line="214" w:lineRule="exact"/>
        <w:rPr>
          <w:sz w:val="20"/>
          <w:szCs w:val="20"/>
          <w:color w:val="auto"/>
        </w:rPr>
      </w:pPr>
    </w:p>
    <w:p>
      <w:pPr>
        <w:sectPr>
          <w:pgSz w:w="11900" w:h="16838" w:orient="portrait"/>
          <w:cols w:equalWidth="0" w:num="2">
            <w:col w:w="3780" w:space="720"/>
            <w:col w:w="5639"/>
          </w:cols>
          <w:pgMar w:left="320" w:top="1385" w:right="1440" w:bottom="1440" w:gutter="0" w:footer="0" w:header="0"/>
          <w:type w:val="continuous"/>
        </w:sectPr>
      </w:pPr>
    </w:p>
    <w:p>
      <w:pPr>
        <w:spacing w:after="0" w:line="3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Praveen Damani</w:t>
      </w:r>
    </w:p>
    <w:p>
      <w:pPr>
        <w:sectPr>
          <w:pgSz w:w="11900" w:h="16838" w:orient="portrait"/>
          <w:cols w:equalWidth="0" w:num="1">
            <w:col w:w="10139"/>
          </w:cols>
          <w:pgMar w:left="320" w:top="138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Address for notices for Security Agent:</w:t>
      </w:r>
    </w:p>
    <w:p>
      <w:pPr>
        <w:spacing w:after="0" w:line="219"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1"/>
          <w:szCs w:val="21"/>
          <w:color w:val="auto"/>
        </w:rPr>
        <w:t>Address:</w:t>
        <w:tab/>
        <w:t>[Redacted]</w:t>
      </w:r>
    </w:p>
    <w:p>
      <w:pPr>
        <w:spacing w:after="0" w:line="219"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21"/>
          <w:szCs w:val="21"/>
          <w:color w:val="auto"/>
        </w:rPr>
        <w:t>Fax number:</w:t>
      </w:r>
      <w:r>
        <w:rPr>
          <w:sz w:val="20"/>
          <w:szCs w:val="20"/>
          <w:color w:val="auto"/>
        </w:rPr>
        <w:tab/>
      </w:r>
      <w:r>
        <w:rPr>
          <w:rFonts w:ascii="Times New Roman" w:cs="Times New Roman" w:eastAsia="Times New Roman" w:hAnsi="Times New Roman"/>
          <w:sz w:val="20"/>
          <w:szCs w:val="20"/>
          <w:color w:val="auto"/>
        </w:rPr>
        <w:t>[Redacted]</w:t>
      </w:r>
    </w:p>
    <w:p>
      <w:pPr>
        <w:spacing w:after="0" w:line="21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1"/>
          <w:szCs w:val="21"/>
          <w:color w:val="auto"/>
        </w:rPr>
        <w:t>E-mail:</w:t>
      </w:r>
      <w:r>
        <w:rPr>
          <w:sz w:val="20"/>
          <w:szCs w:val="20"/>
          <w:color w:val="auto"/>
        </w:rPr>
        <w:tab/>
      </w:r>
      <w:r>
        <w:rPr>
          <w:rFonts w:ascii="Times New Roman" w:cs="Times New Roman" w:eastAsia="Times New Roman" w:hAnsi="Times New Roman"/>
          <w:sz w:val="20"/>
          <w:szCs w:val="20"/>
          <w:color w:val="auto"/>
        </w:rPr>
        <w:t>[Redacted]</w:t>
      </w:r>
    </w:p>
    <w:p>
      <w:pPr>
        <w:spacing w:after="0" w:line="232"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1"/>
          <w:szCs w:val="21"/>
          <w:color w:val="auto"/>
        </w:rPr>
        <w:t>Tel:</w:t>
      </w:r>
      <w:r>
        <w:rPr>
          <w:sz w:val="20"/>
          <w:szCs w:val="20"/>
          <w:color w:val="auto"/>
        </w:rPr>
        <w:tab/>
      </w:r>
      <w:r>
        <w:rPr>
          <w:rFonts w:ascii="Times New Roman" w:cs="Times New Roman" w:eastAsia="Times New Roman" w:hAnsi="Times New Roman"/>
          <w:sz w:val="21"/>
          <w:szCs w:val="21"/>
          <w:color w:val="auto"/>
        </w:rPr>
        <w:t>[Redacted]</w:t>
      </w:r>
    </w:p>
    <w:p>
      <w:pPr>
        <w:spacing w:after="0" w:line="219"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21"/>
          <w:szCs w:val="21"/>
          <w:color w:val="auto"/>
        </w:rPr>
        <w:t>Attention:</w:t>
        <w:tab/>
        <w:t>Urvi Widhani / Praveen Damani / Shabeer Musthafa MK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1"/>
          <w:szCs w:val="21"/>
          <w:color w:val="auto"/>
        </w:rPr>
        <w:t>21</w:t>
      </w:r>
    </w:p>
    <w:p>
      <w:pPr>
        <w:sectPr>
          <w:pgSz w:w="11900" w:h="16838" w:orient="portrait"/>
          <w:cols w:equalWidth="0" w:num="1">
            <w:col w:w="10139"/>
          </w:cols>
          <w:pgMar w:left="320" w:top="1385" w:right="1440" w:bottom="1440" w:gutter="0" w:footer="0" w:header="0"/>
          <w:type w:val="continuous"/>
        </w:sectPr>
      </w:pPr>
    </w:p>
    <w:bookmarkStart w:id="26" w:name="page27"/>
    <w:bookmarkEnd w:id="26"/>
    <w:p>
      <w:pPr>
        <w:ind w:left="10300"/>
        <w:spacing w:after="0"/>
        <w:rPr>
          <w:sz w:val="20"/>
          <w:szCs w:val="20"/>
          <w:color w:val="auto"/>
        </w:rPr>
      </w:pPr>
      <w:r>
        <w:rPr>
          <w:rFonts w:ascii="Calibri" w:cs="Calibri" w:eastAsia="Calibri" w:hAnsi="Calibri"/>
          <w:sz w:val="19"/>
          <w:szCs w:val="19"/>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2668905</wp:posOffset>
            </wp:positionH>
            <wp:positionV relativeFrom="paragraph">
              <wp:posOffset>19685</wp:posOffset>
            </wp:positionV>
            <wp:extent cx="1804670" cy="13950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04670" cy="1395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Calibri" w:cs="Calibri" w:eastAsia="Calibri" w:hAnsi="Calibri"/>
          <w:sz w:val="19"/>
          <w:szCs w:val="19"/>
          <w:b w:val="1"/>
          <w:bCs w:val="1"/>
          <w:color w:val="auto"/>
        </w:rPr>
        <w:t>Financing for Wynn Al Marjan Island Completed</w:t>
      </w:r>
    </w:p>
    <w:p>
      <w:pPr>
        <w:spacing w:after="0" w:line="5" w:lineRule="exact"/>
        <w:rPr>
          <w:sz w:val="20"/>
          <w:szCs w:val="20"/>
          <w:color w:val="auto"/>
        </w:rPr>
      </w:pPr>
    </w:p>
    <w:p>
      <w:pPr>
        <w:jc w:val="center"/>
        <w:spacing w:after="0"/>
        <w:rPr>
          <w:sz w:val="20"/>
          <w:szCs w:val="20"/>
          <w:color w:val="auto"/>
        </w:rPr>
      </w:pPr>
      <w:r>
        <w:rPr>
          <w:rFonts w:ascii="Calibri" w:cs="Calibri" w:eastAsia="Calibri" w:hAnsi="Calibri"/>
          <w:sz w:val="19"/>
          <w:szCs w:val="19"/>
          <w:i w:val="1"/>
          <w:iCs w:val="1"/>
          <w:color w:val="auto"/>
        </w:rPr>
        <w:t>Signifcant Milestone Toward the Resort’s 2027 Opening</w:t>
      </w:r>
    </w:p>
    <w:p>
      <w:pPr>
        <w:spacing w:after="0" w:line="230" w:lineRule="exact"/>
        <w:rPr>
          <w:sz w:val="20"/>
          <w:szCs w:val="20"/>
          <w:color w:val="auto"/>
        </w:rPr>
      </w:pPr>
    </w:p>
    <w:p>
      <w:pPr>
        <w:jc w:val="both"/>
        <w:spacing w:after="0"/>
        <w:rPr>
          <w:sz w:val="20"/>
          <w:szCs w:val="20"/>
          <w:color w:val="auto"/>
        </w:rPr>
      </w:pPr>
      <w:r>
        <w:rPr>
          <w:rFonts w:ascii="Calibri" w:cs="Calibri" w:eastAsia="Calibri" w:hAnsi="Calibri"/>
          <w:sz w:val="19"/>
          <w:szCs w:val="19"/>
          <w:b w:val="1"/>
          <w:bCs w:val="1"/>
          <w:color w:val="auto"/>
        </w:rPr>
        <w:t>Las Vegas, Nevada, USA (February 6, 2025</w:t>
      </w:r>
      <w:r>
        <w:rPr>
          <w:rFonts w:ascii="Calibri" w:cs="Calibri" w:eastAsia="Calibri" w:hAnsi="Calibri"/>
          <w:sz w:val="19"/>
          <w:szCs w:val="19"/>
          <w:color w:val="auto"/>
        </w:rPr>
        <w:t>) -- Wynn Resorts, Limited (WYNN) today announced that</w:t>
      </w:r>
      <w:r>
        <w:rPr>
          <w:rFonts w:ascii="Calibri" w:cs="Calibri" w:eastAsia="Calibri" w:hAnsi="Calibri"/>
          <w:sz w:val="19"/>
          <w:szCs w:val="19"/>
          <w:b w:val="1"/>
          <w:bCs w:val="1"/>
          <w:color w:val="auto"/>
        </w:rPr>
        <w:t xml:space="preserve"> </w:t>
      </w:r>
      <w:r>
        <w:rPr>
          <w:rFonts w:ascii="Calibri" w:cs="Calibri" w:eastAsia="Calibri" w:hAnsi="Calibri"/>
          <w:sz w:val="19"/>
          <w:szCs w:val="19"/>
          <w:color w:val="242424"/>
        </w:rPr>
        <w:t>Wynn Al Marjan Island has obtained a</w:t>
      </w:r>
      <w:r>
        <w:rPr>
          <w:rFonts w:ascii="Calibri" w:cs="Calibri" w:eastAsia="Calibri" w:hAnsi="Calibri"/>
          <w:sz w:val="19"/>
          <w:szCs w:val="19"/>
          <w:b w:val="1"/>
          <w:bCs w:val="1"/>
          <w:color w:val="auto"/>
        </w:rPr>
        <w:t xml:space="preserve"> </w:t>
      </w:r>
      <w:r>
        <w:rPr>
          <w:rFonts w:ascii="Calibri" w:cs="Calibri" w:eastAsia="Calibri" w:hAnsi="Calibri"/>
          <w:sz w:val="19"/>
          <w:szCs w:val="19"/>
          <w:color w:val="242424"/>
        </w:rPr>
        <w:t>$2.4 billion constructon facility with a global syndicate of lenders to fnance the development of Wynn Al Marjan Island, the frst integrated resort in the United Arab Emirates. Wynn Al Marjan Island is located 50 minutes from Dubai Internatonal Airport in the emirate of Ras Al Khaimah.</w:t>
      </w:r>
    </w:p>
    <w:p>
      <w:pPr>
        <w:spacing w:after="0" w:line="200" w:lineRule="exact"/>
        <w:rPr>
          <w:sz w:val="20"/>
          <w:szCs w:val="20"/>
          <w:color w:val="auto"/>
        </w:rPr>
      </w:pPr>
    </w:p>
    <w:p>
      <w:pPr>
        <w:spacing w:after="0" w:line="262" w:lineRule="exact"/>
        <w:rPr>
          <w:sz w:val="20"/>
          <w:szCs w:val="20"/>
          <w:color w:val="auto"/>
        </w:rPr>
      </w:pPr>
    </w:p>
    <w:p>
      <w:pPr>
        <w:jc w:val="both"/>
        <w:spacing w:after="0"/>
        <w:rPr>
          <w:sz w:val="20"/>
          <w:szCs w:val="20"/>
          <w:color w:val="auto"/>
        </w:rPr>
      </w:pPr>
      <w:r>
        <w:rPr>
          <w:rFonts w:ascii="Calibri" w:cs="Calibri" w:eastAsia="Calibri" w:hAnsi="Calibri"/>
          <w:sz w:val="19"/>
          <w:szCs w:val="19"/>
          <w:color w:val="242424"/>
        </w:rPr>
        <w:t>The secured term loan facility, made available to Wynn Al Marjan Island FZ-LLC which is a subsidiary of the 40%-owned joint venture, is denominated in a combinaton of AED and USD currencies, refectng the bulk of the expected development expenditures to be incurred in AED. The term of the loan is seven years at a compettve market interest rate and is structured as a delayed draw facility which provides signifcant fnancial fexibility to the joint venture partners.</w:t>
      </w:r>
    </w:p>
    <w:p>
      <w:pPr>
        <w:spacing w:after="0" w:line="242" w:lineRule="exact"/>
        <w:rPr>
          <w:sz w:val="20"/>
          <w:szCs w:val="20"/>
          <w:color w:val="auto"/>
        </w:rPr>
      </w:pPr>
    </w:p>
    <w:p>
      <w:pPr>
        <w:spacing w:after="0"/>
        <w:rPr>
          <w:sz w:val="20"/>
          <w:szCs w:val="20"/>
          <w:color w:val="auto"/>
        </w:rPr>
      </w:pPr>
      <w:r>
        <w:rPr>
          <w:rFonts w:ascii="Calibri" w:cs="Calibri" w:eastAsia="Calibri" w:hAnsi="Calibri"/>
          <w:sz w:val="19"/>
          <w:szCs w:val="19"/>
          <w:color w:val="242424"/>
        </w:rPr>
        <w:t>This landmark transacton represents the largest hospitality fnancing transacton in the history of the United Arab Emirates.</w:t>
      </w:r>
    </w:p>
    <w:p>
      <w:pPr>
        <w:spacing w:after="0" w:line="230" w:lineRule="exact"/>
        <w:rPr>
          <w:sz w:val="20"/>
          <w:szCs w:val="20"/>
          <w:color w:val="auto"/>
        </w:rPr>
      </w:pPr>
    </w:p>
    <w:p>
      <w:pPr>
        <w:jc w:val="both"/>
        <w:spacing w:after="0" w:line="241" w:lineRule="auto"/>
        <w:rPr>
          <w:sz w:val="20"/>
          <w:szCs w:val="20"/>
          <w:color w:val="auto"/>
        </w:rPr>
      </w:pPr>
      <w:r>
        <w:rPr>
          <w:rFonts w:ascii="Calibri" w:cs="Calibri" w:eastAsia="Calibri" w:hAnsi="Calibri"/>
          <w:sz w:val="19"/>
          <w:szCs w:val="19"/>
          <w:color w:val="242424"/>
        </w:rPr>
        <w:t>The bank syndicate includes a mix of globally recognized regional and internatonal lenders. Abu Dhabi Commercial Bank PJSC and Deutsche Bank AG acted as Joint Coordinators of the fnancing. The joint coordinators as well as First Abu Dhabi Bank PJSC, Emirates NBD Capital Limited, and The Natonal Bank of Ras Al Khaimah acted as Inital Mandated Lead Arrangers, Bookrunners and Underwriters, and Sumitomo Mitsui Banking Corporaton DIFC Branch, Dubai acted as Lead Arranger. First Abu Dhabi Bank PJSC is actng as Agent and Security Agent for the lenders.</w:t>
      </w:r>
    </w:p>
    <w:p>
      <w:pPr>
        <w:spacing w:after="0" w:line="200" w:lineRule="exact"/>
        <w:rPr>
          <w:sz w:val="20"/>
          <w:szCs w:val="20"/>
          <w:color w:val="auto"/>
        </w:rPr>
      </w:pPr>
    </w:p>
    <w:p>
      <w:pPr>
        <w:spacing w:after="0" w:line="262" w:lineRule="exact"/>
        <w:rPr>
          <w:sz w:val="20"/>
          <w:szCs w:val="20"/>
          <w:color w:val="auto"/>
        </w:rPr>
      </w:pPr>
    </w:p>
    <w:p>
      <w:pPr>
        <w:jc w:val="both"/>
        <w:spacing w:after="0" w:line="201" w:lineRule="auto"/>
        <w:rPr>
          <w:sz w:val="20"/>
          <w:szCs w:val="20"/>
          <w:color w:val="auto"/>
        </w:rPr>
      </w:pPr>
      <w:r>
        <w:rPr>
          <w:rFonts w:ascii="Calibri" w:cs="Calibri" w:eastAsia="Calibri" w:hAnsi="Calibri"/>
          <w:sz w:val="19"/>
          <w:szCs w:val="19"/>
          <w:color w:val="auto"/>
        </w:rPr>
        <w:t>Project constructon is proceeding well with 64% of the structural concrete completed up to the 34</w:t>
      </w:r>
      <w:r>
        <w:rPr>
          <w:rFonts w:ascii="Calibri" w:cs="Calibri" w:eastAsia="Calibri" w:hAnsi="Calibri"/>
          <w:sz w:val="25"/>
          <w:szCs w:val="25"/>
          <w:color w:val="auto"/>
          <w:vertAlign w:val="superscript"/>
        </w:rPr>
        <w:t>th</w:t>
      </w:r>
      <w:r>
        <w:rPr>
          <w:rFonts w:ascii="Calibri" w:cs="Calibri" w:eastAsia="Calibri" w:hAnsi="Calibri"/>
          <w:sz w:val="19"/>
          <w:szCs w:val="19"/>
          <w:color w:val="auto"/>
        </w:rPr>
        <w:t xml:space="preserve"> foor of the main resort tower and elevator cores extending to the 36</w:t>
      </w:r>
      <w:r>
        <w:rPr>
          <w:rFonts w:ascii="Calibri" w:cs="Calibri" w:eastAsia="Calibri" w:hAnsi="Calibri"/>
          <w:sz w:val="25"/>
          <w:szCs w:val="25"/>
          <w:color w:val="auto"/>
          <w:vertAlign w:val="superscript"/>
        </w:rPr>
        <w:t>th</w:t>
      </w:r>
      <w:r>
        <w:rPr>
          <w:rFonts w:ascii="Calibri" w:cs="Calibri" w:eastAsia="Calibri" w:hAnsi="Calibri"/>
          <w:sz w:val="19"/>
          <w:szCs w:val="19"/>
          <w:color w:val="auto"/>
        </w:rPr>
        <w:t xml:space="preserve"> foor. The constructon team is completng one foor per week, working toward a topping of in December of this year. In the last 100 days, the resort tower has grown approximately 140 feet.</w:t>
      </w:r>
    </w:p>
    <w:p>
      <w:pPr>
        <w:spacing w:after="0" w:line="230" w:lineRule="exact"/>
        <w:rPr>
          <w:sz w:val="20"/>
          <w:szCs w:val="20"/>
          <w:color w:val="auto"/>
        </w:rPr>
      </w:pPr>
    </w:p>
    <w:p>
      <w:pPr>
        <w:jc w:val="both"/>
        <w:spacing w:after="0"/>
        <w:rPr>
          <w:sz w:val="20"/>
          <w:szCs w:val="20"/>
          <w:color w:val="auto"/>
        </w:rPr>
      </w:pPr>
      <w:r>
        <w:rPr>
          <w:rFonts w:ascii="Calibri" w:cs="Calibri" w:eastAsia="Calibri" w:hAnsi="Calibri"/>
          <w:sz w:val="19"/>
          <w:szCs w:val="19"/>
          <w:color w:val="auto"/>
        </w:rPr>
        <w:t>The resort will ofer 1,542 rooms and well-appointed suites. To date, 1,226 guest rooms in the tower structure have been completed, or 80% of the total. The exterior façade window glazing is progressing with 2,840 of 13,734 panels completed, which is more than 20% of the total. Fit out is underway in approximately 1,121 rooms – including walls, foors, and ceilings, as well as all mechanical, electrical, and plumbing services.</w:t>
      </w:r>
    </w:p>
    <w:p>
      <w:pPr>
        <w:sectPr>
          <w:pgSz w:w="11900" w:h="16838" w:orient="portrait"/>
          <w:cols w:equalWidth="0" w:num="1">
            <w:col w:w="11240"/>
          </w:cols>
          <w:pgMar w:left="320" w:top="1377" w:right="339" w:bottom="1440" w:gutter="0" w:footer="0" w:header="0"/>
        </w:sectPr>
      </w:pPr>
    </w:p>
    <w:bookmarkStart w:id="27" w:name="page28"/>
    <w:bookmarkEnd w:id="27"/>
    <w:p>
      <w:pPr>
        <w:jc w:val="both"/>
        <w:spacing w:after="0" w:line="243" w:lineRule="auto"/>
        <w:rPr>
          <w:sz w:val="20"/>
          <w:szCs w:val="20"/>
          <w:color w:val="auto"/>
        </w:rPr>
      </w:pPr>
      <w:r>
        <w:rPr>
          <w:rFonts w:ascii="Calibri" w:cs="Calibri" w:eastAsia="Calibri" w:hAnsi="Calibri"/>
          <w:sz w:val="19"/>
          <w:szCs w:val="19"/>
          <w:color w:val="auto"/>
        </w:rPr>
        <w:t>In the low-rise porton of the building, the concrete and steel structures are a combined 70% complete. Exterior facades and interior ft out have commenced. Elevator and escalator installaton across the property is also progressing.</w:t>
      </w:r>
    </w:p>
    <w:p>
      <w:pPr>
        <w:spacing w:after="0" w:line="228" w:lineRule="exact"/>
        <w:rPr>
          <w:sz w:val="20"/>
          <w:szCs w:val="20"/>
          <w:color w:val="auto"/>
        </w:rPr>
      </w:pPr>
    </w:p>
    <w:p>
      <w:pPr>
        <w:jc w:val="both"/>
        <w:spacing w:after="0" w:line="238" w:lineRule="auto"/>
        <w:rPr>
          <w:sz w:val="20"/>
          <w:szCs w:val="20"/>
          <w:color w:val="auto"/>
        </w:rPr>
      </w:pPr>
      <w:r>
        <w:rPr>
          <w:rFonts w:ascii="Calibri" w:cs="Calibri" w:eastAsia="Calibri" w:hAnsi="Calibri"/>
          <w:sz w:val="19"/>
          <w:szCs w:val="19"/>
          <w:color w:val="auto"/>
        </w:rPr>
        <w:t>Overlooking its own beautful white sand beach with views of the Arabian Gulf and the distant Hajar Mountains, Wynn Resorts is developing the resort in partnership with Marjan and RAK Hospitality Holding. Wynn Design and Development is overseeing all facets of the project’s design and constructon.</w:t>
      </w:r>
    </w:p>
    <w:p>
      <w:pPr>
        <w:spacing w:after="0" w:line="244" w:lineRule="exact"/>
        <w:rPr>
          <w:sz w:val="20"/>
          <w:szCs w:val="20"/>
          <w:color w:val="auto"/>
        </w:rPr>
      </w:pPr>
    </w:p>
    <w:p>
      <w:pPr>
        <w:jc w:val="both"/>
        <w:spacing w:after="0"/>
        <w:rPr>
          <w:sz w:val="20"/>
          <w:szCs w:val="20"/>
          <w:color w:val="auto"/>
        </w:rPr>
      </w:pPr>
      <w:r>
        <w:rPr>
          <w:rFonts w:ascii="Calibri" w:cs="Calibri" w:eastAsia="Calibri" w:hAnsi="Calibri"/>
          <w:sz w:val="19"/>
          <w:szCs w:val="19"/>
          <w:color w:val="auto"/>
        </w:rPr>
        <w:t>Wynn Al Marjan Island will have twenty-two restaurants, lounges and bars, as well as a nightclub and beach club. Guests will enjoy a luxury shopping promenade and a signature Wynn spa and salon. There will be an extensive 39,000 square foot poolscape adjacent to the beach. The 145,000 square-foot meetngs and events center will include outdoor event terraces and lawns. The theater and a new resident show are also being created specifcally for Marjan Island.</w:t>
      </w:r>
    </w:p>
    <w:p>
      <w:pPr>
        <w:spacing w:after="0" w:line="229"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ABOUT WYNN RESORTS</w:t>
      </w:r>
    </w:p>
    <w:p>
      <w:pPr>
        <w:spacing w:after="0" w:line="243" w:lineRule="exact"/>
        <w:rPr>
          <w:sz w:val="20"/>
          <w:szCs w:val="20"/>
          <w:color w:val="auto"/>
        </w:rPr>
      </w:pPr>
    </w:p>
    <w:p>
      <w:pPr>
        <w:jc w:val="both"/>
        <w:spacing w:after="0"/>
        <w:rPr>
          <w:sz w:val="20"/>
          <w:szCs w:val="20"/>
          <w:color w:val="auto"/>
        </w:rPr>
      </w:pPr>
      <w:r>
        <w:rPr>
          <w:rFonts w:ascii="Calibri" w:cs="Calibri" w:eastAsia="Calibri" w:hAnsi="Calibri"/>
          <w:sz w:val="19"/>
          <w:szCs w:val="19"/>
          <w:color w:val="auto"/>
        </w:rPr>
        <w:t>Wynn Resorts, Limited is traded on the Nasdaq Global Select Market under the tcker symbol WYNN and is part of the S&amp;P 500 Index. Wynn Resorts owns and operates Wynn Las Vegas (wynnlasvegas.com), Wynn Macau (wynnmacau.com), Wynn Palace, Cotai (wynnpalace.com), and operates Encore Boston Harbor (encorebostonharbor.com). The Company is constructng an Integrated Resort in Ras Al Khaimah, United Arab Emirates, set to open in 2027.</w:t>
      </w:r>
    </w:p>
    <w:p>
      <w:pPr>
        <w:spacing w:after="0" w:line="230" w:lineRule="exact"/>
        <w:rPr>
          <w:sz w:val="20"/>
          <w:szCs w:val="20"/>
          <w:color w:val="auto"/>
        </w:rPr>
      </w:pPr>
    </w:p>
    <w:p>
      <w:pPr>
        <w:jc w:val="both"/>
        <w:spacing w:after="0" w:line="241" w:lineRule="auto"/>
        <w:rPr>
          <w:sz w:val="20"/>
          <w:szCs w:val="20"/>
          <w:color w:val="auto"/>
        </w:rPr>
      </w:pPr>
      <w:r>
        <w:rPr>
          <w:rFonts w:ascii="Calibri" w:cs="Calibri" w:eastAsia="Calibri" w:hAnsi="Calibri"/>
          <w:sz w:val="19"/>
          <w:szCs w:val="19"/>
          <w:color w:val="auto"/>
        </w:rPr>
        <w:t>Wynn and Encore Las Vegas consist of two luxury hotel towers with a total of 4,748 spacious hotel rooms, suites, and villas. The resort features approximately 194,000 square feet of casino space, 20 signature dining experiences, 14 bars, two award-winning spas, approximately 513,000 rentable square feet of meetng and conventon space, approximately 177,000 square feet of retail space as well as two showrooms, two nightclubs, a beach club, and recreaton and leisure facilites, including Wynn Golf Club, an 18-hole championship golf course.</w:t>
      </w:r>
    </w:p>
    <w:p>
      <w:pPr>
        <w:spacing w:after="0" w:line="200" w:lineRule="exact"/>
        <w:rPr>
          <w:sz w:val="20"/>
          <w:szCs w:val="20"/>
          <w:color w:val="auto"/>
        </w:rPr>
      </w:pPr>
    </w:p>
    <w:p>
      <w:pPr>
        <w:spacing w:after="0" w:line="263" w:lineRule="exact"/>
        <w:rPr>
          <w:sz w:val="20"/>
          <w:szCs w:val="20"/>
          <w:color w:val="auto"/>
        </w:rPr>
      </w:pPr>
    </w:p>
    <w:p>
      <w:pPr>
        <w:jc w:val="both"/>
        <w:spacing w:after="0"/>
        <w:rPr>
          <w:sz w:val="20"/>
          <w:szCs w:val="20"/>
          <w:color w:val="auto"/>
        </w:rPr>
      </w:pPr>
      <w:r>
        <w:rPr>
          <w:rFonts w:ascii="Calibri" w:cs="Calibri" w:eastAsia="Calibri" w:hAnsi="Calibri"/>
          <w:sz w:val="19"/>
          <w:szCs w:val="19"/>
          <w:color w:val="auto"/>
        </w:rPr>
        <w:t>Encore Boston Harbor is a luxury resort destnaton featuring a 210,000 square foot casino, 671 hotel rooms, an ultra-premium spa, specialty retail, 14 dining and lounge venues, a nightclub and approximately 71,000 square feet of state-of-the-art ballroom and meetng spaces. Situated on the waterfront along the Mystc River in Everet, Massachusets, the resort has created a six-acre public park and Harborwalk along the shoreline. It is the largest private, single-phase development in the history of the Commonwealth of Massachusets.</w:t>
      </w:r>
    </w:p>
    <w:p>
      <w:pPr>
        <w:spacing w:after="0" w:line="243" w:lineRule="exact"/>
        <w:rPr>
          <w:sz w:val="20"/>
          <w:szCs w:val="20"/>
          <w:color w:val="auto"/>
        </w:rPr>
      </w:pPr>
    </w:p>
    <w:p>
      <w:pPr>
        <w:jc w:val="both"/>
        <w:spacing w:after="0" w:line="236" w:lineRule="auto"/>
        <w:rPr>
          <w:sz w:val="20"/>
          <w:szCs w:val="20"/>
          <w:color w:val="auto"/>
        </w:rPr>
      </w:pPr>
      <w:r>
        <w:rPr>
          <w:rFonts w:ascii="Calibri" w:cs="Calibri" w:eastAsia="Calibri" w:hAnsi="Calibri"/>
          <w:sz w:val="19"/>
          <w:szCs w:val="19"/>
          <w:color w:val="auto"/>
        </w:rPr>
        <w:t>Wynn Macau is a luxury hotel and casino resort located in the Macau Special Administratve Region of the People's Republic of China with two luxury hotel towers with a total of 1,010 spacious rooms and suites, approximately 294,000 square feet of casino space, 14 food and beverage outlets, approximately 31,000 square feet of meetng and conventon space, approximately 64,300 square feet of retail space, and recreaton and leisure facilites including two opulent spas, a salon and a rotunda show.</w:t>
      </w:r>
    </w:p>
    <w:p>
      <w:pPr>
        <w:spacing w:after="0" w:line="246" w:lineRule="exact"/>
        <w:rPr>
          <w:sz w:val="20"/>
          <w:szCs w:val="20"/>
          <w:color w:val="auto"/>
        </w:rPr>
      </w:pPr>
    </w:p>
    <w:p>
      <w:pPr>
        <w:jc w:val="both"/>
        <w:spacing w:after="0"/>
        <w:rPr>
          <w:sz w:val="20"/>
          <w:szCs w:val="20"/>
          <w:color w:val="auto"/>
        </w:rPr>
      </w:pPr>
      <w:r>
        <w:rPr>
          <w:rFonts w:ascii="Calibri" w:cs="Calibri" w:eastAsia="Calibri" w:hAnsi="Calibri"/>
          <w:sz w:val="19"/>
          <w:szCs w:val="19"/>
          <w:color w:val="auto"/>
        </w:rPr>
        <w:t>Wynn Palace is a luxury integrated resort in Macau. Designed as a foral-themed destnaton, it boasts 1,706 exquisite rooms, suites and villas, approximately 468,000 square feet of casino space, 14 food and beverage outlets, approximately 37,000 square feet of meetng and conventon space, approximately 107,000 square feet of designer retail, SkyCabs that traverse an eight-acre Performance Lake, an extensive collecton of rare art, a lush spa, salon and recreaton and leisure facilites.</w:t>
      </w:r>
    </w:p>
    <w:p>
      <w:pPr>
        <w:sectPr>
          <w:pgSz w:w="11900" w:h="16838" w:orient="portrait"/>
          <w:cols w:equalWidth="0" w:num="1">
            <w:col w:w="11240"/>
          </w:cols>
          <w:pgMar w:left="320" w:top="1378" w:right="339" w:bottom="1440" w:gutter="0" w:footer="0" w:header="0"/>
        </w:sectPr>
      </w:pPr>
    </w:p>
    <w:bookmarkStart w:id="28" w:name="page29"/>
    <w:bookmarkEnd w:id="28"/>
    <w:p>
      <w:pPr>
        <w:jc w:val="both"/>
        <w:spacing w:after="0" w:line="238" w:lineRule="auto"/>
        <w:rPr>
          <w:sz w:val="20"/>
          <w:szCs w:val="20"/>
          <w:color w:val="auto"/>
        </w:rPr>
      </w:pPr>
      <w:r>
        <w:rPr>
          <w:rFonts w:ascii="Calibri" w:cs="Calibri" w:eastAsia="Calibri" w:hAnsi="Calibri"/>
          <w:sz w:val="19"/>
          <w:szCs w:val="19"/>
          <w:color w:val="auto"/>
        </w:rPr>
        <w:t>Wynn Al Marjan Island will be the frst integrated resort in the United Arab Emirates. Set to open in 2027, the resort will be located 50 minutes from Dubai Internatonal Airport in the emirate of Ras Al Khaimah. Wynn Resorts is developing the project in partnership with Marjan and RAK Hospitality</w:t>
      </w:r>
    </w:p>
    <w:p>
      <w:pPr>
        <w:spacing w:after="0" w:line="7" w:lineRule="exact"/>
        <w:rPr>
          <w:sz w:val="20"/>
          <w:szCs w:val="20"/>
          <w:color w:val="auto"/>
        </w:rPr>
      </w:pPr>
    </w:p>
    <w:p>
      <w:pPr>
        <w:jc w:val="both"/>
        <w:spacing w:after="0"/>
        <w:rPr>
          <w:sz w:val="20"/>
          <w:szCs w:val="20"/>
          <w:color w:val="auto"/>
        </w:rPr>
      </w:pPr>
      <w:r>
        <w:rPr>
          <w:rFonts w:ascii="Calibri" w:cs="Calibri" w:eastAsia="Calibri" w:hAnsi="Calibri"/>
          <w:sz w:val="19"/>
          <w:szCs w:val="19"/>
          <w:color w:val="auto"/>
        </w:rPr>
        <w:t>Holding, creatng a new category of luxury in the region. The resort will ofer 1,542 rooms and well-appointed suites, as well as 22 restaurants, lounges, and bars, a theater, a nightclub, and a beach club adjacent to the Arabian Gulf. In additon, Wynn Al Marjan Island will feature multple swimming and wading pools, water features, private cabanas, and tropical landscaping, a fve-star spa, and a salon. The resort will also include a 15,000-square-meter shopping promenade flled with the world’s top luxury boutques, and a 7,500-square-meter meetngs and events center.</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Forward-Looking Statements</w:t>
      </w:r>
    </w:p>
    <w:p>
      <w:pPr>
        <w:spacing w:after="0" w:line="230" w:lineRule="exact"/>
        <w:rPr>
          <w:sz w:val="20"/>
          <w:szCs w:val="20"/>
          <w:color w:val="auto"/>
        </w:rPr>
      </w:pPr>
    </w:p>
    <w:p>
      <w:pPr>
        <w:jc w:val="both"/>
        <w:spacing w:after="0"/>
        <w:rPr>
          <w:sz w:val="20"/>
          <w:szCs w:val="20"/>
          <w:color w:val="auto"/>
        </w:rPr>
      </w:pPr>
      <w:r>
        <w:rPr>
          <w:rFonts w:ascii="Calibri" w:cs="Calibri" w:eastAsia="Calibri" w:hAnsi="Calibri"/>
          <w:sz w:val="19"/>
          <w:szCs w:val="19"/>
          <w:color w:val="auto"/>
        </w:rPr>
        <w:t>This release contains forward-looking statements regarding future events and results, including statements regarding expected expenditures for the development of the Wynn Al Marjan Island project and expected tming of the project. Such forward-looking statements are subject to a number of risks and uncertaintes that could signifcantly afect antcipated results in the future, and accordingly, such results may difer from those expressed in any forward-looking statements. Factors that may cause actual results to difer materially from Wynn Resorts’ current expectatons include, but are not limited to: development and constructon risks; risks associated with disruptons of the supply chains through constructon materials and furniture, fxtures and equipment are obtained; project delays caused by, among other things, extreme weather paterns, natural disasters, or difcultes in obtaining permits and authorizatons from regulatory authorites; demands imposed on managerial, operatonal and other resources; macroeconomic conditons; and internatonal relatons and other geopolitcal risks. Additonal factors that could cause results to difer materially from those described in this release are included in Wynn Resorts’ Annual Report on Form 10-K for the year ended December 31, 2023, as supplemented by Wynn Resorts’ other periodic reports fled with the Securites and Exchange Commission from tme to tme. Wynn Resorts is under no obligaton to (and expressly disclaim any such obligaton to) update its forward-looking statements as a result of new informaton, future events or otherwise, except as required by law.</w:t>
      </w:r>
    </w:p>
    <w:p>
      <w:pPr>
        <w:spacing w:after="0" w:line="229"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Media Contact</w:t>
      </w:r>
    </w:p>
    <w:p>
      <w:pPr>
        <w:spacing w:after="0" w:line="5" w:lineRule="exact"/>
        <w:rPr>
          <w:sz w:val="20"/>
          <w:szCs w:val="20"/>
          <w:color w:val="auto"/>
        </w:rPr>
      </w:pPr>
    </w:p>
    <w:p>
      <w:pPr>
        <w:spacing w:after="0"/>
        <w:rPr>
          <w:sz w:val="20"/>
          <w:szCs w:val="20"/>
          <w:color w:val="auto"/>
        </w:rPr>
      </w:pPr>
      <w:r>
        <w:rPr>
          <w:rFonts w:ascii="Calibri" w:cs="Calibri" w:eastAsia="Calibri" w:hAnsi="Calibri"/>
          <w:sz w:val="19"/>
          <w:szCs w:val="19"/>
          <w:color w:val="auto"/>
        </w:rPr>
        <w:t>Michael Weaver, Chief Communicatons and Brand Ofcer, Wynn Resorts</w:t>
      </w:r>
    </w:p>
    <w:p>
      <w:pPr>
        <w:spacing w:after="0" w:line="5" w:lineRule="exact"/>
        <w:rPr>
          <w:sz w:val="20"/>
          <w:szCs w:val="20"/>
          <w:color w:val="auto"/>
        </w:rPr>
      </w:pPr>
    </w:p>
    <w:p>
      <w:pPr>
        <w:spacing w:after="0"/>
        <w:rPr>
          <w:sz w:val="20"/>
          <w:szCs w:val="20"/>
          <w:color w:val="auto"/>
        </w:rPr>
      </w:pPr>
      <w:r>
        <w:rPr>
          <w:rFonts w:ascii="Calibri" w:cs="Calibri" w:eastAsia="Calibri" w:hAnsi="Calibri"/>
          <w:sz w:val="19"/>
          <w:szCs w:val="19"/>
          <w:color w:val="auto"/>
        </w:rPr>
        <w:t>Michael.weaver@wynnresorts.com, +702-770-7501</w:t>
      </w:r>
    </w:p>
    <w:p>
      <w:pPr>
        <w:spacing w:after="0" w:line="229"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Investor Relatons</w:t>
      </w:r>
    </w:p>
    <w:p>
      <w:pPr>
        <w:spacing w:after="0" w:line="5" w:lineRule="exact"/>
        <w:rPr>
          <w:sz w:val="20"/>
          <w:szCs w:val="20"/>
          <w:color w:val="auto"/>
        </w:rPr>
      </w:pPr>
    </w:p>
    <w:p>
      <w:pPr>
        <w:spacing w:after="0"/>
        <w:rPr>
          <w:sz w:val="20"/>
          <w:szCs w:val="20"/>
          <w:color w:val="auto"/>
        </w:rPr>
      </w:pPr>
      <w:r>
        <w:rPr>
          <w:rFonts w:ascii="Calibri" w:cs="Calibri" w:eastAsia="Calibri" w:hAnsi="Calibri"/>
          <w:sz w:val="19"/>
          <w:szCs w:val="19"/>
          <w:color w:val="auto"/>
        </w:rPr>
        <w:t>Lauren Seiler, VP Investor Relatons, Wynn Resorts</w:t>
      </w:r>
    </w:p>
    <w:p>
      <w:pPr>
        <w:spacing w:after="0" w:line="231" w:lineRule="auto"/>
        <w:rPr>
          <w:sz w:val="20"/>
          <w:szCs w:val="20"/>
          <w:color w:val="auto"/>
        </w:rPr>
      </w:pPr>
      <w:r>
        <w:rPr>
          <w:rFonts w:ascii="Calibri" w:cs="Calibri" w:eastAsia="Calibri" w:hAnsi="Calibri"/>
          <w:sz w:val="19"/>
          <w:szCs w:val="19"/>
          <w:color w:val="auto"/>
        </w:rPr>
        <w:t>lauren.seiler@wynnresorts.com, +702-770-7555</w:t>
      </w:r>
    </w:p>
    <w:p>
      <w:pPr>
        <w:spacing w:after="0" w:line="242"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In Dubai, UAE</w:t>
      </w:r>
    </w:p>
    <w:p>
      <w:pPr>
        <w:spacing w:after="0" w:line="5" w:lineRule="exact"/>
        <w:rPr>
          <w:sz w:val="20"/>
          <w:szCs w:val="20"/>
          <w:color w:val="auto"/>
        </w:rPr>
      </w:pPr>
    </w:p>
    <w:p>
      <w:pPr>
        <w:spacing w:after="0"/>
        <w:rPr>
          <w:sz w:val="20"/>
          <w:szCs w:val="20"/>
          <w:color w:val="auto"/>
        </w:rPr>
      </w:pPr>
      <w:r>
        <w:rPr>
          <w:rFonts w:ascii="Calibri" w:cs="Calibri" w:eastAsia="Calibri" w:hAnsi="Calibri"/>
          <w:sz w:val="19"/>
          <w:szCs w:val="19"/>
          <w:color w:val="auto"/>
        </w:rPr>
        <w:t>The Romans, Wynn Al Marjan Island PR Partner</w:t>
      </w:r>
    </w:p>
    <w:p>
      <w:pPr>
        <w:spacing w:after="0" w:line="231" w:lineRule="auto"/>
        <w:rPr>
          <w:sz w:val="20"/>
          <w:szCs w:val="20"/>
          <w:color w:val="auto"/>
        </w:rPr>
      </w:pPr>
      <w:r>
        <w:rPr>
          <w:rFonts w:ascii="Calibri" w:cs="Calibri" w:eastAsia="Calibri" w:hAnsi="Calibri"/>
          <w:sz w:val="19"/>
          <w:szCs w:val="19"/>
          <w:color w:val="auto"/>
        </w:rPr>
        <w:t>WynnAlMarjanPR@wearetheromans.com</w:t>
      </w:r>
    </w:p>
    <w:sectPr>
      <w:pgSz w:w="11900" w:h="16838" w:orient="portrait"/>
      <w:cols w:equalWidth="0" w:num="1">
        <w:col w:w="11240"/>
      </w:cols>
      <w:pgMar w:left="320" w:top="137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1)"/>
      <w:numFmt w:val="decimal"/>
      <w:start w:val="1"/>
    </w:lvl>
  </w:abstractNum>
  <w:abstractNum w:abstractNumId="2">
    <w:nsid w:val="71F32454"/>
    <w:multiLevelType w:val="hybridMultilevel"/>
    <w:lvl w:ilvl="0">
      <w:lvlJc w:val="left"/>
      <w:lvlText w:val="(%1)"/>
      <w:numFmt w:val="upperLetter"/>
      <w:start w:val="1"/>
    </w:lvl>
  </w:abstractNum>
  <w:abstractNum w:abstractNumId="3">
    <w:nsid w:val="2CA88611"/>
    <w:multiLevelType w:val="hybridMultilevel"/>
    <w:lvl w:ilvl="0">
      <w:lvlJc w:val="left"/>
      <w:lvlText w:val="%1."/>
      <w:numFmt w:val="decimal"/>
      <w:start w:val="1"/>
    </w:lvl>
  </w:abstractNum>
  <w:abstractNum w:abstractNumId="4">
    <w:nsid w:val="836C40E"/>
    <w:multiLevelType w:val="hybridMultilevel"/>
    <w:lvl w:ilvl="0">
      <w:lvlJc w:val="left"/>
      <w:lvlText w:val="(%1)"/>
      <w:numFmt w:val="lowerLetter"/>
      <w:start w:val="1"/>
    </w:lvl>
  </w:abstractNum>
  <w:abstractNum w:abstractNumId="5">
    <w:nsid w:val="2901D82"/>
    <w:multiLevelType w:val="hybridMultilevel"/>
    <w:lvl w:ilvl="0">
      <w:lvlJc w:val="left"/>
      <w:lvlText w:val="(%1)"/>
      <w:numFmt w:val="lowerLetter"/>
      <w:start w:val="1"/>
    </w:lvl>
  </w:abstractNum>
  <w:abstractNum w:abstractNumId="6">
    <w:nsid w:val="3A95F874"/>
    <w:multiLevelType w:val="hybridMultilevel"/>
    <w:lvl w:ilvl="0">
      <w:lvlJc w:val="left"/>
      <w:lvlText w:val="(%1)"/>
      <w:numFmt w:val="lowerLetter"/>
      <w:start w:val="2"/>
    </w:lvl>
  </w:abstractNum>
  <w:abstractNum w:abstractNumId="7">
    <w:nsid w:val="8138641"/>
    <w:multiLevelType w:val="hybridMultilevel"/>
    <w:lvl w:ilvl="0">
      <w:lvlJc w:val="left"/>
      <w:lvlText w:val="(%1)"/>
      <w:numFmt w:val="lowerLetter"/>
      <w:start w:val="1"/>
    </w:lvl>
  </w:abstractNum>
  <w:abstractNum w:abstractNumId="8">
    <w:nsid w:val="1E7FF521"/>
    <w:multiLevelType w:val="hybridMultilevel"/>
    <w:lvl w:ilvl="0">
      <w:lvlJc w:val="left"/>
      <w:lvlText w:val="(%1)"/>
      <w:numFmt w:val="lowerLetter"/>
      <w:start w:val="1"/>
    </w:lvl>
  </w:abstractNum>
  <w:abstractNum w:abstractNumId="9">
    <w:nsid w:val="7C3DBD3D"/>
    <w:multiLevelType w:val="hybridMultilevel"/>
    <w:lvl w:ilvl="0">
      <w:lvlJc w:val="left"/>
      <w:lvlText w:val="(%1)"/>
      <w:numFmt w:val="lowerLetter"/>
      <w:start w:val="1"/>
    </w:lvl>
  </w:abstractNum>
  <w:abstractNum w:abstractNumId="10">
    <w:nsid w:val="737B8DDC"/>
    <w:multiLevelType w:val="hybridMultilevel"/>
    <w:lvl w:ilvl="0">
      <w:lvlJc w:val="left"/>
      <w:lvlText w:val="(%1)"/>
      <w:numFmt w:val="lowerLetter"/>
      <w:start w:val="2"/>
    </w:lvl>
  </w:abstractNum>
  <w:abstractNum w:abstractNumId="11">
    <w:nsid w:val="6CEAF087"/>
    <w:multiLevelType w:val="hybridMultilevel"/>
    <w:lvl w:ilvl="0">
      <w:lvlJc w:val="left"/>
      <w:lvlText w:val="(%1)"/>
      <w:numFmt w:val="lowerLetter"/>
      <w:start w:val="1"/>
    </w:lvl>
  </w:abstractNum>
  <w:abstractNum w:abstractNumId="12">
    <w:nsid w:val="22221A70"/>
    <w:multiLevelType w:val="hybridMultilevel"/>
    <w:lvl w:ilvl="0">
      <w:lvlJc w:val="left"/>
      <w:lvlText w:val="%1."/>
      <w:numFmt w:val="decimal"/>
      <w:start w:val="2"/>
    </w:lvl>
  </w:abstractNum>
  <w:abstractNum w:abstractNumId="13">
    <w:nsid w:val="4516DDE9"/>
    <w:multiLevelType w:val="hybridMultilevel"/>
    <w:lvl w:ilvl="0">
      <w:lvlJc w:val="left"/>
      <w:lvlText w:val="(%1)"/>
      <w:numFmt w:val="lowerLetter"/>
      <w:start w:val="1"/>
    </w:lvl>
    <w:lvl w:ilvl="1">
      <w:lvlJc w:val="left"/>
      <w:lvlText w:val="(%2)"/>
      <w:numFmt w:val="lowerRoman"/>
      <w:start w:val="1"/>
    </w:lvl>
  </w:abstractNum>
  <w:abstractNum w:abstractNumId="14">
    <w:nsid w:val="3006C83E"/>
    <w:multiLevelType w:val="hybridMultilevel"/>
    <w:lvl w:ilvl="0">
      <w:lvlJc w:val="left"/>
      <w:lvlText w:val="(%1)"/>
      <w:numFmt w:val="lowerLetter"/>
      <w:start w:val="1"/>
    </w:lvl>
  </w:abstractNum>
  <w:abstractNum w:abstractNumId="15">
    <w:nsid w:val="614FD4A1"/>
    <w:multiLevelType w:val="hybridMultilevel"/>
    <w:lvl w:ilvl="0">
      <w:lvlJc w:val="left"/>
      <w:lvlText w:val="(%1)"/>
      <w:numFmt w:val="lowerLetter"/>
      <w:start w:val="1"/>
    </w:lvl>
  </w:abstractNum>
  <w:abstractNum w:abstractNumId="16">
    <w:nsid w:val="419AC241"/>
    <w:multiLevelType w:val="hybridMultilevel"/>
    <w:lvl w:ilvl="0">
      <w:lvlJc w:val="left"/>
      <w:lvlText w:val="(%1)"/>
      <w:numFmt w:val="lowerLetter"/>
      <w:start w:val="1"/>
    </w:lvl>
    <w:lvl w:ilvl="1">
      <w:lvlJc w:val="left"/>
      <w:lvlText w:val="(%2)"/>
      <w:numFmt w:val="lowerRoman"/>
      <w:start w:val="1"/>
    </w:lvl>
  </w:abstractNum>
  <w:abstractNum w:abstractNumId="17">
    <w:nsid w:val="5577F8E1"/>
    <w:multiLevelType w:val="hybridMultilevel"/>
    <w:lvl w:ilvl="0">
      <w:lvlJc w:val="left"/>
      <w:lvlText w:val="%1."/>
      <w:numFmt w:val="decimal"/>
      <w:start w:val="3"/>
    </w:lvl>
  </w:abstractNum>
  <w:abstractNum w:abstractNumId="18">
    <w:nsid w:val="440BADFC"/>
    <w:multiLevelType w:val="hybridMultilevel"/>
    <w:lvl w:ilvl="0">
      <w:lvlJc w:val="left"/>
      <w:lvlText w:val="(%1)"/>
      <w:numFmt w:val="lowerLetter"/>
      <w:start w:val="1"/>
    </w:lvl>
  </w:abstractNum>
  <w:abstractNum w:abstractNumId="19">
    <w:nsid w:val="5072367"/>
    <w:multiLevelType w:val="hybridMultilevel"/>
    <w:lvl w:ilvl="0">
      <w:lvlJc w:val="left"/>
      <w:lvlText w:val="(%1)"/>
      <w:numFmt w:val="lowerLetter"/>
      <w:start w:val="1"/>
    </w:lvl>
    <w:lvl w:ilvl="1">
      <w:lvlJc w:val="left"/>
      <w:lvlText w:val="(%2)"/>
      <w:numFmt w:val="lowerRoman"/>
      <w:start w:val="1"/>
    </w:lvl>
  </w:abstractNum>
  <w:abstractNum w:abstractNumId="20">
    <w:nsid w:val="3804823E"/>
    <w:multiLevelType w:val="hybridMultilevel"/>
    <w:lvl w:ilvl="0">
      <w:lvlJc w:val="left"/>
      <w:lvlText w:val="(%1)"/>
      <w:numFmt w:val="lowerRoman"/>
      <w:start w:val="3"/>
    </w:lvl>
  </w:abstractNum>
  <w:abstractNum w:abstractNumId="21">
    <w:nsid w:val="77465F01"/>
    <w:multiLevelType w:val="hybridMultilevel"/>
    <w:lvl w:ilvl="0">
      <w:lvlJc w:val="left"/>
      <w:lvlText w:val="(%1)"/>
      <w:numFmt w:val="lowerLetter"/>
      <w:start w:val="1"/>
    </w:lvl>
  </w:abstractNum>
  <w:abstractNum w:abstractNumId="22">
    <w:nsid w:val="7724C67E"/>
    <w:multiLevelType w:val="hybridMultilevel"/>
    <w:lvl w:ilvl="0">
      <w:lvlJc w:val="left"/>
      <w:lvlText w:val="(%1)"/>
      <w:numFmt w:val="lowerLetter"/>
      <w:start w:val="1"/>
    </w:lvl>
  </w:abstractNum>
  <w:abstractNum w:abstractNumId="23">
    <w:nsid w:val="5C482A97"/>
    <w:multiLevelType w:val="hybridMultilevel"/>
    <w:lvl w:ilvl="0">
      <w:lvlJc w:val="left"/>
      <w:lvlText w:val="(%1)"/>
      <w:numFmt w:val="lowerLetter"/>
      <w:start w:val="1"/>
    </w:lvl>
  </w:abstractNum>
  <w:abstractNum w:abstractNumId="24">
    <w:nsid w:val="2463B9EA"/>
    <w:multiLevelType w:val="hybridMultilevel"/>
    <w:lvl w:ilvl="0">
      <w:lvlJc w:val="left"/>
      <w:lvlText w:val="(%1)"/>
      <w:numFmt w:val="lowerLetter"/>
      <w:start w:val="1"/>
    </w:lvl>
  </w:abstractNum>
  <w:abstractNum w:abstractNumId="25">
    <w:nsid w:val="5E884ADC"/>
    <w:multiLevelType w:val="hybridMultilevel"/>
    <w:lvl w:ilvl="0">
      <w:lvlJc w:val="left"/>
      <w:lvlText w:val="%1."/>
      <w:numFmt w:val="decimal"/>
      <w:start w:val="4"/>
    </w:lvl>
  </w:abstractNum>
  <w:abstractNum w:abstractNumId="26">
    <w:nsid w:val="51EAD36B"/>
    <w:multiLevelType w:val="hybridMultilevel"/>
    <w:lvl w:ilvl="0">
      <w:lvlJc w:val="left"/>
      <w:lvlText w:val="%1."/>
      <w:numFmt w:val="decimal"/>
      <w:start w:val="5"/>
    </w:lvl>
  </w:abstractNum>
  <w:abstractNum w:abstractNumId="27">
    <w:nsid w:val="2D517796"/>
    <w:multiLevelType w:val="hybridMultilevel"/>
    <w:lvl w:ilvl="0">
      <w:lvlJc w:val="left"/>
      <w:lvlText w:val="(%1)"/>
      <w:numFmt w:val="lowerLetter"/>
      <w:start w:val="1"/>
    </w:lvl>
  </w:abstractNum>
  <w:abstractNum w:abstractNumId="28">
    <w:nsid w:val="580BD78F"/>
    <w:multiLevelType w:val="hybridMultilevel"/>
    <w:lvl w:ilvl="0">
      <w:lvlJc w:val="left"/>
      <w:lvlText w:val="(%1)"/>
      <w:numFmt w:val="lowerLetter"/>
      <w:start w:val="1"/>
    </w:lvl>
  </w:abstractNum>
  <w:abstractNum w:abstractNumId="29">
    <w:nsid w:val="153EA438"/>
    <w:multiLevelType w:val="hybridMultilevel"/>
    <w:lvl w:ilvl="0">
      <w:lvlJc w:val="left"/>
      <w:lvlText w:val="(%1)"/>
      <w:numFmt w:val="lowerLetter"/>
      <w:start w:val="1"/>
    </w:lvl>
  </w:abstractNum>
  <w:abstractNum w:abstractNumId="30">
    <w:nsid w:val="3855585C"/>
    <w:multiLevelType w:val="hybridMultilevel"/>
    <w:lvl w:ilvl="0">
      <w:lvlJc w:val="left"/>
      <w:lvlText w:val="(%1)"/>
      <w:numFmt w:val="lowerLetter"/>
      <w:start w:val="6"/>
    </w:lvl>
  </w:abstractNum>
  <w:abstractNum w:abstractNumId="31">
    <w:nsid w:val="70A64E2A"/>
    <w:multiLevelType w:val="hybridMultilevel"/>
    <w:lvl w:ilvl="0">
      <w:lvlJc w:val="left"/>
      <w:lvlText w:val="%1."/>
      <w:numFmt w:val="decimal"/>
      <w:start w:val="6"/>
    </w:lvl>
  </w:abstractNum>
  <w:abstractNum w:abstractNumId="32">
    <w:nsid w:val="6A2342EC"/>
    <w:multiLevelType w:val="hybridMultilevel"/>
    <w:lvl w:ilvl="0">
      <w:lvlJc w:val="left"/>
      <w:lvlText w:val="%1."/>
      <w:numFmt w:val="decimal"/>
      <w:start w:val="7"/>
    </w:lvl>
  </w:abstractNum>
  <w:abstractNum w:abstractNumId="33">
    <w:nsid w:val="2A487CB0"/>
    <w:multiLevelType w:val="hybridMultilevel"/>
    <w:lvl w:ilvl="0">
      <w:lvlJc w:val="left"/>
      <w:lvlText w:val="%1."/>
      <w:numFmt w:val="decimal"/>
      <w:start w:val="8"/>
    </w:lvl>
  </w:abstractNum>
  <w:abstractNum w:abstractNumId="34">
    <w:nsid w:val="1D4ED43B"/>
    <w:multiLevelType w:val="hybridMultilevel"/>
    <w:lvl w:ilvl="0">
      <w:lvlJc w:val="left"/>
      <w:lvlText w:val="%1."/>
      <w:numFmt w:val="decimal"/>
      <w:start w:val="9"/>
    </w:lvl>
    <w:lvl w:ilvl="1">
      <w:lvlJc w:val="left"/>
      <w:lvlText w:val="(%2)"/>
      <w:numFmt w:val="lowerLetter"/>
      <w:start w:val="1"/>
    </w:lvl>
  </w:abstractNum>
  <w:abstractNum w:abstractNumId="35">
    <w:nsid w:val="725A06FB"/>
    <w:multiLevelType w:val="hybridMultilevel"/>
    <w:lvl w:ilvl="0">
      <w:lvlJc w:val="left"/>
      <w:lvlText w:val="(%1)"/>
      <w:numFmt w:val="lowerLetter"/>
      <w:start w:val="1"/>
    </w:lvl>
  </w:abstractNum>
  <w:abstractNum w:abstractNumId="36">
    <w:nsid w:val="2CD89A32"/>
    <w:multiLevelType w:val="hybridMultilevel"/>
    <w:lvl w:ilvl="0">
      <w:lvlJc w:val="left"/>
      <w:lvlText w:val="(%1)"/>
      <w:numFmt w:val="lowerLetter"/>
      <w:start w:val="3"/>
    </w:lvl>
  </w:abstractNum>
  <w:abstractNum w:abstractNumId="37">
    <w:nsid w:val="57E4CCAF"/>
    <w:multiLevelType w:val="hybridMultilevel"/>
    <w:lvl w:ilvl="0">
      <w:lvlJc w:val="left"/>
      <w:lvlText w:val="(%1)"/>
      <w:numFmt w:val="lowerLetter"/>
      <w:start w:val="1"/>
    </w:lvl>
    <w:lvl w:ilvl="1">
      <w:lvlJc w:val="left"/>
      <w:lvlText w:val="(%2)"/>
      <w:numFmt w:val="lowerRoman"/>
      <w:start w:val="1"/>
    </w:lvl>
  </w:abstractNum>
  <w:abstractNum w:abstractNumId="38">
    <w:nsid w:val="7A6D8D3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9">
    <w:nsid w:val="4B588F54"/>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40">
    <w:nsid w:val="542289EC"/>
    <w:multiLevelType w:val="hybridMultilevel"/>
    <w:lvl w:ilvl="0">
      <w:lvlJc w:val="left"/>
      <w:lvlText w:val="%1."/>
      <w:numFmt w:val="decimal"/>
      <w:start w:val="12"/>
    </w:lvl>
  </w:abstractNum>
  <w:abstractNum w:abstractNumId="41">
    <w:nsid w:val="6DE91B18"/>
    <w:multiLevelType w:val="hybridMultilevel"/>
    <w:lvl w:ilvl="0">
      <w:lvlJc w:val="left"/>
      <w:lvlText w:val="(%1)"/>
      <w:numFmt w:val="lowerLetter"/>
      <w:start w:val="1"/>
    </w:lvl>
  </w:abstractNum>
  <w:abstractNum w:abstractNumId="42">
    <w:nsid w:val="38437FDB"/>
    <w:multiLevelType w:val="hybridMultilevel"/>
    <w:lvl w:ilvl="0">
      <w:lvlJc w:val="left"/>
      <w:lvlText w:val="(%1)"/>
      <w:numFmt w:val="lowerLetter"/>
      <w:start w:val="4"/>
    </w:lvl>
    <w:lvl w:ilvl="1">
      <w:lvlJc w:val="left"/>
      <w:lvlText w:val="(%2)"/>
      <w:numFmt w:val="lowerRoman"/>
      <w:start w:val="1"/>
    </w:lvl>
  </w:abstractNum>
  <w:abstractNum w:abstractNumId="43">
    <w:nsid w:val="7644A45C"/>
    <w:multiLevelType w:val="hybridMultilevel"/>
    <w:lvl w:ilvl="0">
      <w:lvlJc w:val="left"/>
      <w:lvlText w:val="(%1)"/>
      <w:numFmt w:val="lowerLetter"/>
      <w:start w:val="1"/>
    </w:lvl>
    <w:lvl w:ilvl="1">
      <w:lvlJc w:val="left"/>
      <w:lvlText w:val="(%2)"/>
      <w:numFmt w:val="lowerRoman"/>
      <w:start w:val="1"/>
    </w:lvl>
  </w:abstractNum>
  <w:abstractNum w:abstractNumId="44">
    <w:nsid w:val="32FFF90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45">
    <w:nsid w:val="684A481A"/>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46">
    <w:nsid w:val="579478FE"/>
    <w:multiLevelType w:val="hybridMultilevel"/>
    <w:lvl w:ilvl="0">
      <w:lvlJc w:val="left"/>
      <w:lvlText w:val="%1."/>
      <w:numFmt w:val="decimal"/>
      <w:start w:val="13"/>
    </w:lvl>
    <w:lvl w:ilvl="1">
      <w:lvlJc w:val="left"/>
      <w:lvlText w:val="%2"/>
      <w:numFmt w:val="lowerLetter"/>
      <w:start w:val="1"/>
    </w:lvl>
    <w:lvl w:ilvl="2">
      <w:lvlJc w:val="left"/>
      <w:lvlText w:val="%3"/>
      <w:numFmt w:val="lowerLetter"/>
      <w:start w:val="1"/>
    </w:lvl>
  </w:abstractNum>
  <w:abstractNum w:abstractNumId="47">
    <w:nsid w:val="749ABB43"/>
    <w:multiLevelType w:val="hybridMultilevel"/>
    <w:lvl w:ilvl="0">
      <w:lvlJc w:val="left"/>
      <w:lvlText w:val="%1"/>
      <w:numFmt w:val="decimal"/>
      <w:start w:val="1"/>
    </w:lvl>
    <w:lvl w:ilvl="1">
      <w:lvlJc w:val="left"/>
      <w:lvlText w:val="(%2)"/>
      <w:numFmt w:val="lowerLetter"/>
      <w:start w:val="1"/>
    </w:lvl>
  </w:abstractNum>
  <w:abstractNum w:abstractNumId="48">
    <w:nsid w:val="3DC240FB"/>
    <w:multiLevelType w:val="hybridMultilevel"/>
    <w:lvl w:ilvl="0">
      <w:lvlJc w:val="left"/>
      <w:lvlText w:val="%1."/>
      <w:numFmt w:val="decimal"/>
      <w:start w:val="14"/>
    </w:lvl>
    <w:lvl w:ilvl="1">
      <w:lvlJc w:val="left"/>
      <w:lvlText w:val="%2"/>
      <w:numFmt w:val="lowerLetter"/>
      <w:start w:val="1"/>
    </w:lvl>
  </w:abstractNum>
  <w:abstractNum w:abstractNumId="49">
    <w:nsid w:val="1BA026FA"/>
    <w:multiLevelType w:val="hybridMultilevel"/>
    <w:lvl w:ilvl="0">
      <w:lvlJc w:val="left"/>
      <w:lvlText w:val="%1."/>
      <w:numFmt w:val="decimal"/>
      <w:start w:val="15"/>
    </w:lvl>
    <w:lvl w:ilvl="1">
      <w:lvlJc w:val="left"/>
      <w:lvlText w:val="(%2)"/>
      <w:numFmt w:val="lowerLetter"/>
      <w:start w:val="1"/>
    </w:lvl>
  </w:abstractNum>
  <w:abstractNum w:abstractNumId="50">
    <w:nsid w:val="79A1DEAA"/>
    <w:multiLevelType w:val="hybridMultilevel"/>
    <w:lvl w:ilvl="0">
      <w:lvlJc w:val="left"/>
      <w:lvlText w:val="%1."/>
      <w:numFmt w:val="decimal"/>
      <w:start w:val="16"/>
    </w:lvl>
  </w:abstractNum>
  <w:abstractNum w:abstractNumId="51">
    <w:nsid w:val="75C6C33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2025-02-06T15:53:57Z</dcterms:created>
  <dcterms:modified xsi:type="dcterms:W3CDTF">2025-02-06T15:53:57Z</dcterms:modified>
</cp:coreProperties>
</file>