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460" w:type="dxa"/>
            <w:vAlign w:val="bottom"/>
          </w:tcPr>
          <w:p>
            <w:pPr>
              <w:jc w:val="center"/>
              <w:ind w:right="440"/>
              <w:spacing w:after="0"/>
              <w:rPr>
                <w:sz w:val="20"/>
                <w:szCs w:val="20"/>
                <w:color w:val="auto"/>
              </w:rPr>
            </w:pPr>
            <w:r>
              <w:rPr>
                <w:rFonts w:ascii="Arial" w:cs="Arial" w:eastAsia="Arial" w:hAnsi="Arial"/>
                <w:sz w:val="18"/>
                <w:szCs w:val="18"/>
                <w:b w:val="1"/>
                <w:bCs w:val="1"/>
                <w:color w:val="auto"/>
                <w:w w:val="89"/>
              </w:rPr>
              <w:t>333-100768</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460" w:type="dxa"/>
            <w:vAlign w:val="bottom"/>
          </w:tcPr>
          <w:p>
            <w:pPr>
              <w:spacing w:after="0"/>
              <w:rPr>
                <w:sz w:val="18"/>
                <w:szCs w:val="18"/>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0"/>
              </w:rPr>
              <w:t>(702) 770-7555</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408"/>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00" w:type="dxa"/>
            <w:vAlign w:val="bottom"/>
          </w:tcPr>
          <w:p>
            <w:pPr>
              <w:spacing w:after="0"/>
              <w:rPr>
                <w:sz w:val="16"/>
                <w:szCs w:val="16"/>
                <w:color w:val="auto"/>
              </w:rPr>
            </w:pPr>
          </w:p>
        </w:tc>
      </w:tr>
    </w:tbl>
    <w:p>
      <w:pPr>
        <w:spacing w:after="0" w:line="146" w:lineRule="exact"/>
        <w:rPr>
          <w:sz w:val="24"/>
          <w:szCs w:val="24"/>
          <w:color w:val="auto"/>
        </w:rPr>
      </w:pPr>
    </w:p>
    <w:p>
      <w:pPr>
        <w:ind w:right="560"/>
        <w:spacing w:after="0" w:line="255"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47" w:right="23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May 4, 2017, Wynn Resorts, Limited ("Wynn Resorts") issued a press release announcing the pricing by Wynn Las Vegas, LLC and Wynn Las Vegas Capital Corp., each an indirect wholly owned subsidiary of Wynn Resorts, of $900 million aggregate principal amount of Senior Notes due 2027 (the "2027 Notes"). This Current Report on Form 8-K, shall not constitute an offer to sell or a solicitation of an offer to buy the 2027 Notes described in the press release, nor shall there be any sale of the 2027 Notes in any state or jurisdiction in which such offer, sale or solicitation would be unlawful prior to registration or qualification under the securities law of any such jurisdiction. A copy of the press release is attached as Exhibit 99.1 and is hereby incorporated by reference.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89"/>
              </w:rPr>
              <w:t>Press release, dated May 4, 2017, of Wynn Resorts, Limited.</w:t>
            </w:r>
          </w:p>
        </w:tc>
      </w:tr>
    </w:tbl>
    <w:p>
      <w:pPr>
        <w:sectPr>
          <w:pgSz w:w="11900" w:h="16838" w:orient="portrait"/>
          <w:cols w:equalWidth="0" w:num="1">
            <w:col w:w="11400"/>
          </w:cols>
          <w:pgMar w:left="240" w:top="958" w:right="25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May 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3" w:name="page4"/>
    <w:bookmarkEnd w:id="3"/>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760" w:type="dxa"/>
            <w:vAlign w:val="bottom"/>
          </w:tcPr>
          <w:p>
            <w:pPr>
              <w:ind w:left="180"/>
              <w:spacing w:after="0"/>
              <w:rPr>
                <w:sz w:val="20"/>
                <w:szCs w:val="20"/>
                <w:color w:val="auto"/>
              </w:rPr>
            </w:pPr>
            <w:r>
              <w:rPr>
                <w:rFonts w:ascii="Arial" w:cs="Arial" w:eastAsia="Arial" w:hAnsi="Arial"/>
                <w:sz w:val="18"/>
                <w:szCs w:val="18"/>
                <w:b w:val="1"/>
                <w:bCs w:val="1"/>
                <w:color w:val="auto"/>
              </w:rPr>
              <w:t>WYNN LAS VEGAS, LLC</w:t>
            </w:r>
          </w:p>
        </w:tc>
      </w:tr>
      <w:tr>
        <w:trPr>
          <w:trHeight w:val="377"/>
        </w:trPr>
        <w:tc>
          <w:tcPr>
            <w:tcW w:w="4100" w:type="dxa"/>
            <w:vAlign w:val="bottom"/>
          </w:tcPr>
          <w:p>
            <w:pPr>
              <w:spacing w:after="0"/>
              <w:rPr>
                <w:sz w:val="20"/>
                <w:szCs w:val="20"/>
                <w:color w:val="auto"/>
              </w:rPr>
            </w:pPr>
            <w:r>
              <w:rPr>
                <w:rFonts w:ascii="Arial" w:cs="Arial" w:eastAsia="Arial" w:hAnsi="Arial"/>
                <w:sz w:val="18"/>
                <w:szCs w:val="18"/>
                <w:color w:val="auto"/>
              </w:rPr>
              <w:t>Dated: May 4, 2017</w:t>
            </w:r>
          </w:p>
        </w:tc>
        <w:tc>
          <w:tcPr>
            <w:tcW w:w="3180" w:type="dxa"/>
            <w:vAlign w:val="bottom"/>
          </w:tcPr>
          <w:p>
            <w:pPr>
              <w:ind w:left="268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Las Vegas Holdings, LLC, its</w:t>
            </w:r>
          </w:p>
        </w:tc>
      </w:tr>
      <w:tr>
        <w:trPr>
          <w:trHeight w:val="230"/>
        </w:trPr>
        <w:tc>
          <w:tcPr>
            <w:tcW w:w="4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sole member</w:t>
            </w:r>
          </w:p>
        </w:tc>
      </w:tr>
      <w:tr>
        <w:trPr>
          <w:trHeight w:val="567"/>
        </w:trPr>
        <w:tc>
          <w:tcPr>
            <w:tcW w:w="4100" w:type="dxa"/>
            <w:vAlign w:val="bottom"/>
          </w:tcPr>
          <w:p>
            <w:pPr>
              <w:spacing w:after="0"/>
              <w:rPr>
                <w:sz w:val="24"/>
                <w:szCs w:val="24"/>
                <w:color w:val="auto"/>
              </w:rPr>
            </w:pPr>
          </w:p>
        </w:tc>
        <w:tc>
          <w:tcPr>
            <w:tcW w:w="3180" w:type="dxa"/>
            <w:vAlign w:val="bottom"/>
          </w:tcPr>
          <w:p>
            <w:pPr>
              <w:ind w:left="268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America, LLC, its sole member</w:t>
            </w:r>
          </w:p>
        </w:tc>
      </w:tr>
      <w:tr>
        <w:trPr>
          <w:trHeight w:val="553"/>
        </w:trPr>
        <w:tc>
          <w:tcPr>
            <w:tcW w:w="4100" w:type="dxa"/>
            <w:vAlign w:val="bottom"/>
          </w:tcPr>
          <w:p>
            <w:pPr>
              <w:spacing w:after="0"/>
              <w:rPr>
                <w:sz w:val="24"/>
                <w:szCs w:val="24"/>
                <w:color w:val="auto"/>
              </w:rPr>
            </w:pPr>
          </w:p>
        </w:tc>
        <w:tc>
          <w:tcPr>
            <w:tcW w:w="3180" w:type="dxa"/>
            <w:vAlign w:val="bottom"/>
          </w:tcPr>
          <w:p>
            <w:pPr>
              <w:ind w:left="268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Resorts Holdings, LLC, its</w:t>
            </w:r>
          </w:p>
        </w:tc>
      </w:tr>
      <w:tr>
        <w:trPr>
          <w:trHeight w:val="230"/>
        </w:trPr>
        <w:tc>
          <w:tcPr>
            <w:tcW w:w="4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sole member</w:t>
            </w:r>
          </w:p>
        </w:tc>
      </w:tr>
      <w:tr>
        <w:trPr>
          <w:trHeight w:val="553"/>
        </w:trPr>
        <w:tc>
          <w:tcPr>
            <w:tcW w:w="4100" w:type="dxa"/>
            <w:vAlign w:val="bottom"/>
          </w:tcPr>
          <w:p>
            <w:pPr>
              <w:spacing w:after="0"/>
              <w:rPr>
                <w:sz w:val="24"/>
                <w:szCs w:val="24"/>
                <w:color w:val="auto"/>
              </w:rPr>
            </w:pPr>
          </w:p>
        </w:tc>
        <w:tc>
          <w:tcPr>
            <w:tcW w:w="3180" w:type="dxa"/>
            <w:vAlign w:val="bottom"/>
          </w:tcPr>
          <w:p>
            <w:pPr>
              <w:ind w:left="268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Resorts, Limited, its</w:t>
            </w:r>
          </w:p>
        </w:tc>
      </w:tr>
      <w:tr>
        <w:trPr>
          <w:trHeight w:val="230"/>
        </w:trPr>
        <w:tc>
          <w:tcPr>
            <w:tcW w:w="4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sole member</w:t>
            </w:r>
          </w:p>
        </w:tc>
      </w:tr>
      <w:tr>
        <w:trPr>
          <w:trHeight w:val="567"/>
        </w:trPr>
        <w:tc>
          <w:tcPr>
            <w:tcW w:w="4100" w:type="dxa"/>
            <w:vAlign w:val="bottom"/>
          </w:tcPr>
          <w:p>
            <w:pPr>
              <w:spacing w:after="0"/>
              <w:rPr>
                <w:sz w:val="24"/>
                <w:szCs w:val="24"/>
                <w:color w:val="auto"/>
              </w:rPr>
            </w:pPr>
          </w:p>
        </w:tc>
        <w:tc>
          <w:tcPr>
            <w:tcW w:w="3180" w:type="dxa"/>
            <w:vAlign w:val="bottom"/>
          </w:tcPr>
          <w:p>
            <w:pPr>
              <w:ind w:left="2680"/>
              <w:spacing w:after="0"/>
              <w:rPr>
                <w:sz w:val="20"/>
                <w:szCs w:val="20"/>
                <w:color w:val="auto"/>
              </w:rPr>
            </w:pPr>
            <w:r>
              <w:rPr>
                <w:rFonts w:ascii="Arial" w:cs="Arial" w:eastAsia="Arial" w:hAnsi="Arial"/>
                <w:sz w:val="18"/>
                <w:szCs w:val="18"/>
                <w:color w:val="auto"/>
              </w:rPr>
              <w:t>By:</w:t>
            </w:r>
          </w:p>
        </w:tc>
        <w:tc>
          <w:tcPr>
            <w:tcW w:w="3760" w:type="dxa"/>
            <w:vAlign w:val="bottom"/>
          </w:tcPr>
          <w:p>
            <w:pPr>
              <w:ind w:left="180"/>
              <w:spacing w:after="0"/>
              <w:rPr>
                <w:sz w:val="20"/>
                <w:szCs w:val="20"/>
                <w:color w:val="auto"/>
              </w:rPr>
            </w:pPr>
            <w:r>
              <w:rPr>
                <w:rFonts w:ascii="Arial" w:cs="Arial" w:eastAsia="Arial" w:hAnsi="Arial"/>
                <w:sz w:val="18"/>
                <w:szCs w:val="18"/>
                <w:color w:val="auto"/>
              </w:rPr>
              <w:t>/s/ Craig S. Billings</w:t>
            </w:r>
          </w:p>
        </w:tc>
      </w:tr>
      <w:tr>
        <w:trPr>
          <w:trHeight w:val="27"/>
        </w:trPr>
        <w:tc>
          <w:tcPr>
            <w:tcW w:w="41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24"/>
        </w:trPr>
        <w:tc>
          <w:tcPr>
            <w:tcW w:w="4100" w:type="dxa"/>
            <w:vAlign w:val="bottom"/>
          </w:tcPr>
          <w:p>
            <w:pPr>
              <w:spacing w:after="0"/>
              <w:rPr>
                <w:sz w:val="19"/>
                <w:szCs w:val="19"/>
                <w:color w:val="auto"/>
              </w:rPr>
            </w:pPr>
          </w:p>
        </w:tc>
        <w:tc>
          <w:tcPr>
            <w:tcW w:w="6940" w:type="dxa"/>
            <w:vAlign w:val="bottom"/>
            <w:gridSpan w:val="2"/>
          </w:tcPr>
          <w:p>
            <w:pPr>
              <w:ind w:left="2680"/>
              <w:spacing w:after="0"/>
              <w:rPr>
                <w:sz w:val="20"/>
                <w:szCs w:val="20"/>
                <w:color w:val="auto"/>
              </w:rPr>
            </w:pPr>
            <w:r>
              <w:rPr>
                <w:rFonts w:ascii="Arial" w:cs="Arial" w:eastAsia="Arial" w:hAnsi="Arial"/>
                <w:sz w:val="18"/>
                <w:szCs w:val="18"/>
                <w:color w:val="auto"/>
              </w:rPr>
              <w:t>Craig S. Billings</w:t>
            </w:r>
          </w:p>
        </w:tc>
      </w:tr>
    </w:tbl>
    <w:p>
      <w:pPr>
        <w:spacing w:after="0" w:line="5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80"/>
          </w:cols>
          <w:pgMar w:left="240" w:top="796" w:right="5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0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Press release, dated May 4, 2017, of Wynn Resorts, Limited.</w:t>
            </w:r>
          </w:p>
        </w:tc>
      </w:tr>
    </w:tbl>
    <w:p>
      <w:pPr>
        <w:sectPr>
          <w:pgSz w:w="11900" w:h="16838" w:orient="portrait"/>
          <w:cols w:equalWidth="0" w:num="1">
            <w:col w:w="10179"/>
          </w:cols>
          <w:pgMar w:left="280" w:top="79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540"/>
        <w:spacing w:after="0" w:line="269" w:lineRule="auto"/>
        <w:rPr>
          <w:sz w:val="20"/>
          <w:szCs w:val="20"/>
          <w:color w:val="auto"/>
        </w:rPr>
      </w:pPr>
      <w:r>
        <w:rPr>
          <w:rFonts w:ascii="Arial" w:cs="Arial" w:eastAsia="Arial" w:hAnsi="Arial"/>
          <w:sz w:val="22"/>
          <w:szCs w:val="22"/>
          <w:b w:val="1"/>
          <w:bCs w:val="1"/>
          <w:color w:val="auto"/>
        </w:rPr>
        <w:t>Wynn Resorts Announces Pricing of Private Offering of $900 million Aggregate Principal Amount of Wynn Las Vegas 5.25% Senior Notes due 2027</w:t>
      </w:r>
    </w:p>
    <w:p>
      <w:pPr>
        <w:spacing w:after="0" w:line="168" w:lineRule="exact"/>
        <w:rPr>
          <w:sz w:val="20"/>
          <w:szCs w:val="20"/>
          <w:color w:val="auto"/>
        </w:rPr>
      </w:pPr>
    </w:p>
    <w:p>
      <w:pPr>
        <w:ind w:right="60"/>
        <w:spacing w:after="0" w:line="292" w:lineRule="auto"/>
        <w:rPr>
          <w:sz w:val="20"/>
          <w:szCs w:val="20"/>
          <w:color w:val="auto"/>
        </w:rPr>
      </w:pPr>
      <w:r>
        <w:rPr>
          <w:rFonts w:ascii="Arial" w:cs="Arial" w:eastAsia="Arial" w:hAnsi="Arial"/>
          <w:sz w:val="19"/>
          <w:szCs w:val="19"/>
          <w:color w:val="auto"/>
        </w:rPr>
        <w:t>LAS VEGAS, May 4, 2017 (BUSINESS WIRE) - Wynn Resorts, Limited (NASDAQ: WYNN) announced today the pricing by Wynn Las Vegas, LLC and Wynn Las Vegas Capital Corp. (the “issuers”), each an indirect wholly-owned subsidiary of Wynn Resorts, Limited, of $900 million aggregate principal amount of 5.25% Senior Notes due 2027 (the “Notes”). The Notes will be issued at par. Wynn Las Vegas, LLC plans to use the net proceeds from the offering and cash on hand to purchase any and all of the issuers’ outstanding $900 million aggregate principal amount of 5.375% First Mortgage Notes due 2022 (the “2022 Notes”) pursuant to the previously announced cash tender offer with respect to the 2022 Notes. In addition, Wynn Las Vegas, LLC intends to satisfy and discharge the indenture governing the 2022 Notes and redeem any 2022 Notes not tendered.</w:t>
      </w:r>
    </w:p>
    <w:p>
      <w:pPr>
        <w:spacing w:after="0" w:line="151" w:lineRule="exact"/>
        <w:rPr>
          <w:sz w:val="20"/>
          <w:szCs w:val="20"/>
          <w:color w:val="auto"/>
        </w:rPr>
      </w:pPr>
    </w:p>
    <w:p>
      <w:pPr>
        <w:ind w:right="40"/>
        <w:spacing w:after="0" w:line="246" w:lineRule="auto"/>
        <w:rPr>
          <w:sz w:val="20"/>
          <w:szCs w:val="20"/>
          <w:color w:val="auto"/>
        </w:rPr>
      </w:pPr>
      <w:r>
        <w:rPr>
          <w:rFonts w:ascii="Arial" w:cs="Arial" w:eastAsia="Arial" w:hAnsi="Arial"/>
          <w:sz w:val="22"/>
          <w:szCs w:val="22"/>
          <w:color w:val="auto"/>
        </w:rPr>
        <w:t>The issuers will make the offering pursuant to an exemption under the Securities Act of 1933, as amended (the “Securities Act”). The initial purchasers of the Notes will offer the Notes only to persons reasonably believed to be qualified institutional buyers in reliance on Rule 144A under the Securities Act or outside the United States to certain persons in reliance on Regulation S under the Securities Act. The Notes have not been and will not be registered under the Securities Act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197" w:lineRule="exact"/>
        <w:rPr>
          <w:sz w:val="20"/>
          <w:szCs w:val="20"/>
          <w:color w:val="auto"/>
        </w:rPr>
      </w:pPr>
    </w:p>
    <w:p>
      <w:pPr>
        <w:jc w:val="both"/>
        <w:ind w:right="40"/>
        <w:spacing w:after="0" w:line="253" w:lineRule="auto"/>
        <w:rPr>
          <w:sz w:val="20"/>
          <w:szCs w:val="20"/>
          <w:color w:val="auto"/>
        </w:rPr>
      </w:pPr>
      <w:r>
        <w:rPr>
          <w:rFonts w:ascii="Arial" w:cs="Arial" w:eastAsia="Arial" w:hAnsi="Arial"/>
          <w:sz w:val="22"/>
          <w:szCs w:val="22"/>
          <w:color w:val="auto"/>
        </w:rPr>
        <w:t>This press release does not constitute an offer to sell or a solicitation of an offer to buy the Notes described in this press release, nor shall there be any sale of the Notes in any state or jurisdiction in which such an offer, sale or solicitation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26" w:lineRule="exact"/>
        <w:rPr>
          <w:sz w:val="20"/>
          <w:szCs w:val="20"/>
          <w:color w:val="auto"/>
        </w:rPr>
      </w:pPr>
    </w:p>
    <w:p>
      <w:pPr>
        <w:ind w:right="200"/>
        <w:spacing w:after="0" w:line="259" w:lineRule="auto"/>
        <w:rPr>
          <w:sz w:val="20"/>
          <w:szCs w:val="20"/>
          <w:color w:val="auto"/>
        </w:rPr>
      </w:pPr>
      <w:r>
        <w:rPr>
          <w:rFonts w:ascii="Arial" w:cs="Arial" w:eastAsia="Arial" w:hAnsi="Arial"/>
          <w:sz w:val="21"/>
          <w:szCs w:val="21"/>
          <w:color w:val="auto"/>
        </w:rPr>
        <w:t>This release contains forward-looking statements, including those related to the offering of Notes and whether or not the issuers will consummate the offering.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factors that could affect the issuers’ financial results is included in Wynn Las Vegas, LLC’s Annual Report on Form 10-K for the year ended December 31, 2016 and Quarterly Report on Form 10-Q for the fiscal quarter ended March 31, 2017 and Wynn Las Vegas, LLC’s and Wynn Resorts, Limited’s</w:t>
      </w:r>
    </w:p>
    <w:p>
      <w:pPr>
        <w:sectPr>
          <w:pgSz w:w="11900" w:h="16838" w:orient="portrait"/>
          <w:cols w:equalWidth="0" w:num="1">
            <w:col w:w="11420"/>
          </w:cols>
          <w:pgMar w:left="240" w:top="382" w:right="239" w:bottom="1440" w:gutter="0" w:footer="0" w:header="0"/>
        </w:sectPr>
      </w:pPr>
    </w:p>
    <w:bookmarkStart w:id="6" w:name="page7"/>
    <w:bookmarkEnd w:id="6"/>
    <w:p>
      <w:pPr>
        <w:spacing w:after="0" w:line="253" w:lineRule="auto"/>
        <w:rPr>
          <w:sz w:val="20"/>
          <w:szCs w:val="20"/>
          <w:color w:val="auto"/>
        </w:rPr>
      </w:pPr>
      <w:r>
        <w:rPr>
          <w:rFonts w:ascii="Arial" w:cs="Arial" w:eastAsia="Arial" w:hAnsi="Arial"/>
          <w:sz w:val="22"/>
          <w:szCs w:val="22"/>
          <w:color w:val="auto"/>
        </w:rPr>
        <w:t>other periodic reports filed with the Securities and Exchange Commission. Neither Wynn Resorts, Limited nor the issuers are under any obligation to (and expressly disclaim any such obligation to) update their forward-looking statements as a result of new information, future events or otherwise, except as required by law.</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SOURCE: Wynn Resorts, Limited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Wynn Resorts, Limited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Craig Billings, Chief Financial Officer &amp;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702-770-7000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investorrelations@wynnresorts.com</w:t>
      </w:r>
    </w:p>
    <w:sectPr>
      <w:pgSz w:w="11900" w:h="16838" w:orient="portrait"/>
      <w:cols w:equalWidth="0" w:num="1">
        <w:col w:w="11380"/>
      </w:cols>
      <w:pgMar w:left="240" w:top="37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2019-12-06T18:07:13Z</dcterms:created>
  <dcterms:modified xsi:type="dcterms:W3CDTF">2019-12-06T18:07:13Z</dcterms:modified>
</cp:coreProperties>
</file>