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151130</wp:posOffset>
            </wp:positionV>
            <wp:extent cx="291719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89" w:lineRule="exact"/>
        <w:rPr>
          <w:sz w:val="24"/>
          <w:szCs w:val="24"/>
          <w:color w:val="auto"/>
        </w:rPr>
      </w:pPr>
    </w:p>
    <w:p>
      <w:pPr>
        <w:jc w:val="center"/>
        <w:ind w:right="-67"/>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182880</wp:posOffset>
            </wp:positionV>
            <wp:extent cx="291719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PURSUANT TO SECTION 13 OR 15(d)</w:t>
      </w:r>
    </w:p>
    <w:p>
      <w:pPr>
        <w:spacing w:after="0" w:line="10"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Date of Report (Date of earliest event reported): September 7, 2017</w:t>
      </w:r>
    </w:p>
    <w:p>
      <w:pPr>
        <w:spacing w:after="0" w:line="157" w:lineRule="exact"/>
        <w:rPr>
          <w:sz w:val="24"/>
          <w:szCs w:val="24"/>
          <w:color w:val="auto"/>
        </w:rPr>
      </w:pPr>
    </w:p>
    <w:p>
      <w:pPr>
        <w:jc w:val="center"/>
        <w:ind w:right="-7"/>
        <w:spacing w:after="0"/>
        <w:rPr>
          <w:sz w:val="20"/>
          <w:szCs w:val="20"/>
          <w:color w:val="auto"/>
        </w:rPr>
      </w:pPr>
      <w:r>
        <w:rPr>
          <w:rFonts w:ascii="Arial" w:cs="Arial" w:eastAsia="Arial" w:hAnsi="Arial"/>
          <w:sz w:val="29"/>
          <w:szCs w:val="29"/>
          <w:b w:val="1"/>
          <w:bCs w:val="1"/>
          <w:color w:val="auto"/>
        </w:rPr>
        <w:t>WYNN RESORTS, LIMITED</w:t>
      </w:r>
    </w:p>
    <w:p>
      <w:pPr>
        <w:spacing w:after="0" w:line="2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71" w:lineRule="exact"/>
        <w:rPr>
          <w:sz w:val="24"/>
          <w:szCs w:val="24"/>
          <w:color w:val="auto"/>
        </w:rPr>
      </w:pPr>
    </w:p>
    <w:tbl>
      <w:tblPr>
        <w:tblLayout w:type="fixed"/>
        <w:tblInd w:w="1108" w:type="dxa"/>
        <w:tblCellMar>
          <w:top w:w="0" w:type="dxa"/>
          <w:left w:w="0" w:type="dxa"/>
          <w:bottom w:w="0" w:type="dxa"/>
          <w:right w:w="0" w:type="dxa"/>
        </w:tblCellMar>
      </w:tblPr>
      <w:tr>
        <w:trPr>
          <w:trHeight w:val="157"/>
        </w:trPr>
        <w:tc>
          <w:tcPr>
            <w:tcW w:w="2520" w:type="dxa"/>
            <w:vAlign w:val="bottom"/>
          </w:tcPr>
          <w:p>
            <w:pPr>
              <w:jc w:val="center"/>
              <w:ind w:right="766"/>
              <w:spacing w:after="0"/>
              <w:rPr>
                <w:sz w:val="20"/>
                <w:szCs w:val="20"/>
                <w:color w:val="auto"/>
              </w:rPr>
            </w:pPr>
            <w:r>
              <w:rPr>
                <w:rFonts w:ascii="Arial" w:cs="Arial" w:eastAsia="Arial" w:hAnsi="Arial"/>
                <w:sz w:val="12"/>
                <w:szCs w:val="12"/>
                <w:b w:val="1"/>
                <w:bCs w:val="1"/>
                <w:color w:val="auto"/>
                <w:w w:val="88"/>
              </w:rPr>
              <w:t>Nevada</w:t>
            </w:r>
          </w:p>
        </w:tc>
        <w:tc>
          <w:tcPr>
            <w:tcW w:w="4480" w:type="dxa"/>
            <w:vAlign w:val="bottom"/>
          </w:tcPr>
          <w:p>
            <w:pPr>
              <w:ind w:left="1920"/>
              <w:spacing w:after="0"/>
              <w:rPr>
                <w:sz w:val="20"/>
                <w:szCs w:val="20"/>
                <w:color w:val="auto"/>
              </w:rPr>
            </w:pPr>
            <w:r>
              <w:rPr>
                <w:rFonts w:ascii="Arial" w:cs="Arial" w:eastAsia="Arial" w:hAnsi="Arial"/>
                <w:sz w:val="12"/>
                <w:szCs w:val="12"/>
                <w:b w:val="1"/>
                <w:bCs w:val="1"/>
                <w:color w:val="auto"/>
              </w:rPr>
              <w:t>000-50028</w:t>
            </w:r>
          </w:p>
        </w:tc>
        <w:tc>
          <w:tcPr>
            <w:tcW w:w="1860" w:type="dxa"/>
            <w:vAlign w:val="bottom"/>
          </w:tcPr>
          <w:p>
            <w:pPr>
              <w:jc w:val="right"/>
              <w:ind w:right="27"/>
              <w:spacing w:after="0"/>
              <w:rPr>
                <w:sz w:val="20"/>
                <w:szCs w:val="20"/>
                <w:color w:val="auto"/>
              </w:rPr>
            </w:pPr>
            <w:r>
              <w:rPr>
                <w:rFonts w:ascii="Arial" w:cs="Arial" w:eastAsia="Arial" w:hAnsi="Arial"/>
                <w:sz w:val="12"/>
                <w:szCs w:val="12"/>
                <w:b w:val="1"/>
                <w:bCs w:val="1"/>
                <w:color w:val="auto"/>
              </w:rPr>
              <w:t>46-0484987</w:t>
            </w:r>
          </w:p>
        </w:tc>
      </w:tr>
      <w:tr>
        <w:trPr>
          <w:trHeight w:val="121"/>
        </w:trPr>
        <w:tc>
          <w:tcPr>
            <w:tcW w:w="2520" w:type="dxa"/>
            <w:vAlign w:val="bottom"/>
          </w:tcPr>
          <w:p>
            <w:pPr>
              <w:jc w:val="center"/>
              <w:ind w:right="766"/>
              <w:spacing w:after="0"/>
              <w:rPr>
                <w:sz w:val="20"/>
                <w:szCs w:val="20"/>
                <w:color w:val="auto"/>
              </w:rPr>
            </w:pPr>
            <w:r>
              <w:rPr>
                <w:rFonts w:ascii="Arial" w:cs="Arial" w:eastAsia="Arial" w:hAnsi="Arial"/>
                <w:sz w:val="10"/>
                <w:szCs w:val="10"/>
                <w:b w:val="1"/>
                <w:bCs w:val="1"/>
                <w:color w:val="auto"/>
                <w:w w:val="87"/>
              </w:rPr>
              <w:t>(State or other jurisdiction</w:t>
            </w:r>
          </w:p>
        </w:tc>
        <w:tc>
          <w:tcPr>
            <w:tcW w:w="4480" w:type="dxa"/>
            <w:vAlign w:val="bottom"/>
          </w:tcPr>
          <w:p>
            <w:pPr>
              <w:ind w:left="1900"/>
              <w:spacing w:after="0"/>
              <w:rPr>
                <w:sz w:val="20"/>
                <w:szCs w:val="20"/>
                <w:color w:val="auto"/>
              </w:rPr>
            </w:pPr>
            <w:r>
              <w:rPr>
                <w:rFonts w:ascii="Arial" w:cs="Arial" w:eastAsia="Arial" w:hAnsi="Arial"/>
                <w:sz w:val="10"/>
                <w:szCs w:val="10"/>
                <w:b w:val="1"/>
                <w:bCs w:val="1"/>
                <w:color w:val="auto"/>
              </w:rPr>
              <w:t>(Commission</w:t>
            </w:r>
          </w:p>
        </w:tc>
        <w:tc>
          <w:tcPr>
            <w:tcW w:w="1860" w:type="dxa"/>
            <w:vAlign w:val="bottom"/>
          </w:tcPr>
          <w:p>
            <w:pPr>
              <w:jc w:val="center"/>
              <w:ind w:left="1067"/>
              <w:spacing w:after="0"/>
              <w:rPr>
                <w:sz w:val="20"/>
                <w:szCs w:val="20"/>
                <w:color w:val="auto"/>
              </w:rPr>
            </w:pPr>
            <w:r>
              <w:rPr>
                <w:rFonts w:ascii="Arial" w:cs="Arial" w:eastAsia="Arial" w:hAnsi="Arial"/>
                <w:sz w:val="10"/>
                <w:szCs w:val="10"/>
                <w:b w:val="1"/>
                <w:bCs w:val="1"/>
                <w:color w:val="auto"/>
                <w:w w:val="91"/>
              </w:rPr>
              <w:t>(I.R.S. Employer</w:t>
            </w:r>
          </w:p>
        </w:tc>
      </w:tr>
      <w:tr>
        <w:trPr>
          <w:trHeight w:val="124"/>
        </w:trPr>
        <w:tc>
          <w:tcPr>
            <w:tcW w:w="2520" w:type="dxa"/>
            <w:vAlign w:val="bottom"/>
          </w:tcPr>
          <w:p>
            <w:pPr>
              <w:jc w:val="center"/>
              <w:ind w:right="766"/>
              <w:spacing w:after="0"/>
              <w:rPr>
                <w:sz w:val="20"/>
                <w:szCs w:val="20"/>
                <w:color w:val="auto"/>
              </w:rPr>
            </w:pPr>
            <w:r>
              <w:rPr>
                <w:rFonts w:ascii="Arial" w:cs="Arial" w:eastAsia="Arial" w:hAnsi="Arial"/>
                <w:sz w:val="10"/>
                <w:szCs w:val="10"/>
                <w:b w:val="1"/>
                <w:bCs w:val="1"/>
                <w:color w:val="auto"/>
                <w:w w:val="87"/>
              </w:rPr>
              <w:t>of incorporation)</w:t>
            </w:r>
          </w:p>
        </w:tc>
        <w:tc>
          <w:tcPr>
            <w:tcW w:w="4480" w:type="dxa"/>
            <w:vAlign w:val="bottom"/>
          </w:tcPr>
          <w:p>
            <w:pPr>
              <w:ind w:left="1900"/>
              <w:spacing w:after="0"/>
              <w:rPr>
                <w:sz w:val="20"/>
                <w:szCs w:val="20"/>
                <w:color w:val="auto"/>
              </w:rPr>
            </w:pPr>
            <w:r>
              <w:rPr>
                <w:rFonts w:ascii="Arial" w:cs="Arial" w:eastAsia="Arial" w:hAnsi="Arial"/>
                <w:sz w:val="10"/>
                <w:szCs w:val="10"/>
                <w:b w:val="1"/>
                <w:bCs w:val="1"/>
                <w:color w:val="auto"/>
              </w:rPr>
              <w:t>File Number)</w:t>
            </w:r>
          </w:p>
        </w:tc>
        <w:tc>
          <w:tcPr>
            <w:tcW w:w="1860" w:type="dxa"/>
            <w:vAlign w:val="bottom"/>
          </w:tcPr>
          <w:p>
            <w:pPr>
              <w:jc w:val="center"/>
              <w:ind w:left="1047"/>
              <w:spacing w:after="0"/>
              <w:rPr>
                <w:sz w:val="20"/>
                <w:szCs w:val="20"/>
                <w:color w:val="auto"/>
              </w:rPr>
            </w:pPr>
            <w:r>
              <w:rPr>
                <w:rFonts w:ascii="Arial" w:cs="Arial" w:eastAsia="Arial" w:hAnsi="Arial"/>
                <w:sz w:val="10"/>
                <w:szCs w:val="10"/>
                <w:b w:val="1"/>
                <w:bCs w:val="1"/>
                <w:color w:val="auto"/>
                <w:w w:val="89"/>
              </w:rPr>
              <w:t>Identification No.)</w:t>
            </w:r>
          </w:p>
        </w:tc>
      </w:tr>
      <w:tr>
        <w:trPr>
          <w:trHeight w:val="157"/>
        </w:trPr>
        <w:tc>
          <w:tcPr>
            <w:tcW w:w="2520" w:type="dxa"/>
            <w:vAlign w:val="bottom"/>
          </w:tcPr>
          <w:p>
            <w:pPr>
              <w:jc w:val="center"/>
              <w:ind w:right="786"/>
              <w:spacing w:after="0"/>
              <w:rPr>
                <w:sz w:val="20"/>
                <w:szCs w:val="20"/>
                <w:color w:val="auto"/>
              </w:rPr>
            </w:pPr>
            <w:r>
              <w:rPr>
                <w:rFonts w:ascii="Arial" w:cs="Arial" w:eastAsia="Arial" w:hAnsi="Arial"/>
                <w:sz w:val="12"/>
                <w:szCs w:val="12"/>
                <w:b w:val="1"/>
                <w:bCs w:val="1"/>
                <w:color w:val="auto"/>
                <w:w w:val="88"/>
              </w:rPr>
              <w:t>3131 Las Vegas Boulevard South</w:t>
            </w:r>
          </w:p>
        </w:tc>
        <w:tc>
          <w:tcPr>
            <w:tcW w:w="44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57"/>
        </w:trPr>
        <w:tc>
          <w:tcPr>
            <w:tcW w:w="2520" w:type="dxa"/>
            <w:vAlign w:val="bottom"/>
          </w:tcPr>
          <w:p>
            <w:pPr>
              <w:jc w:val="center"/>
              <w:ind w:right="786"/>
              <w:spacing w:after="0"/>
              <w:rPr>
                <w:sz w:val="20"/>
                <w:szCs w:val="20"/>
                <w:color w:val="auto"/>
              </w:rPr>
            </w:pPr>
            <w:r>
              <w:rPr>
                <w:rFonts w:ascii="Arial" w:cs="Arial" w:eastAsia="Arial" w:hAnsi="Arial"/>
                <w:sz w:val="12"/>
                <w:szCs w:val="12"/>
                <w:b w:val="1"/>
                <w:bCs w:val="1"/>
                <w:color w:val="auto"/>
                <w:w w:val="88"/>
              </w:rPr>
              <w:t>Las Vegas, Nevada</w:t>
            </w:r>
          </w:p>
        </w:tc>
        <w:tc>
          <w:tcPr>
            <w:tcW w:w="4480" w:type="dxa"/>
            <w:vAlign w:val="bottom"/>
          </w:tcPr>
          <w:p>
            <w:pPr>
              <w:spacing w:after="0"/>
              <w:rPr>
                <w:sz w:val="13"/>
                <w:szCs w:val="13"/>
                <w:color w:val="auto"/>
              </w:rPr>
            </w:pPr>
          </w:p>
        </w:tc>
        <w:tc>
          <w:tcPr>
            <w:tcW w:w="1860" w:type="dxa"/>
            <w:vAlign w:val="bottom"/>
          </w:tcPr>
          <w:p>
            <w:pPr>
              <w:jc w:val="right"/>
              <w:ind w:right="167"/>
              <w:spacing w:after="0"/>
              <w:rPr>
                <w:sz w:val="20"/>
                <w:szCs w:val="20"/>
                <w:color w:val="auto"/>
              </w:rPr>
            </w:pPr>
            <w:r>
              <w:rPr>
                <w:rFonts w:ascii="Arial" w:cs="Arial" w:eastAsia="Arial" w:hAnsi="Arial"/>
                <w:sz w:val="12"/>
                <w:szCs w:val="12"/>
                <w:b w:val="1"/>
                <w:bCs w:val="1"/>
                <w:color w:val="auto"/>
              </w:rPr>
              <w:t>89109</w:t>
            </w:r>
          </w:p>
        </w:tc>
      </w:tr>
      <w:tr>
        <w:trPr>
          <w:trHeight w:val="145"/>
        </w:trPr>
        <w:tc>
          <w:tcPr>
            <w:tcW w:w="2520" w:type="dxa"/>
            <w:vAlign w:val="bottom"/>
          </w:tcPr>
          <w:p>
            <w:pPr>
              <w:jc w:val="center"/>
              <w:ind w:right="766"/>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4480" w:type="dxa"/>
            <w:vAlign w:val="bottom"/>
          </w:tcPr>
          <w:p>
            <w:pPr>
              <w:spacing w:after="0"/>
              <w:rPr>
                <w:sz w:val="12"/>
                <w:szCs w:val="12"/>
                <w:color w:val="auto"/>
              </w:rPr>
            </w:pPr>
          </w:p>
        </w:tc>
        <w:tc>
          <w:tcPr>
            <w:tcW w:w="1860" w:type="dxa"/>
            <w:vAlign w:val="bottom"/>
          </w:tcPr>
          <w:p>
            <w:pPr>
              <w:jc w:val="center"/>
              <w:ind w:left="1047"/>
              <w:spacing w:after="0"/>
              <w:rPr>
                <w:sz w:val="20"/>
                <w:szCs w:val="20"/>
                <w:color w:val="auto"/>
              </w:rPr>
            </w:pPr>
            <w:r>
              <w:rPr>
                <w:rFonts w:ascii="Arial" w:cs="Arial" w:eastAsia="Arial" w:hAnsi="Arial"/>
                <w:sz w:val="10"/>
                <w:szCs w:val="10"/>
                <w:b w:val="1"/>
                <w:bCs w:val="1"/>
                <w:color w:val="auto"/>
                <w:w w:val="88"/>
              </w:rPr>
              <w:t>(Zip Code)</w:t>
            </w:r>
          </w:p>
        </w:tc>
      </w:tr>
      <w:tr>
        <w:trPr>
          <w:trHeight w:val="327"/>
        </w:trPr>
        <w:tc>
          <w:tcPr>
            <w:tcW w:w="2520" w:type="dxa"/>
            <w:vAlign w:val="bottom"/>
          </w:tcPr>
          <w:p>
            <w:pPr>
              <w:spacing w:after="0"/>
              <w:rPr>
                <w:sz w:val="24"/>
                <w:szCs w:val="24"/>
                <w:color w:val="auto"/>
              </w:rPr>
            </w:pPr>
          </w:p>
        </w:tc>
        <w:tc>
          <w:tcPr>
            <w:tcW w:w="4480" w:type="dxa"/>
            <w:vAlign w:val="bottom"/>
          </w:tcPr>
          <w:p>
            <w:pPr>
              <w:jc w:val="center"/>
              <w:ind w:right="207"/>
              <w:spacing w:after="0"/>
              <w:rPr>
                <w:sz w:val="20"/>
                <w:szCs w:val="20"/>
                <w:color w:val="auto"/>
              </w:rPr>
            </w:pPr>
            <w:r>
              <w:rPr>
                <w:rFonts w:ascii="Arial" w:cs="Arial" w:eastAsia="Arial" w:hAnsi="Arial"/>
                <w:sz w:val="12"/>
                <w:szCs w:val="12"/>
                <w:b w:val="1"/>
                <w:bCs w:val="1"/>
                <w:color w:val="auto"/>
                <w:w w:val="90"/>
              </w:rPr>
              <w:t>(702) 770-7555</w:t>
            </w:r>
          </w:p>
        </w:tc>
        <w:tc>
          <w:tcPr>
            <w:tcW w:w="1860" w:type="dxa"/>
            <w:vAlign w:val="bottom"/>
          </w:tcPr>
          <w:p>
            <w:pPr>
              <w:spacing w:after="0"/>
              <w:rPr>
                <w:sz w:val="24"/>
                <w:szCs w:val="24"/>
                <w:color w:val="auto"/>
              </w:rPr>
            </w:pPr>
          </w:p>
        </w:tc>
      </w:tr>
      <w:tr>
        <w:trPr>
          <w:trHeight w:val="124"/>
        </w:trPr>
        <w:tc>
          <w:tcPr>
            <w:tcW w:w="2520" w:type="dxa"/>
            <w:vAlign w:val="bottom"/>
          </w:tcPr>
          <w:p>
            <w:pPr>
              <w:spacing w:after="0"/>
              <w:rPr>
                <w:sz w:val="10"/>
                <w:szCs w:val="10"/>
                <w:color w:val="auto"/>
              </w:rPr>
            </w:pPr>
          </w:p>
        </w:tc>
        <w:tc>
          <w:tcPr>
            <w:tcW w:w="4480" w:type="dxa"/>
            <w:vAlign w:val="bottom"/>
          </w:tcPr>
          <w:p>
            <w:pPr>
              <w:jc w:val="center"/>
              <w:ind w:right="187"/>
              <w:spacing w:after="0"/>
              <w:rPr>
                <w:sz w:val="20"/>
                <w:szCs w:val="20"/>
                <w:color w:val="auto"/>
              </w:rPr>
            </w:pPr>
            <w:r>
              <w:rPr>
                <w:rFonts w:ascii="Arial" w:cs="Arial" w:eastAsia="Arial" w:hAnsi="Arial"/>
                <w:sz w:val="10"/>
                <w:szCs w:val="10"/>
                <w:b w:val="1"/>
                <w:bCs w:val="1"/>
                <w:color w:val="auto"/>
                <w:w w:val="85"/>
              </w:rPr>
              <w:t>(Registrant’s telephone number, including area code)</w:t>
            </w:r>
          </w:p>
        </w:tc>
        <w:tc>
          <w:tcPr>
            <w:tcW w:w="1860" w:type="dxa"/>
            <w:vAlign w:val="bottom"/>
          </w:tcPr>
          <w:p>
            <w:pPr>
              <w:spacing w:after="0"/>
              <w:rPr>
                <w:sz w:val="10"/>
                <w:szCs w:val="10"/>
                <w:color w:val="auto"/>
              </w:rPr>
            </w:pPr>
          </w:p>
        </w:tc>
      </w:tr>
      <w:tr>
        <w:trPr>
          <w:trHeight w:val="273"/>
        </w:trPr>
        <w:tc>
          <w:tcPr>
            <w:tcW w:w="2520" w:type="dxa"/>
            <w:vAlign w:val="bottom"/>
          </w:tcPr>
          <w:p>
            <w:pPr>
              <w:spacing w:after="0"/>
              <w:rPr>
                <w:sz w:val="23"/>
                <w:szCs w:val="23"/>
                <w:color w:val="auto"/>
              </w:rPr>
            </w:pPr>
          </w:p>
        </w:tc>
        <w:tc>
          <w:tcPr>
            <w:tcW w:w="4480" w:type="dxa"/>
            <w:vAlign w:val="bottom"/>
          </w:tcPr>
          <w:p>
            <w:pPr>
              <w:jc w:val="center"/>
              <w:ind w:right="207"/>
              <w:spacing w:after="0"/>
              <w:rPr>
                <w:sz w:val="20"/>
                <w:szCs w:val="20"/>
                <w:color w:val="auto"/>
              </w:rPr>
            </w:pPr>
            <w:r>
              <w:rPr>
                <w:rFonts w:ascii="Arial" w:cs="Arial" w:eastAsia="Arial" w:hAnsi="Arial"/>
                <w:sz w:val="12"/>
                <w:szCs w:val="12"/>
                <w:b w:val="1"/>
                <w:bCs w:val="1"/>
                <w:color w:val="auto"/>
                <w:w w:val="92"/>
              </w:rPr>
              <w:t>Not Applicable</w:t>
            </w:r>
          </w:p>
        </w:tc>
        <w:tc>
          <w:tcPr>
            <w:tcW w:w="1860" w:type="dxa"/>
            <w:vAlign w:val="bottom"/>
          </w:tcPr>
          <w:p>
            <w:pPr>
              <w:spacing w:after="0"/>
              <w:rPr>
                <w:sz w:val="23"/>
                <w:szCs w:val="23"/>
                <w:color w:val="auto"/>
              </w:rPr>
            </w:pPr>
          </w:p>
        </w:tc>
      </w:tr>
      <w:tr>
        <w:trPr>
          <w:trHeight w:val="124"/>
        </w:trPr>
        <w:tc>
          <w:tcPr>
            <w:tcW w:w="2520" w:type="dxa"/>
            <w:vAlign w:val="bottom"/>
          </w:tcPr>
          <w:p>
            <w:pPr>
              <w:spacing w:after="0"/>
              <w:rPr>
                <w:sz w:val="10"/>
                <w:szCs w:val="10"/>
                <w:color w:val="auto"/>
              </w:rPr>
            </w:pPr>
          </w:p>
        </w:tc>
        <w:tc>
          <w:tcPr>
            <w:tcW w:w="4480" w:type="dxa"/>
            <w:vAlign w:val="bottom"/>
          </w:tcPr>
          <w:p>
            <w:pPr>
              <w:jc w:val="center"/>
              <w:ind w:right="207"/>
              <w:spacing w:after="0"/>
              <w:rPr>
                <w:sz w:val="20"/>
                <w:szCs w:val="20"/>
                <w:color w:val="auto"/>
              </w:rPr>
            </w:pPr>
            <w:r>
              <w:rPr>
                <w:rFonts w:ascii="Arial" w:cs="Arial" w:eastAsia="Arial" w:hAnsi="Arial"/>
                <w:sz w:val="10"/>
                <w:szCs w:val="10"/>
                <w:b w:val="1"/>
                <w:bCs w:val="1"/>
                <w:color w:val="auto"/>
                <w:w w:val="86"/>
              </w:rPr>
              <w:t>(Former name or former address, if changed since last report)</w:t>
            </w:r>
          </w:p>
        </w:tc>
        <w:tc>
          <w:tcPr>
            <w:tcW w:w="1860" w:type="dxa"/>
            <w:vAlign w:val="bottom"/>
          </w:tcPr>
          <w:p>
            <w:pPr>
              <w:spacing w:after="0"/>
              <w:rPr>
                <w:sz w:val="10"/>
                <w:szCs w:val="10"/>
                <w:color w:val="auto"/>
              </w:rPr>
            </w:pPr>
          </w:p>
        </w:tc>
      </w:tr>
    </w:tbl>
    <w:p>
      <w:pPr>
        <w:spacing w:after="0" w:line="278"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2"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0"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6" w:lineRule="exact"/>
        <w:rPr>
          <w:sz w:val="24"/>
          <w:szCs w:val="24"/>
          <w:color w:val="auto"/>
        </w:rPr>
      </w:pPr>
    </w:p>
    <w:p>
      <w:pPr>
        <w:ind w:left="8" w:right="340"/>
        <w:spacing w:after="0" w:line="24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0028"/>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2" w:lineRule="exact"/>
        <w:rPr>
          <w:sz w:val="24"/>
          <w:szCs w:val="24"/>
          <w:color w:val="auto"/>
        </w:rPr>
      </w:pPr>
    </w:p>
    <w:p>
      <w:pPr>
        <w:ind w:left="8" w:right="100"/>
        <w:spacing w:after="0" w:line="150"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11488"/>
          </w:cols>
          <w:pgMar w:left="212" w:top="499" w:right="199" w:bottom="1440" w:gutter="0" w:footer="0" w:header="0"/>
        </w:sectPr>
      </w:pPr>
    </w:p>
    <w:bookmarkStart w:id="1" w:name="page2"/>
    <w:bookmarkEnd w:id="1"/>
    <w:p>
      <w:pPr>
        <w:ind w:left="20"/>
        <w:spacing w:after="0"/>
        <w:tabs>
          <w:tab w:leader="none" w:pos="148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72" w:lineRule="exact"/>
        <w:rPr>
          <w:sz w:val="20"/>
          <w:szCs w:val="20"/>
          <w:color w:val="auto"/>
        </w:rPr>
      </w:pPr>
    </w:p>
    <w:p>
      <w:pPr>
        <w:jc w:val="both"/>
        <w:ind w:firstLine="288"/>
        <w:spacing w:after="0" w:line="290" w:lineRule="auto"/>
        <w:rPr>
          <w:sz w:val="20"/>
          <w:szCs w:val="20"/>
          <w:color w:val="auto"/>
        </w:rPr>
      </w:pPr>
      <w:r>
        <w:rPr>
          <w:rFonts w:ascii="Arial" w:cs="Arial" w:eastAsia="Arial" w:hAnsi="Arial"/>
          <w:sz w:val="11"/>
          <w:szCs w:val="11"/>
          <w:color w:val="auto"/>
        </w:rPr>
        <w:t>On September 7, 2017, Wynn Macau, Limited (“WML”), an indirect subsidiary of Wynn Resorts, Limited (the “Registrant”) with ordinary shares of its common stock listed on The Stock Exchange of Hong Kong Limited, filed its interim report in respect of the six months ended June 30, 2017 (the “Interim Report”) with The Stock Exchange of Hong Kong Limited. The Registrant owns approximately 72% of WML’s ordinary shares of common stock. The Interim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540" w:type="dxa"/>
            <w:vAlign w:val="bottom"/>
          </w:tcPr>
          <w:p>
            <w:pPr>
              <w:spacing w:after="0"/>
              <w:rPr>
                <w:sz w:val="20"/>
                <w:szCs w:val="20"/>
                <w:color w:val="auto"/>
              </w:rPr>
            </w:pPr>
            <w:r>
              <w:rPr>
                <w:rFonts w:ascii="Arial" w:cs="Arial" w:eastAsia="Arial" w:hAnsi="Arial"/>
                <w:sz w:val="12"/>
                <w:szCs w:val="12"/>
                <w:b w:val="1"/>
                <w:bCs w:val="1"/>
                <w:color w:val="auto"/>
                <w:w w:val="94"/>
              </w:rPr>
              <w:t>Item 9.01.</w:t>
            </w:r>
          </w:p>
        </w:tc>
        <w:tc>
          <w:tcPr>
            <w:tcW w:w="6800" w:type="dxa"/>
            <w:vAlign w:val="bottom"/>
            <w:gridSpan w:val="2"/>
          </w:tcPr>
          <w:p>
            <w:pPr>
              <w:ind w:left="940"/>
              <w:spacing w:after="0"/>
              <w:rPr>
                <w:sz w:val="20"/>
                <w:szCs w:val="20"/>
                <w:color w:val="auto"/>
              </w:rPr>
            </w:pPr>
            <w:r>
              <w:rPr>
                <w:rFonts w:ascii="Arial" w:cs="Arial" w:eastAsia="Arial" w:hAnsi="Arial"/>
                <w:sz w:val="12"/>
                <w:szCs w:val="12"/>
                <w:b w:val="1"/>
                <w:bCs w:val="1"/>
                <w:color w:val="auto"/>
              </w:rPr>
              <w:t>Financial Statements and Exhibits</w:t>
            </w:r>
          </w:p>
        </w:tc>
      </w:tr>
      <w:tr>
        <w:trPr>
          <w:trHeight w:val="306"/>
        </w:trPr>
        <w:tc>
          <w:tcPr>
            <w:tcW w:w="540" w:type="dxa"/>
            <w:vAlign w:val="bottom"/>
          </w:tcPr>
          <w:p>
            <w:pPr>
              <w:ind w:left="360"/>
              <w:spacing w:after="0"/>
              <w:rPr>
                <w:sz w:val="20"/>
                <w:szCs w:val="20"/>
                <w:color w:val="auto"/>
              </w:rPr>
            </w:pPr>
            <w:r>
              <w:rPr>
                <w:rFonts w:ascii="Arial" w:cs="Arial" w:eastAsia="Arial" w:hAnsi="Arial"/>
                <w:sz w:val="12"/>
                <w:szCs w:val="12"/>
                <w:color w:val="auto"/>
              </w:rPr>
              <w:t>(d)</w:t>
            </w:r>
          </w:p>
        </w:tc>
        <w:tc>
          <w:tcPr>
            <w:tcW w:w="6800" w:type="dxa"/>
            <w:vAlign w:val="bottom"/>
            <w:gridSpan w:val="2"/>
          </w:tcPr>
          <w:p>
            <w:pPr>
              <w:ind w:left="20"/>
              <w:spacing w:after="0"/>
              <w:rPr>
                <w:sz w:val="20"/>
                <w:szCs w:val="20"/>
                <w:color w:val="auto"/>
              </w:rPr>
            </w:pPr>
            <w:r>
              <w:rPr>
                <w:rFonts w:ascii="Arial" w:cs="Arial" w:eastAsia="Arial" w:hAnsi="Arial"/>
                <w:sz w:val="12"/>
                <w:szCs w:val="12"/>
                <w:color w:val="auto"/>
              </w:rPr>
              <w:t>Exhibits.</w:t>
            </w:r>
          </w:p>
        </w:tc>
      </w:tr>
      <w:tr>
        <w:trPr>
          <w:trHeight w:val="830"/>
        </w:trPr>
        <w:tc>
          <w:tcPr>
            <w:tcW w:w="540" w:type="dxa"/>
            <w:vAlign w:val="bottom"/>
          </w:tcPr>
          <w:p>
            <w:pPr>
              <w:spacing w:after="0"/>
              <w:rPr>
                <w:sz w:val="20"/>
                <w:szCs w:val="20"/>
                <w:color w:val="auto"/>
              </w:rPr>
            </w:pPr>
            <w:r>
              <w:rPr>
                <w:rFonts w:ascii="Arial" w:cs="Arial" w:eastAsia="Arial" w:hAnsi="Arial"/>
                <w:sz w:val="10"/>
                <w:szCs w:val="10"/>
                <w:b w:val="1"/>
                <w:bCs w:val="1"/>
                <w:color w:val="auto"/>
                <w:w w:val="99"/>
              </w:rPr>
              <w:t>Exhibit No.</w:t>
            </w:r>
          </w:p>
        </w:tc>
        <w:tc>
          <w:tcPr>
            <w:tcW w:w="244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0"/>
                <w:szCs w:val="10"/>
                <w:b w:val="1"/>
                <w:bCs w:val="1"/>
                <w:color w:val="auto"/>
              </w:rPr>
              <w:t>Description</w:t>
            </w:r>
          </w:p>
        </w:tc>
      </w:tr>
      <w:tr>
        <w:trPr>
          <w:trHeight w:val="323"/>
        </w:trPr>
        <w:tc>
          <w:tcPr>
            <w:tcW w:w="540" w:type="dxa"/>
            <w:vAlign w:val="bottom"/>
          </w:tcPr>
          <w:p>
            <w:pPr>
              <w:spacing w:after="0"/>
              <w:rPr>
                <w:sz w:val="20"/>
                <w:szCs w:val="20"/>
                <w:color w:val="auto"/>
              </w:rPr>
            </w:pPr>
            <w:r>
              <w:rPr>
                <w:rFonts w:ascii="Arial" w:cs="Arial" w:eastAsia="Arial" w:hAnsi="Arial"/>
                <w:sz w:val="12"/>
                <w:szCs w:val="12"/>
                <w:color w:val="auto"/>
              </w:rPr>
              <w:t>99.1</w:t>
            </w:r>
          </w:p>
        </w:tc>
        <w:tc>
          <w:tcPr>
            <w:tcW w:w="2440" w:type="dxa"/>
            <w:vAlign w:val="bottom"/>
          </w:tcPr>
          <w:p>
            <w:pPr>
              <w:spacing w:after="0"/>
              <w:rPr>
                <w:sz w:val="24"/>
                <w:szCs w:val="24"/>
                <w:color w:val="auto"/>
              </w:rPr>
            </w:pPr>
          </w:p>
        </w:tc>
        <w:tc>
          <w:tcPr>
            <w:tcW w:w="4360" w:type="dxa"/>
            <w:vAlign w:val="bottom"/>
            <w:tcBorders>
              <w:bottom w:val="single" w:sz="8" w:color="0000FF"/>
            </w:tcBorders>
          </w:tcPr>
          <w:p>
            <w:pPr>
              <w:spacing w:after="0"/>
              <w:rPr>
                <w:rFonts w:ascii="Arial" w:cs="Arial" w:eastAsia="Arial" w:hAnsi="Arial"/>
                <w:sz w:val="12"/>
                <w:szCs w:val="12"/>
                <w:color w:val="0000FF"/>
                <w:w w:val="90"/>
              </w:rPr>
            </w:pPr>
            <w:hyperlink w:anchor="page4">
              <w:r>
                <w:rPr>
                  <w:rFonts w:ascii="Arial" w:cs="Arial" w:eastAsia="Arial" w:hAnsi="Arial"/>
                  <w:sz w:val="12"/>
                  <w:szCs w:val="12"/>
                  <w:color w:val="0000FF"/>
                  <w:w w:val="90"/>
                </w:rPr>
                <w:t>Interim Report of Wynn Macau, Limited in respect of the six months ended June 30, 2017.</w:t>
              </w:r>
            </w:hyperlink>
          </w:p>
        </w:tc>
      </w:tr>
    </w:tbl>
    <w:p>
      <w:pPr>
        <w:sectPr>
          <w:pgSz w:w="11900" w:h="16838" w:orient="portrait"/>
          <w:cols w:equalWidth="0" w:num="1">
            <w:col w:w="11340"/>
          </w:cols>
          <w:pgMar w:left="220" w:top="1117" w:right="339" w:bottom="1440" w:gutter="0" w:footer="0" w:header="0"/>
        </w:sectPr>
      </w:pPr>
    </w:p>
    <w:bookmarkStart w:id="2" w:name="page3"/>
    <w:bookmarkEnd w:id="2"/>
    <w:p>
      <w:pPr>
        <w:ind w:left="5480"/>
        <w:spacing w:after="0"/>
        <w:rPr>
          <w:sz w:val="20"/>
          <w:szCs w:val="20"/>
          <w:color w:val="auto"/>
        </w:rPr>
      </w:pPr>
      <w:r>
        <w:rPr>
          <w:rFonts w:ascii="Arial" w:cs="Arial" w:eastAsia="Arial" w:hAnsi="Arial"/>
          <w:sz w:val="12"/>
          <w:szCs w:val="12"/>
          <w:b w:val="1"/>
          <w:bCs w:val="1"/>
          <w:color w:val="auto"/>
        </w:rPr>
        <w:t>SIGNATURES</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0"/>
          <w:szCs w:val="10"/>
          <w:color w:val="auto"/>
        </w:rPr>
        <w:t>Pursuant to the requirements of the Securities Exchange Act of 1934, as amended, the Registrant has duly caused this report to be signed on its behalf by the undersigned hereunto duly authorized.</w:t>
      </w:r>
    </w:p>
    <w:p>
      <w:pPr>
        <w:spacing w:after="0" w:line="250" w:lineRule="exact"/>
        <w:rPr>
          <w:sz w:val="20"/>
          <w:szCs w:val="20"/>
          <w:color w:val="auto"/>
        </w:rPr>
      </w:pPr>
    </w:p>
    <w:p>
      <w:pPr>
        <w:ind w:left="7320"/>
        <w:spacing w:after="0"/>
        <w:rPr>
          <w:sz w:val="20"/>
          <w:szCs w:val="20"/>
          <w:color w:val="auto"/>
        </w:rPr>
      </w:pPr>
      <w:r>
        <w:rPr>
          <w:rFonts w:ascii="Arial" w:cs="Arial" w:eastAsia="Arial" w:hAnsi="Arial"/>
          <w:sz w:val="12"/>
          <w:szCs w:val="12"/>
          <w:b w:val="1"/>
          <w:bCs w:val="1"/>
          <w:color w:val="auto"/>
        </w:rPr>
        <w:t>WYNN RESORTS, LIMITED</w:t>
      </w:r>
    </w:p>
    <w:p>
      <w:pPr>
        <w:sectPr>
          <w:pgSz w:w="11900" w:h="16838" w:orient="portrait"/>
          <w:cols w:equalWidth="0" w:num="1">
            <w:col w:w="10219"/>
          </w:cols>
          <w:pgMar w:left="240" w:top="433" w:right="1440"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color w:val="auto"/>
        </w:rPr>
        <w:t>Dated: September 7, 2017</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By:</w:t>
      </w:r>
      <w:r>
        <w:rPr>
          <w:sz w:val="20"/>
          <w:szCs w:val="20"/>
          <w:color w:val="auto"/>
        </w:rPr>
        <w:tab/>
      </w:r>
      <w:r>
        <w:rPr>
          <w:rFonts w:ascii="Arial" w:cs="Arial" w:eastAsia="Arial" w:hAnsi="Arial"/>
          <w:sz w:val="11"/>
          <w:szCs w:val="11"/>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28575</wp:posOffset>
            </wp:positionV>
            <wp:extent cx="269367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3670" cy="571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5940" w:space="720"/>
            <w:col w:w="3559"/>
          </w:cols>
          <w:pgMar w:left="240" w:top="433" w:right="1440" w:bottom="1440" w:gutter="0" w:footer="0" w:header="0"/>
          <w:type w:val="continuous"/>
        </w:sectPr>
      </w:pPr>
    </w:p>
    <w:p>
      <w:pPr>
        <w:ind w:left="6660"/>
        <w:spacing w:after="0"/>
        <w:rPr>
          <w:sz w:val="20"/>
          <w:szCs w:val="20"/>
          <w:color w:val="auto"/>
        </w:rPr>
      </w:pPr>
      <w:r>
        <w:rPr>
          <w:rFonts w:ascii="Arial" w:cs="Arial" w:eastAsia="Arial" w:hAnsi="Arial"/>
          <w:sz w:val="12"/>
          <w:szCs w:val="12"/>
          <w:color w:val="auto"/>
        </w:rPr>
        <w:t>Craig S. Billings</w:t>
      </w:r>
    </w:p>
    <w:p>
      <w:pPr>
        <w:spacing w:after="0" w:line="42" w:lineRule="exact"/>
        <w:rPr>
          <w:sz w:val="20"/>
          <w:szCs w:val="20"/>
          <w:color w:val="auto"/>
        </w:rPr>
      </w:pPr>
    </w:p>
    <w:p>
      <w:pPr>
        <w:ind w:left="6660"/>
        <w:spacing w:after="0"/>
        <w:rPr>
          <w:sz w:val="20"/>
          <w:szCs w:val="20"/>
          <w:color w:val="auto"/>
        </w:rPr>
      </w:pPr>
      <w:r>
        <w:rPr>
          <w:rFonts w:ascii="Arial" w:cs="Arial" w:eastAsia="Arial" w:hAnsi="Arial"/>
          <w:sz w:val="12"/>
          <w:szCs w:val="12"/>
          <w:color w:val="auto"/>
        </w:rPr>
        <w:t>Chief Financial Officer and Treasurer</w:t>
      </w:r>
    </w:p>
    <w:p>
      <w:pPr>
        <w:spacing w:after="0" w:line="42" w:lineRule="exact"/>
        <w:rPr>
          <w:sz w:val="20"/>
          <w:szCs w:val="20"/>
          <w:color w:val="auto"/>
        </w:rPr>
      </w:pPr>
    </w:p>
    <w:p>
      <w:pPr>
        <w:ind w:left="6660"/>
        <w:spacing w:after="0"/>
        <w:rPr>
          <w:sz w:val="20"/>
          <w:szCs w:val="20"/>
          <w:color w:val="auto"/>
        </w:rPr>
      </w:pPr>
      <w:r>
        <w:rPr>
          <w:rFonts w:ascii="Arial" w:cs="Arial" w:eastAsia="Arial" w:hAnsi="Arial"/>
          <w:sz w:val="11"/>
          <w:szCs w:val="11"/>
          <w:color w:val="auto"/>
        </w:rPr>
        <w:t>(Principal Financial and Accounting Officer)</w:t>
      </w:r>
    </w:p>
    <w:p>
      <w:pPr>
        <w:sectPr>
          <w:pgSz w:w="11900" w:h="16838" w:orient="portrait"/>
          <w:cols w:equalWidth="0" w:num="1">
            <w:col w:w="10219"/>
          </w:cols>
          <w:pgMar w:left="240" w:top="433" w:right="1440"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6140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2019-12-29T04:19:23Z</dcterms:created>
  <dcterms:modified xsi:type="dcterms:W3CDTF">2019-12-29T04:19:23Z</dcterms:modified>
</cp:coreProperties>
</file>