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5"/>
          <w:szCs w:val="15"/>
          <w:color w:val="auto"/>
        </w:rPr>
        <w:t>Date of Report (Date of earliest event reported): October 27, 2006</w:t>
      </w:r>
    </w:p>
    <w:p>
      <w:pPr>
        <w:spacing w:after="0" w:line="25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233" w:right="1440" w:bottom="0" w:gutter="0" w:footer="0" w:header="0"/>
        </w:sectPr>
      </w:pPr>
    </w:p>
    <w:p>
      <w:pPr>
        <w:spacing w:after="0" w:line="21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000-50028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center"/>
        <w:ind w:right="2259"/>
        <w:spacing w:after="0"/>
        <w:rPr>
          <w:sz w:val="20"/>
          <w:szCs w:val="20"/>
          <w:color w:val="auto"/>
        </w:rPr>
      </w:pPr>
      <w:r>
        <w:rPr>
          <w:rFonts w:ascii="Arial" w:cs="Arial" w:eastAsia="Arial" w:hAnsi="Arial"/>
          <w:sz w:val="18"/>
          <w:szCs w:val="18"/>
          <w:b w:val="1"/>
          <w:bCs w:val="1"/>
          <w:color w:val="auto"/>
        </w:rPr>
        <w:t>46-0484987</w:t>
      </w:r>
    </w:p>
    <w:p>
      <w:pPr>
        <w:spacing w:after="0" w:line="21" w:lineRule="exact"/>
        <w:rPr>
          <w:sz w:val="24"/>
          <w:szCs w:val="24"/>
          <w:color w:val="auto"/>
        </w:rPr>
      </w:pPr>
    </w:p>
    <w:p>
      <w:pPr>
        <w:jc w:val="center"/>
        <w:ind w:right="2259"/>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2440" w:space="620"/>
            <w:col w:w="1960" w:space="380"/>
            <w:col w:w="4819"/>
          </w:cols>
          <w:pgMar w:left="240" w:top="233" w:right="1440" w:bottom="0" w:gutter="0" w:footer="0" w:header="0"/>
          <w:type w:val="continuous"/>
        </w:sectPr>
      </w:pPr>
    </w:p>
    <w:p>
      <w:pPr>
        <w:ind w:left="9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0219"/>
          </w:cols>
          <w:pgMar w:left="240" w:top="233" w:right="1440" w:bottom="0" w:gutter="0" w:footer="0" w:header="0"/>
          <w:type w:val="continuous"/>
        </w:sectPr>
      </w:pPr>
    </w:p>
    <w:p>
      <w:pPr>
        <w:spacing w:after="0" w:line="31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Las Vegas, Nevada</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3" w:lineRule="exact"/>
        <w:rPr>
          <w:sz w:val="24"/>
          <w:szCs w:val="24"/>
          <w:color w:val="auto"/>
        </w:rPr>
      </w:pPr>
    </w:p>
    <w:p>
      <w:pPr>
        <w:jc w:val="center"/>
        <w:ind w:right="3159"/>
        <w:spacing w:after="0"/>
        <w:rPr>
          <w:sz w:val="20"/>
          <w:szCs w:val="20"/>
          <w:color w:val="auto"/>
        </w:rPr>
      </w:pPr>
      <w:r>
        <w:rPr>
          <w:rFonts w:ascii="Arial" w:cs="Arial" w:eastAsia="Arial" w:hAnsi="Arial"/>
          <w:sz w:val="18"/>
          <w:szCs w:val="18"/>
          <w:b w:val="1"/>
          <w:bCs w:val="1"/>
          <w:color w:val="auto"/>
        </w:rPr>
        <w:t>89109</w:t>
      </w:r>
    </w:p>
    <w:p>
      <w:pPr>
        <w:spacing w:after="0" w:line="21" w:lineRule="exact"/>
        <w:rPr>
          <w:sz w:val="24"/>
          <w:szCs w:val="24"/>
          <w:color w:val="auto"/>
        </w:rPr>
      </w:pPr>
    </w:p>
    <w:p>
      <w:pPr>
        <w:jc w:val="center"/>
        <w:ind w:right="3159"/>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580" w:space="720"/>
            <w:col w:w="3919"/>
          </w:cols>
          <w:pgMar w:left="240" w:top="233" w:right="1440" w:bottom="0" w:gutter="0" w:footer="0" w:header="0"/>
          <w:type w:val="continuous"/>
        </w:sectPr>
      </w:pP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(Registrant’s telephone number, including area code)</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9" w:lineRule="exact"/>
        <w:rPr>
          <w:sz w:val="24"/>
          <w:szCs w:val="24"/>
          <w:color w:val="auto"/>
        </w:rPr>
      </w:pPr>
    </w:p>
    <w:p>
      <w:pPr>
        <w:ind w:right="2099"/>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18"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340" w:right="211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8" w:lineRule="exact"/>
        <w:rPr>
          <w:rFonts w:ascii="Arial" w:cs="Arial" w:eastAsia="Arial" w:hAnsi="Arial"/>
          <w:sz w:val="18"/>
          <w:szCs w:val="18"/>
          <w:color w:val="auto"/>
        </w:rPr>
      </w:pPr>
    </w:p>
    <w:p>
      <w:pPr>
        <w:ind w:left="340" w:right="2379" w:hanging="332"/>
        <w:spacing w:after="0" w:line="268"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31" w:lineRule="exact"/>
        <w:rPr>
          <w:sz w:val="24"/>
          <w:szCs w:val="24"/>
          <w:color w:val="auto"/>
        </w:rPr>
      </w:pPr>
    </w:p>
    <w:p>
      <w:pPr>
        <w:jc w:val="both"/>
        <w:ind w:right="2099"/>
        <w:spacing w:after="0" w:line="286" w:lineRule="auto"/>
        <w:rPr>
          <w:sz w:val="20"/>
          <w:szCs w:val="20"/>
          <w:color w:val="auto"/>
        </w:rPr>
      </w:pPr>
      <w:r>
        <w:rPr>
          <w:rFonts w:ascii="Arial" w:cs="Arial" w:eastAsia="Arial" w:hAnsi="Arial"/>
          <w:sz w:val="16"/>
          <w:szCs w:val="16"/>
          <w:color w:val="auto"/>
        </w:rPr>
        <w:t>On October 27, 2006, Worldwide Wynn, LLC (“WW”), a wholly owned subsidiary of Wynn Resorts, Limited (“WRL”), entered into a new employment agreement with Linda Chen, WW’s Chief Operating Officer. The agreement terminates Ms. Chen’s previous employment agreement with WW, is effective as of August 1, 2006 and will terminate on August 1, 2011. The agreement provides for a base salary of $1,000,000 per year, which shall be subject to merit reviews on each anniversary date of the agreement and may be increased, but not decreased, as a result of such merit reviews. Ms. Chen will also be eligible to receive a bonus as determined in accordance with WRL’s Annual Performance Based Incentive Plan for Executive Officers. Under the terms of the employment agreement, management of WW agreed to recommend to the Compensation Committee of the Board of Directors of WRL (the "Compensation Committee") the following: (i) that Ms. Chen be granted 100,000 shares of restricted stock of WRL pursuant to the WRL 2002 Stock Incentive Plan; (ii) that such grant of restricted stock vest in its entirety six years after the date of grant; and (iii) that in the event Ms. Chen is terminated without “cause,” the grant will vest pro rata on a monthly basis from the date of grant to the effective date of Ms. Chen’s termination of employment. This grant of restricted stock has been approved by the Compensation Committee.</w:t>
      </w:r>
    </w:p>
    <w:p>
      <w:pPr>
        <w:spacing w:after="0" w:line="175" w:lineRule="exact"/>
        <w:rPr>
          <w:sz w:val="24"/>
          <w:szCs w:val="24"/>
          <w:color w:val="auto"/>
        </w:rPr>
      </w:pPr>
    </w:p>
    <w:p>
      <w:pPr>
        <w:jc w:val="both"/>
        <w:ind w:right="2119"/>
        <w:spacing w:after="0" w:line="294" w:lineRule="auto"/>
        <w:rPr>
          <w:sz w:val="20"/>
          <w:szCs w:val="20"/>
          <w:color w:val="auto"/>
        </w:rPr>
      </w:pPr>
      <w:r>
        <w:rPr>
          <w:rFonts w:ascii="Arial" w:cs="Arial" w:eastAsia="Arial" w:hAnsi="Arial"/>
          <w:sz w:val="16"/>
          <w:szCs w:val="16"/>
          <w:color w:val="auto"/>
        </w:rPr>
        <w:t>The agreement provides that Ms. Chen will be entitled to (i) participate, to the extent that she is otherwise eligible, in all employee benefit plans that WW maintains for its executives; and (ii) receive reimbursement for reasonable business expenses (including entertainment, promotional, gift and travel expenses and club memberships). Under the agreement, WW has agreed to provide Ms. Chen with housing for her and her immediate family while living in Macau and the use of an automobile in Macau.</w:t>
      </w:r>
    </w:p>
    <w:p>
      <w:pPr>
        <w:spacing w:after="0" w:line="170" w:lineRule="exact"/>
        <w:rPr>
          <w:sz w:val="24"/>
          <w:szCs w:val="24"/>
          <w:color w:val="auto"/>
        </w:rPr>
      </w:pPr>
    </w:p>
    <w:p>
      <w:pPr>
        <w:jc w:val="both"/>
        <w:ind w:right="2119"/>
        <w:spacing w:after="0" w:line="306" w:lineRule="auto"/>
        <w:rPr>
          <w:sz w:val="20"/>
          <w:szCs w:val="20"/>
          <w:color w:val="auto"/>
        </w:rPr>
      </w:pPr>
      <w:r>
        <w:rPr>
          <w:rFonts w:ascii="Arial" w:cs="Arial" w:eastAsia="Arial" w:hAnsi="Arial"/>
          <w:sz w:val="16"/>
          <w:szCs w:val="16"/>
          <w:color w:val="auto"/>
        </w:rPr>
        <w:t>If Ms. Chen is terminated without “cause,” or if she terminates her employment upon a material breach of the agreement by WW, or for “good reason” following a “change of control” (as these terms are defined in the agreement), WW will pay Ms. Chen a separation payment in a lump sum equal to the sum of the following: (a) her</w:t>
      </w:r>
    </w:p>
    <w:p>
      <w:pPr>
        <w:sectPr>
          <w:pgSz w:w="11900" w:h="16838" w:orient="portrait"/>
          <w:cols w:equalWidth="0" w:num="1">
            <w:col w:w="10219"/>
          </w:cols>
          <w:pgMar w:left="240" w:top="233" w:right="1440" w:bottom="0" w:gutter="0" w:footer="0" w:header="0"/>
          <w:type w:val="continuous"/>
        </w:sectPr>
      </w:pPr>
    </w:p>
    <w:bookmarkStart w:id="1" w:name="page2"/>
    <w:bookmarkEnd w:id="1"/>
    <w:p>
      <w:pPr>
        <w:jc w:val="both"/>
        <w:ind w:right="2119"/>
        <w:spacing w:after="0" w:line="290" w:lineRule="auto"/>
        <w:rPr>
          <w:sz w:val="20"/>
          <w:szCs w:val="20"/>
          <w:color w:val="auto"/>
        </w:rPr>
      </w:pPr>
      <w:r>
        <w:rPr>
          <w:rFonts w:ascii="Arial" w:cs="Arial" w:eastAsia="Arial" w:hAnsi="Arial"/>
          <w:sz w:val="16"/>
          <w:szCs w:val="16"/>
          <w:color w:val="auto"/>
        </w:rPr>
        <w:t>base salary for the remainder of the term of the employment agreement, but not less than one year of her base salary; (b) a pro-rated amount of any bonus that might otherwise have been paid to Ms. Chen for any period that would have concluded during the remainder of the term of the employment agreement; and (c) a “gross-up” payment for excise taxes on the separation payment. Additionally, Ms. Chen will be entitled to receive, for the remainder of the term of the employment agreement, health benefits coverage for her and her dependents under the same plan(s) or arrangement(s) under which she was covered immediately before her termination, or plan(s) established or arrangement(s) provided by WW or any of its Affiliates thereafter.</w:t>
      </w:r>
    </w:p>
    <w:p>
      <w:pPr>
        <w:spacing w:after="0" w:line="172"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If Ms. Chen’s employment terminates for any other reason before the expiration of the term (e.g., because of her death, disability, discharge for cause or revocation of gaming license), WW will pay her only her base salary and any accrued but unpaid vacation pay through the termination date.</w:t>
      </w:r>
    </w:p>
    <w:p>
      <w:pPr>
        <w:spacing w:after="0" w:line="194" w:lineRule="exact"/>
        <w:rPr>
          <w:sz w:val="20"/>
          <w:szCs w:val="20"/>
          <w:color w:val="auto"/>
        </w:rPr>
      </w:pPr>
    </w:p>
    <w:p>
      <w:pPr>
        <w:jc w:val="both"/>
        <w:ind w:right="2099"/>
        <w:spacing w:after="0" w:line="268" w:lineRule="auto"/>
        <w:rPr>
          <w:sz w:val="20"/>
          <w:szCs w:val="20"/>
          <w:color w:val="auto"/>
        </w:rPr>
      </w:pPr>
      <w:r>
        <w:rPr>
          <w:rFonts w:ascii="Arial" w:cs="Arial" w:eastAsia="Arial" w:hAnsi="Arial"/>
          <w:sz w:val="18"/>
          <w:szCs w:val="18"/>
          <w:color w:val="auto"/>
        </w:rPr>
        <w:t>A copy of Ms. Chen’s new employment agreement is attached hereto as Exhibit 10.1,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231" w:lineRule="exact"/>
        <w:rPr>
          <w:sz w:val="20"/>
          <w:szCs w:val="20"/>
          <w:color w:val="auto"/>
        </w:rPr>
      </w:pPr>
    </w:p>
    <w:p>
      <w:pPr>
        <w:jc w:val="both"/>
        <w:ind w:right="2119"/>
        <w:spacing w:after="0" w:line="259" w:lineRule="auto"/>
        <w:rPr>
          <w:sz w:val="20"/>
          <w:szCs w:val="20"/>
          <w:color w:val="auto"/>
        </w:rPr>
      </w:pPr>
      <w:r>
        <w:rPr>
          <w:rFonts w:ascii="Arial" w:cs="Arial" w:eastAsia="Arial" w:hAnsi="Arial"/>
          <w:sz w:val="18"/>
          <w:szCs w:val="18"/>
          <w:color w:val="auto"/>
        </w:rPr>
        <w:t>The information set forth in Item 1.01 is incorporated herein by reference. Concurrently with the execution of her new employment agreement with WW, Ms. Chen and WW terminated Ms. Chen’s previous employment agreement with WW.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119"/>
        <w:spacing w:after="0" w:line="291" w:lineRule="auto"/>
        <w:rPr>
          <w:sz w:val="20"/>
          <w:szCs w:val="20"/>
          <w:color w:val="auto"/>
        </w:rPr>
      </w:pPr>
      <w:r>
        <w:rPr>
          <w:rFonts w:ascii="Arial" w:cs="Arial" w:eastAsia="Arial" w:hAnsi="Arial"/>
          <w:sz w:val="16"/>
          <w:szCs w:val="16"/>
          <w:color w:val="auto"/>
        </w:rPr>
        <w:t>Ms. Chen’s previous employment agreement with WW provided for a base salary of $600,000 per year, increasing to $750,000 per year upon the opening of the Wynn Macau casino resort; a guaranteed annual bonus of not less than $250,000 for the calendar year 2005, and thereafter as determined in accordance with WRL’s Annual Performance Based Incentive Plan for Executive Officers; and the grant of an option to purchase 100,000 shares of common stock of WRL at $56.67 per share, which vested over five years, with 1/3 of the grant vesting on each of the third, fourth and fifth anniversaries of the grant.</w:t>
      </w:r>
    </w:p>
    <w:p>
      <w:pPr>
        <w:spacing w:after="0" w:line="16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580" w:hanging="884"/>
        <w:spacing w:after="0"/>
        <w:tabs>
          <w:tab w:leader="none" w:pos="1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80" w:lineRule="exact"/>
        <w:rPr>
          <w:rFonts w:ascii="Arial" w:cs="Arial" w:eastAsia="Arial" w:hAnsi="Arial"/>
          <w:sz w:val="16"/>
          <w:szCs w:val="16"/>
          <w:color w:val="auto"/>
        </w:rPr>
      </w:pPr>
    </w:p>
    <w:p>
      <w:pPr>
        <w:ind w:left="1580" w:right="140"/>
        <w:spacing w:after="0" w:line="438" w:lineRule="auto"/>
        <w:rPr>
          <w:rFonts w:ascii="Arial" w:cs="Arial" w:eastAsia="Arial" w:hAnsi="Arial"/>
          <w:sz w:val="16"/>
          <w:szCs w:val="16"/>
          <w:color w:val="auto"/>
        </w:rPr>
      </w:pPr>
      <w:r>
        <w:rPr>
          <w:rFonts w:ascii="Arial" w:cs="Arial" w:eastAsia="Arial" w:hAnsi="Arial"/>
          <w:sz w:val="15"/>
          <w:szCs w:val="15"/>
          <w:color w:val="auto"/>
        </w:rPr>
        <w:t xml:space="preserve">Exhibit </w:t>
      </w:r>
      <w:r>
        <w:rPr>
          <w:rFonts w:ascii="Arial" w:cs="Arial" w:eastAsia="Arial" w:hAnsi="Arial"/>
          <w:sz w:val="15"/>
          <w:szCs w:val="15"/>
          <w:u w:val="single" w:color="auto"/>
          <w:color w:val="auto"/>
        </w:rPr>
        <w:t xml:space="preserve">Number </w:t>
      </w: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w:t>
      </w:r>
    </w:p>
    <w:p>
      <w:pPr>
        <w:spacing w:after="0" w:line="225" w:lineRule="exact"/>
        <w:rPr>
          <w:sz w:val="20"/>
          <w:szCs w:val="20"/>
          <w:color w:val="auto"/>
        </w:rPr>
      </w:pPr>
    </w:p>
    <w:p>
      <w:pPr>
        <w:ind w:right="2679"/>
        <w:spacing w:after="0" w:line="268" w:lineRule="auto"/>
        <w:rPr>
          <w:sz w:val="20"/>
          <w:szCs w:val="20"/>
          <w:color w:val="auto"/>
        </w:rPr>
      </w:pPr>
      <w:r>
        <w:rPr>
          <w:rFonts w:ascii="Arial" w:cs="Arial" w:eastAsia="Arial" w:hAnsi="Arial"/>
          <w:sz w:val="18"/>
          <w:szCs w:val="18"/>
          <w:color w:val="auto"/>
        </w:rPr>
        <w:t>Employment Agreement, dated as of October 27, 2006, between Worldwide Wynn, LLC and Linda C.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-1913890</wp:posOffset>
            </wp:positionH>
            <wp:positionV relativeFrom="paragraph">
              <wp:posOffset>755650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720"/>
            <w:col w:w="719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11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2, 2006</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Wynn Resorts, Limited</w:t>
      </w:r>
    </w:p>
    <w:p>
      <w:pPr>
        <w:spacing w:after="0" w:line="306" w:lineRule="exact"/>
        <w:rPr>
          <w:sz w:val="20"/>
          <w:szCs w:val="20"/>
          <w:color w:val="auto"/>
        </w:rPr>
      </w:pPr>
    </w:p>
    <w:p>
      <w:pPr>
        <w:ind w:left="4700"/>
        <w:spacing w:after="0"/>
        <w:tabs>
          <w:tab w:leader="none" w:pos="5120" w:val="left"/>
        </w:tabs>
        <w:rPr>
          <w:sz w:val="20"/>
          <w:szCs w:val="20"/>
          <w:color w:val="auto"/>
        </w:rPr>
      </w:pPr>
      <w:r>
        <w:rPr>
          <w:rFonts w:ascii="Arial" w:cs="Arial" w:eastAsia="Arial" w:hAnsi="Arial"/>
          <w:sz w:val="18"/>
          <w:szCs w:val="18"/>
          <w:color w:val="auto"/>
        </w:rPr>
        <w:t>By:</w:t>
        <w:tab/>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19685</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131" w:right="1440" w:bottom="1440" w:gutter="0" w:footer="0" w:header="0"/>
          <w:type w:val="continuous"/>
        </w:sectPr>
      </w:pPr>
    </w:p>
    <w:bookmarkStart w:id="2" w:name="page3"/>
    <w:bookmarkEnd w:id="2"/>
    <w:p>
      <w:pPr>
        <w:spacing w:after="0" w:line="7"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Exhibit 10.1</w:t>
      </w:r>
    </w:p>
    <w:p>
      <w:pPr>
        <w:spacing w:after="0" w:line="239"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_____________________________</w:t>
      </w:r>
    </w:p>
    <w:p>
      <w:pPr>
        <w:spacing w:after="0" w:line="200"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_____________________________</w:t>
      </w:r>
    </w:p>
    <w:p>
      <w:pPr>
        <w:spacing w:after="0" w:line="198" w:lineRule="exact"/>
        <w:rPr>
          <w:sz w:val="20"/>
          <w:szCs w:val="20"/>
          <w:color w:val="auto"/>
        </w:rPr>
      </w:pPr>
    </w:p>
    <w:p>
      <w:pPr>
        <w:jc w:val="both"/>
        <w:ind w:right="2119" w:firstLine="648"/>
        <w:spacing w:after="0" w:line="210"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7</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October 2006, by and between </w:t>
      </w:r>
      <w:r>
        <w:rPr>
          <w:rFonts w:ascii="Arial" w:cs="Arial" w:eastAsia="Arial" w:hAnsi="Arial"/>
          <w:sz w:val="18"/>
          <w:szCs w:val="18"/>
          <w:b w:val="1"/>
          <w:bCs w:val="1"/>
          <w:color w:val="auto"/>
        </w:rPr>
        <w:t>WORLDWIDE WYNN, LLC</w:t>
      </w:r>
      <w:r>
        <w:rPr>
          <w:rFonts w:ascii="Arial" w:cs="Arial" w:eastAsia="Arial" w:hAnsi="Arial"/>
          <w:sz w:val="18"/>
          <w:szCs w:val="18"/>
          <w:color w:val="auto"/>
        </w:rPr>
        <w:t xml:space="preserve"> (“</w:t>
      </w:r>
      <w:r>
        <w:rPr>
          <w:rFonts w:ascii="Arial" w:cs="Arial" w:eastAsia="Arial" w:hAnsi="Arial"/>
          <w:sz w:val="18"/>
          <w:szCs w:val="18"/>
          <w:b w:val="1"/>
          <w:bCs w:val="1"/>
          <w:color w:val="auto"/>
        </w:rPr>
        <w:t>Employer</w:t>
      </w:r>
      <w:r>
        <w:rPr>
          <w:rFonts w:ascii="Arial" w:cs="Arial" w:eastAsia="Arial" w:hAnsi="Arial"/>
          <w:sz w:val="18"/>
          <w:szCs w:val="18"/>
          <w:color w:val="auto"/>
        </w:rPr>
        <w:t xml:space="preserve">”) and </w:t>
      </w:r>
      <w:r>
        <w:rPr>
          <w:rFonts w:ascii="Arial" w:cs="Arial" w:eastAsia="Arial" w:hAnsi="Arial"/>
          <w:sz w:val="18"/>
          <w:szCs w:val="18"/>
          <w:b w:val="1"/>
          <w:bCs w:val="1"/>
          <w:color w:val="auto"/>
        </w:rPr>
        <w:t>LINDA C. CHEN</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77" w:lineRule="exact"/>
        <w:rPr>
          <w:sz w:val="20"/>
          <w:szCs w:val="20"/>
          <w:color w:val="auto"/>
        </w:rPr>
      </w:pPr>
    </w:p>
    <w:p>
      <w:pPr>
        <w:ind w:left="3240"/>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98" w:lineRule="exact"/>
        <w:rPr>
          <w:sz w:val="20"/>
          <w:szCs w:val="20"/>
          <w:color w:val="auto"/>
        </w:rPr>
      </w:pPr>
    </w:p>
    <w:p>
      <w:pPr>
        <w:jc w:val="both"/>
        <w:ind w:right="2119" w:firstLine="648"/>
        <w:spacing w:after="0" w:line="24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State of Nevada, and engaged in the business of furnishing management personnel to affiliated casino resort enterprises throughout the world; and,</w:t>
      </w:r>
    </w:p>
    <w:p>
      <w:pPr>
        <w:spacing w:after="0" w:line="167" w:lineRule="exact"/>
        <w:rPr>
          <w:sz w:val="20"/>
          <w:szCs w:val="20"/>
          <w:color w:val="auto"/>
        </w:rPr>
      </w:pPr>
    </w:p>
    <w:p>
      <w:pPr>
        <w:jc w:val="both"/>
        <w:ind w:right="2099" w:firstLine="648"/>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is a party to that certain Employment Agreement dated as of August 31,</w:t>
      </w:r>
      <w:r>
        <w:rPr>
          <w:rFonts w:ascii="Arial" w:cs="Arial" w:eastAsia="Arial" w:hAnsi="Arial"/>
          <w:sz w:val="18"/>
          <w:szCs w:val="18"/>
          <w:b w:val="1"/>
          <w:bCs w:val="1"/>
          <w:color w:val="auto"/>
        </w:rPr>
        <w:t xml:space="preserve"> </w:t>
      </w:r>
      <w:r>
        <w:rPr>
          <w:rFonts w:ascii="Arial" w:cs="Arial" w:eastAsia="Arial" w:hAnsi="Arial"/>
          <w:sz w:val="18"/>
          <w:szCs w:val="18"/>
          <w:color w:val="auto"/>
        </w:rPr>
        <w:t>2005 (the “</w:t>
      </w:r>
      <w:r>
        <w:rPr>
          <w:rFonts w:ascii="Arial" w:cs="Arial" w:eastAsia="Arial" w:hAnsi="Arial"/>
          <w:sz w:val="18"/>
          <w:szCs w:val="18"/>
          <w:b w:val="1"/>
          <w:bCs w:val="1"/>
          <w:color w:val="auto"/>
        </w:rPr>
        <w:t>2005 Employment Agreement</w:t>
      </w:r>
      <w:r>
        <w:rPr>
          <w:rFonts w:ascii="Arial" w:cs="Arial" w:eastAsia="Arial" w:hAnsi="Arial"/>
          <w:sz w:val="18"/>
          <w:szCs w:val="18"/>
          <w:color w:val="auto"/>
        </w:rPr>
        <w:t>”) with Worldwide Wynn, LLC (“</w:t>
      </w:r>
      <w:r>
        <w:rPr>
          <w:rFonts w:ascii="Arial" w:cs="Arial" w:eastAsia="Arial" w:hAnsi="Arial"/>
          <w:sz w:val="18"/>
          <w:szCs w:val="18"/>
          <w:b w:val="1"/>
          <w:bCs w:val="1"/>
          <w:color w:val="auto"/>
        </w:rPr>
        <w:t>WWW</w:t>
      </w:r>
      <w:r>
        <w:rPr>
          <w:rFonts w:ascii="Arial" w:cs="Arial" w:eastAsia="Arial" w:hAnsi="Arial"/>
          <w:sz w:val="18"/>
          <w:szCs w:val="18"/>
          <w:color w:val="auto"/>
        </w:rPr>
        <w:t>”);</w:t>
      </w:r>
    </w:p>
    <w:p>
      <w:pPr>
        <w:spacing w:after="0" w:line="152" w:lineRule="exact"/>
        <w:rPr>
          <w:sz w:val="20"/>
          <w:szCs w:val="20"/>
          <w:color w:val="auto"/>
        </w:rPr>
      </w:pPr>
    </w:p>
    <w:p>
      <w:pPr>
        <w:jc w:val="both"/>
        <w:ind w:right="2119" w:firstLine="648"/>
        <w:spacing w:after="0" w:line="264"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and WWW have agreed to terminate the 2005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permit Employer and Employee to enter into this Agreement;</w:t>
      </w:r>
    </w:p>
    <w:p>
      <w:pPr>
        <w:spacing w:after="0" w:line="154"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in furtherance of its business, Employer has need of qualified, experienced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personnel; and,</w:t>
      </w:r>
    </w:p>
    <w:p>
      <w:pPr>
        <w:spacing w:after="0" w:line="156"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is an adult individual residing at 2309 Whispering Hills Circle,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Nevada 89117; and,</w:t>
      </w:r>
    </w:p>
    <w:p>
      <w:pPr>
        <w:spacing w:after="0" w:line="156" w:lineRule="exact"/>
        <w:rPr>
          <w:sz w:val="20"/>
          <w:szCs w:val="20"/>
          <w:color w:val="auto"/>
        </w:rPr>
      </w:pPr>
    </w:p>
    <w:p>
      <w:pPr>
        <w:jc w:val="both"/>
        <w:ind w:right="2119" w:firstLine="648"/>
        <w:spacing w:after="0" w:line="24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Employee has represented and warranted to Employer that Employee possesses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sufficient qualifications and expertise in order to fulfill the terms of the employment stated in this Agreement; and,</w:t>
      </w:r>
    </w:p>
    <w:p>
      <w:pPr>
        <w:spacing w:after="0" w:line="169" w:lineRule="exact"/>
        <w:rPr>
          <w:sz w:val="20"/>
          <w:szCs w:val="20"/>
          <w:color w:val="auto"/>
        </w:rPr>
      </w:pPr>
    </w:p>
    <w:p>
      <w:pPr>
        <w:jc w:val="both"/>
        <w:ind w:right="2119" w:firstLine="648"/>
        <w:spacing w:after="0" w:line="262"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from Employer under the terms and pursuant to the conditions set forth herein;</w:t>
      </w:r>
    </w:p>
    <w:p>
      <w:pPr>
        <w:spacing w:after="0" w:line="156" w:lineRule="exact"/>
        <w:rPr>
          <w:sz w:val="20"/>
          <w:szCs w:val="20"/>
          <w:color w:val="auto"/>
        </w:rPr>
      </w:pPr>
    </w:p>
    <w:p>
      <w:pPr>
        <w:jc w:val="both"/>
        <w:ind w:right="2119" w:firstLine="648"/>
        <w:spacing w:after="0" w:line="244"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mutual covenants, agreements, understandings, undertakings, representations, warranties and promises hereinafter set forth, and intending to be legally bound thereby, Employer and Employee do hereby covenant and agree as follows:</w:t>
      </w:r>
    </w:p>
    <w:p>
      <w:pPr>
        <w:spacing w:after="0" w:line="171" w:lineRule="exact"/>
        <w:rPr>
          <w:sz w:val="20"/>
          <w:szCs w:val="20"/>
          <w:color w:val="auto"/>
        </w:rPr>
      </w:pPr>
    </w:p>
    <w:p>
      <w:pPr>
        <w:jc w:val="both"/>
        <w:ind w:right="2119" w:firstLine="656"/>
        <w:spacing w:after="0" w:line="248" w:lineRule="auto"/>
        <w:tabs>
          <w:tab w:leader="none" w:pos="1444"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respective meanings ascribed to them herein, unless a different meaning clearly appears from the context:</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301" w:lineRule="exact"/>
        <w:rPr>
          <w:rFonts w:ascii="Arial" w:cs="Arial" w:eastAsia="Arial" w:hAnsi="Arial"/>
          <w:sz w:val="18"/>
          <w:szCs w:val="18"/>
          <w:b w:val="1"/>
          <w:bCs w:val="1"/>
          <w:i w:val="1"/>
          <w:iCs w:val="1"/>
          <w:color w:val="auto"/>
        </w:rPr>
      </w:pPr>
    </w:p>
    <w:p>
      <w:pPr>
        <w:jc w:val="both"/>
        <w:ind w:left="640" w:right="2099" w:firstLine="566"/>
        <w:spacing w:after="0" w:line="239" w:lineRule="auto"/>
        <w:tabs>
          <w:tab w:leader="none" w:pos="1895"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xml:space="preserv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74" w:lineRule="exact"/>
        <w:rPr>
          <w:rFonts w:ascii="Arial" w:cs="Arial" w:eastAsia="Arial" w:hAnsi="Arial"/>
          <w:sz w:val="18"/>
          <w:szCs w:val="18"/>
          <w:color w:val="auto"/>
        </w:rPr>
      </w:pPr>
    </w:p>
    <w:p>
      <w:pPr>
        <w:ind w:left="640" w:right="2119" w:firstLine="566"/>
        <w:spacing w:after="0" w:line="264" w:lineRule="auto"/>
        <w:tabs>
          <w:tab w:leader="none" w:pos="1949"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of this Agreement (as defined in paragraph 5 hereof).</w:t>
      </w:r>
    </w:p>
    <w:p>
      <w:pPr>
        <w:spacing w:after="0" w:line="152" w:lineRule="exact"/>
        <w:rPr>
          <w:rFonts w:ascii="Arial" w:cs="Arial" w:eastAsia="Arial" w:hAnsi="Arial"/>
          <w:sz w:val="18"/>
          <w:szCs w:val="18"/>
          <w:color w:val="auto"/>
        </w:rPr>
      </w:pPr>
    </w:p>
    <w:p>
      <w:pPr>
        <w:ind w:left="1800" w:hanging="590"/>
        <w:spacing w:after="0"/>
        <w:tabs>
          <w:tab w:leader="none" w:pos="1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Benefits Date</w:t>
      </w:r>
      <w:r>
        <w:rPr>
          <w:rFonts w:ascii="Arial" w:cs="Arial" w:eastAsia="Arial" w:hAnsi="Arial"/>
          <w:sz w:val="18"/>
          <w:szCs w:val="18"/>
          <w:color w:val="auto"/>
        </w:rPr>
        <w:t>" – means June 3, 2002.</w:t>
      </w:r>
    </w:p>
    <w:p>
      <w:pPr>
        <w:spacing w:after="0" w:line="198" w:lineRule="exact"/>
        <w:rPr>
          <w:rFonts w:ascii="Arial" w:cs="Arial" w:eastAsia="Arial" w:hAnsi="Arial"/>
          <w:sz w:val="18"/>
          <w:szCs w:val="18"/>
          <w:color w:val="auto"/>
        </w:rPr>
      </w:pPr>
    </w:p>
    <w:p>
      <w:pPr>
        <w:ind w:left="1820" w:hanging="583"/>
        <w:spacing w:after="0"/>
        <w:tabs>
          <w:tab w:leader="none" w:pos="1820" w:val="left"/>
        </w:tabs>
        <w:numPr>
          <w:ilvl w:val="2"/>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220" w:lineRule="exact"/>
        <w:rPr>
          <w:rFonts w:ascii="Arial" w:cs="Arial" w:eastAsia="Arial" w:hAnsi="Arial"/>
          <w:sz w:val="18"/>
          <w:szCs w:val="18"/>
          <w:color w:val="auto"/>
        </w:rPr>
      </w:pPr>
    </w:p>
    <w:p>
      <w:pPr>
        <w:ind w:left="1260" w:right="2119" w:firstLine="521"/>
        <w:spacing w:after="0" w:line="239" w:lineRule="auto"/>
        <w:tabs>
          <w:tab w:leader="none" w:pos="2606" w:val="left"/>
        </w:tabs>
        <w:numPr>
          <w:ilvl w:val="3"/>
          <w:numId w:val="3"/>
        </w:numPr>
        <w:rPr>
          <w:rFonts w:ascii="Arial" w:cs="Arial" w:eastAsia="Arial" w:hAnsi="Arial"/>
          <w:sz w:val="18"/>
          <w:szCs w:val="18"/>
          <w:color w:val="auto"/>
        </w:rPr>
      </w:pPr>
      <w:r>
        <w:rPr>
          <w:rFonts w:ascii="Arial" w:cs="Arial" w:eastAsia="Arial" w:hAnsi="Arial"/>
          <w:sz w:val="18"/>
          <w:szCs w:val="18"/>
          <w:color w:val="auto"/>
        </w:rPr>
        <w:t>the willful destruction by Employee of the property of Employer or an Affiliate of Employer having a material value to Employer or such Affiliate;</w:t>
      </w:r>
    </w:p>
    <w:p>
      <w:pPr>
        <w:spacing w:after="0" w:line="208" w:lineRule="exact"/>
        <w:rPr>
          <w:rFonts w:ascii="Arial" w:cs="Arial" w:eastAsia="Arial" w:hAnsi="Arial"/>
          <w:sz w:val="18"/>
          <w:szCs w:val="18"/>
          <w:color w:val="auto"/>
        </w:rPr>
      </w:pPr>
    </w:p>
    <w:p>
      <w:pPr>
        <w:jc w:val="both"/>
        <w:ind w:left="1260" w:right="2119" w:firstLine="521"/>
        <w:spacing w:after="0" w:line="238" w:lineRule="auto"/>
        <w:tabs>
          <w:tab w:leader="none" w:pos="2502" w:val="left"/>
        </w:tabs>
        <w:numPr>
          <w:ilvl w:val="3"/>
          <w:numId w:val="3"/>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 of Employer);</w:t>
      </w:r>
    </w:p>
    <w:p>
      <w:pPr>
        <w:spacing w:after="0" w:line="190" w:lineRule="exact"/>
        <w:rPr>
          <w:rFonts w:ascii="Arial" w:cs="Arial" w:eastAsia="Arial" w:hAnsi="Arial"/>
          <w:sz w:val="18"/>
          <w:szCs w:val="18"/>
          <w:color w:val="auto"/>
        </w:rPr>
      </w:pPr>
    </w:p>
    <w:p>
      <w:pPr>
        <w:jc w:val="both"/>
        <w:ind w:left="1260" w:right="2099" w:firstLine="521"/>
        <w:spacing w:after="0" w:line="243" w:lineRule="auto"/>
        <w:tabs>
          <w:tab w:leader="none" w:pos="2492" w:val="left"/>
        </w:tabs>
        <w:numPr>
          <w:ilvl w:val="3"/>
          <w:numId w:val="3"/>
        </w:numPr>
        <w:rPr>
          <w:rFonts w:ascii="Arial" w:cs="Arial" w:eastAsia="Arial" w:hAnsi="Arial"/>
          <w:sz w:val="18"/>
          <w:szCs w:val="18"/>
          <w:color w:val="auto"/>
        </w:rPr>
      </w:pPr>
      <w:r>
        <w:rPr>
          <w:rFonts w:ascii="Arial" w:cs="Arial" w:eastAsia="Arial" w:hAnsi="Arial"/>
          <w:sz w:val="18"/>
          <w:szCs w:val="18"/>
          <w:color w:val="auto"/>
        </w:rPr>
        <w:t xml:space="preserve">Employee’s conviction of or entering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crime constituting a felony or any misdemeanor involving fraud, dishonesty or moral turpitude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 of Employer);</w:t>
      </w:r>
    </w:p>
    <w:p>
      <w:pPr>
        <w:spacing w:after="0" w:line="206" w:lineRule="exact"/>
        <w:rPr>
          <w:rFonts w:ascii="Arial" w:cs="Arial" w:eastAsia="Arial" w:hAnsi="Arial"/>
          <w:sz w:val="18"/>
          <w:szCs w:val="18"/>
          <w:color w:val="auto"/>
        </w:rPr>
      </w:pPr>
    </w:p>
    <w:p>
      <w:pPr>
        <w:jc w:val="both"/>
        <w:ind w:left="1260" w:right="2119" w:firstLine="521"/>
        <w:spacing w:after="0" w:line="299" w:lineRule="auto"/>
        <w:tabs>
          <w:tab w:leader="none" w:pos="2448" w:val="left"/>
        </w:tabs>
        <w:numPr>
          <w:ilvl w:val="3"/>
          <w:numId w:val="3"/>
        </w:numPr>
        <w:rPr>
          <w:rFonts w:ascii="Arial" w:cs="Arial" w:eastAsia="Arial" w:hAnsi="Arial"/>
          <w:sz w:val="16"/>
          <w:szCs w:val="16"/>
          <w:color w:val="auto"/>
        </w:rPr>
      </w:pPr>
      <w:r>
        <w:rPr>
          <w:rFonts w:ascii="Arial" w:cs="Arial" w:eastAsia="Arial" w:hAnsi="Arial"/>
          <w:sz w:val="16"/>
          <w:szCs w:val="16"/>
          <w:color w:val="auto"/>
        </w:rPr>
        <w:t>Employee’s breach, neglect, refusal, or failure to materially discharge his duties (other than due to physical or mental illness) commensurate with his title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-4282440</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46" w:orient="portrait"/>
          <w:cols w:equalWidth="0" w:num="1">
            <w:col w:w="10219"/>
          </w:cols>
          <w:pgMar w:left="240" w:top="121" w:right="1440" w:bottom="0" w:gutter="0" w:footer="0" w:header="0"/>
        </w:sectPr>
      </w:pPr>
    </w:p>
    <w:bookmarkStart w:id="3" w:name="page4"/>
    <w:bookmarkEnd w:id="3"/>
    <w:p>
      <w:pPr>
        <w:jc w:val="both"/>
        <w:ind w:left="620" w:right="2119"/>
        <w:spacing w:after="0" w:line="237" w:lineRule="auto"/>
        <w:rPr>
          <w:sz w:val="20"/>
          <w:szCs w:val="20"/>
          <w:color w:val="auto"/>
        </w:rPr>
      </w:pPr>
      <w:r>
        <w:rPr>
          <w:rFonts w:ascii="Arial" w:cs="Arial" w:eastAsia="Arial" w:hAnsi="Arial"/>
          <w:sz w:val="18"/>
          <w:szCs w:val="18"/>
          <w:color w:val="auto"/>
        </w:rPr>
        <w:t>function, or Employee’s failure to comply with the lawful directions of Employer’s Board of Directors or the board of directors of Wynn Resorts, Limited (“WRL”), that is not cured within fifteen (15) days after Employee has received written notice thereof from either board;</w:t>
      </w:r>
    </w:p>
    <w:p>
      <w:pPr>
        <w:spacing w:after="0" w:line="209" w:lineRule="exact"/>
        <w:rPr>
          <w:sz w:val="20"/>
          <w:szCs w:val="20"/>
          <w:color w:val="auto"/>
        </w:rPr>
      </w:pPr>
    </w:p>
    <w:p>
      <w:pPr>
        <w:ind w:left="620" w:right="2119" w:firstLine="521"/>
        <w:spacing w:after="0" w:line="239" w:lineRule="auto"/>
        <w:tabs>
          <w:tab w:leader="none" w:pos="184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 or and WRL’s board of directors;</w:t>
      </w:r>
    </w:p>
    <w:p>
      <w:pPr>
        <w:spacing w:after="0" w:line="200" w:lineRule="exact"/>
        <w:rPr>
          <w:sz w:val="20"/>
          <w:szCs w:val="20"/>
          <w:color w:val="auto"/>
        </w:rPr>
      </w:pP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353060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620" w:right="2119" w:firstLine="521"/>
        <w:spacing w:after="0" w:line="238" w:lineRule="auto"/>
        <w:tabs>
          <w:tab w:leader="none" w:pos="188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willful violation of a material policy of Employer, which does or could result in material harm to i) Employer or its Affiliates, or ii) Employer’s or its Affiliates’ reputation; or</w:t>
      </w:r>
    </w:p>
    <w:p>
      <w:pPr>
        <w:spacing w:after="0" w:line="194" w:lineRule="exact"/>
        <w:rPr>
          <w:rFonts w:ascii="Arial" w:cs="Arial" w:eastAsia="Arial" w:hAnsi="Arial"/>
          <w:sz w:val="18"/>
          <w:szCs w:val="18"/>
          <w:color w:val="auto"/>
        </w:rPr>
      </w:pPr>
    </w:p>
    <w:p>
      <w:pPr>
        <w:ind w:left="620" w:right="2119" w:firstLine="521"/>
        <w:spacing w:after="0" w:line="239" w:lineRule="auto"/>
        <w:tabs>
          <w:tab w:leader="none" w:pos="177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 or an Affiliate of Employer,</w:t>
      </w:r>
    </w:p>
    <w:p>
      <w:pPr>
        <w:spacing w:after="0" w:line="177" w:lineRule="exact"/>
        <w:rPr>
          <w:sz w:val="20"/>
          <w:szCs w:val="20"/>
          <w:color w:val="auto"/>
        </w:rPr>
      </w:pPr>
    </w:p>
    <w:p>
      <w:pPr>
        <w:ind w:right="2119"/>
        <w:spacing w:after="0" w:line="260"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physical incapacity shall not constitute “Cause” as defined herein.</w:t>
      </w:r>
    </w:p>
    <w:p>
      <w:pPr>
        <w:spacing w:after="0" w:line="155" w:lineRule="exact"/>
        <w:rPr>
          <w:sz w:val="20"/>
          <w:szCs w:val="20"/>
          <w:color w:val="auto"/>
        </w:rPr>
      </w:pPr>
    </w:p>
    <w:p>
      <w:pPr>
        <w:ind w:right="2119" w:firstLine="566"/>
        <w:spacing w:after="0" w:line="264" w:lineRule="auto"/>
        <w:tabs>
          <w:tab w:leader="none" w:pos="1242"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 means the occurrence, after the Effective Date, of any of the following events:</w:t>
      </w:r>
    </w:p>
    <w:p>
      <w:pPr>
        <w:spacing w:after="0" w:line="174" w:lineRule="exact"/>
        <w:rPr>
          <w:rFonts w:ascii="Arial" w:cs="Arial" w:eastAsia="Arial" w:hAnsi="Arial"/>
          <w:sz w:val="18"/>
          <w:szCs w:val="18"/>
          <w:color w:val="auto"/>
        </w:rPr>
      </w:pPr>
    </w:p>
    <w:p>
      <w:pPr>
        <w:jc w:val="both"/>
        <w:ind w:left="620" w:right="2099" w:firstLine="521"/>
        <w:spacing w:after="0" w:line="236" w:lineRule="auto"/>
        <w:tabs>
          <w:tab w:leader="none" w:pos="1871"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w:t>
      </w:r>
      <w:r>
        <w:rPr>
          <w:rFonts w:ascii="Arial" w:cs="Arial" w:eastAsia="Arial" w:hAnsi="Arial"/>
          <w:sz w:val="18"/>
          <w:szCs w:val="18"/>
          <w:b w:val="1"/>
          <w:bCs w:val="1"/>
          <w:color w:val="auto"/>
        </w:rPr>
        <w:t>Exchange Act</w:t>
      </w:r>
      <w:r>
        <w:rPr>
          <w:rFonts w:ascii="Arial" w:cs="Arial" w:eastAsia="Arial" w:hAnsi="Arial"/>
          <w:sz w:val="18"/>
          <w:szCs w:val="18"/>
          <w:color w:val="auto"/>
        </w:rPr>
        <w: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208" w:lineRule="exact"/>
        <w:rPr>
          <w:rFonts w:ascii="Arial" w:cs="Arial" w:eastAsia="Arial" w:hAnsi="Arial"/>
          <w:sz w:val="18"/>
          <w:szCs w:val="18"/>
          <w:color w:val="auto"/>
        </w:rPr>
      </w:pPr>
    </w:p>
    <w:p>
      <w:pPr>
        <w:jc w:val="both"/>
        <w:ind w:left="620" w:right="2099" w:firstLine="521"/>
        <w:spacing w:after="0" w:line="235" w:lineRule="auto"/>
        <w:tabs>
          <w:tab w:leader="none" w:pos="1875"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individuals who, as of the Effective Date, are members of the WRL board of directors (the "</w:t>
      </w:r>
      <w:r>
        <w:rPr>
          <w:rFonts w:ascii="Arial" w:cs="Arial" w:eastAsia="Arial" w:hAnsi="Arial"/>
          <w:sz w:val="18"/>
          <w:szCs w:val="18"/>
          <w:b w:val="1"/>
          <w:bCs w:val="1"/>
          <w:color w:val="auto"/>
        </w:rPr>
        <w:t>Existing Directors</w:t>
      </w:r>
      <w:r>
        <w:rPr>
          <w:rFonts w:ascii="Arial" w:cs="Arial" w:eastAsia="Arial" w:hAnsi="Arial"/>
          <w:sz w:val="18"/>
          <w:szCs w:val="18"/>
          <w:color w:val="auto"/>
        </w:rPr>
        <w:t xml:space="preserve">") cease, for any reason, to constitute more than fifty percent (50%) of the number of authorized directors of WRL as determined in the manner prescribed in WRL’s Articles of Incorporation and Bylaws;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the election, or nomination for election, by WRL’s stockholders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new director was approved by a vote of at least fifty percent (50%) of the Existing Directors, such new director shall be considered an Existing Director; </w:t>
      </w:r>
      <w:r>
        <w:rPr>
          <w:rFonts w:ascii="Arial" w:cs="Arial" w:eastAsia="Arial" w:hAnsi="Arial"/>
          <w:sz w:val="18"/>
          <w:szCs w:val="18"/>
          <w:i w:val="1"/>
          <w:iCs w:val="1"/>
          <w:u w:val="single" w:color="auto"/>
          <w:color w:val="auto"/>
        </w:rPr>
        <w:t>provided further</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 individual shall be considered an Existing Director if such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initially assumed office as a result of either an actual or threatened "Election Contest" (as described in Rule 14a-11 promulgated under the Exchange Act) or other actual or threatened solicitation of proxies by or on behalf of anyone other than the WRL board of directors (a "</w:t>
      </w:r>
      <w:r>
        <w:rPr>
          <w:rFonts w:ascii="Arial" w:cs="Arial" w:eastAsia="Arial" w:hAnsi="Arial"/>
          <w:sz w:val="18"/>
          <w:szCs w:val="18"/>
          <w:b w:val="1"/>
          <w:bCs w:val="1"/>
          <w:color w:val="auto"/>
        </w:rPr>
        <w:t>Proxy Contest</w:t>
      </w:r>
      <w:r>
        <w:rPr>
          <w:rFonts w:ascii="Arial" w:cs="Arial" w:eastAsia="Arial" w:hAnsi="Arial"/>
          <w:sz w:val="18"/>
          <w:szCs w:val="18"/>
          <w:color w:val="auto"/>
        </w:rPr>
        <w: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-1305560</wp:posOffset>
            </wp:positionV>
            <wp:extent cx="39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481965</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right="2119"/>
        <w:spacing w:after="0" w:line="239" w:lineRule="auto"/>
        <w:rPr>
          <w:sz w:val="20"/>
          <w:szCs w:val="20"/>
          <w:color w:val="auto"/>
        </w:rPr>
      </w:pPr>
      <w:r>
        <w:rPr>
          <w:rFonts w:ascii="Arial" w:cs="Arial" w:eastAsia="Arial" w:hAnsi="Arial"/>
          <w:sz w:val="18"/>
          <w:szCs w:val="18"/>
          <w:color w:val="auto"/>
        </w:rPr>
        <w:t>by reason of any agreement intended to avoid or settle any Election Contest or Proxy Contest; or</w:t>
      </w:r>
    </w:p>
    <w:p>
      <w:pPr>
        <w:spacing w:after="0" w:line="209" w:lineRule="exact"/>
        <w:rPr>
          <w:sz w:val="20"/>
          <w:szCs w:val="20"/>
          <w:color w:val="auto"/>
        </w:rPr>
      </w:pPr>
    </w:p>
    <w:p>
      <w:pPr>
        <w:jc w:val="both"/>
        <w:ind w:left="620" w:right="2099" w:firstLine="521"/>
        <w:spacing w:after="0" w:line="266" w:lineRule="auto"/>
        <w:tabs>
          <w:tab w:leader="none" w:pos="19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does not otherwise result in a "Change of Control" pursuant to subparagraph (i) of this definition of "Change of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of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ectPr>
          <w:pgSz w:w="11900" w:h="16838" w:orient="portrait"/>
          <w:cols w:equalWidth="0" w:num="1">
            <w:col w:w="9579"/>
          </w:cols>
          <w:pgMar w:left="880" w:top="143" w:right="1440" w:bottom="0" w:gutter="0" w:footer="0" w:header="0"/>
        </w:sectPr>
      </w:pPr>
    </w:p>
    <w:bookmarkStart w:id="4" w:name="page5"/>
    <w:bookmarkEnd w:id="4"/>
    <w:p>
      <w:pPr>
        <w:jc w:val="both"/>
        <w:ind w:right="2119"/>
        <w:spacing w:after="0" w:line="237" w:lineRule="auto"/>
        <w:rPr>
          <w:sz w:val="20"/>
          <w:szCs w:val="20"/>
          <w:color w:val="auto"/>
        </w:rPr>
      </w:pPr>
      <w:r>
        <w:rPr>
          <w:rFonts w:ascii="Arial" w:cs="Arial" w:eastAsia="Arial" w:hAnsi="Arial"/>
          <w:sz w:val="18"/>
          <w:szCs w:val="18"/>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73" w:lineRule="exact"/>
        <w:rPr>
          <w:sz w:val="20"/>
          <w:szCs w:val="20"/>
          <w:color w:val="auto"/>
        </w:rPr>
      </w:pPr>
    </w:p>
    <w:p>
      <w:pPr>
        <w:jc w:val="both"/>
        <w:ind w:right="2119" w:firstLine="566"/>
        <w:spacing w:after="0" w:line="249" w:lineRule="auto"/>
        <w:tabs>
          <w:tab w:leader="none" w:pos="148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Complete Disability</w:t>
      </w:r>
      <w:r>
        <w:rPr>
          <w:rFonts w:ascii="Arial" w:cs="Arial" w:eastAsia="Arial" w:hAnsi="Arial"/>
          <w:sz w:val="18"/>
          <w:szCs w:val="18"/>
          <w:color w:val="auto"/>
        </w:rPr>
        <w:t>” - means the inability of Employee, due to illness or accident or other mental or physical incapacity, to perform his obligations under this Agreement for a period as defined by Employer’s disability plan or plans.</w:t>
      </w:r>
    </w:p>
    <w:p>
      <w:pPr>
        <w:spacing w:after="0" w:line="166" w:lineRule="exact"/>
        <w:rPr>
          <w:rFonts w:ascii="Arial" w:cs="Arial" w:eastAsia="Arial" w:hAnsi="Arial"/>
          <w:sz w:val="18"/>
          <w:szCs w:val="18"/>
          <w:color w:val="auto"/>
        </w:rPr>
      </w:pPr>
    </w:p>
    <w:p>
      <w:pPr>
        <w:jc w:val="both"/>
        <w:ind w:right="2119" w:firstLine="566"/>
        <w:spacing w:after="0" w:line="249" w:lineRule="auto"/>
        <w:tabs>
          <w:tab w:leader="none" w:pos="1498"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 means any information that is possessed or developed by or for Employer or its Affiliates and which relates to the Employer’s or its Affiliates’ existing or potential business or</w:t>
      </w:r>
    </w:p>
    <w:p>
      <w:pPr>
        <w:spacing w:after="0" w:line="18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344805</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99"/>
        <w:spacing w:after="0" w:line="235" w:lineRule="auto"/>
        <w:rPr>
          <w:sz w:val="20"/>
          <w:szCs w:val="20"/>
          <w:color w:val="auto"/>
        </w:rPr>
      </w:pPr>
      <w:r>
        <w:rPr>
          <w:rFonts w:ascii="Arial" w:cs="Arial" w:eastAsia="Arial" w:hAnsi="Arial"/>
          <w:sz w:val="18"/>
          <w:szCs w:val="18"/>
          <w:color w:val="auto"/>
        </w:rPr>
        <w:t>technology, which is not generally known to the public or to persons engaged in business similar to that conducted or contemplated by Employer or its Affiliates, or which Employer or its Affiliates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its Affiliates, and any other proprietary material of Employer or its Affiliates, which have not been released to the general public. Confidential Information also includes information received by Employer or any of its Affiliates from others that the Employer or its Affiliates has an obligation to treat as confidential.</w:t>
      </w:r>
    </w:p>
    <w:p>
      <w:pPr>
        <w:spacing w:after="0" w:line="179" w:lineRule="exact"/>
        <w:rPr>
          <w:sz w:val="20"/>
          <w:szCs w:val="20"/>
          <w:color w:val="auto"/>
        </w:rPr>
      </w:pPr>
    </w:p>
    <w:p>
      <w:pPr>
        <w:ind w:left="1180" w:hanging="583"/>
        <w:spacing w:after="0"/>
        <w:tabs>
          <w:tab w:leader="none" w:pos="1180"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August 1, 2006.</w:t>
      </w:r>
    </w:p>
    <w:p>
      <w:pPr>
        <w:spacing w:after="0" w:line="198" w:lineRule="exact"/>
        <w:rPr>
          <w:rFonts w:ascii="Arial" w:cs="Arial" w:eastAsia="Arial" w:hAnsi="Arial"/>
          <w:sz w:val="18"/>
          <w:szCs w:val="18"/>
          <w:color w:val="auto"/>
        </w:rPr>
      </w:pPr>
    </w:p>
    <w:p>
      <w:pPr>
        <w:jc w:val="both"/>
        <w:ind w:right="2119" w:firstLine="566"/>
        <w:spacing w:after="0" w:line="244" w:lineRule="auto"/>
        <w:tabs>
          <w:tab w:leader="none" w:pos="1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3" w:lineRule="exact"/>
        <w:rPr>
          <w:rFonts w:ascii="Arial" w:cs="Arial" w:eastAsia="Arial" w:hAnsi="Arial"/>
          <w:sz w:val="18"/>
          <w:szCs w:val="18"/>
          <w:color w:val="auto"/>
        </w:rPr>
      </w:pPr>
    </w:p>
    <w:p>
      <w:pPr>
        <w:ind w:left="620" w:right="2119" w:firstLine="521"/>
        <w:spacing w:after="0" w:line="239" w:lineRule="auto"/>
        <w:tabs>
          <w:tab w:leader="none" w:pos="1925" w:val="left"/>
        </w:tabs>
        <w:numPr>
          <w:ilvl w:val="2"/>
          <w:numId w:val="10"/>
        </w:numPr>
        <w:rPr>
          <w:rFonts w:ascii="Arial" w:cs="Arial" w:eastAsia="Arial" w:hAnsi="Arial"/>
          <w:sz w:val="18"/>
          <w:szCs w:val="18"/>
          <w:color w:val="auto"/>
        </w:rPr>
      </w:pPr>
      <w:r>
        <w:rPr>
          <w:rFonts w:ascii="Arial" w:cs="Arial" w:eastAsia="Arial" w:hAnsi="Arial"/>
          <w:sz w:val="18"/>
          <w:szCs w:val="18"/>
          <w:color w:val="auto"/>
        </w:rPr>
        <w:t>Employer or an Affiliate of Employer reduces Employee’s Base Salary (as defined in Subparagraph 7(a) below);</w:t>
      </w:r>
    </w:p>
    <w:p>
      <w:pPr>
        <w:spacing w:after="0" w:line="208" w:lineRule="exact"/>
        <w:rPr>
          <w:rFonts w:ascii="Arial" w:cs="Arial" w:eastAsia="Arial" w:hAnsi="Arial"/>
          <w:sz w:val="18"/>
          <w:szCs w:val="18"/>
          <w:color w:val="auto"/>
        </w:rPr>
      </w:pPr>
    </w:p>
    <w:p>
      <w:pPr>
        <w:jc w:val="both"/>
        <w:ind w:left="620" w:right="2099" w:firstLine="521"/>
        <w:spacing w:after="0" w:line="236" w:lineRule="auto"/>
        <w:tabs>
          <w:tab w:leader="none" w:pos="1821" w:val="left"/>
        </w:tabs>
        <w:numPr>
          <w:ilvl w:val="2"/>
          <w:numId w:val="10"/>
        </w:numPr>
        <w:rPr>
          <w:rFonts w:ascii="Arial" w:cs="Arial" w:eastAsia="Arial" w:hAnsi="Arial"/>
          <w:sz w:val="18"/>
          <w:szCs w:val="18"/>
          <w:color w:val="auto"/>
        </w:rPr>
      </w:pPr>
      <w:r>
        <w:rPr>
          <w:rFonts w:ascii="Arial" w:cs="Arial" w:eastAsia="Arial" w:hAnsi="Arial"/>
          <w:sz w:val="18"/>
          <w:szCs w:val="18"/>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11" w:lineRule="exact"/>
        <w:rPr>
          <w:rFonts w:ascii="Arial" w:cs="Arial" w:eastAsia="Arial" w:hAnsi="Arial"/>
          <w:sz w:val="18"/>
          <w:szCs w:val="18"/>
          <w:color w:val="auto"/>
        </w:rPr>
      </w:pPr>
    </w:p>
    <w:p>
      <w:pPr>
        <w:ind w:left="620" w:right="2119" w:firstLine="521"/>
        <w:spacing w:after="0" w:line="239" w:lineRule="auto"/>
        <w:tabs>
          <w:tab w:leader="none" w:pos="1893" w:val="left"/>
        </w:tabs>
        <w:numPr>
          <w:ilvl w:val="2"/>
          <w:numId w:val="10"/>
        </w:numPr>
        <w:rPr>
          <w:rFonts w:ascii="Arial" w:cs="Arial" w:eastAsia="Arial" w:hAnsi="Arial"/>
          <w:sz w:val="18"/>
          <w:szCs w:val="18"/>
          <w:color w:val="auto"/>
        </w:rPr>
      </w:pPr>
      <w:r>
        <w:rPr>
          <w:rFonts w:ascii="Arial" w:cs="Arial" w:eastAsia="Arial" w:hAnsi="Arial"/>
          <w:sz w:val="18"/>
          <w:szCs w:val="18"/>
          <w:color w:val="auto"/>
        </w:rPr>
        <w:t>Employer materially reduces the aggregate benefits and perquisites to Employee from those being provided;</w:t>
      </w:r>
    </w:p>
    <w:p>
      <w:pPr>
        <w:spacing w:after="0" w:line="208" w:lineRule="exact"/>
        <w:rPr>
          <w:rFonts w:ascii="Arial" w:cs="Arial" w:eastAsia="Arial" w:hAnsi="Arial"/>
          <w:sz w:val="18"/>
          <w:szCs w:val="18"/>
          <w:color w:val="auto"/>
        </w:rPr>
      </w:pPr>
    </w:p>
    <w:p>
      <w:pPr>
        <w:ind w:left="620" w:right="2119" w:firstLine="606"/>
        <w:spacing w:after="0" w:line="239" w:lineRule="auto"/>
        <w:tabs>
          <w:tab w:leader="none" w:pos="1911" w:val="left"/>
        </w:tabs>
        <w:numPr>
          <w:ilvl w:val="3"/>
          <w:numId w:val="10"/>
        </w:numPr>
        <w:rPr>
          <w:rFonts w:ascii="Arial" w:cs="Arial" w:eastAsia="Arial" w:hAnsi="Arial"/>
          <w:sz w:val="18"/>
          <w:szCs w:val="18"/>
          <w:color w:val="auto"/>
        </w:rPr>
      </w:pPr>
      <w:r>
        <w:rPr>
          <w:rFonts w:ascii="Arial" w:cs="Arial" w:eastAsia="Arial" w:hAnsi="Arial"/>
          <w:sz w:val="18"/>
          <w:szCs w:val="18"/>
          <w:color w:val="auto"/>
        </w:rPr>
        <w:t>Employer or any of its Affiliates reduces Employee’s responsibilities or directs Employee to report to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481965</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20" w:right="2119"/>
        <w:spacing w:after="0" w:line="239" w:lineRule="auto"/>
        <w:rPr>
          <w:sz w:val="20"/>
          <w:szCs w:val="20"/>
          <w:color w:val="auto"/>
        </w:rPr>
      </w:pPr>
      <w:r>
        <w:rPr>
          <w:rFonts w:ascii="Arial" w:cs="Arial" w:eastAsia="Arial" w:hAnsi="Arial"/>
          <w:sz w:val="18"/>
          <w:szCs w:val="18"/>
          <w:color w:val="auto"/>
        </w:rPr>
        <w:t>a person of lower rank or responsibilities than the person to whom Employee reported; or</w:t>
      </w:r>
    </w:p>
    <w:p>
      <w:pPr>
        <w:spacing w:after="0" w:line="209" w:lineRule="exact"/>
        <w:rPr>
          <w:sz w:val="20"/>
          <w:szCs w:val="20"/>
          <w:color w:val="auto"/>
        </w:rPr>
      </w:pPr>
    </w:p>
    <w:p>
      <w:pPr>
        <w:ind w:left="620" w:right="2119" w:firstLine="521"/>
        <w:spacing w:after="0" w:line="239" w:lineRule="auto"/>
        <w:tabs>
          <w:tab w:leader="none" w:pos="18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successor to Employer fails or refuses expressly to assume in writing the obligations of Employer under this Agreement.</w:t>
      </w:r>
    </w:p>
    <w:p>
      <w:pPr>
        <w:spacing w:after="0" w:line="195" w:lineRule="exact"/>
        <w:rPr>
          <w:sz w:val="20"/>
          <w:szCs w:val="20"/>
          <w:color w:val="auto"/>
        </w:rPr>
      </w:pPr>
    </w:p>
    <w:p>
      <w:pPr>
        <w:jc w:val="both"/>
        <w:ind w:right="2119"/>
        <w:spacing w:after="0" w:line="23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173" w:lineRule="exact"/>
        <w:rPr>
          <w:sz w:val="20"/>
          <w:szCs w:val="20"/>
          <w:color w:val="auto"/>
        </w:rPr>
      </w:pPr>
    </w:p>
    <w:p>
      <w:pPr>
        <w:jc w:val="both"/>
        <w:ind w:right="2119" w:firstLine="636"/>
        <w:spacing w:after="0"/>
        <w:tabs>
          <w:tab w:leader="none" w:pos="1815"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Separation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 means a lump sum equal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set forth in Subparagraphs 7(a) of this Agreement for the remainder of the Term, but not less than one (1) year of Base Salary, and a pro-rated amount of any bonuses that might otherwise have been paid to Employee under Subparagraph 7(b) for any bonus periods that would have concluded during the remainder of the Term plus any Gross-Up Payment required by Exhibit 1 to this Agreement, which is incorporated herein by reference..</w:t>
      </w:r>
    </w:p>
    <w:p>
      <w:pPr>
        <w:sectPr>
          <w:pgSz w:w="11900" w:h="16838" w:orient="portrait"/>
          <w:cols w:equalWidth="0" w:num="1">
            <w:col w:w="9579"/>
          </w:cols>
          <w:pgMar w:left="880" w:top="143" w:right="1440" w:bottom="0" w:gutter="0" w:footer="0" w:header="0"/>
        </w:sectPr>
      </w:pPr>
    </w:p>
    <w:bookmarkStart w:id="5" w:name="page6"/>
    <w:bookmarkEnd w:id="5"/>
    <w:p>
      <w:pPr>
        <w:jc w:val="both"/>
        <w:ind w:left="640" w:right="2119" w:firstLine="566"/>
        <w:spacing w:after="0" w:line="239" w:lineRule="auto"/>
        <w:tabs>
          <w:tab w:leader="none" w:pos="1886"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174" w:lineRule="exact"/>
        <w:rPr>
          <w:rFonts w:ascii="Arial" w:cs="Arial" w:eastAsia="Arial" w:hAnsi="Arial"/>
          <w:sz w:val="18"/>
          <w:szCs w:val="18"/>
          <w:color w:val="auto"/>
        </w:rPr>
      </w:pPr>
    </w:p>
    <w:p>
      <w:pPr>
        <w:jc w:val="both"/>
        <w:ind w:left="640" w:right="2119" w:firstLine="566"/>
        <w:spacing w:after="0" w:line="239" w:lineRule="auto"/>
        <w:tabs>
          <w:tab w:leader="none" w:pos="19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Work of Authorship</w:t>
      </w:r>
      <w:r>
        <w:rPr>
          <w:rFonts w:ascii="Arial" w:cs="Arial" w:eastAsia="Arial" w:hAnsi="Arial"/>
          <w:sz w:val="18"/>
          <w:szCs w:val="18"/>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76" w:lineRule="exact"/>
        <w:rPr>
          <w:rFonts w:ascii="Arial" w:cs="Arial" w:eastAsia="Arial" w:hAnsi="Arial"/>
          <w:sz w:val="18"/>
          <w:szCs w:val="18"/>
          <w:color w:val="auto"/>
        </w:rPr>
      </w:pPr>
    </w:p>
    <w:p>
      <w:pPr>
        <w:jc w:val="both"/>
        <w:ind w:right="2099" w:firstLine="656"/>
        <w:spacing w:after="0" w:line="244" w:lineRule="auto"/>
        <w:tabs>
          <w:tab w:leader="none" w:pos="1579"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BASIC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hereinafter set forth, Employer hereby employs Employee during the Term hereinafter specified to serve in a managerial or executive capacity, under a title and with such duties not inconsistent with those set forth in paragraph 3 of this Agreement, as</w:t>
      </w:r>
    </w:p>
    <w:p>
      <w:pPr>
        <w:spacing w:after="0" w:line="19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516699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119"/>
        <w:spacing w:after="0" w:line="236" w:lineRule="auto"/>
        <w:rPr>
          <w:sz w:val="20"/>
          <w:szCs w:val="20"/>
          <w:color w:val="auto"/>
        </w:rPr>
      </w:pPr>
      <w:r>
        <w:rPr>
          <w:rFonts w:ascii="Arial" w:cs="Arial" w:eastAsia="Arial" w:hAnsi="Arial"/>
          <w:sz w:val="18"/>
          <w:szCs w:val="18"/>
          <w:color w:val="auto"/>
        </w:rPr>
        <w:t>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in itself be a basis for finding a material reduction in the level of duties.</w:t>
      </w:r>
    </w:p>
    <w:p>
      <w:pPr>
        <w:spacing w:after="0" w:line="178" w:lineRule="exact"/>
        <w:rPr>
          <w:sz w:val="20"/>
          <w:szCs w:val="20"/>
          <w:color w:val="auto"/>
        </w:rPr>
      </w:pPr>
    </w:p>
    <w:p>
      <w:pPr>
        <w:jc w:val="both"/>
        <w:ind w:right="2099" w:firstLine="656"/>
        <w:spacing w:after="0" w:line="267" w:lineRule="auto"/>
        <w:tabs>
          <w:tab w:leader="none" w:pos="1377" w:val="left"/>
        </w:tabs>
        <w:numPr>
          <w:ilvl w:val="1"/>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perform such duties assigned to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by Employer as are generally associated with the duties of </w:t>
      </w:r>
      <w:r>
        <w:rPr>
          <w:rFonts w:ascii="Arial" w:cs="Arial" w:eastAsia="Arial" w:hAnsi="Arial"/>
          <w:sz w:val="16"/>
          <w:szCs w:val="16"/>
          <w:b w:val="1"/>
          <w:bCs w:val="1"/>
          <w:color w:val="auto"/>
        </w:rPr>
        <w:t>Chief Operating Officer</w:t>
      </w:r>
      <w:r>
        <w:rPr>
          <w:rFonts w:ascii="Arial" w:cs="Arial" w:eastAsia="Arial" w:hAnsi="Arial"/>
          <w:sz w:val="16"/>
          <w:szCs w:val="16"/>
          <w:color w:val="auto"/>
        </w:rPr>
        <w:t xml:space="preserve"> of Employer or such similar duties as may be assigned to Employee by Employer as Employer may determine, including, but not limited to (i) the efficient and continuous operation of Employer and Employer’s Affiliates, (ii) the preparation of relevant budgets and allocation or relevant funds, (iii) the selection and delegation of duties and responsibilities of subordinates, (iv) the direction, review and oversight of all programs and projects under Employee’s supervision, (v) travel between the United States and Asia on a periodic basis to oversee the international marketing operations of the Employer and its Affiliates, and</w:t>
      </w:r>
    </w:p>
    <w:p>
      <w:pPr>
        <w:spacing w:after="0" w:line="3" w:lineRule="exact"/>
        <w:rPr>
          <w:rFonts w:ascii="Arial" w:cs="Arial" w:eastAsia="Arial" w:hAnsi="Arial"/>
          <w:sz w:val="16"/>
          <w:szCs w:val="16"/>
          <w:b w:val="1"/>
          <w:bCs w:val="1"/>
          <w:i w:val="1"/>
          <w:iCs w:val="1"/>
          <w:color w:val="auto"/>
        </w:rPr>
      </w:pPr>
    </w:p>
    <w:p>
      <w:pPr>
        <w:jc w:val="both"/>
        <w:ind w:right="2099" w:firstLine="8"/>
        <w:spacing w:after="0" w:line="236" w:lineRule="auto"/>
        <w:tabs>
          <w:tab w:leader="none" w:pos="2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and such other and further duties specifically related to such duties as assigned by Employer to Employee. The foregoing notwithstanding, Employee shall devote such time to Employer’s Affiliates as may be required by Employer, provided such duties are not inconsistent with Employee’s primary duties to Employer hereunder. Specifically, Employee shall perform such duties assigned to her as are generally associated with the position of (a) Chief Operating Officer of Wynn Resorts (Macau) S.A. (“</w:t>
      </w:r>
      <w:r>
        <w:rPr>
          <w:rFonts w:ascii="Arial" w:cs="Arial" w:eastAsia="Arial" w:hAnsi="Arial"/>
          <w:sz w:val="18"/>
          <w:szCs w:val="18"/>
          <w:b w:val="1"/>
          <w:bCs w:val="1"/>
          <w:color w:val="auto"/>
        </w:rPr>
        <w:t>Wynn Macau</w:t>
      </w:r>
      <w:r>
        <w:rPr>
          <w:rFonts w:ascii="Arial" w:cs="Arial" w:eastAsia="Arial" w:hAnsi="Arial"/>
          <w:sz w:val="18"/>
          <w:szCs w:val="18"/>
          <w:color w:val="auto"/>
        </w:rPr>
        <w:t>”), and (b) President of Wynn International Marketing, Ltd.</w:t>
      </w:r>
    </w:p>
    <w:p>
      <w:pPr>
        <w:spacing w:after="0" w:line="176" w:lineRule="exact"/>
        <w:rPr>
          <w:rFonts w:ascii="Arial" w:cs="Arial" w:eastAsia="Arial" w:hAnsi="Arial"/>
          <w:sz w:val="18"/>
          <w:szCs w:val="18"/>
          <w:color w:val="auto"/>
        </w:rPr>
      </w:pPr>
    </w:p>
    <w:p>
      <w:pPr>
        <w:jc w:val="both"/>
        <w:ind w:right="2119" w:firstLine="656"/>
        <w:spacing w:after="0" w:line="238" w:lineRule="auto"/>
        <w:tabs>
          <w:tab w:leader="none" w:pos="1782" w:val="left"/>
        </w:tabs>
        <w:numPr>
          <w:ilvl w:val="1"/>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ACCEPTANCE OF EMPLOYMENT/TERMINATION OF 2005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and pursuant to 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01" w:lineRule="exact"/>
        <w:rPr>
          <w:sz w:val="20"/>
          <w:szCs w:val="20"/>
          <w:color w:val="auto"/>
        </w:rPr>
      </w:pPr>
    </w:p>
    <w:p>
      <w:pPr>
        <w:jc w:val="both"/>
        <w:ind w:right="2099"/>
        <w:spacing w:after="0" w:line="236" w:lineRule="auto"/>
        <w:rPr>
          <w:sz w:val="20"/>
          <w:szCs w:val="20"/>
          <w:color w:val="auto"/>
        </w:rPr>
      </w:pPr>
      <w:r>
        <w:rPr>
          <w:rFonts w:ascii="Arial" w:cs="Arial" w:eastAsia="Arial" w:hAnsi="Arial"/>
          <w:sz w:val="18"/>
          <w:szCs w:val="18"/>
          <w:color w:val="auto"/>
        </w:rPr>
        <w:t>As of the Effective Date, this Agreement supersedes and replaces any and all prior employment agreements (including, but not limited to, the 2005 Employment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77" w:lineRule="exact"/>
        <w:rPr>
          <w:sz w:val="20"/>
          <w:szCs w:val="20"/>
          <w:color w:val="auto"/>
        </w:rPr>
      </w:pPr>
    </w:p>
    <w:p>
      <w:pPr>
        <w:jc w:val="both"/>
        <w:ind w:right="2099" w:firstLine="656"/>
        <w:spacing w:after="0" w:line="248" w:lineRule="auto"/>
        <w:tabs>
          <w:tab w:leader="none" w:pos="1552"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(5) years commencing as of the Effective Date of this Agreement and terminating on the fifth Anniversary Date of the Effective Date.</w:t>
      </w:r>
    </w:p>
    <w:p>
      <w:pPr>
        <w:spacing w:after="0" w:line="202"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119" w:firstLine="685"/>
        <w:spacing w:after="0" w:line="281" w:lineRule="auto"/>
        <w:rPr>
          <w:sz w:val="20"/>
          <w:szCs w:val="20"/>
          <w:color w:val="auto"/>
        </w:rPr>
      </w:pPr>
      <w:r>
        <w:rPr>
          <w:rFonts w:ascii="Arial" w:cs="Arial" w:eastAsia="Arial" w:hAnsi="Arial"/>
          <w:sz w:val="16"/>
          <w:szCs w:val="16"/>
          <w:color w:val="auto"/>
        </w:rPr>
        <w:t>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w:t>
      </w:r>
    </w:p>
    <w:p>
      <w:pPr>
        <w:sectPr>
          <w:pgSz w:w="11900" w:h="16838" w:orient="portrait"/>
          <w:cols w:equalWidth="0" w:num="1">
            <w:col w:w="10219"/>
          </w:cols>
          <w:pgMar w:left="240" w:top="323" w:right="1440" w:bottom="0" w:gutter="0" w:footer="0" w:header="0"/>
        </w:sectPr>
      </w:pPr>
    </w:p>
    <w:bookmarkStart w:id="6" w:name="page7"/>
    <w:bookmarkEnd w:id="6"/>
    <w:p>
      <w:pPr>
        <w:spacing w:after="0" w:line="21" w:lineRule="exact"/>
        <w:rPr>
          <w:sz w:val="20"/>
          <w:szCs w:val="20"/>
          <w:color w:val="auto"/>
        </w:rPr>
      </w:pPr>
    </w:p>
    <w:p>
      <w:pPr>
        <w:jc w:val="both"/>
        <w:ind w:right="2119"/>
        <w:spacing w:after="0" w:line="239" w:lineRule="auto"/>
        <w:rPr>
          <w:sz w:val="20"/>
          <w:szCs w:val="20"/>
          <w:color w:val="auto"/>
        </w:rPr>
      </w:pPr>
      <w:r>
        <w:rPr>
          <w:rFonts w:ascii="Arial" w:cs="Arial" w:eastAsia="Arial" w:hAnsi="Arial"/>
          <w:sz w:val="18"/>
          <w:szCs w:val="18"/>
          <w:color w:val="auto"/>
        </w:rPr>
        <w:t>the employment relationship may be terminated at any time by either party, with or without cause or notice.</w:t>
      </w:r>
    </w:p>
    <w:p>
      <w:pPr>
        <w:spacing w:after="0" w:line="173" w:lineRule="exact"/>
        <w:rPr>
          <w:sz w:val="20"/>
          <w:szCs w:val="20"/>
          <w:color w:val="auto"/>
        </w:rPr>
      </w:pPr>
    </w:p>
    <w:p>
      <w:pPr>
        <w:jc w:val="both"/>
        <w:ind w:right="2119" w:firstLine="648"/>
        <w:spacing w:after="0" w:line="253"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5 of this Agreement, this Agreement shall terminate upon the occurrence of any of the following events:</w:t>
      </w:r>
    </w:p>
    <w:p>
      <w:pPr>
        <w:spacing w:after="0" w:line="396" w:lineRule="exact"/>
        <w:rPr>
          <w:sz w:val="20"/>
          <w:szCs w:val="20"/>
          <w:color w:val="auto"/>
        </w:rPr>
      </w:pPr>
    </w:p>
    <w:p>
      <w:pPr>
        <w:ind w:left="1800" w:hanging="576"/>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198" w:lineRule="exact"/>
        <w:rPr>
          <w:rFonts w:ascii="Arial" w:cs="Arial" w:eastAsia="Arial" w:hAnsi="Arial"/>
          <w:sz w:val="18"/>
          <w:szCs w:val="18"/>
          <w:color w:val="auto"/>
        </w:rPr>
      </w:pPr>
    </w:p>
    <w:p>
      <w:pPr>
        <w:ind w:left="1260" w:right="2119" w:hanging="6"/>
        <w:spacing w:after="0" w:line="239" w:lineRule="auto"/>
        <w:tabs>
          <w:tab w:leader="none" w:pos="1927"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giving of written notice from Employer to Employee of the termination of this Agreement upon the Complete Disability of Employee;</w:t>
      </w:r>
    </w:p>
    <w:p>
      <w:pPr>
        <w:spacing w:after="0" w:line="195" w:lineRule="exact"/>
        <w:rPr>
          <w:rFonts w:ascii="Arial" w:cs="Arial" w:eastAsia="Arial" w:hAnsi="Arial"/>
          <w:sz w:val="18"/>
          <w:szCs w:val="18"/>
          <w:color w:val="auto"/>
        </w:rPr>
      </w:pPr>
    </w:p>
    <w:p>
      <w:pPr>
        <w:ind w:left="1260" w:right="2119" w:hanging="6"/>
        <w:spacing w:after="0" w:line="239" w:lineRule="auto"/>
        <w:tabs>
          <w:tab w:leader="none" w:pos="19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upon the discharge of Employee for Cause;</w:t>
      </w:r>
    </w:p>
    <w:p>
      <w:pPr>
        <w:spacing w:after="0" w:line="195" w:lineRule="exact"/>
        <w:rPr>
          <w:rFonts w:ascii="Arial" w:cs="Arial" w:eastAsia="Arial" w:hAnsi="Arial"/>
          <w:sz w:val="18"/>
          <w:szCs w:val="18"/>
          <w:color w:val="auto"/>
        </w:rPr>
      </w:pPr>
    </w:p>
    <w:p>
      <w:pPr>
        <w:jc w:val="both"/>
        <w:ind w:left="1260" w:right="2119" w:hanging="6"/>
        <w:spacing w:after="0" w:line="238" w:lineRule="auto"/>
        <w:tabs>
          <w:tab w:leader="none" w:pos="18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Employer to Employee of the termination of this Agreement without Cause,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calendar days after such notice, Employer must tender the Separation Payment to Employee;</w:t>
      </w:r>
    </w:p>
    <w:p>
      <w:pPr>
        <w:spacing w:after="0" w:line="194" w:lineRule="exact"/>
        <w:rPr>
          <w:rFonts w:ascii="Arial" w:cs="Arial" w:eastAsia="Arial" w:hAnsi="Arial"/>
          <w:sz w:val="18"/>
          <w:szCs w:val="18"/>
          <w:color w:val="auto"/>
        </w:rPr>
      </w:pPr>
    </w:p>
    <w:p>
      <w:pPr>
        <w:jc w:val="both"/>
        <w:ind w:left="1260" w:right="2119" w:hanging="6"/>
        <w:spacing w:after="0" w:line="236" w:lineRule="auto"/>
        <w:tabs>
          <w:tab w:leader="none" w:pos="18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however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that, within ten (10) days after the expiration of such cure period without the cure having been effected, Employer must tender the Separation Payment to Employee;</w:t>
      </w:r>
    </w:p>
    <w:p>
      <w:pPr>
        <w:spacing w:after="0" w:line="197" w:lineRule="exact"/>
        <w:rPr>
          <w:rFonts w:ascii="Arial" w:cs="Arial" w:eastAsia="Arial" w:hAnsi="Arial"/>
          <w:sz w:val="18"/>
          <w:szCs w:val="18"/>
          <w:color w:val="auto"/>
        </w:rPr>
      </w:pPr>
    </w:p>
    <w:p>
      <w:pPr>
        <w:jc w:val="both"/>
        <w:ind w:left="1260" w:right="2119" w:hanging="6"/>
        <w:spacing w:after="0" w:line="275" w:lineRule="auto"/>
        <w:tabs>
          <w:tab w:leader="none" w:pos="2024"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at Employee’s sole election in writing as provided in paragraph 16 of this Agreement, after both a Change of Control and as a result of Good Reason,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however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within ten (10) calendar days after Employer’s receipt of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written election, Employer must tender the Separation Payment to Employee; or</w:t>
      </w:r>
    </w:p>
    <w:p>
      <w:pPr>
        <w:spacing w:after="0" w:line="169" w:lineRule="exact"/>
        <w:rPr>
          <w:rFonts w:ascii="Arial" w:cs="Arial" w:eastAsia="Arial" w:hAnsi="Arial"/>
          <w:sz w:val="16"/>
          <w:szCs w:val="16"/>
          <w:color w:val="auto"/>
        </w:rPr>
      </w:pPr>
    </w:p>
    <w:p>
      <w:pPr>
        <w:jc w:val="both"/>
        <w:ind w:left="1260" w:right="2099" w:hanging="6"/>
        <w:spacing w:after="0" w:line="238" w:lineRule="auto"/>
        <w:tabs>
          <w:tab w:leader="none" w:pos="187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giving of written notice by Employer to Employee of the termination of this Agreement following a termination of Employee’s License (as defined in Subparagraph 8(b) of this Agreement).</w:t>
      </w:r>
    </w:p>
    <w:p>
      <w:pPr>
        <w:spacing w:after="0" w:line="20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99"/>
        <w:spacing w:after="0" w:line="235" w:lineRule="auto"/>
        <w:rPr>
          <w:sz w:val="20"/>
          <w:szCs w:val="20"/>
          <w:color w:val="auto"/>
        </w:rPr>
      </w:pPr>
      <w:r>
        <w:rPr>
          <w:rFonts w:ascii="Arial" w:cs="Arial" w:eastAsia="Arial" w:hAnsi="Arial"/>
          <w:sz w:val="18"/>
          <w:szCs w:val="18"/>
          <w:color w:val="auto"/>
        </w:rPr>
        <w:t xml:space="preserve">In the event of a termination of this Agreement pursuant to the provisions of Subparagraph 6(a), (b), (c) or (g), Employer shall not be required to make any payments to Employee other than payment of Base Salary and vacation pay accrued but unpaid through the termination date. In the event of a termination of this Agreement pursuant to the provisions of Subparagraph (d), (e) or (f),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180" w:lineRule="exact"/>
        <w:rPr>
          <w:sz w:val="20"/>
          <w:szCs w:val="20"/>
          <w:color w:val="auto"/>
        </w:rPr>
      </w:pPr>
    </w:p>
    <w:p>
      <w:pPr>
        <w:jc w:val="both"/>
        <w:ind w:right="2119" w:firstLine="656"/>
        <w:spacing w:after="0" w:line="244" w:lineRule="auto"/>
        <w:tabs>
          <w:tab w:leader="none" w:pos="1377"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full and faithful performance of Employee’s duties under this Agreement, Employer hereby covenants and agrees to pay to Employee, and Employee hereby covenants and agrees to accept from Employer, the following items of compensation:</w:t>
      </w:r>
    </w:p>
    <w:p>
      <w:pPr>
        <w:spacing w:after="0" w:line="169" w:lineRule="exact"/>
        <w:rPr>
          <w:rFonts w:ascii="Arial" w:cs="Arial" w:eastAsia="Arial" w:hAnsi="Arial"/>
          <w:sz w:val="18"/>
          <w:szCs w:val="18"/>
          <w:b w:val="1"/>
          <w:bCs w:val="1"/>
          <w:i w:val="1"/>
          <w:iCs w:val="1"/>
          <w:color w:val="auto"/>
        </w:rPr>
      </w:pPr>
    </w:p>
    <w:p>
      <w:pPr>
        <w:jc w:val="both"/>
        <w:ind w:right="2119" w:firstLine="1342"/>
        <w:spacing w:after="0" w:line="273" w:lineRule="auto"/>
        <w:tabs>
          <w:tab w:leader="none" w:pos="1979" w:val="left"/>
        </w:tabs>
        <w:numPr>
          <w:ilvl w:val="1"/>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and Employee hereby covenants and agrees to accept from Employer, a base salary (the “</w:t>
      </w:r>
      <w:r>
        <w:rPr>
          <w:rFonts w:ascii="Arial" w:cs="Arial" w:eastAsia="Arial" w:hAnsi="Arial"/>
          <w:sz w:val="16"/>
          <w:szCs w:val="16"/>
          <w:b w:val="1"/>
          <w:bCs w:val="1"/>
          <w:color w:val="auto"/>
        </w:rPr>
        <w:t>Base</w:t>
      </w:r>
      <w:r>
        <w:rPr>
          <w:rFonts w:ascii="Arial" w:cs="Arial" w:eastAsia="Arial" w:hAnsi="Arial"/>
          <w:sz w:val="16"/>
          <w:szCs w:val="16"/>
          <w:color w:val="auto"/>
        </w:rPr>
        <w:t xml:space="preserve"> </w:t>
      </w:r>
      <w:r>
        <w:rPr>
          <w:rFonts w:ascii="Arial" w:cs="Arial" w:eastAsia="Arial" w:hAnsi="Arial"/>
          <w:sz w:val="16"/>
          <w:szCs w:val="16"/>
          <w:b w:val="1"/>
          <w:bCs w:val="1"/>
          <w:color w:val="auto"/>
        </w:rPr>
        <w:t>Salary</w:t>
      </w:r>
      <w:r>
        <w:rPr>
          <w:rFonts w:ascii="Arial" w:cs="Arial" w:eastAsia="Arial" w:hAnsi="Arial"/>
          <w:sz w:val="16"/>
          <w:szCs w:val="16"/>
          <w:color w:val="auto"/>
        </w:rPr>
        <w:t>”) at the rate of One Million Dollars ($1,000,000.00) per annum payable in such weekly, bi-weekly</w:t>
      </w:r>
      <w:r>
        <w:rPr>
          <w:rFonts w:ascii="Arial" w:cs="Arial" w:eastAsia="Arial" w:hAnsi="Arial"/>
          <w:sz w:val="16"/>
          <w:szCs w:val="16"/>
          <w:b w:val="1"/>
          <w:bCs w:val="1"/>
          <w:color w:val="auto"/>
        </w:rPr>
        <w:t xml:space="preserve"> </w:t>
      </w:r>
      <w:r>
        <w:rPr>
          <w:rFonts w:ascii="Arial" w:cs="Arial" w:eastAsia="Arial" w:hAnsi="Arial"/>
          <w:sz w:val="16"/>
          <w:szCs w:val="16"/>
          <w:color w:val="auto"/>
        </w:rPr>
        <w:t>or semi-monthly installments as shall be convenient to Employer. Such Base Salary shall be exclusive of and in addition to any other benefits which Employer, in its sole discretion, may make available to Employee, including, but not limited to, those benefits described in Subparagraphs 7(b) through (f) of this Agreement. Employee’s Base Salary shall be subject to merit reviews on each Anniversary Date of this Agreement and may be increased, but not decreased, as a result of such merit reviews.</w:t>
      </w:r>
    </w:p>
    <w:p>
      <w:pPr>
        <w:sectPr>
          <w:pgSz w:w="11900" w:h="16859" w:orient="portrait"/>
          <w:cols w:equalWidth="0" w:num="1">
            <w:col w:w="10219"/>
          </w:cols>
          <w:pgMar w:left="240" w:top="143" w:right="1440" w:bottom="0" w:gutter="0" w:footer="0" w:header="0"/>
        </w:sectPr>
      </w:pPr>
    </w:p>
    <w:p>
      <w:pPr>
        <w:spacing w:after="0" w:line="387" w:lineRule="exact"/>
        <w:rPr>
          <w:sz w:val="20"/>
          <w:szCs w:val="20"/>
          <w:color w:val="auto"/>
        </w:rPr>
      </w:pPr>
    </w:p>
    <w:p>
      <w:pPr>
        <w:ind w:left="4020"/>
        <w:spacing w:after="0"/>
        <w:rPr>
          <w:sz w:val="20"/>
          <w:szCs w:val="20"/>
          <w:color w:val="auto"/>
        </w:rPr>
      </w:pPr>
      <w:r>
        <w:rPr>
          <w:rFonts w:ascii="Arial" w:cs="Arial" w:eastAsia="Arial" w:hAnsi="Arial"/>
          <w:sz w:val="14"/>
          <w:szCs w:val="14"/>
          <w:color w:val="auto"/>
        </w:rPr>
        <w:t>9</w:t>
      </w:r>
    </w:p>
    <w:p>
      <w:pPr>
        <w:sectPr>
          <w:pgSz w:w="11900" w:h="16859" w:orient="portrait"/>
          <w:cols w:equalWidth="0" w:num="1">
            <w:col w:w="10219"/>
          </w:cols>
          <w:pgMar w:left="240" w:top="143" w:right="1440" w:bottom="0" w:gutter="0" w:footer="0" w:header="0"/>
          <w:type w:val="continuous"/>
        </w:sectPr>
      </w:pPr>
    </w:p>
    <w:bookmarkStart w:id="7" w:name="page8"/>
    <w:bookmarkEnd w:id="7"/>
    <w:p>
      <w:pPr>
        <w:jc w:val="both"/>
        <w:ind w:right="2099" w:firstLine="1254"/>
        <w:spacing w:after="0" w:line="264"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t>BONUS COMPENSATION</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Employee also will be eligible to receive a bonus</w:t>
      </w:r>
      <w:r>
        <w:rPr>
          <w:rFonts w:ascii="Arial" w:cs="Arial" w:eastAsia="Arial" w:hAnsi="Arial"/>
          <w:sz w:val="18"/>
          <w:szCs w:val="18"/>
          <w:b w:val="1"/>
          <w:bCs w:val="1"/>
          <w:color w:val="auto"/>
        </w:rPr>
        <w:t xml:space="preserve"> </w:t>
      </w:r>
      <w:r>
        <w:rPr>
          <w:rFonts w:ascii="Arial" w:cs="Arial" w:eastAsia="Arial" w:hAnsi="Arial"/>
          <w:sz w:val="17"/>
          <w:szCs w:val="17"/>
          <w:color w:val="auto"/>
        </w:rPr>
        <w:t>at such times and in such amounts as Employer, in its sole, exclusive and unreviewable discretion, may determine. For the fiscal year 2006 and thereafter Employee shall participate in the Wynn Resorts, Limited Annual Performance Based Incentive Plan for Executive Officers.</w:t>
      </w:r>
    </w:p>
    <w:p>
      <w:pPr>
        <w:spacing w:after="0" w:line="153" w:lineRule="exact"/>
        <w:rPr>
          <w:rFonts w:ascii="Arial" w:cs="Arial" w:eastAsia="Arial" w:hAnsi="Arial"/>
          <w:sz w:val="18"/>
          <w:szCs w:val="18"/>
          <w:color w:val="auto"/>
        </w:rPr>
      </w:pPr>
    </w:p>
    <w:p>
      <w:pPr>
        <w:jc w:val="both"/>
        <w:ind w:right="2119" w:firstLine="1254"/>
        <w:spacing w:after="0" w:line="239" w:lineRule="auto"/>
        <w:tabs>
          <w:tab w:leader="none" w:pos="1944"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include Employee, if otherwise eligible, in any profit sharing plan,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Employer’s or its Affiliates’ ability to adopt, amend or terminate any such benefit plans at any time prior to a Change of Control.</w:t>
      </w:r>
    </w:p>
    <w:p>
      <w:pPr>
        <w:spacing w:after="0" w:line="174" w:lineRule="exact"/>
        <w:rPr>
          <w:sz w:val="20"/>
          <w:szCs w:val="20"/>
          <w:color w:val="auto"/>
        </w:rPr>
      </w:pPr>
    </w:p>
    <w:p>
      <w:pPr>
        <w:jc w:val="both"/>
        <w:ind w:right="2119" w:firstLine="1322"/>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d</w:t>
      </w:r>
      <w:r>
        <w:rPr>
          <w:rFonts w:ascii="Arial" w:cs="Arial" w:eastAsia="Arial" w:hAnsi="Arial"/>
          <w:sz w:val="18"/>
          <w:szCs w:val="18"/>
          <w:color w:val="auto"/>
        </w:rPr>
        <w:t xml:space="preserve">) </w:t>
      </w:r>
      <w:r>
        <w:rPr>
          <w:rFonts w:ascii="Arial" w:cs="Arial" w:eastAsia="Arial" w:hAnsi="Arial"/>
          <w:sz w:val="17"/>
          <w:szCs w:val="17"/>
          <w:b w:val="1"/>
          <w:bCs w:val="1"/>
          <w:u w:val="single" w:color="auto"/>
          <w:color w:val="auto"/>
        </w:rPr>
        <w:t>EXPENSE REIMBURSEMENT</w:t>
      </w:r>
      <w:r>
        <w:rPr>
          <w:rFonts w:ascii="Arial" w:cs="Arial" w:eastAsia="Arial" w:hAnsi="Arial"/>
          <w:sz w:val="17"/>
          <w:szCs w:val="17"/>
          <w:b w:val="1"/>
          <w:bCs w:val="1"/>
          <w:color w:val="auto"/>
        </w:rPr>
        <w:t>.</w:t>
      </w:r>
      <w:r>
        <w:rPr>
          <w:rFonts w:ascii="Arial" w:cs="Arial" w:eastAsia="Arial" w:hAnsi="Arial"/>
          <w:sz w:val="18"/>
          <w:szCs w:val="18"/>
          <w:color w:val="auto"/>
        </w:rPr>
        <w:t xml:space="preserve"> </w:t>
      </w:r>
      <w:r>
        <w:rPr>
          <w:rFonts w:ascii="Arial" w:cs="Arial" w:eastAsia="Arial" w:hAnsi="Arial"/>
          <w:sz w:val="17"/>
          <w:szCs w:val="17"/>
          <w:color w:val="auto"/>
        </w:rPr>
        <w:t>During the Term and provided the same are</w:t>
      </w:r>
      <w:r>
        <w:rPr>
          <w:rFonts w:ascii="Arial" w:cs="Arial" w:eastAsia="Arial" w:hAnsi="Arial"/>
          <w:sz w:val="18"/>
          <w:szCs w:val="18"/>
          <w:color w:val="auto"/>
        </w:rPr>
        <w:t xml:space="preserve"> </w:t>
      </w:r>
      <w:r>
        <w:rPr>
          <w:rFonts w:ascii="Arial" w:cs="Arial" w:eastAsia="Arial" w:hAnsi="Arial"/>
          <w:sz w:val="17"/>
          <w:szCs w:val="17"/>
          <w:color w:val="auto"/>
        </w:rPr>
        <w:t>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(upon Employer’s prior written approval), and (iv) the like. Prior to reimbursement, Employee shall provide Employer with sufficient detailed invoices of such expenses in accordance with the then applicable guidelines of the Internal Revenue Service so as to entitle Employer to a deduction for such expenses.</w:t>
      </w:r>
    </w:p>
    <w:p>
      <w:pPr>
        <w:spacing w:after="0" w:line="165" w:lineRule="exact"/>
        <w:rPr>
          <w:sz w:val="20"/>
          <w:szCs w:val="20"/>
          <w:color w:val="auto"/>
        </w:rPr>
      </w:pPr>
    </w:p>
    <w:p>
      <w:pPr>
        <w:jc w:val="both"/>
        <w:ind w:right="2099" w:firstLine="1342"/>
        <w:spacing w:after="0" w:line="280" w:lineRule="auto"/>
        <w:tabs>
          <w:tab w:leader="none" w:pos="2060" w:val="left"/>
        </w:tabs>
        <w:numPr>
          <w:ilvl w:val="1"/>
          <w:numId w:val="21"/>
        </w:numPr>
        <w:rPr>
          <w:rFonts w:ascii="Arial" w:cs="Arial" w:eastAsia="Arial" w:hAnsi="Arial"/>
          <w:sz w:val="16"/>
          <w:szCs w:val="16"/>
          <w:color w:val="auto"/>
        </w:rPr>
      </w:pPr>
      <w:r>
        <w:rPr>
          <w:rFonts w:ascii="Arial" w:cs="Arial" w:eastAsia="Arial" w:hAnsi="Arial"/>
          <w:sz w:val="16"/>
          <w:szCs w:val="16"/>
          <w:b w:val="1"/>
          <w:bCs w:val="1"/>
          <w:u w:val="single" w:color="auto"/>
          <w:color w:val="auto"/>
        </w:rPr>
        <w:t>VACATIONS AND HOLIDAYS</w:t>
      </w:r>
      <w:r>
        <w:rPr>
          <w:rFonts w:ascii="Arial" w:cs="Arial" w:eastAsia="Arial" w:hAnsi="Arial"/>
          <w:sz w:val="16"/>
          <w:szCs w:val="16"/>
          <w:b w:val="1"/>
          <w:bCs w:val="1"/>
          <w:color w:val="auto"/>
        </w:rPr>
        <w:t xml:space="preserve">. </w:t>
      </w:r>
      <w:r>
        <w:rPr>
          <w:rFonts w:ascii="Arial" w:cs="Arial" w:eastAsia="Arial" w:hAnsi="Arial"/>
          <w:sz w:val="16"/>
          <w:szCs w:val="16"/>
          <w:color w:val="auto"/>
        </w:rPr>
        <w:t>Commencing as of the Effective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Employee shall be entitled to (i) annual paid vacation leave in accordance with Employer’s standard policy therefor, but in no event less than three (3) weeks each year of the Term, to be taken at such times as selected by Employee and approved by Employer, and (ii) paid holidays (or, at Employer’s option, an equivalent number of paid days off) in accordance with Employer’s standard policy therefor.</w:t>
      </w:r>
    </w:p>
    <w:p>
      <w:pPr>
        <w:spacing w:after="0" w:line="169" w:lineRule="exact"/>
        <w:rPr>
          <w:rFonts w:ascii="Arial" w:cs="Arial" w:eastAsia="Arial" w:hAnsi="Arial"/>
          <w:sz w:val="16"/>
          <w:szCs w:val="16"/>
          <w:color w:val="auto"/>
        </w:rPr>
      </w:pPr>
    </w:p>
    <w:p>
      <w:pPr>
        <w:jc w:val="both"/>
        <w:ind w:right="2099" w:firstLine="1254"/>
        <w:spacing w:after="0" w:line="255" w:lineRule="auto"/>
        <w:tabs>
          <w:tab w:leader="none" w:pos="1913"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MACAU EXPENSES</w:t>
      </w:r>
      <w:r>
        <w:rPr>
          <w:rFonts w:ascii="Arial" w:cs="Arial" w:eastAsia="Arial" w:hAnsi="Arial"/>
          <w:sz w:val="17"/>
          <w:szCs w:val="17"/>
          <w:b w:val="1"/>
          <w:bCs w:val="1"/>
          <w:color w:val="auto"/>
        </w:rPr>
        <w:t>.</w:t>
      </w:r>
      <w:r>
        <w:rPr>
          <w:rFonts w:ascii="Arial" w:cs="Arial" w:eastAsia="Arial" w:hAnsi="Arial"/>
          <w:sz w:val="18"/>
          <w:szCs w:val="18"/>
          <w:b w:val="1"/>
          <w:bCs w:val="1"/>
          <w:color w:val="auto"/>
        </w:rPr>
        <w:t xml:space="preserve"> </w:t>
      </w:r>
      <w:r>
        <w:rPr>
          <w:rFonts w:ascii="Arial" w:cs="Arial" w:eastAsia="Arial" w:hAnsi="Arial"/>
          <w:sz w:val="17"/>
          <w:szCs w:val="17"/>
          <w:color w:val="auto"/>
        </w:rPr>
        <w:t>At Employer’s request, Employee has agreed to relocate</w:t>
      </w:r>
      <w:r>
        <w:rPr>
          <w:rFonts w:ascii="Arial" w:cs="Arial" w:eastAsia="Arial" w:hAnsi="Arial"/>
          <w:sz w:val="18"/>
          <w:szCs w:val="18"/>
          <w:b w:val="1"/>
          <w:bCs w:val="1"/>
          <w:color w:val="auto"/>
        </w:rPr>
        <w:t xml:space="preserve"> </w:t>
      </w:r>
      <w:r>
        <w:rPr>
          <w:rFonts w:ascii="Arial" w:cs="Arial" w:eastAsia="Arial" w:hAnsi="Arial"/>
          <w:sz w:val="17"/>
          <w:szCs w:val="17"/>
          <w:color w:val="auto"/>
        </w:rPr>
        <w:t>her household to Macau, Special Administrative Region of the People’s Republic of China (“</w:t>
      </w:r>
      <w:r>
        <w:rPr>
          <w:rFonts w:ascii="Arial" w:cs="Arial" w:eastAsia="Arial" w:hAnsi="Arial"/>
          <w:sz w:val="17"/>
          <w:szCs w:val="17"/>
          <w:u w:val="single" w:color="auto"/>
          <w:color w:val="auto"/>
        </w:rPr>
        <w:t>Macau</w:t>
      </w:r>
      <w:r>
        <w:rPr>
          <w:rFonts w:ascii="Arial" w:cs="Arial" w:eastAsia="Arial" w:hAnsi="Arial"/>
          <w:sz w:val="17"/>
          <w:szCs w:val="17"/>
          <w:color w:val="auto"/>
        </w:rPr>
        <w:t>”), for such period of time as determined by Employer. During such period that Employee is assigned to have her primary place of business in Macau, Employer agrees to provide Employee at Employer’s sole cost and expense housing for Employee and her immediate family and the use of one luxury automobile in Macau, at a standard that is suitable for a person holding Employee’s position.</w:t>
      </w:r>
    </w:p>
    <w:p>
      <w:pPr>
        <w:spacing w:after="0" w:line="39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99" w:firstLine="1254"/>
        <w:spacing w:after="0" w:line="244" w:lineRule="auto"/>
        <w:tabs>
          <w:tab w:leader="none" w:pos="2750" w:val="left"/>
        </w:tabs>
        <w:numPr>
          <w:ilvl w:val="2"/>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compensation to Employee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Subparagraphs 8(a), (b) and (e) shall be subject to applicable withholdings for federal, state or local income or other taxes, Social Security Tax, Medicare Tax, State Unemployment Insurance, State Disability Insurance, charitable contributions and the like.</w:t>
      </w:r>
    </w:p>
    <w:p>
      <w:pPr>
        <w:spacing w:after="0" w:line="171" w:lineRule="exact"/>
        <w:rPr>
          <w:rFonts w:ascii="Arial" w:cs="Arial" w:eastAsia="Arial" w:hAnsi="Arial"/>
          <w:sz w:val="18"/>
          <w:szCs w:val="18"/>
          <w:color w:val="auto"/>
        </w:rPr>
      </w:pPr>
    </w:p>
    <w:p>
      <w:pPr>
        <w:ind w:left="2120" w:hanging="866"/>
        <w:spacing w:after="0"/>
        <w:tabs>
          <w:tab w:leader="none" w:pos="2120" w:val="left"/>
        </w:tabs>
        <w:numPr>
          <w:ilvl w:val="2"/>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 DATE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Benefits Date shall be used for determining</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Employee’s other benefits.</w:t>
      </w:r>
    </w:p>
    <w:p>
      <w:pPr>
        <w:spacing w:after="0" w:line="176" w:lineRule="exact"/>
        <w:rPr>
          <w:rFonts w:ascii="Arial" w:cs="Arial" w:eastAsia="Arial" w:hAnsi="Arial"/>
          <w:sz w:val="18"/>
          <w:szCs w:val="18"/>
          <w:color w:val="auto"/>
        </w:rPr>
      </w:pPr>
    </w:p>
    <w:p>
      <w:pPr>
        <w:jc w:val="both"/>
        <w:ind w:right="2119" w:firstLine="1342"/>
        <w:spacing w:after="0" w:line="238" w:lineRule="auto"/>
        <w:tabs>
          <w:tab w:leader="none" w:pos="2247" w:val="left"/>
        </w:tabs>
        <w:numPr>
          <w:ilvl w:val="3"/>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GRANT</w:t>
      </w:r>
      <w:r>
        <w:rPr>
          <w:rFonts w:ascii="Arial" w:cs="Arial" w:eastAsia="Arial" w:hAnsi="Arial"/>
          <w:sz w:val="18"/>
          <w:szCs w:val="18"/>
          <w:color w:val="auto"/>
        </w:rPr>
        <w:t>. Management of the Employer shall recommend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of the Board of Directors of Wynn Resorts, Limited the following: (i) that Employee be granted 100,000 shares of restricted stock of Wynn Resorts, Limited common stock pursuant to the Wynn Resorts, Limited 2002 Stock Incentive Plan, (ii) that such grant of restricted stock vest in its entirety six years after the date of grant and (iii) that in the event the Employee is terminated without Cause, the grant will vest pro rata on an monthly basis from the date of grant to the effective date of Employee’s termination of employment. Upon approval of the grant by the Compensation Committee the Employer and Wynn Resorts, Limited will enter into a separate restricted stock agreement incorporating such terms and conditions.</w:t>
      </w:r>
    </w:p>
    <w:p>
      <w:pPr>
        <w:spacing w:after="0" w:line="180" w:lineRule="exact"/>
        <w:rPr>
          <w:rFonts w:ascii="Arial" w:cs="Arial" w:eastAsia="Arial" w:hAnsi="Arial"/>
          <w:sz w:val="18"/>
          <w:szCs w:val="18"/>
          <w:color w:val="auto"/>
        </w:rPr>
      </w:pPr>
    </w:p>
    <w:p>
      <w:pPr>
        <w:ind w:left="1200" w:hanging="598"/>
        <w:spacing w:after="0"/>
        <w:tabs>
          <w:tab w:leader="none" w:pos="1200" w:val="left"/>
        </w:tabs>
        <w:numPr>
          <w:ilvl w:val="1"/>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b w:val="1"/>
          <w:bCs w:val="1"/>
          <w:i w:val="1"/>
          <w:iCs w:val="1"/>
          <w:color w:val="auto"/>
        </w:rPr>
        <w:t>.</w:t>
      </w:r>
    </w:p>
    <w:p>
      <w:pPr>
        <w:spacing w:after="0" w:line="258" w:lineRule="exact"/>
        <w:rPr>
          <w:rFonts w:ascii="Arial" w:cs="Arial" w:eastAsia="Arial" w:hAnsi="Arial"/>
          <w:sz w:val="18"/>
          <w:szCs w:val="18"/>
          <w:b w:val="1"/>
          <w:bCs w:val="1"/>
          <w:i w:val="1"/>
          <w:iCs w:val="1"/>
          <w:color w:val="auto"/>
        </w:rPr>
      </w:pPr>
    </w:p>
    <w:p>
      <w:pPr>
        <w:jc w:val="both"/>
        <w:ind w:right="2119" w:firstLine="1342"/>
        <w:spacing w:after="0" w:line="264" w:lineRule="auto"/>
        <w:tabs>
          <w:tab w:leader="none" w:pos="1979" w:val="left"/>
        </w:tabs>
        <w:numPr>
          <w:ilvl w:val="3"/>
          <w:numId w:val="24"/>
        </w:numPr>
        <w:rPr>
          <w:rFonts w:ascii="Arial" w:cs="Arial" w:eastAsia="Arial" w:hAnsi="Arial"/>
          <w:sz w:val="16"/>
          <w:szCs w:val="16"/>
          <w:color w:val="auto"/>
        </w:rPr>
      </w:pPr>
      <w:r>
        <w:rPr>
          <w:rFonts w:ascii="Arial" w:cs="Arial" w:eastAsia="Arial" w:hAnsi="Arial"/>
          <w:sz w:val="16"/>
          <w:szCs w:val="16"/>
          <w:color w:val="auto"/>
        </w:rPr>
        <w:t xml:space="preserve">Employer and Employee hereby covenant and agree that this Agreement may be subject to the approval of one or more gaming regulatory authorities (the </w:t>
      </w:r>
      <w:r>
        <w:rPr>
          <w:rFonts w:ascii="Arial" w:cs="Arial" w:eastAsia="Arial" w:hAnsi="Arial"/>
          <w:sz w:val="16"/>
          <w:szCs w:val="16"/>
          <w:b w:val="1"/>
          <w:bCs w:val="1"/>
          <w:color w:val="auto"/>
        </w:rPr>
        <w:t>“Gaming Authorities</w:t>
      </w:r>
      <w:r>
        <w:rPr>
          <w:rFonts w:ascii="Arial" w:cs="Arial" w:eastAsia="Arial" w:hAnsi="Arial"/>
          <w:sz w:val="16"/>
          <w:szCs w:val="16"/>
          <w:color w:val="auto"/>
        </w:rPr>
        <w:t xml:space="preserve">”) pursuant to the provisions of the applicable gaming regulatory statutes and the regulations promulgated thereunder (the </w:t>
      </w:r>
      <w:r>
        <w:rPr>
          <w:rFonts w:ascii="Arial" w:cs="Arial" w:eastAsia="Arial" w:hAnsi="Arial"/>
          <w:sz w:val="16"/>
          <w:szCs w:val="16"/>
          <w:b w:val="1"/>
          <w:bCs w:val="1"/>
          <w:color w:val="auto"/>
        </w:rPr>
        <w:t>“Gaming Laws</w:t>
      </w:r>
      <w:r>
        <w:rPr>
          <w:rFonts w:ascii="Arial" w:cs="Arial" w:eastAsia="Arial" w:hAnsi="Arial"/>
          <w:sz w:val="16"/>
          <w:szCs w:val="16"/>
          <w:color w:val="auto"/>
        </w:rPr>
        <w:t>”).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her duties and responsibilities set forth in paragraph 3 of this Agreement,</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Employer and Employee have used their best efforts to obtain such approval, and (iii) this Agreement</w:t>
      </w:r>
    </w:p>
    <w:p>
      <w:pPr>
        <w:sectPr>
          <w:pgSz w:w="11900" w:h="16838" w:orient="portrait"/>
          <w:cols w:equalWidth="0" w:num="1">
            <w:col w:w="10219"/>
          </w:cols>
          <w:pgMar w:left="240" w:top="1282" w:right="1440" w:bottom="0" w:gutter="0" w:footer="0" w:header="0"/>
        </w:sectPr>
      </w:pPr>
    </w:p>
    <w:bookmarkStart w:id="8" w:name="page9"/>
    <w:bookmarkEnd w:id="8"/>
    <w:p>
      <w:pPr>
        <w:spacing w:after="0" w:line="14" w:lineRule="exact"/>
        <w:rPr>
          <w:sz w:val="20"/>
          <w:szCs w:val="20"/>
          <w:color w:val="auto"/>
        </w:rPr>
      </w:pPr>
    </w:p>
    <w:p>
      <w:pPr>
        <w:ind w:right="2119"/>
        <w:spacing w:after="0" w:line="239" w:lineRule="auto"/>
        <w:rPr>
          <w:sz w:val="20"/>
          <w:szCs w:val="20"/>
          <w:color w:val="auto"/>
        </w:rPr>
      </w:pPr>
      <w:r>
        <w:rPr>
          <w:rFonts w:ascii="Arial" w:cs="Arial" w:eastAsia="Arial" w:hAnsi="Arial"/>
          <w:sz w:val="18"/>
          <w:szCs w:val="18"/>
          <w:color w:val="auto"/>
        </w:rPr>
        <w:t>is not so approved by the Gaming Authorities, then this Agreement shall immediately terminate and shall be null and void.</w:t>
      </w:r>
    </w:p>
    <w:p>
      <w:pPr>
        <w:spacing w:after="0" w:line="195" w:lineRule="exact"/>
        <w:rPr>
          <w:sz w:val="20"/>
          <w:szCs w:val="20"/>
          <w:color w:val="auto"/>
        </w:rPr>
      </w:pPr>
    </w:p>
    <w:p>
      <w:pPr>
        <w:jc w:val="both"/>
        <w:ind w:right="2119" w:firstLine="1342"/>
        <w:spacing w:after="0" w:line="235" w:lineRule="auto"/>
        <w:tabs>
          <w:tab w:leader="none" w:pos="22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w:t>
      </w:r>
      <w:r>
        <w:rPr>
          <w:rFonts w:ascii="Arial" w:cs="Arial" w:eastAsia="Arial" w:hAnsi="Arial"/>
          <w:sz w:val="18"/>
          <w:szCs w:val="18"/>
          <w:b w:val="1"/>
          <w:bCs w:val="1"/>
          <w:color w:val="auto"/>
        </w:rPr>
        <w:t>License</w:t>
      </w:r>
      <w:r>
        <w:rPr>
          <w:rFonts w:ascii="Arial" w:cs="Arial" w:eastAsia="Arial" w:hAnsi="Arial"/>
          <w:sz w:val="18"/>
          <w:szCs w:val="18"/>
          <w:color w:val="auto"/>
        </w:rPr>
        <w:t>”).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1(d) of this Agreement,</w:t>
      </w:r>
    </w:p>
    <w:p>
      <w:pPr>
        <w:spacing w:after="0" w:line="20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119"/>
        <w:spacing w:after="0" w:line="299" w:lineRule="auto"/>
        <w:rPr>
          <w:sz w:val="20"/>
          <w:szCs w:val="20"/>
          <w:color w:val="auto"/>
        </w:rPr>
      </w:pPr>
      <w:r>
        <w:rPr>
          <w:rFonts w:ascii="Arial" w:cs="Arial" w:eastAsia="Arial" w:hAnsi="Arial"/>
          <w:sz w:val="16"/>
          <w:szCs w:val="16"/>
          <w:color w:val="auto"/>
        </w:rPr>
        <w:t>then Employer’s obligations under this paragraph 8 shall not be operative and Employee shall promptly reimburse Employer upon demand for any expenses incurred by Employer pursuant to this paragraph 8.</w:t>
      </w:r>
    </w:p>
    <w:p>
      <w:pPr>
        <w:spacing w:after="0" w:line="149" w:lineRule="exact"/>
        <w:rPr>
          <w:sz w:val="20"/>
          <w:szCs w:val="20"/>
          <w:color w:val="auto"/>
        </w:rPr>
      </w:pPr>
    </w:p>
    <w:p>
      <w:pPr>
        <w:jc w:val="both"/>
        <w:ind w:right="2119" w:firstLine="1342"/>
        <w:spacing w:after="0" w:line="238" w:lineRule="auto"/>
        <w:tabs>
          <w:tab w:leader="none" w:pos="1991" w:val="left"/>
        </w:tabs>
        <w:numPr>
          <w:ilvl w:val="2"/>
          <w:numId w:val="27"/>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paragraph 8 shall apply in the event Employee’s duties require that Employee also be licensed by such relevant governmental agencies other than the Gaming Authorities.</w:t>
      </w:r>
    </w:p>
    <w:p>
      <w:pPr>
        <w:spacing w:after="0" w:line="174"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258" w:lineRule="exact"/>
        <w:rPr>
          <w:rFonts w:ascii="Arial" w:cs="Arial" w:eastAsia="Arial" w:hAnsi="Arial"/>
          <w:sz w:val="18"/>
          <w:szCs w:val="18"/>
          <w:b w:val="1"/>
          <w:bCs w:val="1"/>
          <w:i w:val="1"/>
          <w:iCs w:val="1"/>
          <w:color w:val="auto"/>
        </w:rPr>
      </w:pPr>
    </w:p>
    <w:p>
      <w:pPr>
        <w:jc w:val="both"/>
        <w:ind w:right="2119" w:firstLine="1404"/>
        <w:spacing w:after="0" w:line="236" w:lineRule="auto"/>
        <w:tabs>
          <w:tab w:leader="none" w:pos="2065" w:val="left"/>
        </w:tabs>
        <w:numPr>
          <w:ilvl w:val="3"/>
          <w:numId w:val="28"/>
        </w:numPr>
        <w:rPr>
          <w:rFonts w:ascii="Arial" w:cs="Arial" w:eastAsia="Arial" w:hAnsi="Arial"/>
          <w:sz w:val="18"/>
          <w:szCs w:val="18"/>
          <w:color w:val="auto"/>
        </w:rPr>
      </w:pPr>
      <w:r>
        <w:rPr>
          <w:rFonts w:ascii="Arial" w:cs="Arial" w:eastAsia="Arial" w:hAnsi="Arial"/>
          <w:sz w:val="18"/>
          <w:szCs w:val="18"/>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194" w:lineRule="exact"/>
        <w:rPr>
          <w:rFonts w:ascii="Arial" w:cs="Arial" w:eastAsia="Arial" w:hAnsi="Arial"/>
          <w:sz w:val="18"/>
          <w:szCs w:val="18"/>
          <w:color w:val="auto"/>
        </w:rPr>
      </w:pPr>
    </w:p>
    <w:p>
      <w:pPr>
        <w:jc w:val="both"/>
        <w:ind w:right="2119" w:firstLine="1254"/>
        <w:spacing w:after="0" w:line="236" w:lineRule="auto"/>
        <w:tabs>
          <w:tab w:leader="none" w:pos="2215"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96" w:lineRule="exact"/>
        <w:rPr>
          <w:rFonts w:ascii="Arial" w:cs="Arial" w:eastAsia="Arial" w:hAnsi="Arial"/>
          <w:sz w:val="18"/>
          <w:szCs w:val="18"/>
          <w:color w:val="auto"/>
        </w:rPr>
      </w:pPr>
    </w:p>
    <w:p>
      <w:pPr>
        <w:jc w:val="both"/>
        <w:ind w:right="2099" w:firstLine="1254"/>
        <w:spacing w:after="0" w:line="235" w:lineRule="auto"/>
        <w:tabs>
          <w:tab w:leader="none" w:pos="2038" w:val="left"/>
        </w:tabs>
        <w:numPr>
          <w:ilvl w:val="1"/>
          <w:numId w:val="28"/>
        </w:numPr>
        <w:rPr>
          <w:rFonts w:ascii="Arial" w:cs="Arial" w:eastAsia="Arial" w:hAnsi="Arial"/>
          <w:sz w:val="18"/>
          <w:szCs w:val="18"/>
          <w:color w:val="auto"/>
        </w:rPr>
      </w:pPr>
      <w:r>
        <w:rPr>
          <w:rFonts w:ascii="Arial" w:cs="Arial" w:eastAsia="Arial" w:hAnsi="Arial"/>
          <w:sz w:val="18"/>
          <w:szCs w:val="18"/>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01" w:lineRule="exact"/>
        <w:rPr>
          <w:rFonts w:ascii="Arial" w:cs="Arial" w:eastAsia="Arial" w:hAnsi="Arial"/>
          <w:sz w:val="18"/>
          <w:szCs w:val="18"/>
          <w:color w:val="auto"/>
        </w:rPr>
      </w:pPr>
    </w:p>
    <w:p>
      <w:pPr>
        <w:jc w:val="both"/>
        <w:ind w:right="2119" w:firstLine="1254"/>
        <w:spacing w:after="0" w:line="238" w:lineRule="auto"/>
        <w:tabs>
          <w:tab w:leader="none" w:pos="21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Employee hereby warrants, covenants and agrees that Employee shall not disclose to Employer, or any Affiliate, officer, director, employee or agent of Employer, any proprietary or confidential information or property, including but not limited</w:t>
      </w:r>
    </w:p>
    <w:p>
      <w:pPr>
        <w:spacing w:after="0" w:line="19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344805</wp:posOffset>
            </wp:positionV>
            <wp:extent cx="516699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119"/>
        <w:spacing w:after="0" w:line="236" w:lineRule="auto"/>
        <w:rPr>
          <w:sz w:val="20"/>
          <w:szCs w:val="20"/>
          <w:color w:val="auto"/>
        </w:rPr>
      </w:pPr>
      <w:r>
        <w:rPr>
          <w:rFonts w:ascii="Arial" w:cs="Arial" w:eastAsia="Arial" w:hAnsi="Arial"/>
          <w:sz w:val="18"/>
          <w:szCs w:val="18"/>
          <w:color w:val="auto"/>
        </w:rPr>
        <w:t>to any trade secret, formula, pattern, compilation, program, device, method, technique or process, which Employee is prohibited by contract, or otherwise, to disclose to Employer (the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In the event, Employer requests Restricted Information from Employee, Employee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advise Employer that the information requested is Restricted Information and may not be disclosed by Employee.</w:t>
      </w:r>
    </w:p>
    <w:p>
      <w:pPr>
        <w:spacing w:after="0" w:line="198" w:lineRule="exact"/>
        <w:rPr>
          <w:sz w:val="20"/>
          <w:szCs w:val="20"/>
          <w:color w:val="auto"/>
        </w:rPr>
      </w:pPr>
    </w:p>
    <w:p>
      <w:pPr>
        <w:ind w:right="2119" w:firstLine="1254"/>
        <w:spacing w:after="0" w:line="239" w:lineRule="auto"/>
        <w:tabs>
          <w:tab w:leader="none" w:pos="22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obligations of this paragraph 9 are continuing and shall survive the termination of Employee’s employment with Employer.</w:t>
      </w:r>
    </w:p>
    <w:p>
      <w:pPr>
        <w:spacing w:after="0" w:line="175" w:lineRule="exact"/>
        <w:rPr>
          <w:rFonts w:ascii="Arial" w:cs="Arial" w:eastAsia="Arial" w:hAnsi="Arial"/>
          <w:sz w:val="18"/>
          <w:szCs w:val="18"/>
          <w:color w:val="auto"/>
        </w:rPr>
      </w:pPr>
    </w:p>
    <w:p>
      <w:pPr>
        <w:ind w:left="1160" w:hanging="571"/>
        <w:spacing w:after="0"/>
        <w:tabs>
          <w:tab w:leader="none" w:pos="11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258" w:lineRule="exact"/>
        <w:rPr>
          <w:rFonts w:ascii="Arial" w:cs="Arial" w:eastAsia="Arial" w:hAnsi="Arial"/>
          <w:sz w:val="18"/>
          <w:szCs w:val="18"/>
          <w:b w:val="1"/>
          <w:bCs w:val="1"/>
          <w:i w:val="1"/>
          <w:iCs w:val="1"/>
          <w:color w:val="auto"/>
        </w:rPr>
      </w:pPr>
    </w:p>
    <w:p>
      <w:pPr>
        <w:jc w:val="both"/>
        <w:ind w:right="2119" w:firstLine="1330"/>
        <w:spacing w:after="0" w:line="275" w:lineRule="auto"/>
        <w:tabs>
          <w:tab w:leader="none" w:pos="2178" w:val="left"/>
        </w:tabs>
        <w:numPr>
          <w:ilvl w:val="2"/>
          <w:numId w:val="30"/>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remainder of the Term, notwithstanding a termination of this Agreement under paragraph 6, Employee shall not directly or indirectly, either as a principal, agent, employee, employer, consultant, partner, member of a limited liability company, shareholder of a closely held corporation, or shareholder in excess of two percent</w:t>
      </w:r>
    </w:p>
    <w:p>
      <w:pPr>
        <w:sectPr>
          <w:pgSz w:w="11900" w:h="16852" w:orient="portrait"/>
          <w:cols w:equalWidth="0" w:num="1">
            <w:col w:w="10219"/>
          </w:cols>
          <w:pgMar w:left="240" w:top="143" w:right="1440" w:bottom="0" w:gutter="0" w:footer="0" w:header="0"/>
        </w:sectPr>
      </w:pPr>
    </w:p>
    <w:bookmarkStart w:id="9" w:name="page10"/>
    <w:bookmarkEnd w:id="9"/>
    <w:p>
      <w:pPr>
        <w:spacing w:after="0" w:line="62" w:lineRule="exact"/>
        <w:rPr>
          <w:sz w:val="20"/>
          <w:szCs w:val="20"/>
          <w:color w:val="auto"/>
        </w:rPr>
      </w:pPr>
    </w:p>
    <w:p>
      <w:pPr>
        <w:jc w:val="both"/>
        <w:ind w:right="2099"/>
        <w:spacing w:after="0" w:line="236" w:lineRule="auto"/>
        <w:rPr>
          <w:sz w:val="20"/>
          <w:szCs w:val="20"/>
          <w:color w:val="auto"/>
        </w:rPr>
      </w:pPr>
      <w:r>
        <w:rPr>
          <w:rFonts w:ascii="Arial" w:cs="Arial" w:eastAsia="Arial" w:hAnsi="Arial"/>
          <w:sz w:val="18"/>
          <w:szCs w:val="18"/>
          <w:color w:val="auto"/>
        </w:rPr>
        <w:t>(2%)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195" w:lineRule="exact"/>
        <w:rPr>
          <w:sz w:val="20"/>
          <w:szCs w:val="20"/>
          <w:color w:val="auto"/>
        </w:rPr>
      </w:pPr>
    </w:p>
    <w:p>
      <w:pPr>
        <w:jc w:val="both"/>
        <w:ind w:right="2119" w:firstLine="1330"/>
        <w:spacing w:after="0" w:line="236" w:lineRule="auto"/>
        <w:tabs>
          <w:tab w:leader="none" w:pos="20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hereby further covenants and agrees that, for the period described in Subparagraph 10(a),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6" w:lineRule="exact"/>
        <w:rPr>
          <w:rFonts w:ascii="Arial" w:cs="Arial" w:eastAsia="Arial" w:hAnsi="Arial"/>
          <w:sz w:val="18"/>
          <w:szCs w:val="18"/>
          <w:color w:val="auto"/>
        </w:rPr>
      </w:pPr>
    </w:p>
    <w:p>
      <w:pPr>
        <w:jc w:val="both"/>
        <w:ind w:right="2119" w:firstLine="1330"/>
        <w:spacing w:after="0" w:line="273" w:lineRule="auto"/>
        <w:tabs>
          <w:tab w:leader="none" w:pos="19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38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119" w:firstLine="631"/>
        <w:spacing w:after="0" w:line="262" w:lineRule="auto"/>
        <w:tabs>
          <w:tab w:leader="none" w:pos="1554"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photostatic copies and each copy bearing original signatures in ink shall be deemed an original.</w:t>
      </w:r>
    </w:p>
    <w:p>
      <w:pPr>
        <w:spacing w:after="0" w:line="155" w:lineRule="exact"/>
        <w:rPr>
          <w:rFonts w:ascii="Arial" w:cs="Arial" w:eastAsia="Arial" w:hAnsi="Arial"/>
          <w:sz w:val="18"/>
          <w:szCs w:val="18"/>
          <w:b w:val="1"/>
          <w:bCs w:val="1"/>
          <w:i w:val="1"/>
          <w:iCs w:val="1"/>
          <w:color w:val="auto"/>
        </w:rPr>
      </w:pPr>
    </w:p>
    <w:p>
      <w:pPr>
        <w:ind w:right="2119" w:firstLine="631"/>
        <w:spacing w:after="0" w:line="262" w:lineRule="auto"/>
        <w:tabs>
          <w:tab w:leader="none" w:pos="1487"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SUCCESSION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binding upon and inure to the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 and their respective successors and assigns.</w:t>
      </w:r>
    </w:p>
    <w:p>
      <w:pPr>
        <w:spacing w:after="0" w:line="155" w:lineRule="exact"/>
        <w:rPr>
          <w:rFonts w:ascii="Arial" w:cs="Arial" w:eastAsia="Arial" w:hAnsi="Arial"/>
          <w:sz w:val="18"/>
          <w:szCs w:val="18"/>
          <w:b w:val="1"/>
          <w:bCs w:val="1"/>
          <w:i w:val="1"/>
          <w:iCs w:val="1"/>
          <w:color w:val="auto"/>
        </w:rPr>
      </w:pPr>
    </w:p>
    <w:p>
      <w:pPr>
        <w:jc w:val="both"/>
        <w:ind w:right="2099" w:firstLine="631"/>
        <w:spacing w:after="0" w:line="239" w:lineRule="auto"/>
        <w:tabs>
          <w:tab w:leader="none" w:pos="1514"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his duties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hereunder without the express written prior consent of Employer thereto. Any purported assignment by Employee in violation of this paragraph 13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177" w:lineRule="exact"/>
        <w:rPr>
          <w:rFonts w:ascii="Arial" w:cs="Arial" w:eastAsia="Arial" w:hAnsi="Arial"/>
          <w:sz w:val="18"/>
          <w:szCs w:val="18"/>
          <w:b w:val="1"/>
          <w:bCs w:val="1"/>
          <w:i w:val="1"/>
          <w:iCs w:val="1"/>
          <w:color w:val="auto"/>
        </w:rPr>
      </w:pPr>
    </w:p>
    <w:p>
      <w:pPr>
        <w:ind w:right="2119" w:firstLine="631"/>
        <w:spacing w:after="0" w:line="262" w:lineRule="auto"/>
        <w:tabs>
          <w:tab w:leader="none" w:pos="1352"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changed or altered except by a writing signed by both Employer and Employee.</w:t>
      </w:r>
    </w:p>
    <w:p>
      <w:pPr>
        <w:spacing w:after="0" w:line="155" w:lineRule="exact"/>
        <w:rPr>
          <w:rFonts w:ascii="Arial" w:cs="Arial" w:eastAsia="Arial" w:hAnsi="Arial"/>
          <w:sz w:val="18"/>
          <w:szCs w:val="18"/>
          <w:b w:val="1"/>
          <w:bCs w:val="1"/>
          <w:i w:val="1"/>
          <w:iCs w:val="1"/>
          <w:color w:val="auto"/>
        </w:rPr>
      </w:pPr>
    </w:p>
    <w:p>
      <w:pPr>
        <w:jc w:val="both"/>
        <w:ind w:right="2119" w:firstLine="631"/>
        <w:spacing w:after="0" w:line="248" w:lineRule="auto"/>
        <w:tabs>
          <w:tab w:leader="none" w:pos="1271"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laws of the jurisdiction where Employer’s principal place of business is located in effect on the Effective Date of this Agreement.</w:t>
      </w:r>
    </w:p>
    <w:p>
      <w:pPr>
        <w:spacing w:after="0" w:line="168" w:lineRule="exact"/>
        <w:rPr>
          <w:rFonts w:ascii="Arial" w:cs="Arial" w:eastAsia="Arial" w:hAnsi="Arial"/>
          <w:sz w:val="18"/>
          <w:szCs w:val="18"/>
          <w:b w:val="1"/>
          <w:bCs w:val="1"/>
          <w:i w:val="1"/>
          <w:iCs w:val="1"/>
          <w:color w:val="auto"/>
        </w:rPr>
      </w:pPr>
    </w:p>
    <w:p>
      <w:pPr>
        <w:ind w:right="2119" w:firstLine="631"/>
        <w:spacing w:after="0" w:line="262" w:lineRule="auto"/>
        <w:tabs>
          <w:tab w:leader="none" w:pos="1379"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either hand-delivered or mailed, certified mail, return receipt requested, addressed to:</w:t>
      </w:r>
    </w:p>
    <w:p>
      <w:pPr>
        <w:spacing w:after="0" w:line="141"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1800" w:type="dxa"/>
            <w:vAlign w:val="bottom"/>
            <w:gridSpan w:val="4"/>
          </w:tcPr>
          <w:p>
            <w:pPr>
              <w:spacing w:after="0"/>
              <w:rPr>
                <w:sz w:val="20"/>
                <w:szCs w:val="20"/>
                <w:color w:val="auto"/>
              </w:rPr>
            </w:pPr>
            <w:r>
              <w:rPr>
                <w:rFonts w:ascii="Arial" w:cs="Arial" w:eastAsia="Arial" w:hAnsi="Arial"/>
                <w:sz w:val="18"/>
                <w:szCs w:val="18"/>
                <w:color w:val="auto"/>
              </w:rPr>
              <w:t>TO EMPLOYER:</w:t>
            </w:r>
          </w:p>
        </w:tc>
        <w:tc>
          <w:tcPr>
            <w:tcW w:w="4400" w:type="dxa"/>
            <w:vAlign w:val="bottom"/>
          </w:tcPr>
          <w:p>
            <w:pPr>
              <w:ind w:left="1780"/>
              <w:spacing w:after="0"/>
              <w:rPr>
                <w:sz w:val="20"/>
                <w:szCs w:val="20"/>
                <w:color w:val="auto"/>
              </w:rPr>
            </w:pPr>
            <w:r>
              <w:rPr>
                <w:rFonts w:ascii="Arial" w:cs="Arial" w:eastAsia="Arial" w:hAnsi="Arial"/>
                <w:sz w:val="18"/>
                <w:szCs w:val="18"/>
                <w:color w:val="auto"/>
              </w:rPr>
              <w:t>Worldwide Wynn, LLC</w:t>
            </w:r>
          </w:p>
        </w:tc>
      </w:tr>
      <w:tr>
        <w:trPr>
          <w:trHeight w:val="213"/>
        </w:trPr>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w w:val="96"/>
              </w:rPr>
              <w:t>3131 Las Vegas Boulevard South</w:t>
            </w:r>
          </w:p>
        </w:tc>
      </w:tr>
      <w:tr>
        <w:trPr>
          <w:trHeight w:val="211"/>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Las Vegas, Nevada 89109</w:t>
            </w:r>
          </w:p>
        </w:tc>
      </w:tr>
      <w:tr>
        <w:trPr>
          <w:trHeight w:val="313"/>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WITH A COPY</w:t>
            </w:r>
          </w:p>
        </w:tc>
        <w:tc>
          <w:tcPr>
            <w:tcW w:w="640" w:type="dxa"/>
            <w:vAlign w:val="bottom"/>
            <w:gridSpan w:val="2"/>
          </w:tcPr>
          <w:p>
            <w:pPr>
              <w:spacing w:after="0"/>
              <w:rPr>
                <w:sz w:val="24"/>
                <w:szCs w:val="24"/>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Wynn Resorts, Limited</w:t>
            </w:r>
          </w:p>
        </w:tc>
      </w:tr>
      <w:tr>
        <w:trPr>
          <w:trHeight w:val="183"/>
        </w:trPr>
        <w:tc>
          <w:tcPr>
            <w:tcW w:w="180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color w:val="auto"/>
                <w:w w:val="98"/>
              </w:rPr>
              <w:t>THAT SHALL NOT BE</w:t>
            </w:r>
          </w:p>
        </w:tc>
        <w:tc>
          <w:tcPr>
            <w:tcW w:w="4400" w:type="dxa"/>
            <w:vAlign w:val="bottom"/>
          </w:tcPr>
          <w:p>
            <w:pPr>
              <w:ind w:left="1780"/>
              <w:spacing w:after="0" w:line="182" w:lineRule="exact"/>
              <w:rPr>
                <w:sz w:val="20"/>
                <w:szCs w:val="20"/>
                <w:color w:val="auto"/>
              </w:rPr>
            </w:pPr>
            <w:r>
              <w:rPr>
                <w:rFonts w:ascii="Arial" w:cs="Arial" w:eastAsia="Arial" w:hAnsi="Arial"/>
                <w:sz w:val="18"/>
                <w:szCs w:val="18"/>
                <w:color w:val="auto"/>
                <w:w w:val="96"/>
              </w:rPr>
              <w:t>3131 Las Vegas Boulevard South</w:t>
            </w:r>
          </w:p>
        </w:tc>
      </w:tr>
      <w:tr>
        <w:trPr>
          <w:trHeight w:val="183"/>
        </w:trPr>
        <w:tc>
          <w:tcPr>
            <w:tcW w:w="1800" w:type="dxa"/>
            <w:vAlign w:val="bottom"/>
            <w:gridSpan w:val="4"/>
          </w:tcPr>
          <w:p>
            <w:pPr>
              <w:spacing w:after="0" w:line="182" w:lineRule="exact"/>
              <w:rPr>
                <w:sz w:val="20"/>
                <w:szCs w:val="20"/>
                <w:color w:val="auto"/>
              </w:rPr>
            </w:pPr>
            <w:r>
              <w:rPr>
                <w:rFonts w:ascii="Arial" w:cs="Arial" w:eastAsia="Arial" w:hAnsi="Arial"/>
                <w:sz w:val="18"/>
                <w:szCs w:val="18"/>
                <w:color w:val="auto"/>
              </w:rPr>
              <w:t>NOTICE TO:</w:t>
            </w:r>
          </w:p>
        </w:tc>
        <w:tc>
          <w:tcPr>
            <w:tcW w:w="4400" w:type="dxa"/>
            <w:vAlign w:val="bottom"/>
          </w:tcPr>
          <w:p>
            <w:pPr>
              <w:ind w:left="1780"/>
              <w:spacing w:after="0" w:line="182" w:lineRule="exact"/>
              <w:rPr>
                <w:sz w:val="20"/>
                <w:szCs w:val="20"/>
                <w:color w:val="auto"/>
              </w:rPr>
            </w:pPr>
            <w:r>
              <w:rPr>
                <w:rFonts w:ascii="Arial" w:cs="Arial" w:eastAsia="Arial" w:hAnsi="Arial"/>
                <w:sz w:val="18"/>
                <w:szCs w:val="18"/>
                <w:color w:val="auto"/>
              </w:rPr>
              <w:t>Las Vegas, Nevada 89109</w:t>
            </w:r>
          </w:p>
        </w:tc>
      </w:tr>
      <w:tr>
        <w:trPr>
          <w:trHeight w:val="221"/>
        </w:trPr>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Attn: Legal Department</w:t>
            </w:r>
          </w:p>
        </w:tc>
      </w:tr>
      <w:tr>
        <w:trPr>
          <w:trHeight w:val="313"/>
        </w:trPr>
        <w:tc>
          <w:tcPr>
            <w:tcW w:w="1800" w:type="dxa"/>
            <w:vAlign w:val="bottom"/>
            <w:gridSpan w:val="4"/>
          </w:tcPr>
          <w:p>
            <w:pPr>
              <w:spacing w:after="0"/>
              <w:rPr>
                <w:sz w:val="20"/>
                <w:szCs w:val="20"/>
                <w:color w:val="auto"/>
              </w:rPr>
            </w:pPr>
            <w:r>
              <w:rPr>
                <w:rFonts w:ascii="Arial" w:cs="Arial" w:eastAsia="Arial" w:hAnsi="Arial"/>
                <w:sz w:val="18"/>
                <w:szCs w:val="18"/>
                <w:color w:val="auto"/>
              </w:rPr>
              <w:t>TO EMPLOYEE:</w:t>
            </w:r>
          </w:p>
        </w:tc>
        <w:tc>
          <w:tcPr>
            <w:tcW w:w="4400" w:type="dxa"/>
            <w:vAlign w:val="bottom"/>
          </w:tcPr>
          <w:p>
            <w:pPr>
              <w:ind w:left="1780"/>
              <w:spacing w:after="0"/>
              <w:rPr>
                <w:sz w:val="20"/>
                <w:szCs w:val="20"/>
                <w:color w:val="auto"/>
              </w:rPr>
            </w:pPr>
            <w:r>
              <w:rPr>
                <w:rFonts w:ascii="Arial" w:cs="Arial" w:eastAsia="Arial" w:hAnsi="Arial"/>
                <w:sz w:val="18"/>
                <w:szCs w:val="18"/>
                <w:color w:val="auto"/>
              </w:rPr>
              <w:t>Linda C. Chen</w:t>
            </w:r>
          </w:p>
        </w:tc>
      </w:tr>
      <w:tr>
        <w:trPr>
          <w:trHeight w:val="213"/>
        </w:trPr>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2309 Whispering Hills Circle</w:t>
            </w:r>
          </w:p>
        </w:tc>
      </w:tr>
      <w:tr>
        <w:trPr>
          <w:trHeight w:val="211"/>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0" w:type="dxa"/>
            <w:vAlign w:val="bottom"/>
          </w:tcPr>
          <w:p>
            <w:pPr>
              <w:ind w:left="1780"/>
              <w:spacing w:after="0"/>
              <w:rPr>
                <w:sz w:val="20"/>
                <w:szCs w:val="20"/>
                <w:color w:val="auto"/>
              </w:rPr>
            </w:pPr>
            <w:r>
              <w:rPr>
                <w:rFonts w:ascii="Arial" w:cs="Arial" w:eastAsia="Arial" w:hAnsi="Arial"/>
                <w:sz w:val="18"/>
                <w:szCs w:val="18"/>
                <w:color w:val="auto"/>
              </w:rPr>
              <w:t>Las Vegas, NV 89117</w:t>
            </w:r>
          </w:p>
        </w:tc>
      </w:tr>
    </w:tbl>
    <w:p>
      <w:pPr>
        <w:spacing w:after="0" w:line="343" w:lineRule="exact"/>
        <w:rPr>
          <w:sz w:val="20"/>
          <w:szCs w:val="20"/>
          <w:color w:val="auto"/>
        </w:rPr>
      </w:pPr>
    </w:p>
    <w:p>
      <w:pPr>
        <w:jc w:val="both"/>
        <w:ind w:right="2119"/>
        <w:spacing w:after="0" w:line="281" w:lineRule="auto"/>
        <w:rPr>
          <w:sz w:val="20"/>
          <w:szCs w:val="20"/>
          <w:color w:val="auto"/>
        </w:rPr>
      </w:pPr>
      <w:r>
        <w:rPr>
          <w:rFonts w:ascii="Arial" w:cs="Arial" w:eastAsia="Arial" w:hAnsi="Arial"/>
          <w:sz w:val="16"/>
          <w:szCs w:val="16"/>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16.</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900" w:orient="portrait"/>
          <w:cols w:equalWidth="0" w:num="1">
            <w:col w:w="10219"/>
          </w:cols>
          <w:pgMar w:left="240" w:top="14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119" w:firstLine="631"/>
        <w:spacing w:after="0" w:line="262" w:lineRule="auto"/>
        <w:tabs>
          <w:tab w:leader="none" w:pos="1298"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a part of this Agreement; titles of paragraphs are for convenience only and are not to be</w:t>
      </w:r>
    </w:p>
    <w:p>
      <w:pPr>
        <w:sectPr>
          <w:pgSz w:w="11900" w:h="16900" w:orient="portrait"/>
          <w:cols w:equalWidth="0" w:num="1">
            <w:col w:w="10219"/>
          </w:cols>
          <w:pgMar w:left="240" w:top="143" w:right="1440"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considered a part of this Agreement.</w:t>
      </w:r>
    </w:p>
    <w:p>
      <w:pPr>
        <w:spacing w:after="0" w:line="178" w:lineRule="exact"/>
        <w:rPr>
          <w:sz w:val="20"/>
          <w:szCs w:val="20"/>
          <w:color w:val="auto"/>
        </w:rPr>
      </w:pPr>
    </w:p>
    <w:p>
      <w:pPr>
        <w:jc w:val="both"/>
        <w:ind w:right="2119" w:firstLine="631"/>
        <w:spacing w:after="0" w:line="248" w:lineRule="auto"/>
        <w:tabs>
          <w:tab w:leader="none" w:pos="1271"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SEVERABILITY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any one or more provisions of this Agreement is declared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judicially void or otherwise unenforceable, the remainder of this Agreement shall survive and such provision(s) shall be deemed modified or amended so as to fulfill the intent of the parties hereto.</w:t>
      </w:r>
    </w:p>
    <w:p>
      <w:pPr>
        <w:spacing w:after="0" w:line="168" w:lineRule="exact"/>
        <w:rPr>
          <w:rFonts w:ascii="Arial" w:cs="Arial" w:eastAsia="Arial" w:hAnsi="Arial"/>
          <w:sz w:val="18"/>
          <w:szCs w:val="18"/>
          <w:b w:val="1"/>
          <w:bCs w:val="1"/>
          <w:i w:val="1"/>
          <w:iCs w:val="1"/>
          <w:color w:val="auto"/>
        </w:rPr>
      </w:pPr>
    </w:p>
    <w:p>
      <w:pPr>
        <w:jc w:val="both"/>
        <w:ind w:right="2119" w:firstLine="631"/>
        <w:spacing w:after="0" w:line="271" w:lineRule="auto"/>
        <w:tabs>
          <w:tab w:leader="none" w:pos="1257"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for equitable actions seeking to enforce the covenants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paragraph 9 or 10 of this Agreement, jurisdiction and 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156" w:lineRule="exact"/>
        <w:rPr>
          <w:rFonts w:ascii="Arial" w:cs="Arial" w:eastAsia="Arial" w:hAnsi="Arial"/>
          <w:sz w:val="16"/>
          <w:szCs w:val="16"/>
          <w:b w:val="1"/>
          <w:bCs w:val="1"/>
          <w:i w:val="1"/>
          <w:iCs w:val="1"/>
          <w:color w:val="auto"/>
        </w:rPr>
      </w:pPr>
    </w:p>
    <w:p>
      <w:pPr>
        <w:jc w:val="both"/>
        <w:ind w:right="2119" w:firstLine="631"/>
        <w:spacing w:after="0" w:line="244" w:lineRule="auto"/>
        <w:tabs>
          <w:tab w:leader="none" w:pos="1419"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including this paragraph 21,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71" w:lineRule="exact"/>
        <w:rPr>
          <w:rFonts w:ascii="Arial" w:cs="Arial" w:eastAsia="Arial" w:hAnsi="Arial"/>
          <w:sz w:val="18"/>
          <w:szCs w:val="18"/>
          <w:b w:val="1"/>
          <w:bCs w:val="1"/>
          <w:i w:val="1"/>
          <w:iCs w:val="1"/>
          <w:color w:val="auto"/>
        </w:rPr>
      </w:pPr>
    </w:p>
    <w:p>
      <w:pPr>
        <w:jc w:val="both"/>
        <w:ind w:right="2099" w:firstLine="631"/>
        <w:spacing w:after="0" w:line="242" w:lineRule="auto"/>
        <w:tabs>
          <w:tab w:leader="none" w:pos="1487"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with respect to the subject matter hereto and this Agreement supersedes any prior understandings, agreements, undertakings or severance policies or</w:t>
      </w:r>
    </w:p>
    <w:p>
      <w:pPr>
        <w:spacing w:after="0" w:line="1" w:lineRule="exact"/>
        <w:rPr>
          <w:rFonts w:ascii="Arial" w:cs="Arial" w:eastAsia="Arial" w:hAnsi="Arial"/>
          <w:sz w:val="18"/>
          <w:szCs w:val="18"/>
          <w:b w:val="1"/>
          <w:bCs w:val="1"/>
          <w:i w:val="1"/>
          <w:iCs w:val="1"/>
          <w:color w:val="auto"/>
        </w:rPr>
      </w:pPr>
    </w:p>
    <w:p>
      <w:pPr>
        <w:jc w:val="both"/>
        <w:ind w:right="2119"/>
        <w:spacing w:after="0" w:line="238" w:lineRule="auto"/>
        <w:rPr>
          <w:rFonts w:ascii="Arial" w:cs="Arial" w:eastAsia="Arial" w:hAnsi="Arial"/>
          <w:sz w:val="18"/>
          <w:szCs w:val="18"/>
          <w:b w:val="1"/>
          <w:bCs w:val="1"/>
          <w:i w:val="1"/>
          <w:iCs w:val="1"/>
          <w:color w:val="auto"/>
        </w:rPr>
      </w:pPr>
      <w:r>
        <w:rPr>
          <w:rFonts w:ascii="Arial" w:cs="Arial" w:eastAsia="Arial" w:hAnsi="Arial"/>
          <w:sz w:val="18"/>
          <w:szCs w:val="18"/>
          <w:color w:val="auto"/>
        </w:rPr>
        <w:t>plans by and between Employer or Employer’s Affiliates, on the one side, and Employee, on the other side, with respect to the subject matter hereof or Employee’s employment with Employer or Employer’s Affiliates.</w:t>
      </w:r>
    </w:p>
    <w:p>
      <w:pPr>
        <w:spacing w:after="0" w:line="175" w:lineRule="exact"/>
        <w:rPr>
          <w:sz w:val="20"/>
          <w:szCs w:val="20"/>
          <w:color w:val="auto"/>
        </w:rPr>
      </w:pPr>
    </w:p>
    <w:p>
      <w:pPr>
        <w:ind w:right="2099" w:firstLine="648"/>
        <w:spacing w:after="0" w:line="262"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hereto have executed and delivered this Agreement as of the year and date first above written.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00" w:type="dxa"/>
            <w:vAlign w:val="bottom"/>
            <w:gridSpan w:val="2"/>
          </w:tcPr>
          <w:p>
            <w:pPr>
              <w:jc w:val="right"/>
              <w:ind w:right="1652"/>
              <w:spacing w:after="0"/>
              <w:rPr>
                <w:sz w:val="20"/>
                <w:szCs w:val="20"/>
                <w:color w:val="auto"/>
              </w:rPr>
            </w:pPr>
            <w:r>
              <w:rPr>
                <w:rFonts w:ascii="Arial" w:cs="Arial" w:eastAsia="Arial" w:hAnsi="Arial"/>
                <w:sz w:val="18"/>
                <w:szCs w:val="18"/>
                <w:b w:val="1"/>
                <w:bCs w:val="1"/>
                <w:color w:val="auto"/>
                <w:w w:val="97"/>
              </w:rPr>
              <w:t>WORLDWIDE WYNN, LLC</w:t>
            </w:r>
          </w:p>
        </w:tc>
        <w:tc>
          <w:tcPr>
            <w:tcW w:w="3400" w:type="dxa"/>
            <w:vAlign w:val="bottom"/>
            <w:gridSpan w:val="2"/>
          </w:tcPr>
          <w:p>
            <w:pPr>
              <w:ind w:left="1080"/>
              <w:spacing w:after="0"/>
              <w:rPr>
                <w:sz w:val="20"/>
                <w:szCs w:val="20"/>
                <w:color w:val="auto"/>
              </w:rPr>
            </w:pPr>
            <w:r>
              <w:rPr>
                <w:rFonts w:ascii="Arial" w:cs="Arial" w:eastAsia="Arial" w:hAnsi="Arial"/>
                <w:sz w:val="18"/>
                <w:szCs w:val="18"/>
                <w:b w:val="1"/>
                <w:bCs w:val="1"/>
                <w:color w:val="auto"/>
              </w:rPr>
              <w:t>EMPLOYEE</w:t>
            </w:r>
          </w:p>
        </w:tc>
      </w:tr>
      <w:tr>
        <w:trPr>
          <w:trHeight w:val="569"/>
        </w:trPr>
        <w:tc>
          <w:tcPr>
            <w:tcW w:w="3900" w:type="dxa"/>
            <w:vAlign w:val="bottom"/>
            <w:gridSpan w:val="2"/>
          </w:tcPr>
          <w:p>
            <w:pPr>
              <w:jc w:val="right"/>
              <w:ind w:right="2312"/>
              <w:spacing w:after="0"/>
              <w:rPr>
                <w:sz w:val="20"/>
                <w:szCs w:val="20"/>
                <w:color w:val="auto"/>
              </w:rPr>
            </w:pPr>
            <w:r>
              <w:rPr>
                <w:rFonts w:ascii="Arial" w:cs="Arial" w:eastAsia="Arial" w:hAnsi="Arial"/>
                <w:sz w:val="18"/>
                <w:szCs w:val="18"/>
                <w:color w:val="auto"/>
                <w:w w:val="96"/>
              </w:rPr>
              <w:t>By: /s/ Marc Schorr</w:t>
            </w:r>
          </w:p>
        </w:tc>
        <w:tc>
          <w:tcPr>
            <w:tcW w:w="11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/s/ Linda C. Chen</w:t>
            </w:r>
          </w:p>
        </w:tc>
      </w:tr>
      <w:tr>
        <w:trPr>
          <w:trHeight w:val="213"/>
        </w:trPr>
        <w:tc>
          <w:tcPr>
            <w:tcW w:w="320" w:type="dxa"/>
            <w:vAlign w:val="bottom"/>
          </w:tcPr>
          <w:p>
            <w:pPr>
              <w:spacing w:after="0"/>
              <w:rPr>
                <w:sz w:val="18"/>
                <w:szCs w:val="18"/>
                <w:color w:val="auto"/>
              </w:rPr>
            </w:pPr>
          </w:p>
        </w:tc>
        <w:tc>
          <w:tcPr>
            <w:tcW w:w="3580" w:type="dxa"/>
            <w:vAlign w:val="bottom"/>
            <w:tcBorders>
              <w:top w:val="single" w:sz="8" w:color="auto"/>
            </w:tcBorders>
          </w:tcPr>
          <w:p>
            <w:pPr>
              <w:jc w:val="right"/>
              <w:ind w:right="2312"/>
              <w:spacing w:after="0"/>
              <w:rPr>
                <w:sz w:val="20"/>
                <w:szCs w:val="20"/>
                <w:color w:val="auto"/>
              </w:rPr>
            </w:pPr>
            <w:r>
              <w:rPr>
                <w:rFonts w:ascii="Arial" w:cs="Arial" w:eastAsia="Arial" w:hAnsi="Arial"/>
                <w:sz w:val="18"/>
                <w:szCs w:val="18"/>
                <w:color w:val="auto"/>
              </w:rPr>
              <w:t>Marc Schorr</w:t>
            </w:r>
          </w:p>
        </w:tc>
        <w:tc>
          <w:tcPr>
            <w:tcW w:w="118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Linda C. Chen</w:t>
            </w:r>
          </w:p>
        </w:tc>
      </w:tr>
      <w:tr>
        <w:trPr>
          <w:trHeight w:val="211"/>
        </w:trPr>
        <w:tc>
          <w:tcPr>
            <w:tcW w:w="320" w:type="dxa"/>
            <w:vAlign w:val="bottom"/>
          </w:tcPr>
          <w:p>
            <w:pPr>
              <w:spacing w:after="0"/>
              <w:rPr>
                <w:sz w:val="18"/>
                <w:szCs w:val="18"/>
                <w:color w:val="auto"/>
              </w:rPr>
            </w:pPr>
          </w:p>
        </w:tc>
        <w:tc>
          <w:tcPr>
            <w:tcW w:w="3580" w:type="dxa"/>
            <w:vAlign w:val="bottom"/>
          </w:tcPr>
          <w:p>
            <w:pPr>
              <w:jc w:val="right"/>
              <w:ind w:right="2532"/>
              <w:spacing w:after="0"/>
              <w:rPr>
                <w:sz w:val="20"/>
                <w:szCs w:val="20"/>
                <w:color w:val="auto"/>
              </w:rPr>
            </w:pPr>
            <w:r>
              <w:rPr>
                <w:rFonts w:ascii="Arial" w:cs="Arial" w:eastAsia="Arial" w:hAnsi="Arial"/>
                <w:sz w:val="18"/>
                <w:szCs w:val="18"/>
                <w:color w:val="auto"/>
              </w:rPr>
              <w:t>President</w:t>
            </w:r>
          </w:p>
        </w:tc>
        <w:tc>
          <w:tcPr>
            <w:tcW w:w="11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635"/>
        </w:trPr>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80" w:type="dxa"/>
            <w:vAlign w:val="bottom"/>
          </w:tcPr>
          <w:p>
            <w:pPr>
              <w:jc w:val="right"/>
              <w:ind w:right="832"/>
              <w:spacing w:after="0"/>
              <w:rPr>
                <w:sz w:val="20"/>
                <w:szCs w:val="20"/>
                <w:color w:val="auto"/>
              </w:rPr>
            </w:pPr>
            <w:r>
              <w:rPr>
                <w:rFonts w:ascii="Arial" w:cs="Arial" w:eastAsia="Arial" w:hAnsi="Arial"/>
                <w:sz w:val="18"/>
                <w:szCs w:val="18"/>
                <w:color w:val="auto"/>
              </w:rPr>
              <w:t>15</w:t>
            </w:r>
          </w:p>
        </w:tc>
        <w:tc>
          <w:tcPr>
            <w:tcW w:w="2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350520</wp:posOffset>
            </wp:positionV>
            <wp:extent cx="516699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EXHIBIT 1</w:t>
      </w:r>
    </w:p>
    <w:p>
      <w:pPr>
        <w:spacing w:after="0" w:line="216" w:lineRule="exact"/>
        <w:rPr>
          <w:sz w:val="20"/>
          <w:szCs w:val="20"/>
          <w:color w:val="auto"/>
        </w:rPr>
      </w:pPr>
    </w:p>
    <w:p>
      <w:pPr>
        <w:ind w:left="2240"/>
        <w:spacing w:after="0"/>
        <w:rPr>
          <w:sz w:val="20"/>
          <w:szCs w:val="20"/>
          <w:color w:val="auto"/>
        </w:rPr>
      </w:pPr>
      <w:r>
        <w:rPr>
          <w:rFonts w:ascii="Arial" w:cs="Arial" w:eastAsia="Arial" w:hAnsi="Arial"/>
          <w:sz w:val="18"/>
          <w:szCs w:val="18"/>
          <w:i w:val="1"/>
          <w:iCs w:val="1"/>
          <w:u w:val="single" w:color="auto"/>
          <w:color w:val="auto"/>
        </w:rPr>
        <w:t>Indemnification and Gross-Up for Excise Taxes</w:t>
      </w:r>
    </w:p>
    <w:p>
      <w:pPr>
        <w:spacing w:after="0" w:line="230" w:lineRule="exact"/>
        <w:rPr>
          <w:sz w:val="20"/>
          <w:szCs w:val="20"/>
          <w:color w:val="auto"/>
        </w:rPr>
      </w:pPr>
    </w:p>
    <w:p>
      <w:pPr>
        <w:jc w:val="both"/>
        <w:ind w:right="2099" w:firstLine="631"/>
        <w:spacing w:after="0" w:line="235" w:lineRule="auto"/>
        <w:tabs>
          <w:tab w:leader="none" w:pos="136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Employer shall indemnify and hold Employee harmless from and against any and all liabilities, costs and expenses (including, without limitation, attorney's fees and costs) which Employee may incur as a result of the excise tax imposed by Section 4999 of the Internal Revenue Code of 1986, as amended (the “Code”) or any similar provision of state or local income tax law (the "Excise Tax"), to the end that Employee shall be placed in the same tax position with respect to the Severance Payment under Employee’s Employment Agreement and all other payments from Employer to Employee in the nature of compensation as Employee would have been in if the Excise Tax had never been enacted. In furtherance of such indemnification, Employer shall pay to Employee a payment (the "Gross-Up Payment") in an amount such that, after payment by Employee of all taxes, including income taxes and the Excise Tax imposed on the Gross-Up Payment and any interest or penalties (other than interest and penalties imposed by reason of Employee’s failure to file timely tax returns or to pay taxes shown due on such returns and any tax liability, including interest and penalties, unrelated to the Excise Tax or the Gross-Up Amount), Employee shall be placed in the same tax position with respect to the Severance Payment under this Plan and all other payments from Employer to Employee in the nature of compensation as Employee would have been in if the Excise Tax had never been enacted. When Employer pays Employee’s Severance Payment, it shall also pay to Employee a Gross-Up Payment for the Severance Payment and any other payments in the nature of compensation that Employer determines are "excess parachute payments" under Section 280G(b)(1) of the Code ("Excess Parachute Payments"). If, through a determination of the Internal Revenue Service or any state or local taxing authority (a "Taxing Authority"), or a judgment of any court, Employee becomes liable for an amount of Excise Tax not covered by the Gross-Up Payment payable pursuant to the preceding sentence, Employer shall pay Employee an additional Gross-Up Payment to make Employee whole for such additional Excise Tax; provided, however, that, pursuant to Section (c) of this Exhibit 1, Employer shall have the right to require Employee to protest, contest, or appeal any such determination or judgment. For purposes of this Exhibit 1, any amount that Employer is required to withhold under Sections 3402 or 4999 of the Code or under any other provision of law shall be deemed to have been paid to Employee.</w:t>
      </w:r>
    </w:p>
    <w:p>
      <w:pPr>
        <w:spacing w:after="0" w:line="213" w:lineRule="exact"/>
        <w:rPr>
          <w:rFonts w:ascii="Arial" w:cs="Arial" w:eastAsia="Arial" w:hAnsi="Arial"/>
          <w:sz w:val="18"/>
          <w:szCs w:val="18"/>
          <w:color w:val="auto"/>
        </w:rPr>
      </w:pPr>
    </w:p>
    <w:p>
      <w:pPr>
        <w:jc w:val="both"/>
        <w:ind w:right="2099" w:firstLine="631"/>
        <w:spacing w:after="0" w:line="281" w:lineRule="auto"/>
        <w:tabs>
          <w:tab w:leader="none" w:pos="1268"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payment to Employee of a Gross-Up Payment, Employer shall provide Employee with a written statement showing Employer's computation of such Gross-Up Payment and the Excess Parachute Payments and Excise Tax to which it relates, and setting forth Employer's determination of</w:t>
      </w:r>
    </w:p>
    <w:p>
      <w:pPr>
        <w:sectPr>
          <w:pgSz w:w="11900" w:h="16838" w:orient="portrait"/>
          <w:cols w:equalWidth="0" w:num="1">
            <w:col w:w="10219"/>
          </w:cols>
          <w:pgMar w:left="240" w:top="143" w:right="1440" w:bottom="0" w:gutter="0" w:footer="0" w:header="0"/>
        </w:sectPr>
      </w:pPr>
    </w:p>
    <w:bookmarkStart w:id="11" w:name="page12"/>
    <w:bookmarkEnd w:id="11"/>
    <w:p>
      <w:pPr>
        <w:jc w:val="both"/>
        <w:ind w:right="2099"/>
        <w:spacing w:after="0" w:line="236" w:lineRule="auto"/>
        <w:rPr>
          <w:sz w:val="20"/>
          <w:szCs w:val="20"/>
          <w:color w:val="auto"/>
        </w:rPr>
      </w:pPr>
      <w:r>
        <w:rPr>
          <w:rFonts w:ascii="Arial" w:cs="Arial" w:eastAsia="Arial" w:hAnsi="Arial"/>
          <w:sz w:val="18"/>
          <w:szCs w:val="18"/>
          <w:color w:val="auto"/>
        </w:rPr>
        <w:t>the amount of gross income Employee is required to recognize as a result of such payments and Employee’s liability for the Excise Tax. Employee shall cause his or her federal, state, and local income tax returns for the period in which Employee receive such Gross-Up Payment to be prepared and filed in accordance with such statement, and, upon such filing, Employee shall certify in writing to Employer that such returns have been so prepared and filed.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481965</wp:posOffset>
            </wp:positionV>
            <wp:extent cx="516699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right="2119"/>
        <w:spacing w:after="0" w:line="237" w:lineRule="auto"/>
        <w:rPr>
          <w:sz w:val="20"/>
          <w:szCs w:val="20"/>
          <w:color w:val="auto"/>
        </w:rPr>
      </w:pPr>
      <w:r>
        <w:rPr>
          <w:rFonts w:ascii="Arial" w:cs="Arial" w:eastAsia="Arial" w:hAnsi="Arial"/>
          <w:sz w:val="18"/>
          <w:szCs w:val="18"/>
          <w:color w:val="auto"/>
        </w:rPr>
        <w:t>Notwithstanding the provisions of Section (a) of this Exhibit 1, Employer shall not be obligated to indemnify Employee from and against any tax liability, cost or expense (including, without limitation, any liability for the Excise Tax or attorney's fees or costs) to the extent such tax liability, cost or expense is attributable to your failure to comply with the provisions of this Section (b).</w:t>
      </w:r>
    </w:p>
    <w:p>
      <w:pPr>
        <w:spacing w:after="0" w:line="209" w:lineRule="exact"/>
        <w:rPr>
          <w:sz w:val="20"/>
          <w:szCs w:val="20"/>
          <w:color w:val="auto"/>
        </w:rPr>
      </w:pPr>
    </w:p>
    <w:p>
      <w:pPr>
        <w:jc w:val="both"/>
        <w:ind w:right="2099" w:firstLine="631"/>
        <w:spacing w:after="0" w:line="235" w:lineRule="auto"/>
        <w:tabs>
          <w:tab w:leader="none" w:pos="12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If any controversy arises between Employee and a Taxing Authority with respect to the treatment on any return of the Gross-Up Amount, or of any payment Employee receives from Employer as an Excess Parachute Payment, or with respect to any return which a Taxing Authority asserts should show an Excess Parachute Payment, including, without limitation, any audit, protest to an appeals authority of a Taxing Authority or litigation (a "Controversy"), Employer shall have the right to participate with Employee in the handling of such Controversy. Employer shall have the right, solely with respect to a Controversy, to direct Employee to protest or contest any proposed adjustment or deficiency, initiate an appeals procedure within any Taxing Authority, commence any judicial proceeding, make any settlement agreement, or file a claim for refund of tax, and Employee shall not take any of such steps without the prior written approval of Employer, which Employer shall not unreasonably withhold. If Employer so elects, Employee shall be represented in any Controversy by attorneys, accountants, and other advisors selected by Employer, and Employer shall pay the fees, costs and expenses of such attorneys, accountants, or advisors, and any tax liability Employee may incur as a result of such payment. Employee shall promptly notify Employer of any communication with a Taxing Authority, and Employee shall promptly furnish to Employer copies of any written correspondence, notices, or documents received from a Taxing Authority relating to a Controversy. Employee shall cooperate fully with Employer in the handling of any Controversy by furnishing Employer any information or documentation relating to or bearing upon the Controversy;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Employee shall not be obligated to furnish to Employer copies of any portion of his or her tax returns which do not bear upon, and are not affected by, the Controversy.</w:t>
      </w:r>
    </w:p>
    <w:p>
      <w:pPr>
        <w:spacing w:after="0" w:line="214" w:lineRule="exact"/>
        <w:rPr>
          <w:rFonts w:ascii="Arial" w:cs="Arial" w:eastAsia="Arial" w:hAnsi="Arial"/>
          <w:sz w:val="18"/>
          <w:szCs w:val="18"/>
          <w:color w:val="auto"/>
        </w:rPr>
      </w:pPr>
    </w:p>
    <w:p>
      <w:pPr>
        <w:jc w:val="both"/>
        <w:ind w:right="2099" w:firstLine="631"/>
        <w:spacing w:after="0" w:line="268" w:lineRule="auto"/>
        <w:tabs>
          <w:tab w:leader="none" w:pos="13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Employee shall pay over to Employer, within ten (10) days after receipt thereof, any refund Employee receive from any Taxing Authority of all or any portion of the Gross-Up Payment or the Excise Tax, together with any interest Employee receive from such Taxing Authority on such refund. For purposes of this Section (d), a reduction in Employee’s tax liability attributable to the previous payment of the Gross-Up Amount or the Excise Tax shall be deemed to be a refund. If Employee would have received a refund of all or any portion of the Gross-Up Payment or the Excise Tax, except that a Taxing Authority offset the amount of such refund against other tax liabilities, interest, or penalties, Employee shall pay the amount of such offset over to Employer, together with the amount of interest Employee would have received from the Taxing Authority if such offset had been an actual refund, within ten (10) days after receipt of notice from the Taxing Authority of such offset.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516699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920"/>
        <w:spacing w:after="0"/>
        <w:rPr>
          <w:sz w:val="20"/>
          <w:szCs w:val="20"/>
          <w:color w:val="auto"/>
        </w:rPr>
      </w:pPr>
      <w:r>
        <w:rPr>
          <w:rFonts w:ascii="Arial" w:cs="Arial" w:eastAsia="Arial" w:hAnsi="Arial"/>
          <w:sz w:val="18"/>
          <w:szCs w:val="18"/>
          <w:b w:val="1"/>
          <w:bCs w:val="1"/>
          <w:u w:val="single" w:color="auto"/>
          <w:color w:val="auto"/>
        </w:rPr>
        <w:t>____________________________________________</w:t>
      </w:r>
    </w:p>
    <w:p>
      <w:pPr>
        <w:spacing w:after="0" w:line="19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EMPLOYMENT AGREEMENT</w:t>
      </w:r>
    </w:p>
    <w:p>
      <w:pPr>
        <w:spacing w:after="0" w:line="18"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(“Agreement”)</w:t>
      </w:r>
    </w:p>
    <w:p>
      <w:pPr>
        <w:spacing w:after="0" w:line="198"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 by and between -</w:t>
      </w:r>
    </w:p>
    <w:p>
      <w:pPr>
        <w:spacing w:after="0" w:line="17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WORLDWIDE WYNN, LLC</w:t>
      </w:r>
    </w:p>
    <w:p>
      <w:pPr>
        <w:spacing w:after="0" w:line="212"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(“Employer”)</w:t>
      </w:r>
    </w:p>
    <w:p>
      <w:pPr>
        <w:spacing w:after="0" w:line="220"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 and -</w:t>
      </w:r>
    </w:p>
    <w:p>
      <w:pPr>
        <w:spacing w:after="0" w:line="17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LINDA C. CHEN</w:t>
      </w:r>
    </w:p>
    <w:p>
      <w:pPr>
        <w:spacing w:after="0" w:line="13"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(“Employee”)</w:t>
      </w:r>
    </w:p>
    <w:p>
      <w:pPr>
        <w:ind w:left="1920"/>
        <w:spacing w:after="0"/>
        <w:rPr>
          <w:sz w:val="20"/>
          <w:szCs w:val="20"/>
          <w:color w:val="auto"/>
        </w:rPr>
      </w:pPr>
      <w:r>
        <w:rPr>
          <w:rFonts w:ascii="Arial" w:cs="Arial" w:eastAsia="Arial" w:hAnsi="Arial"/>
          <w:sz w:val="18"/>
          <w:szCs w:val="18"/>
          <w:b w:val="1"/>
          <w:bCs w:val="1"/>
          <w:u w:val="single" w:color="auto"/>
          <w:color w:val="auto"/>
        </w:rPr>
        <w:t>____________________________________________</w:t>
      </w:r>
    </w:p>
    <w:p>
      <w:pPr>
        <w:spacing w:after="0" w:line="176" w:lineRule="exact"/>
        <w:rPr>
          <w:sz w:val="20"/>
          <w:szCs w:val="20"/>
          <w:color w:val="auto"/>
        </w:rPr>
      </w:pPr>
    </w:p>
    <w:p>
      <w:pPr>
        <w:jc w:val="center"/>
        <w:ind w:right="2099"/>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as of October 27, 2006</w:t>
      </w:r>
    </w:p>
    <w:p>
      <w:pPr>
        <w:spacing w:after="0" w:line="18" w:lineRule="exact"/>
        <w:rPr>
          <w:sz w:val="20"/>
          <w:szCs w:val="20"/>
          <w:color w:val="auto"/>
        </w:rPr>
      </w:pPr>
    </w:p>
    <w:p>
      <w:pPr>
        <w:ind w:left="1920"/>
        <w:spacing w:after="0"/>
        <w:rPr>
          <w:sz w:val="20"/>
          <w:szCs w:val="20"/>
          <w:color w:val="auto"/>
        </w:rPr>
      </w:pPr>
      <w:r>
        <w:rPr>
          <w:rFonts w:ascii="Arial" w:cs="Arial" w:eastAsia="Arial" w:hAnsi="Arial"/>
          <w:sz w:val="18"/>
          <w:szCs w:val="18"/>
          <w:b w:val="1"/>
          <w:bCs w:val="1"/>
          <w:u w:val="single" w:color="auto"/>
          <w:color w:val="auto"/>
        </w:rPr>
        <w:t>____________________________________________</w:t>
      </w:r>
    </w:p>
    <w:p>
      <w:pPr>
        <w:sectPr>
          <w:pgSz w:w="11900" w:h="16838" w:orient="portrait"/>
          <w:cols w:equalWidth="0" w:num="1">
            <w:col w:w="10219"/>
          </w:cols>
          <w:pgMar w:left="240" w:top="143" w:right="1440" w:bottom="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o"/>
      <w:numFmt w:val="bullet"/>
      <w:start w:val="1"/>
    </w:lvl>
  </w:abstractNum>
  <w:abstractNum w:abstractNumId="1">
    <w:nsid w:val="7C83E458"/>
    <w:multiLevelType w:val="hybridMultilevel"/>
    <w:lvl w:ilvl="0">
      <w:lvlJc w:val="left"/>
      <w:lvlText w:val="(%1)"/>
      <w:numFmt w:val="lowerLetter"/>
      <w:start w:val="3"/>
    </w:lvl>
  </w:abstractNum>
  <w:abstractNum w:abstractNumId="2">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Roman"/>
      <w:start w:val="1"/>
    </w:lvl>
  </w:abstractNum>
  <w:abstractNum w:abstractNumId="3">
    <w:nsid w:val="62BBD95A"/>
    <w:multiLevelType w:val="hybridMultilevel"/>
    <w:lvl w:ilvl="0">
      <w:lvlJc w:val="left"/>
      <w:lvlText w:val="(%1)"/>
      <w:numFmt w:val="lowerRoman"/>
      <w:start w:val="5"/>
    </w:lvl>
  </w:abstractNum>
  <w:abstractNum w:abstractNumId="4">
    <w:nsid w:val="436C6125"/>
    <w:multiLevelType w:val="hybridMultilevel"/>
    <w:lvl w:ilvl="0">
      <w:lvlJc w:val="left"/>
      <w:lvlText w:val="(%1)"/>
      <w:numFmt w:val="lowerRoman"/>
      <w:start w:val="6"/>
    </w:lvl>
  </w:abstractNum>
  <w:abstractNum w:abstractNumId="5">
    <w:nsid w:val="628C895D"/>
    <w:multiLevelType w:val="hybridMultilevel"/>
    <w:lvl w:ilvl="0">
      <w:lvlJc w:val="left"/>
      <w:lvlText w:val="(%1)"/>
      <w:numFmt w:val="lowerLetter"/>
      <w:start w:val="5"/>
    </w:lvl>
    <w:lvl w:ilvl="1">
      <w:lvlJc w:val="left"/>
      <w:lvlText w:val="(%2)"/>
      <w:numFmt w:val="lowerRoman"/>
      <w:start w:val="1"/>
    </w:lvl>
  </w:abstractNum>
  <w:abstractNum w:abstractNumId="6">
    <w:nsid w:val="333AB105"/>
    <w:multiLevelType w:val="hybridMultilevel"/>
    <w:lvl w:ilvl="0">
      <w:lvlJc w:val="left"/>
      <w:lvlText w:val="(%1)"/>
      <w:numFmt w:val="lowerRoman"/>
      <w:start w:val="3"/>
    </w:lvl>
  </w:abstractNum>
  <w:abstractNum w:abstractNumId="7">
    <w:nsid w:val="721DA317"/>
    <w:multiLevelType w:val="hybridMultilevel"/>
    <w:lvl w:ilvl="0">
      <w:lvlJc w:val="left"/>
      <w:lvlText w:val="(%1)"/>
      <w:numFmt w:val="lowerLetter"/>
      <w:start w:val="6"/>
    </w:lvl>
  </w:abstractNum>
  <w:abstractNum w:abstractNumId="8">
    <w:nsid w:val="2443A85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lvl w:ilvl="3">
      <w:lvlJc w:val="left"/>
      <w:lvlText w:val="%4"/>
      <w:numFmt w:val="lowerRoman"/>
      <w:start w:val="1"/>
    </w:lvl>
  </w:abstractNum>
  <w:abstractNum w:abstractNumId="9">
    <w:nsid w:val="2D1D5AE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lowerRoman"/>
      <w:start w:val="4"/>
    </w:lvl>
  </w:abstractNum>
  <w:abstractNum w:abstractNumId="10">
    <w:nsid w:val="6763845E"/>
    <w:multiLevelType w:val="hybridMultilevel"/>
    <w:lvl w:ilvl="0">
      <w:lvlJc w:val="left"/>
      <w:lvlText w:val="(%1)"/>
      <w:numFmt w:val="lowerRoman"/>
      <w:start w:val="5"/>
    </w:lvl>
  </w:abstractNum>
  <w:abstractNum w:abstractNumId="11">
    <w:nsid w:val="75A2A8D4"/>
    <w:multiLevelType w:val="hybridMultilevel"/>
    <w:lvl w:ilvl="0">
      <w:lvlJc w:val="left"/>
      <w:lvlText w:val="(%1)"/>
      <w:numFmt w:val="lowerLetter"/>
      <w:start w:val="10"/>
    </w:lvl>
  </w:abstractNum>
  <w:abstractNum w:abstractNumId="12">
    <w:nsid w:val="8EDBDAB"/>
    <w:multiLevelType w:val="hybridMultilevel"/>
    <w:lvl w:ilvl="0">
      <w:lvlJc w:val="left"/>
      <w:lvlText w:val="%1"/>
      <w:numFmt w:val="decimal"/>
      <w:start w:val="1"/>
    </w:lvl>
    <w:lvl w:ilvl="1">
      <w:lvlJc w:val="left"/>
      <w:lvlText w:val="(%2)"/>
      <w:numFmt w:val="lowerLetter"/>
      <w:start w:val="11"/>
    </w:lvl>
  </w:abstractNum>
  <w:abstractNum w:abstractNumId="13">
    <w:nsid w:val="79838CB2"/>
    <w:multiLevelType w:val="hybridMultilevel"/>
    <w:lvl w:ilvl="0">
      <w:lvlJc w:val="left"/>
      <w:lvlText w:val="%1."/>
      <w:numFmt w:val="decimal"/>
      <w:start w:val="2"/>
    </w:lvl>
    <w:lvl w:ilvl="1">
      <w:lvlJc w:val="left"/>
      <w:lvlText w:val="%2"/>
      <w:numFmt w:val="lowerLetter"/>
      <w:start w:val="1"/>
    </w:lvl>
  </w:abstractNum>
  <w:abstractNum w:abstractNumId="14">
    <w:nsid w:val="4353D0CD"/>
    <w:multiLevelType w:val="hybridMultilevel"/>
    <w:lvl w:ilvl="0">
      <w:lvlJc w:val="left"/>
      <w:lvlText w:val="%1"/>
      <w:numFmt w:val="lowerRoman"/>
      <w:start w:val="1"/>
    </w:lvl>
    <w:lvl w:ilvl="1">
      <w:lvlJc w:val="left"/>
      <w:lvlText w:val="%2."/>
      <w:numFmt w:val="decimal"/>
      <w:start w:val="3"/>
    </w:lvl>
  </w:abstractNum>
  <w:abstractNum w:abstractNumId="15">
    <w:nsid w:val="B03E0C6"/>
    <w:multiLevelType w:val="hybridMultilevel"/>
    <w:lvl w:ilvl="0">
      <w:lvlJc w:val="left"/>
      <w:lvlText w:val="(%1)"/>
      <w:numFmt w:val="lowerRoman"/>
      <w:start w:val="5"/>
    </w:lvl>
    <w:lvl w:ilvl="1">
      <w:lvlJc w:val="left"/>
      <w:lvlText w:val="%2."/>
      <w:numFmt w:val="decimal"/>
      <w:start w:val="4"/>
    </w:lvl>
  </w:abstractNum>
  <w:abstractNum w:abstractNumId="16">
    <w:nsid w:val="189A769B"/>
    <w:multiLevelType w:val="hybridMultilevel"/>
    <w:lvl w:ilvl="0">
      <w:lvlJc w:val="left"/>
      <w:lvlText w:val="%1."/>
      <w:numFmt w:val="decimal"/>
      <w:start w:val="5"/>
    </w:lvl>
  </w:abstractNum>
  <w:abstractNum w:abstractNumId="17">
    <w:nsid w:val="54E49EB4"/>
    <w:multiLevelType w:val="hybridMultilevel"/>
    <w:lvl w:ilvl="0">
      <w:lvlJc w:val="left"/>
      <w:lvlText w:val="(%1)"/>
      <w:numFmt w:val="lowerLetter"/>
      <w:start w:val="1"/>
    </w:lvl>
    <w:lvl w:ilvl="1">
      <w:lvlJc w:val="left"/>
      <w:lvlText w:val="(%2)"/>
      <w:numFmt w:val="lowerLetter"/>
      <w:start w:val="2"/>
    </w:lvl>
  </w:abstractNum>
  <w:abstractNum w:abstractNumId="18">
    <w:nsid w:val="71F32454"/>
    <w:multiLevelType w:val="hybridMultilevel"/>
    <w:lvl w:ilvl="0">
      <w:lvlJc w:val="left"/>
      <w:lvlText w:val="%1."/>
      <w:numFmt w:val="decimal"/>
      <w:start w:val="7"/>
    </w:lvl>
    <w:lvl w:ilvl="1">
      <w:lvlJc w:val="left"/>
      <w:lvlText w:val="(%2)"/>
      <w:numFmt w:val="lowerLetter"/>
      <w:start w:val="1"/>
    </w:lvl>
  </w:abstractNum>
  <w:abstractNum w:abstractNumId="19">
    <w:nsid w:val="2CA88611"/>
    <w:multiLevelType w:val="hybridMultilevel"/>
    <w:lvl w:ilvl="0">
      <w:lvlJc w:val="left"/>
      <w:lvlText w:val="(%1)"/>
      <w:numFmt w:val="lowerLetter"/>
      <w:start w:val="2"/>
    </w:lvl>
  </w:abstractNum>
  <w:abstractNum w:abstractNumId="20">
    <w:nsid w:val="836C40E"/>
    <w:multiLevelType w:val="hybridMultilevel"/>
    <w:lvl w:ilvl="0">
      <w:lvlJc w:val="left"/>
      <w:lvlText w:val="%1"/>
      <w:numFmt w:val="lowerLetter"/>
      <w:start w:val="1"/>
    </w:lvl>
    <w:lvl w:ilvl="1">
      <w:lvlJc w:val="left"/>
      <w:lvlText w:val="(%2)"/>
      <w:numFmt w:val="lowerLetter"/>
      <w:start w:val="5"/>
    </w:lvl>
  </w:abstractNum>
  <w:abstractNum w:abstractNumId="21">
    <w:nsid w:val="2901D82"/>
    <w:multiLevelType w:val="hybridMultilevel"/>
    <w:lvl w:ilvl="0">
      <w:lvlJc w:val="left"/>
      <w:lvlText w:val="(%1)"/>
      <w:numFmt w:val="lowerLetter"/>
      <w:start w:val="6"/>
    </w:lvl>
    <w:lvl w:ilvl="1">
      <w:lvlJc w:val="left"/>
      <w:lvlText w:val="%2"/>
      <w:numFmt w:val="lowerLetter"/>
      <w:start w:val="1"/>
    </w:lvl>
  </w:abstractNum>
  <w:abstractNum w:abstractNumId="22">
    <w:nsid w:val="3A95F8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lvl w:ilvl="3">
      <w:lvlJc w:val="left"/>
      <w:lvlText w:val="(%4)"/>
      <w:numFmt w:val="lowerLetter"/>
      <w:start w:val="9"/>
    </w:lvl>
  </w:abstractNum>
  <w:abstractNum w:abstractNumId="23">
    <w:nsid w:val="813864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Letter"/>
      <w:start w:val="1"/>
    </w:lvl>
  </w:abstractNum>
  <w:abstractNum w:abstractNumId="24">
    <w:nsid w:val="1E7FF52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27">
    <w:nsid w:val="6CEAF087"/>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28">
    <w:nsid w:val="22221A7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9">
    <w:nsid w:val="4516DDE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1."/>
      <w:numFmt w:val="decimal"/>
      <w:start w:val="11"/>
    </w:lvl>
  </w:abstractNum>
  <w:abstractNum w:abstractNumId="32">
    <w:nsid w:val="419AC241"/>
    <w:multiLevelType w:val="hybridMultilevel"/>
    <w:lvl w:ilvl="0">
      <w:lvlJc w:val="left"/>
      <w:lvlText w:val="%1."/>
      <w:numFmt w:val="decimal"/>
      <w:start w:val="17"/>
    </w:lvl>
  </w:abstractNum>
  <w:abstractNum w:abstractNumId="33">
    <w:nsid w:val="5577F8E1"/>
    <w:multiLevelType w:val="hybridMultilevel"/>
    <w:lvl w:ilvl="0">
      <w:lvlJc w:val="left"/>
      <w:lvlText w:val="%1."/>
      <w:numFmt w:val="decimal"/>
      <w:start w:val="18"/>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2019-12-15T06:39:05Z</dcterms:created>
  <dcterms:modified xsi:type="dcterms:W3CDTF">2019-12-15T06:39:05Z</dcterms:modified>
</cp:coreProperties>
</file>