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223520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82550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3640"/>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5, 2009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468" w:right="239" w:bottom="1440" w:gutter="0" w:footer="0" w:header="0"/>
        </w:sectPr>
      </w:pP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340"/>
          </w:cols>
          <w:pgMar w:left="240" w:top="468" w:right="239" w:bottom="1440" w:gutter="0" w:footer="0" w:header="0"/>
          <w:type w:val="continuous"/>
        </w:sect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68" w:right="239" w:bottom="1440" w:gutter="0" w:footer="0" w:header="0"/>
          <w:type w:val="continuous"/>
        </w:sectPr>
      </w:pPr>
    </w:p>
    <w:p>
      <w:pPr>
        <w:spacing w:after="0" w:line="267"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333-100768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88-0494875</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60" w:space="720"/>
            <w:col w:w="3320"/>
          </w:cols>
          <w:pgMar w:left="240" w:top="468"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04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960"/>
        <w:spacing w:after="0"/>
        <w:rPr>
          <w:sz w:val="20"/>
          <w:szCs w:val="20"/>
          <w:color w:val="auto"/>
        </w:rPr>
      </w:pPr>
      <w:r>
        <w:rPr>
          <w:rFonts w:ascii="Arial" w:cs="Arial" w:eastAsia="Arial" w:hAnsi="Arial"/>
          <w:sz w:val="20"/>
          <w:szCs w:val="20"/>
          <w:b w:val="1"/>
          <w:bCs w:val="1"/>
          <w:color w:val="auto"/>
        </w:rPr>
        <w:t>Las Vegas, Nevada</w:t>
      </w:r>
    </w:p>
    <w:p>
      <w:pPr>
        <w:jc w:val="center"/>
        <w:ind w:right="96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68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6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160" w:space="720"/>
            <w:col w:w="2540"/>
          </w:cols>
          <w:pgMar w:left="240" w:top="468"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468" w:right="239" w:bottom="1440" w:gutter="0" w:footer="0" w:header="0"/>
          <w:type w:val="continuous"/>
        </w:sectPr>
      </w:pPr>
    </w:p>
    <w:p>
      <w:pPr>
        <w:spacing w:after="0" w:line="27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55" w:lineRule="exact"/>
        <w:rPr>
          <w:sz w:val="24"/>
          <w:szCs w:val="24"/>
          <w:color w:val="auto"/>
        </w:rPr>
      </w:pPr>
    </w:p>
    <w:p>
      <w:pPr>
        <w:ind w:left="980" w:hanging="810"/>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 pursuant to Rule 425 under the Securities Act (17 CFR 230.425)</w:t>
      </w:r>
    </w:p>
    <w:p>
      <w:pPr>
        <w:spacing w:after="0" w:line="98" w:lineRule="exact"/>
        <w:rPr>
          <w:rFonts w:ascii="Arial" w:cs="Arial" w:eastAsia="Arial" w:hAnsi="Arial"/>
          <w:sz w:val="22"/>
          <w:szCs w:val="22"/>
          <w:color w:val="auto"/>
        </w:rPr>
      </w:pPr>
    </w:p>
    <w:p>
      <w:pPr>
        <w:ind w:left="980" w:hanging="810"/>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98" w:lineRule="exact"/>
        <w:rPr>
          <w:rFonts w:ascii="Arial" w:cs="Arial" w:eastAsia="Arial" w:hAnsi="Arial"/>
          <w:sz w:val="22"/>
          <w:szCs w:val="22"/>
          <w:color w:val="auto"/>
        </w:rPr>
      </w:pPr>
    </w:p>
    <w:p>
      <w:pPr>
        <w:ind w:left="980" w:hanging="810"/>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98" w:lineRule="exact"/>
        <w:rPr>
          <w:rFonts w:ascii="Arial" w:cs="Arial" w:eastAsia="Arial" w:hAnsi="Arial"/>
          <w:sz w:val="22"/>
          <w:szCs w:val="22"/>
          <w:color w:val="auto"/>
        </w:rPr>
      </w:pPr>
    </w:p>
    <w:p>
      <w:pPr>
        <w:ind w:left="980" w:hanging="810"/>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On May 5, 2009, Wynn Las Vegas, LLC (“WLV”), an indirect wholly owned subsidiary of Wynn Resorts, Limited (“WRL”), entered into an employment agreement with Scott Peterson for the position of Senior Vice President and Chief Financial Officer (the “Employment Agreement”). Prior to his appointment as Senior Vice President and Chief Financial Officer, Mr. Peterson served as Vice President and Chief Financial Officer, Wynn Resorts (Macau), S.A. pursuant to an employment agreement with Worldwide Wynn, LLC, an affiliate of WLV and WRL, which employment agreement was mutually terminated concurrent with the effectiveness of the Employment Agreement.</w:t>
      </w:r>
    </w:p>
    <w:p>
      <w:pPr>
        <w:spacing w:after="0" w:line="215"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The Employment Agreement is effective April 20, 2009 and terminates on April 20, 2012, unless earlier terminated in accordance with the terms of the Employment Agreement. The Employment Agreement provides for a base salary of $400,000 per year, subject to increase based on performance review, and a discretionary bonus at such times and in such amounts as WLV may determine. The Employment Agreement provides that Mr. Peterson will be eligible to participate in any employee benefit plans generally available to WLV’s employees, as provided in the applicable plan documents, and will receive reimbursement for reasonable business expenses.</w:t>
      </w:r>
    </w:p>
    <w:p>
      <w:pPr>
        <w:spacing w:after="0" w:line="215"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If Mr. Peterson terminates his employment for “good reason” following a “change of control” of WLV (as these terms are defined in the Employment Agreement), WLV will pay Mr. Peterson a separation payment equal to the sum of the following: (a) his base salary for one year, (b) the bonus that was paid to Mr. Peterson during the preceding annual bonus period, (c) any accrued but unpaid vacation pay, and (d) any tax “gross-up payment” (as such term is defined in the Employment Agreement) with respect to the separation payment required to be paid pursuant to the Employment Agreement. Such separation payment shall be paid over a twelve (12) month period following termination of employment.</w:t>
      </w: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If Mr. Peterson’s employment is terminated by WLV “without cause” for any reason deemed sufficient by WLV, Mr. Peterson will be entitled to receive continued payment of his base salary for that period of time equal to one-half the number of months remaining in the term of the Employment Agreement (which shall not be greater than twelve (12) months or less than three (3) months) plus a monthly amount equal to one twelfth of the cash bonus amount that was paid to him for the preceding annual bonus period, continuing for the same period of time that the base salary payments are made. Payment of such continued base salary and bonus amount is contingent on Mr. Peterson executing a written release in favor of WLV.</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If Mr. Peterson’s employment terminates for any other reason before the expiration of the term of the Employment Agreement (e.g., because of his death, disability, discharge for cause or revocation of gaming license), WLV will pay him only his base salary, any accrued but unpaid vacation pay and any expenses incurred but not reimbursed through the termination date. This description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22"/>
          <w:szCs w:val="22"/>
          <w:color w:val="auto"/>
        </w:rPr>
        <w:t>does not purport to be complete and is qualified in its entirety by the provisions of the Employment Agreement which is attached hereto as Exhibit 10.1 and is hereby incorporated by reference.</w:t>
      </w:r>
    </w:p>
    <w:p>
      <w:pPr>
        <w:spacing w:after="0" w:line="194" w:lineRule="exact"/>
        <w:rPr>
          <w:sz w:val="20"/>
          <w:szCs w:val="20"/>
          <w:color w:val="auto"/>
        </w:rPr>
      </w:pPr>
    </w:p>
    <w:p>
      <w:pPr>
        <w:ind w:right="96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contained in Item 1.01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Employment Agreement, dated as of May 5, 2009, by and between Wynn Las Vegas, LLC and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880110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61" w:right="4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May 8, 2009</w:t>
      </w:r>
    </w:p>
    <w:p>
      <w:pPr>
        <w:spacing w:after="0" w:line="24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WYNN RESORTS, LIMITED</w:t>
      </w:r>
    </w:p>
    <w:p>
      <w:pPr>
        <w:spacing w:after="0" w:line="25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10160</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0"/>
          <w:szCs w:val="20"/>
          <w:color w:val="auto"/>
        </w:rPr>
        <w:t>Matt Maddox</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Chief Financial Officer and</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May 8, 2009</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WYNN LAS VEGAS, LLC</w:t>
      </w:r>
    </w:p>
    <w:p>
      <w:pPr>
        <w:spacing w:after="0" w:line="240"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 its sole member</w:t>
      </w:r>
    </w:p>
    <w:p>
      <w:pPr>
        <w:spacing w:after="0" w:line="25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Limited, its sole member</w:t>
      </w:r>
    </w:p>
    <w:p>
      <w:pPr>
        <w:spacing w:after="0" w:line="25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10160</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0"/>
          <w:szCs w:val="20"/>
          <w:color w:val="auto"/>
        </w:rPr>
        <w:t>Matt Maddox</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3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_____________________________</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EMPLOYMENT AGREEMENT</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_____________________________</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the 5th day of May 2009, by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between </w:t>
      </w:r>
      <w:r>
        <w:rPr>
          <w:rFonts w:ascii="Arial" w:cs="Arial" w:eastAsia="Arial" w:hAnsi="Arial"/>
          <w:sz w:val="22"/>
          <w:szCs w:val="22"/>
          <w:b w:val="1"/>
          <w:bCs w:val="1"/>
          <w:color w:val="auto"/>
        </w:rPr>
        <w:t>WYNN LAS VEGAS, LLC</w:t>
      </w:r>
      <w:r>
        <w:rPr>
          <w:rFonts w:ascii="Arial" w:cs="Arial" w:eastAsia="Arial" w:hAnsi="Arial"/>
          <w:sz w:val="22"/>
          <w:szCs w:val="22"/>
          <w:color w:val="auto"/>
        </w:rPr>
        <w:t xml:space="preserve"> (“</w:t>
      </w:r>
      <w:r>
        <w:rPr>
          <w:rFonts w:ascii="Arial" w:cs="Arial" w:eastAsia="Arial" w:hAnsi="Arial"/>
          <w:sz w:val="22"/>
          <w:szCs w:val="22"/>
          <w:b w:val="1"/>
          <w:bCs w:val="1"/>
          <w:color w:val="auto"/>
        </w:rPr>
        <w:t>Employer</w:t>
      </w:r>
      <w:r>
        <w:rPr>
          <w:rFonts w:ascii="Arial" w:cs="Arial" w:eastAsia="Arial" w:hAnsi="Arial"/>
          <w:sz w:val="22"/>
          <w:szCs w:val="22"/>
          <w:color w:val="auto"/>
        </w:rPr>
        <w:t xml:space="preserve">”) and </w:t>
      </w:r>
      <w:r>
        <w:rPr>
          <w:rFonts w:ascii="Arial" w:cs="Arial" w:eastAsia="Arial" w:hAnsi="Arial"/>
          <w:sz w:val="22"/>
          <w:szCs w:val="22"/>
          <w:b w:val="1"/>
          <w:bCs w:val="1"/>
          <w:color w:val="auto"/>
        </w:rPr>
        <w:t>SCOTT PETERSON</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W I T N E S S E T H</w:t>
      </w:r>
      <w:r>
        <w:rPr>
          <w:rFonts w:ascii="Arial" w:cs="Arial" w:eastAsia="Arial" w:hAnsi="Arial"/>
          <w:sz w:val="22"/>
          <w:szCs w:val="22"/>
          <w:b w:val="1"/>
          <w:bCs w:val="1"/>
          <w:i w:val="1"/>
          <w:iCs w:val="1"/>
          <w:color w:val="auto"/>
        </w:rPr>
        <w: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Employer is a limited liability company duly organized and existing under the laws of the State of Nevada,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maintains its principal place of business at 3131 Las Vegas Boulevard South, Las Vegas, Nevada 89109, and is engaged in the business of developing, owning and operating a casino resort at such place of business; and,</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is a party to that certain Employment Agreement dated as of June 27,2005,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Prior Employment Agreement</w:t>
      </w:r>
      <w:r>
        <w:rPr>
          <w:rFonts w:ascii="Arial" w:cs="Arial" w:eastAsia="Arial" w:hAnsi="Arial"/>
          <w:sz w:val="22"/>
          <w:szCs w:val="22"/>
          <w:color w:val="auto"/>
        </w:rPr>
        <w:t>”) with Worldwide Wynn, LLC (“</w:t>
      </w:r>
      <w:r>
        <w:rPr>
          <w:rFonts w:ascii="Arial" w:cs="Arial" w:eastAsia="Arial" w:hAnsi="Arial"/>
          <w:sz w:val="22"/>
          <w:szCs w:val="22"/>
          <w:b w:val="1"/>
          <w:bCs w:val="1"/>
          <w:color w:val="auto"/>
        </w:rPr>
        <w:t>WWW</w:t>
      </w:r>
      <w:r>
        <w:rPr>
          <w:rFonts w:ascii="Arial" w:cs="Arial" w:eastAsia="Arial" w:hAnsi="Arial"/>
          <w:sz w:val="22"/>
          <w:szCs w:val="22"/>
          <w:color w:val="auto"/>
        </w:rPr>
        <w:t>”), a affiliate of Employer;</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and WWW have agreed to terminate the Prior Employment Agreement in order to permit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and Employee to enter into this Agreement;</w:t>
      </w:r>
    </w:p>
    <w:p>
      <w:pPr>
        <w:spacing w:after="0" w:line="179" w:lineRule="exact"/>
        <w:rPr>
          <w:sz w:val="20"/>
          <w:szCs w:val="20"/>
          <w:color w:val="auto"/>
        </w:rPr>
      </w:pPr>
    </w:p>
    <w:p>
      <w:pPr>
        <w:ind w:right="1980"/>
        <w:spacing w:after="0" w:line="461"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in furtherance of its business, Employer has need of qualified, experienced personnel;</w:t>
      </w:r>
      <w:r>
        <w:rPr>
          <w:rFonts w:ascii="Arial" w:cs="Arial" w:eastAsia="Arial" w:hAnsi="Arial"/>
          <w:sz w:val="22"/>
          <w:szCs w:val="22"/>
          <w:b w:val="1"/>
          <w:bCs w:val="1"/>
          <w:i w:val="1"/>
          <w:iCs w:val="1"/>
          <w:color w:val="auto"/>
        </w:rPr>
        <w:t xml:space="preserve"> WHEREAS, </w:t>
      </w:r>
      <w:r>
        <w:rPr>
          <w:rFonts w:ascii="Arial" w:cs="Arial" w:eastAsia="Arial" w:hAnsi="Arial"/>
          <w:sz w:val="22"/>
          <w:szCs w:val="22"/>
          <w:color w:val="auto"/>
        </w:rPr>
        <w:t>Employee is an adult individual residing in Clark County, Nevada;</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Employee has represented and warranted to Employer that Employee possesses sufficient qualifications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expertise in order to fulfill the terms of the employment stated in this Agreement; and,</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Employer is willing to employ Employee, and Employee is desirous of accepting employment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Employer under the terms and pursuant to the conditions set forth herein.</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 xml:space="preserve">NOW, THEREFORE, </w:t>
      </w:r>
      <w:r>
        <w:rPr>
          <w:rFonts w:ascii="Arial" w:cs="Arial" w:eastAsia="Arial" w:hAnsi="Arial"/>
          <w:sz w:val="22"/>
          <w:szCs w:val="22"/>
          <w:color w:val="auto"/>
        </w:rPr>
        <w:t>for and in consideration of the foregoing recitals, and in consideration of the mutual covenants,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agreements, understandings, undertakings, representations, warranties and promises hereinafter set forth, and intending to be legally bound thereby, Employer and Employee do hereby covenant and agree as follows:</w:t>
      </w:r>
    </w:p>
    <w:p>
      <w:pPr>
        <w:spacing w:after="0" w:line="195" w:lineRule="exact"/>
        <w:rPr>
          <w:sz w:val="20"/>
          <w:szCs w:val="20"/>
          <w:color w:val="auto"/>
        </w:rPr>
      </w:pPr>
    </w:p>
    <w:p>
      <w:pPr>
        <w:ind w:firstLine="8"/>
        <w:spacing w:after="0" w:line="261" w:lineRule="auto"/>
        <w:tabs>
          <w:tab w:leader="none" w:pos="1111"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DEFINITIONS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used in this Agreement, the words and terms hereinafter defined have the respective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meanings ascribed to them, unless a different meaning clearly appears from the context:</w:t>
      </w:r>
    </w:p>
    <w:p>
      <w:pPr>
        <w:spacing w:after="0" w:line="179" w:lineRule="exact"/>
        <w:rPr>
          <w:sz w:val="20"/>
          <w:szCs w:val="20"/>
          <w:color w:val="auto"/>
        </w:rPr>
      </w:pPr>
    </w:p>
    <w:p>
      <w:pPr>
        <w:ind w:left="2240" w:hanging="935"/>
        <w:spacing w:after="0"/>
        <w:tabs>
          <w:tab w:leader="none" w:pos="224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 - means with respect to a specified Person, any other Person who or which is</w:t>
      </w:r>
    </w:p>
    <w:p>
      <w:pPr>
        <w:spacing w:after="0" w:line="16" w:lineRule="exact"/>
        <w:rPr>
          <w:rFonts w:ascii="Arial" w:cs="Arial" w:eastAsia="Arial" w:hAnsi="Arial"/>
          <w:sz w:val="22"/>
          <w:szCs w:val="22"/>
          <w:color w:val="auto"/>
        </w:rPr>
      </w:pPr>
    </w:p>
    <w:p>
      <w:pPr>
        <w:ind w:left="660" w:right="660" w:hanging="4"/>
        <w:spacing w:after="0" w:line="238" w:lineRule="auto"/>
        <w:tabs>
          <w:tab w:leader="none" w:pos="917" w:val="left"/>
        </w:tabs>
        <w:numPr>
          <w:ilvl w:val="0"/>
          <w:numId w:val="4"/>
        </w:numPr>
        <w:rPr>
          <w:rFonts w:ascii="Arial" w:cs="Arial" w:eastAsia="Arial" w:hAnsi="Arial"/>
          <w:sz w:val="22"/>
          <w:szCs w:val="22"/>
          <w:color w:val="auto"/>
        </w:rPr>
      </w:pPr>
      <w:r>
        <w:rPr>
          <w:rFonts w:ascii="Arial" w:cs="Arial" w:eastAsia="Arial" w:hAnsi="Arial"/>
          <w:sz w:val="22"/>
          <w:szCs w:val="22"/>
          <w:color w:val="auto"/>
        </w:rPr>
        <w:t>directly or indirectly controlling, controlled by or under common control with the specified Person, or (ii) any member, director, officer or manager of the specified Person. For 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jc w:val="both"/>
        <w:spacing w:after="0" w:line="233" w:lineRule="auto"/>
        <w:rPr>
          <w:sz w:val="20"/>
          <w:szCs w:val="20"/>
          <w:color w:val="auto"/>
        </w:rPr>
      </w:pPr>
      <w:r>
        <w:rPr>
          <w:rFonts w:ascii="Arial" w:cs="Arial" w:eastAsia="Arial" w:hAnsi="Arial"/>
          <w:sz w:val="22"/>
          <w:szCs w:val="22"/>
          <w:color w:val="auto"/>
        </w:rPr>
        <w:t>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202" w:lineRule="exact"/>
        <w:rPr>
          <w:sz w:val="20"/>
          <w:szCs w:val="20"/>
          <w:color w:val="auto"/>
        </w:rPr>
      </w:pPr>
    </w:p>
    <w:p>
      <w:pPr>
        <w:ind w:right="640" w:firstLine="645"/>
        <w:spacing w:after="0" w:line="261" w:lineRule="auto"/>
        <w:tabs>
          <w:tab w:leader="none" w:pos="1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Anniversary</w:t>
      </w:r>
      <w:r>
        <w:rPr>
          <w:rFonts w:ascii="Arial" w:cs="Arial" w:eastAsia="Arial" w:hAnsi="Arial"/>
          <w:sz w:val="22"/>
          <w:szCs w:val="22"/>
          <w:color w:val="auto"/>
        </w:rPr>
        <w:t>” - - means each anniversary date of the Effective Date during the Term (as defined in Section 5 hereof).</w:t>
      </w:r>
    </w:p>
    <w:p>
      <w:pPr>
        <w:spacing w:after="0" w:line="179" w:lineRule="exact"/>
        <w:rPr>
          <w:rFonts w:ascii="Arial" w:cs="Arial" w:eastAsia="Arial" w:hAnsi="Arial"/>
          <w:sz w:val="22"/>
          <w:szCs w:val="22"/>
          <w:color w:val="auto"/>
        </w:rPr>
      </w:pPr>
    </w:p>
    <w:p>
      <w:pPr>
        <w:ind w:left="1560" w:hanging="915"/>
        <w:spacing w:after="0"/>
        <w:tabs>
          <w:tab w:leader="none" w:pos="156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 - means</w:t>
      </w:r>
    </w:p>
    <w:p>
      <w:pPr>
        <w:spacing w:after="0" w:line="259" w:lineRule="exact"/>
        <w:rPr>
          <w:rFonts w:ascii="Arial" w:cs="Arial" w:eastAsia="Arial" w:hAnsi="Arial"/>
          <w:sz w:val="22"/>
          <w:szCs w:val="22"/>
          <w:color w:val="auto"/>
        </w:rPr>
      </w:pPr>
    </w:p>
    <w:p>
      <w:pPr>
        <w:jc w:val="both"/>
        <w:ind w:left="640" w:right="1300" w:firstLine="869"/>
        <w:spacing w:after="0" w:line="235" w:lineRule="auto"/>
        <w:tabs>
          <w:tab w:leader="none" w:pos="2512" w:val="left"/>
        </w:tabs>
        <w:numPr>
          <w:ilvl w:val="2"/>
          <w:numId w:val="5"/>
        </w:numPr>
        <w:rPr>
          <w:rFonts w:ascii="Arial" w:cs="Arial" w:eastAsia="Arial" w:hAnsi="Arial"/>
          <w:sz w:val="22"/>
          <w:szCs w:val="22"/>
          <w:color w:val="auto"/>
        </w:rPr>
      </w:pPr>
      <w:r>
        <w:rPr>
          <w:rFonts w:ascii="Arial" w:cs="Arial" w:eastAsia="Arial" w:hAnsi="Arial"/>
          <w:sz w:val="22"/>
          <w:szCs w:val="22"/>
          <w:color w:val="auto"/>
        </w:rPr>
        <w:t>Employee’s inability or failure to secure and/or maintain any licenses or permits required by government agencies with jurisdiction over the business of Employer or its Affiliate;</w:t>
      </w:r>
    </w:p>
    <w:p>
      <w:pPr>
        <w:spacing w:after="0" w:line="229" w:lineRule="exact"/>
        <w:rPr>
          <w:rFonts w:ascii="Arial" w:cs="Arial" w:eastAsia="Arial" w:hAnsi="Arial"/>
          <w:sz w:val="22"/>
          <w:szCs w:val="22"/>
          <w:color w:val="auto"/>
        </w:rPr>
      </w:pPr>
    </w:p>
    <w:p>
      <w:pPr>
        <w:ind w:left="640" w:right="1300" w:firstLine="221"/>
        <w:spacing w:after="0" w:line="238" w:lineRule="auto"/>
        <w:tabs>
          <w:tab w:leader="none" w:pos="1957"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willful destruction by Employee of the property of Employer or its Affiliate having a material value to Employer or such Affiliate;</w:t>
      </w:r>
    </w:p>
    <w:p>
      <w:pPr>
        <w:spacing w:after="0" w:line="227" w:lineRule="exact"/>
        <w:rPr>
          <w:rFonts w:ascii="Arial" w:cs="Arial" w:eastAsia="Arial" w:hAnsi="Arial"/>
          <w:sz w:val="22"/>
          <w:szCs w:val="22"/>
          <w:color w:val="auto"/>
        </w:rPr>
      </w:pPr>
    </w:p>
    <w:p>
      <w:pPr>
        <w:jc w:val="both"/>
        <w:ind w:left="640" w:right="1300" w:firstLine="869"/>
        <w:spacing w:after="0" w:line="235" w:lineRule="auto"/>
        <w:tabs>
          <w:tab w:leader="none" w:pos="2484" w:val="left"/>
        </w:tabs>
        <w:numPr>
          <w:ilvl w:val="2"/>
          <w:numId w:val="6"/>
        </w:numPr>
        <w:rPr>
          <w:rFonts w:ascii="Arial" w:cs="Arial" w:eastAsia="Arial" w:hAnsi="Arial"/>
          <w:sz w:val="22"/>
          <w:szCs w:val="22"/>
          <w:color w:val="auto"/>
        </w:rPr>
      </w:pPr>
      <w:r>
        <w:rPr>
          <w:rFonts w:ascii="Arial" w:cs="Arial" w:eastAsia="Arial" w:hAnsi="Arial"/>
          <w:sz w:val="22"/>
          <w:szCs w:val="22"/>
          <w:color w:val="auto"/>
        </w:rPr>
        <w:t xml:space="preserve">fraud, embezzlement, theft, or dishonest activity committed by Employee (excluding acts involving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dollar value and not related in any manner whatsoever to Employer or its Affiliate or their business);</w:t>
      </w:r>
    </w:p>
    <w:p>
      <w:pPr>
        <w:spacing w:after="0" w:line="207" w:lineRule="exact"/>
        <w:rPr>
          <w:rFonts w:ascii="Arial" w:cs="Arial" w:eastAsia="Arial" w:hAnsi="Arial"/>
          <w:sz w:val="22"/>
          <w:szCs w:val="22"/>
          <w:color w:val="auto"/>
        </w:rPr>
      </w:pPr>
    </w:p>
    <w:p>
      <w:pPr>
        <w:ind w:left="2560" w:hanging="1051"/>
        <w:spacing w:after="0"/>
        <w:tabs>
          <w:tab w:leader="none" w:pos="2560" w:val="left"/>
        </w:tabs>
        <w:numPr>
          <w:ilvl w:val="2"/>
          <w:numId w:val="6"/>
        </w:numPr>
        <w:rPr>
          <w:rFonts w:ascii="Arial" w:cs="Arial" w:eastAsia="Arial" w:hAnsi="Arial"/>
          <w:sz w:val="22"/>
          <w:szCs w:val="22"/>
          <w:color w:val="auto"/>
        </w:rPr>
      </w:pPr>
      <w:r>
        <w:rPr>
          <w:rFonts w:ascii="Arial" w:cs="Arial" w:eastAsia="Arial" w:hAnsi="Arial"/>
          <w:sz w:val="22"/>
          <w:szCs w:val="22"/>
          <w:color w:val="auto"/>
        </w:rPr>
        <w:t xml:space="preserve">Employee’s conviction of or entering a plea of guilty or </w:t>
      </w:r>
      <w:r>
        <w:rPr>
          <w:rFonts w:ascii="Arial" w:cs="Arial" w:eastAsia="Arial" w:hAnsi="Arial"/>
          <w:sz w:val="22"/>
          <w:szCs w:val="22"/>
          <w:i w:val="1"/>
          <w:iCs w:val="1"/>
          <w:color w:val="auto"/>
        </w:rPr>
        <w:t>nolo contendere</w:t>
      </w:r>
    </w:p>
    <w:p>
      <w:pPr>
        <w:spacing w:after="0" w:line="12" w:lineRule="exact"/>
        <w:rPr>
          <w:sz w:val="20"/>
          <w:szCs w:val="20"/>
          <w:color w:val="auto"/>
        </w:rPr>
      </w:pPr>
    </w:p>
    <w:p>
      <w:pPr>
        <w:jc w:val="both"/>
        <w:ind w:left="640" w:right="1300"/>
        <w:spacing w:after="0" w:line="235" w:lineRule="auto"/>
        <w:rPr>
          <w:sz w:val="20"/>
          <w:szCs w:val="20"/>
          <w:color w:val="auto"/>
        </w:rPr>
      </w:pPr>
      <w:r>
        <w:rPr>
          <w:rFonts w:ascii="Arial" w:cs="Arial" w:eastAsia="Arial" w:hAnsi="Arial"/>
          <w:sz w:val="22"/>
          <w:szCs w:val="22"/>
          <w:color w:val="auto"/>
        </w:rPr>
        <w:t xml:space="preserve">to any crime constituting a felony or any misdemeanor involving fraud, dishonesty or moral turpitude (excluding acts involving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dollar value and not related in any manner whatsoever to Employer or its Affiliate of their business);</w:t>
      </w:r>
    </w:p>
    <w:p>
      <w:pPr>
        <w:spacing w:after="0" w:line="229" w:lineRule="exact"/>
        <w:rPr>
          <w:sz w:val="20"/>
          <w:szCs w:val="20"/>
          <w:color w:val="auto"/>
        </w:rPr>
      </w:pPr>
    </w:p>
    <w:p>
      <w:pPr>
        <w:ind w:left="2420" w:hanging="911"/>
        <w:spacing w:after="0"/>
        <w:tabs>
          <w:tab w:leader="none" w:pos="2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Employee’s breach of this Agreement;</w:t>
      </w:r>
    </w:p>
    <w:p>
      <w:pPr>
        <w:spacing w:after="0" w:line="233" w:lineRule="exact"/>
        <w:rPr>
          <w:rFonts w:ascii="Arial" w:cs="Arial" w:eastAsia="Arial" w:hAnsi="Arial"/>
          <w:sz w:val="22"/>
          <w:szCs w:val="22"/>
          <w:color w:val="auto"/>
        </w:rPr>
      </w:pPr>
    </w:p>
    <w:p>
      <w:pPr>
        <w:jc w:val="both"/>
        <w:ind w:left="640" w:right="1300" w:firstLine="869"/>
        <w:spacing w:after="0" w:line="235" w:lineRule="auto"/>
        <w:tabs>
          <w:tab w:leader="none" w:pos="2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Employee’s neglect, refusal, or failure to discharge Employee’s duties (other than due to physical or mental illness) commensurate with Employee’s title and function, or Employee’s failure to comply with the lawful directions of Employer;</w:t>
      </w:r>
    </w:p>
    <w:p>
      <w:pPr>
        <w:spacing w:after="0" w:line="229" w:lineRule="exact"/>
        <w:rPr>
          <w:rFonts w:ascii="Arial" w:cs="Arial" w:eastAsia="Arial" w:hAnsi="Arial"/>
          <w:sz w:val="22"/>
          <w:szCs w:val="22"/>
          <w:color w:val="auto"/>
        </w:rPr>
      </w:pPr>
    </w:p>
    <w:p>
      <w:pPr>
        <w:ind w:left="640" w:right="1300" w:firstLine="869"/>
        <w:spacing w:after="0" w:line="238" w:lineRule="auto"/>
        <w:tabs>
          <w:tab w:leader="none" w:pos="2728" w:val="left"/>
        </w:tabs>
        <w:numPr>
          <w:ilvl w:val="0"/>
          <w:numId w:val="7"/>
        </w:numPr>
        <w:rPr>
          <w:rFonts w:ascii="Arial" w:cs="Arial" w:eastAsia="Arial" w:hAnsi="Arial"/>
          <w:sz w:val="22"/>
          <w:szCs w:val="22"/>
          <w:color w:val="auto"/>
        </w:rPr>
      </w:pPr>
      <w:r>
        <w:rPr>
          <w:rFonts w:ascii="Arial" w:cs="Arial" w:eastAsia="Arial" w:hAnsi="Arial"/>
          <w:sz w:val="22"/>
          <w:szCs w:val="22"/>
          <w:color w:val="auto"/>
        </w:rPr>
        <w:t>Employee’s failure or refusal to perform Employee’s duties within the expectations of Employer or its Affiliate;</w:t>
      </w:r>
    </w:p>
    <w:p>
      <w:pPr>
        <w:spacing w:after="0" w:line="200" w:lineRule="exact"/>
        <w:rPr>
          <w:sz w:val="20"/>
          <w:szCs w:val="20"/>
          <w:color w:val="auto"/>
        </w:rPr>
      </w:pPr>
    </w:p>
    <w:p>
      <w:pPr>
        <w:spacing w:after="0" w:line="27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376" w:right="239" w:bottom="1440" w:gutter="0" w:footer="0" w:header="0"/>
        </w:sectPr>
      </w:pPr>
    </w:p>
    <w:bookmarkStart w:id="7" w:name="page8"/>
    <w:bookmarkEnd w:id="7"/>
    <w:p>
      <w:pPr>
        <w:ind w:left="2560" w:hanging="1051"/>
        <w:spacing w:after="0"/>
        <w:tabs>
          <w:tab w:leader="none" w:pos="25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knowing material misrepresentation to Employer;</w:t>
      </w:r>
    </w:p>
    <w:p>
      <w:pPr>
        <w:spacing w:after="0" w:line="223" w:lineRule="exact"/>
        <w:rPr>
          <w:rFonts w:ascii="Arial" w:cs="Arial" w:eastAsia="Arial" w:hAnsi="Arial"/>
          <w:sz w:val="22"/>
          <w:szCs w:val="22"/>
          <w:color w:val="auto"/>
        </w:rPr>
      </w:pPr>
    </w:p>
    <w:p>
      <w:pPr>
        <w:ind w:left="2540" w:hanging="1031"/>
        <w:spacing w:after="0"/>
        <w:tabs>
          <w:tab w:leader="none" w:pos="2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willful failure to follow a material policy or procedure of Employer or its</w:t>
      </w:r>
    </w:p>
    <w:p>
      <w:pPr>
        <w:ind w:left="640"/>
        <w:spacing w:after="0"/>
        <w:rPr>
          <w:sz w:val="20"/>
          <w:szCs w:val="20"/>
          <w:color w:val="auto"/>
        </w:rPr>
      </w:pPr>
      <w:r>
        <w:rPr>
          <w:rFonts w:ascii="Arial" w:cs="Arial" w:eastAsia="Arial" w:hAnsi="Arial"/>
          <w:sz w:val="22"/>
          <w:szCs w:val="22"/>
          <w:color w:val="auto"/>
        </w:rPr>
        <w:t>Affiliate;</w:t>
      </w:r>
    </w:p>
    <w:p>
      <w:pPr>
        <w:spacing w:after="0" w:line="233" w:lineRule="exact"/>
        <w:rPr>
          <w:sz w:val="20"/>
          <w:szCs w:val="20"/>
          <w:color w:val="auto"/>
        </w:rPr>
      </w:pPr>
    </w:p>
    <w:p>
      <w:pPr>
        <w:jc w:val="both"/>
        <w:ind w:left="640" w:right="640" w:firstLine="869"/>
        <w:spacing w:after="0" w:line="235" w:lineRule="auto"/>
        <w:tabs>
          <w:tab w:leader="none" w:pos="2677" w:val="left"/>
        </w:tabs>
        <w:numPr>
          <w:ilvl w:val="0"/>
          <w:numId w:val="9"/>
        </w:numPr>
        <w:rPr>
          <w:rFonts w:ascii="Arial" w:cs="Arial" w:eastAsia="Arial" w:hAnsi="Arial"/>
          <w:sz w:val="22"/>
          <w:szCs w:val="22"/>
          <w:color w:val="auto"/>
        </w:rPr>
      </w:pPr>
      <w:r>
        <w:rPr>
          <w:rFonts w:ascii="Arial" w:cs="Arial" w:eastAsia="Arial" w:hAnsi="Arial"/>
          <w:sz w:val="22"/>
          <w:szCs w:val="22"/>
          <w:color w:val="auto"/>
        </w:rPr>
        <w:t>Employee’s material violation of a statute, regulation or common law, whether federal, state or local, which applies to and/or governs the business of Employer or its Affiliate;</w:t>
      </w:r>
    </w:p>
    <w:p>
      <w:pPr>
        <w:spacing w:after="0" w:line="229" w:lineRule="exact"/>
        <w:rPr>
          <w:rFonts w:ascii="Arial" w:cs="Arial" w:eastAsia="Arial" w:hAnsi="Arial"/>
          <w:sz w:val="22"/>
          <w:szCs w:val="22"/>
          <w:color w:val="auto"/>
        </w:rPr>
      </w:pPr>
    </w:p>
    <w:p>
      <w:pPr>
        <w:jc w:val="both"/>
        <w:ind w:left="640" w:right="640" w:firstLine="869"/>
        <w:spacing w:after="0" w:line="235" w:lineRule="auto"/>
        <w:tabs>
          <w:tab w:leader="none" w:pos="2519" w:val="left"/>
        </w:tabs>
        <w:numPr>
          <w:ilvl w:val="0"/>
          <w:numId w:val="9"/>
        </w:numPr>
        <w:rPr>
          <w:rFonts w:ascii="Arial" w:cs="Arial" w:eastAsia="Arial" w:hAnsi="Arial"/>
          <w:sz w:val="22"/>
          <w:szCs w:val="22"/>
          <w:color w:val="auto"/>
        </w:rPr>
      </w:pPr>
      <w:r>
        <w:rPr>
          <w:rFonts w:ascii="Arial" w:cs="Arial" w:eastAsia="Arial" w:hAnsi="Arial"/>
          <w:sz w:val="22"/>
          <w:szCs w:val="22"/>
          <w:color w:val="auto"/>
        </w:rPr>
        <w:t>Employee’s material breach of a statutory or common law duty of loyalty or fiduciary duty to Employer or its Affiliate including but not limited to Employer’s conflict of interest policy; or</w:t>
      </w:r>
    </w:p>
    <w:p>
      <w:pPr>
        <w:spacing w:after="0" w:line="229" w:lineRule="exact"/>
        <w:rPr>
          <w:rFonts w:ascii="Arial" w:cs="Arial" w:eastAsia="Arial" w:hAnsi="Arial"/>
          <w:sz w:val="22"/>
          <w:szCs w:val="22"/>
          <w:color w:val="auto"/>
        </w:rPr>
      </w:pPr>
    </w:p>
    <w:p>
      <w:pPr>
        <w:ind w:left="640" w:right="640" w:firstLine="869"/>
        <w:spacing w:after="0" w:line="238" w:lineRule="auto"/>
        <w:tabs>
          <w:tab w:leader="none" w:pos="2631" w:val="left"/>
        </w:tabs>
        <w:numPr>
          <w:ilvl w:val="0"/>
          <w:numId w:val="9"/>
        </w:numPr>
        <w:rPr>
          <w:rFonts w:ascii="Arial" w:cs="Arial" w:eastAsia="Arial" w:hAnsi="Arial"/>
          <w:sz w:val="22"/>
          <w:szCs w:val="22"/>
          <w:color w:val="auto"/>
        </w:rPr>
      </w:pPr>
      <w:r>
        <w:rPr>
          <w:rFonts w:ascii="Arial" w:cs="Arial" w:eastAsia="Arial" w:hAnsi="Arial"/>
          <w:sz w:val="22"/>
          <w:szCs w:val="22"/>
          <w:color w:val="auto"/>
        </w:rPr>
        <w:t>conduct by Employee which adversely and materially reflects upon the business, affairs or reputation of Employer and its affiliate,</w:t>
      </w:r>
    </w:p>
    <w:p>
      <w:pPr>
        <w:spacing w:after="0" w:line="206" w:lineRule="exact"/>
        <w:rPr>
          <w:sz w:val="20"/>
          <w:szCs w:val="20"/>
          <w:color w:val="auto"/>
        </w:rPr>
      </w:pPr>
    </w:p>
    <w:p>
      <w:pPr>
        <w:ind w:left="640" w:right="640"/>
        <w:spacing w:after="0" w:line="257" w:lineRule="auto"/>
        <w:rPr>
          <w:sz w:val="20"/>
          <w:szCs w:val="20"/>
          <w:color w:val="auto"/>
        </w:rPr>
      </w:pP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i w:val="1"/>
          <w:iCs w:val="1"/>
          <w:color w:val="auto"/>
        </w:rPr>
        <w:t xml:space="preserve">, </w:t>
      </w:r>
      <w:r>
        <w:rPr>
          <w:rFonts w:ascii="Arial" w:cs="Arial" w:eastAsia="Arial" w:hAnsi="Arial"/>
          <w:sz w:val="22"/>
          <w:szCs w:val="22"/>
          <w:color w:val="auto"/>
        </w:rPr>
        <w:t>that Employee’s complete disability due to illness or accident or any</w:t>
      </w:r>
      <w:r>
        <w:rPr>
          <w:rFonts w:ascii="Arial" w:cs="Arial" w:eastAsia="Arial" w:hAnsi="Arial"/>
          <w:sz w:val="22"/>
          <w:szCs w:val="22"/>
          <w:i w:val="1"/>
          <w:iCs w:val="1"/>
          <w:color w:val="auto"/>
        </w:rPr>
        <w:t xml:space="preserve"> </w:t>
      </w:r>
      <w:r>
        <w:rPr>
          <w:rFonts w:ascii="Arial" w:cs="Arial" w:eastAsia="Arial" w:hAnsi="Arial"/>
          <w:sz w:val="22"/>
          <w:szCs w:val="22"/>
          <w:color w:val="auto"/>
        </w:rPr>
        <w:t>other mental or physical incapacity shall not constitute “Cause” as defined herein.</w:t>
      </w:r>
    </w:p>
    <w:p>
      <w:pPr>
        <w:spacing w:after="0" w:line="184" w:lineRule="exact"/>
        <w:rPr>
          <w:sz w:val="20"/>
          <w:szCs w:val="20"/>
          <w:color w:val="auto"/>
        </w:rPr>
      </w:pPr>
    </w:p>
    <w:p>
      <w:pPr>
        <w:ind w:left="1820" w:hanging="1175"/>
        <w:spacing w:after="0"/>
        <w:tabs>
          <w:tab w:leader="none" w:pos="18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 means the occurrence, after the Effective Date, of any of the</w:t>
      </w:r>
    </w:p>
    <w:p>
      <w:pPr>
        <w:spacing w:after="0" w:line="1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following events:</w:t>
      </w:r>
    </w:p>
    <w:p>
      <w:pPr>
        <w:spacing w:after="0" w:line="233" w:lineRule="exact"/>
        <w:rPr>
          <w:sz w:val="20"/>
          <w:szCs w:val="20"/>
          <w:color w:val="auto"/>
        </w:rPr>
      </w:pPr>
    </w:p>
    <w:p>
      <w:pPr>
        <w:jc w:val="both"/>
        <w:ind w:left="640" w:right="640" w:firstLine="869"/>
        <w:spacing w:after="0" w:line="232" w:lineRule="auto"/>
        <w:tabs>
          <w:tab w:leader="none" w:pos="2525"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"Person" or "Group" (as such terms are defined in Section 13(d) of the Securities Exchange Act of 1934 (the "</w:t>
      </w:r>
      <w:r>
        <w:rPr>
          <w:rFonts w:ascii="Arial" w:cs="Arial" w:eastAsia="Arial" w:hAnsi="Arial"/>
          <w:sz w:val="22"/>
          <w:szCs w:val="22"/>
          <w:b w:val="1"/>
          <w:bCs w:val="1"/>
          <w:color w:val="auto"/>
        </w:rPr>
        <w:t>Exchange Act</w:t>
      </w:r>
      <w:r>
        <w:rPr>
          <w:rFonts w:ascii="Arial" w:cs="Arial" w:eastAsia="Arial" w:hAnsi="Arial"/>
          <w:sz w:val="22"/>
          <w:szCs w:val="22"/>
          <w:color w:val="auto"/>
        </w:rPr>
        <w:t>") and the rules and regulations promulgated thereunder), excluding any Excluded Stockholder, is or becomes the "Beneficial Owner" (within the meaning of Rule 13d-3 promulgated under the Exchange Act), directly or indirectly, of securities of Wynn Resorts, Limited (“</w:t>
      </w:r>
      <w:r>
        <w:rPr>
          <w:rFonts w:ascii="Arial" w:cs="Arial" w:eastAsia="Arial" w:hAnsi="Arial"/>
          <w:sz w:val="22"/>
          <w:szCs w:val="22"/>
          <w:b w:val="1"/>
          <w:bCs w:val="1"/>
          <w:color w:val="auto"/>
        </w:rPr>
        <w:t>WRL</w:t>
      </w:r>
      <w:r>
        <w:rPr>
          <w:rFonts w:ascii="Arial" w:cs="Arial" w:eastAsia="Arial" w:hAnsi="Arial"/>
          <w:sz w:val="22"/>
          <w:szCs w:val="22"/>
          <w:color w:val="auto"/>
        </w:rPr>
        <w:t>”), or of any entity resulting from a merger or consolidation involving WRL, representing more than fifty percent (50%) of the combined voting power of the then outstanding securities of WRL or such entity;</w:t>
      </w:r>
    </w:p>
    <w:p>
      <w:pPr>
        <w:spacing w:after="0" w:line="231" w:lineRule="exact"/>
        <w:rPr>
          <w:rFonts w:ascii="Arial" w:cs="Arial" w:eastAsia="Arial" w:hAnsi="Arial"/>
          <w:sz w:val="22"/>
          <w:szCs w:val="22"/>
          <w:color w:val="auto"/>
        </w:rPr>
      </w:pPr>
    </w:p>
    <w:p>
      <w:pPr>
        <w:jc w:val="both"/>
        <w:ind w:left="640" w:right="640" w:firstLine="869"/>
        <w:spacing w:after="0" w:line="232" w:lineRule="auto"/>
        <w:tabs>
          <w:tab w:leader="none" w:pos="26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individuals who, as of the Effective Date, are members of WRL’s Board of Directors (the "</w:t>
      </w:r>
      <w:r>
        <w:rPr>
          <w:rFonts w:ascii="Arial" w:cs="Arial" w:eastAsia="Arial" w:hAnsi="Arial"/>
          <w:sz w:val="22"/>
          <w:szCs w:val="22"/>
          <w:b w:val="1"/>
          <w:bCs w:val="1"/>
          <w:color w:val="auto"/>
        </w:rPr>
        <w:t>Existing Directors</w:t>
      </w:r>
      <w:r>
        <w:rPr>
          <w:rFonts w:ascii="Arial" w:cs="Arial" w:eastAsia="Arial" w:hAnsi="Arial"/>
          <w:sz w:val="22"/>
          <w:szCs w:val="22"/>
          <w:color w:val="auto"/>
        </w:rPr>
        <w:t xml:space="preserve">") cease, for any reason, to constitute more than fifty percent (50%) of the number of authorized directors of WRL as determined in the manner prescribed in WRL’s Articles of Incorporation and Bylaws;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if the election, or nomination for election, by WRL's stockholders of any new director was approved by a vote of at least fifty percent (50%) of the Existing Directors, such new director shall be considered an Existing Director;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900" w:top="376" w:right="899" w:bottom="1440" w:gutter="0" w:footer="0" w:header="0"/>
        </w:sectPr>
      </w:pPr>
    </w:p>
    <w:bookmarkStart w:id="8" w:name="page9"/>
    <w:bookmarkEnd w:id="8"/>
    <w:p>
      <w:pPr>
        <w:jc w:val="both"/>
        <w:ind w:left="100"/>
        <w:spacing w:after="0" w:line="237" w:lineRule="auto"/>
        <w:rPr>
          <w:sz w:val="20"/>
          <w:szCs w:val="20"/>
          <w:color w:val="auto"/>
        </w:rPr>
      </w:pPr>
      <w:r>
        <w:rPr>
          <w:rFonts w:ascii="Arial" w:cs="Arial" w:eastAsia="Arial" w:hAnsi="Arial"/>
          <w:sz w:val="22"/>
          <w:szCs w:val="22"/>
          <w:i w:val="1"/>
          <w:iCs w:val="1"/>
          <w:u w:val="single" w:color="auto"/>
          <w:color w:val="auto"/>
        </w:rPr>
        <w:t>provided further</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no individual shall be considered an Existing Director if such individual</w:t>
      </w:r>
      <w:r>
        <w:rPr>
          <w:rFonts w:ascii="Arial" w:cs="Arial" w:eastAsia="Arial" w:hAnsi="Arial"/>
          <w:sz w:val="22"/>
          <w:szCs w:val="22"/>
          <w:i w:val="1"/>
          <w:iCs w:val="1"/>
          <w:color w:val="auto"/>
        </w:rPr>
        <w:t xml:space="preserve"> </w:t>
      </w:r>
      <w:r>
        <w:rPr>
          <w:rFonts w:ascii="Arial" w:cs="Arial" w:eastAsia="Arial" w:hAnsi="Arial"/>
          <w:sz w:val="22"/>
          <w:szCs w:val="22"/>
          <w:color w:val="auto"/>
        </w:rPr>
        <w:t>initially assumed office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22"/>
          <w:szCs w:val="22"/>
          <w:b w:val="1"/>
          <w:bCs w:val="1"/>
          <w:color w:val="auto"/>
        </w:rPr>
        <w:t>Proxy Contest</w:t>
      </w:r>
      <w:r>
        <w:rPr>
          <w:rFonts w:ascii="Arial" w:cs="Arial" w:eastAsia="Arial" w:hAnsi="Arial"/>
          <w:sz w:val="22"/>
          <w:szCs w:val="22"/>
          <w:color w:val="auto"/>
        </w:rPr>
        <w:t>"), including by reason of any agreement intended to avoid or settle any Election Contest or Proxy Contest; or</w:t>
      </w:r>
    </w:p>
    <w:p>
      <w:pPr>
        <w:spacing w:after="0" w:line="232" w:lineRule="exact"/>
        <w:rPr>
          <w:sz w:val="20"/>
          <w:szCs w:val="20"/>
          <w:color w:val="auto"/>
        </w:rPr>
      </w:pPr>
    </w:p>
    <w:p>
      <w:pPr>
        <w:jc w:val="both"/>
        <w:ind w:left="100" w:right="1300" w:firstLine="869"/>
        <w:spacing w:after="0" w:line="241" w:lineRule="auto"/>
        <w:tabs>
          <w:tab w:leader="none" w:pos="2165"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consummation of (x) a merger, consolidation or reorganization to which WRL is a party, whether or not WRL is the Person surviving or resulting therefrom, or</w:t>
      </w:r>
    </w:p>
    <w:p>
      <w:pPr>
        <w:spacing w:after="0" w:line="1" w:lineRule="exact"/>
        <w:rPr>
          <w:rFonts w:ascii="Arial" w:cs="Arial" w:eastAsia="Arial" w:hAnsi="Arial"/>
          <w:sz w:val="21"/>
          <w:szCs w:val="21"/>
          <w:color w:val="auto"/>
        </w:rPr>
      </w:pPr>
    </w:p>
    <w:p>
      <w:pPr>
        <w:jc w:val="both"/>
        <w:ind w:left="100" w:right="1300" w:firstLine="5"/>
        <w:spacing w:after="0" w:line="231" w:lineRule="auto"/>
        <w:tabs>
          <w:tab w:leader="none" w:pos="413"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sale, assignment, lease, conveyance or other disposition of all or substantially all of the assets of WRL, in one transaction or a series of related transactions, to any Person other than WRL, where any such transaction or series of related transactions as is referred to in clause (x) or clause (y) above in this subsection (iii) (singly or collectively, a "</w:t>
      </w:r>
      <w:r>
        <w:rPr>
          <w:rFonts w:ascii="Arial" w:cs="Arial" w:eastAsia="Arial" w:hAnsi="Arial"/>
          <w:sz w:val="22"/>
          <w:szCs w:val="22"/>
          <w:b w:val="1"/>
          <w:bCs w:val="1"/>
          <w:color w:val="auto"/>
        </w:rPr>
        <w:t>Transaction</w:t>
      </w:r>
      <w:r>
        <w:rPr>
          <w:rFonts w:ascii="Arial" w:cs="Arial" w:eastAsia="Arial" w:hAnsi="Arial"/>
          <w:sz w:val="22"/>
          <w:szCs w:val="22"/>
          <w:color w:val="auto"/>
        </w:rPr>
        <w:t xml:space="preserve">") does not otherwise result in a "Change in Control" pursuant to subsection (i) of this definition of "Change in Control";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no such Transaction shall constitute a "Change in Control" under this subsection (iii) if the Persons who were the stockholders of WRL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subsection (iii) or the Person to whom the assets of WRL are sold, assigned, leased, conveyed or disposed of in any transaction or series of related transactions referred in clause (y) above in this subsection (iii), in substantially the same proportions in which such Beneficial Owners held voting stock in WRL immediately before such Transaction.</w:t>
      </w:r>
    </w:p>
    <w:p>
      <w:pPr>
        <w:spacing w:after="0" w:line="237" w:lineRule="exact"/>
        <w:rPr>
          <w:sz w:val="20"/>
          <w:szCs w:val="20"/>
          <w:color w:val="auto"/>
        </w:rPr>
      </w:pPr>
    </w:p>
    <w:p>
      <w:pPr>
        <w:jc w:val="both"/>
        <w:ind w:left="100" w:right="1300"/>
        <w:spacing w:after="0" w:line="234" w:lineRule="auto"/>
        <w:rPr>
          <w:sz w:val="20"/>
          <w:szCs w:val="20"/>
          <w:color w:val="auto"/>
        </w:rPr>
      </w:pPr>
      <w:r>
        <w:rPr>
          <w:rFonts w:ascii="Arial" w:cs="Arial" w:eastAsia="Arial" w:hAnsi="Arial"/>
          <w:sz w:val="22"/>
          <w:szCs w:val="22"/>
          <w:color w:val="auto"/>
        </w:rPr>
        <w:t>For purposes of the foregoing definition of “Change in Control,” the term “Excluded Stockholder” means Stephen A. Wynn, Elaine P. Wynn, and their respective spouses, siblings, children, grandchildren or great grandchildren, any trust primarily for the benefit of the foregoing persons, or any Affiliate of any of the foregoing persons.</w:t>
      </w:r>
    </w:p>
    <w:p>
      <w:pPr>
        <w:spacing w:after="0" w:line="203" w:lineRule="exact"/>
        <w:rPr>
          <w:sz w:val="20"/>
          <w:szCs w:val="20"/>
          <w:color w:val="auto"/>
        </w:rPr>
      </w:pPr>
    </w:p>
    <w:p>
      <w:pPr>
        <w:jc w:val="both"/>
        <w:ind w:left="-540" w:right="660" w:firstLine="718"/>
        <w:spacing w:after="0" w:line="246" w:lineRule="auto"/>
        <w:tabs>
          <w:tab w:leader="none" w:pos="1255"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Complete Disability</w:t>
      </w:r>
      <w:r>
        <w:rPr>
          <w:rFonts w:ascii="Arial" w:cs="Arial" w:eastAsia="Arial" w:hAnsi="Arial"/>
          <w:sz w:val="22"/>
          <w:szCs w:val="22"/>
          <w:color w:val="auto"/>
        </w:rPr>
        <w:t>” - means the inability of Employee, due to illness or accident or other mental or physical incapacity, to perform Employee’s obligations under this Agreement for a period as defined by Employer’s local disability plan or plans.</w:t>
      </w:r>
    </w:p>
    <w:p>
      <w:pPr>
        <w:spacing w:after="0" w:line="2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4" w:right="239" w:bottom="1440" w:gutter="0" w:footer="0" w:header="0"/>
        </w:sectPr>
      </w:pPr>
    </w:p>
    <w:bookmarkStart w:id="9" w:name="page10"/>
    <w:bookmarkEnd w:id="9"/>
    <w:p>
      <w:pPr>
        <w:jc w:val="both"/>
        <w:ind w:firstLine="645"/>
        <w:spacing w:after="0" w:line="244" w:lineRule="auto"/>
        <w:tabs>
          <w:tab w:leader="none" w:pos="1513"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6" w:lineRule="exact"/>
        <w:rPr>
          <w:rFonts w:ascii="Arial" w:cs="Arial" w:eastAsia="Arial" w:hAnsi="Arial"/>
          <w:sz w:val="21"/>
          <w:szCs w:val="21"/>
          <w:color w:val="auto"/>
        </w:rPr>
      </w:pPr>
    </w:p>
    <w:p>
      <w:pPr>
        <w:ind w:left="1560" w:hanging="915"/>
        <w:spacing w:after="0"/>
        <w:tabs>
          <w:tab w:leader="none" w:pos="15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 April 20, 2009.</w:t>
      </w:r>
    </w:p>
    <w:p>
      <w:pPr>
        <w:spacing w:after="0" w:line="233" w:lineRule="exact"/>
        <w:rPr>
          <w:rFonts w:ascii="Arial" w:cs="Arial" w:eastAsia="Arial" w:hAnsi="Arial"/>
          <w:sz w:val="22"/>
          <w:szCs w:val="22"/>
          <w:color w:val="auto"/>
        </w:rPr>
      </w:pPr>
    </w:p>
    <w:p>
      <w:pPr>
        <w:jc w:val="both"/>
        <w:ind w:firstLine="645"/>
        <w:spacing w:after="0"/>
        <w:tabs>
          <w:tab w:leader="none" w:pos="1829"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229" w:lineRule="exact"/>
        <w:rPr>
          <w:rFonts w:ascii="Arial" w:cs="Arial" w:eastAsia="Arial" w:hAnsi="Arial"/>
          <w:sz w:val="22"/>
          <w:szCs w:val="22"/>
          <w:color w:val="auto"/>
        </w:rPr>
      </w:pPr>
    </w:p>
    <w:p>
      <w:pPr>
        <w:ind w:left="640" w:right="660" w:firstLine="869"/>
        <w:spacing w:after="0" w:line="238" w:lineRule="auto"/>
        <w:tabs>
          <w:tab w:leader="none" w:pos="2505" w:val="left"/>
        </w:tabs>
        <w:numPr>
          <w:ilvl w:val="1"/>
          <w:numId w:val="15"/>
        </w:numPr>
        <w:rPr>
          <w:rFonts w:ascii="Arial" w:cs="Arial" w:eastAsia="Arial" w:hAnsi="Arial"/>
          <w:sz w:val="22"/>
          <w:szCs w:val="22"/>
          <w:color w:val="auto"/>
        </w:rPr>
      </w:pPr>
      <w:r>
        <w:rPr>
          <w:rFonts w:ascii="Arial" w:cs="Arial" w:eastAsia="Arial" w:hAnsi="Arial"/>
          <w:sz w:val="22"/>
          <w:szCs w:val="22"/>
          <w:color w:val="auto"/>
        </w:rPr>
        <w:t>Employer or an Affiliate reduces Employee’s Base Salary (as defined in Subsection 8(a) below);</w:t>
      </w:r>
    </w:p>
    <w:p>
      <w:pPr>
        <w:spacing w:after="0" w:line="217" w:lineRule="exact"/>
        <w:rPr>
          <w:rFonts w:ascii="Arial" w:cs="Arial" w:eastAsia="Arial" w:hAnsi="Arial"/>
          <w:sz w:val="22"/>
          <w:szCs w:val="22"/>
          <w:color w:val="auto"/>
        </w:rPr>
      </w:pPr>
    </w:p>
    <w:p>
      <w:pPr>
        <w:ind w:left="2500" w:hanging="991"/>
        <w:spacing w:after="0"/>
        <w:tabs>
          <w:tab w:leader="none" w:pos="25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Employer discontinues its bonus plan in which Employee participates as</w:t>
      </w:r>
    </w:p>
    <w:p>
      <w:pPr>
        <w:jc w:val="both"/>
        <w:ind w:left="640" w:right="660"/>
        <w:spacing w:after="0" w:line="234" w:lineRule="auto"/>
        <w:rPr>
          <w:sz w:val="20"/>
          <w:szCs w:val="20"/>
          <w:color w:val="auto"/>
        </w:rPr>
      </w:pPr>
      <w:r>
        <w:rPr>
          <w:rFonts w:ascii="Arial" w:cs="Arial" w:eastAsia="Arial" w:hAnsi="Arial"/>
          <w:sz w:val="22"/>
          <w:szCs w:val="22"/>
          <w:color w:val="auto"/>
        </w:rPr>
        <w:t>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29" w:lineRule="exact"/>
        <w:rPr>
          <w:sz w:val="20"/>
          <w:szCs w:val="20"/>
          <w:color w:val="auto"/>
        </w:rPr>
      </w:pPr>
    </w:p>
    <w:p>
      <w:pPr>
        <w:ind w:left="640" w:right="660" w:firstLine="869"/>
        <w:spacing w:after="0" w:line="238" w:lineRule="auto"/>
        <w:tabs>
          <w:tab w:leader="none" w:pos="2625" w:val="left"/>
        </w:tabs>
        <w:numPr>
          <w:ilvl w:val="0"/>
          <w:numId w:val="16"/>
        </w:numPr>
        <w:rPr>
          <w:rFonts w:ascii="Arial" w:cs="Arial" w:eastAsia="Arial" w:hAnsi="Arial"/>
          <w:sz w:val="22"/>
          <w:szCs w:val="22"/>
          <w:color w:val="auto"/>
        </w:rPr>
      </w:pPr>
      <w:r>
        <w:rPr>
          <w:rFonts w:ascii="Arial" w:cs="Arial" w:eastAsia="Arial" w:hAnsi="Arial"/>
          <w:sz w:val="22"/>
          <w:szCs w:val="22"/>
          <w:color w:val="auto"/>
        </w:rPr>
        <w:t>Employer materially reduces the aggregate benefits and perquisites to Employee from those being provided immediately before the Change in Control;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900" w:top="350" w:right="879" w:bottom="1440" w:gutter="0" w:footer="0" w:header="0"/>
        </w:sectPr>
      </w:pPr>
    </w:p>
    <w:bookmarkStart w:id="10" w:name="page11"/>
    <w:bookmarkEnd w:id="10"/>
    <w:p>
      <w:pPr>
        <w:jc w:val="both"/>
        <w:ind w:left="1300" w:firstLine="915"/>
        <w:spacing w:after="0" w:line="235" w:lineRule="auto"/>
        <w:tabs>
          <w:tab w:leader="none" w:pos="3617" w:val="left"/>
        </w:tabs>
        <w:numPr>
          <w:ilvl w:val="1"/>
          <w:numId w:val="17"/>
        </w:numPr>
        <w:rPr>
          <w:rFonts w:ascii="Arial" w:cs="Arial" w:eastAsia="Arial" w:hAnsi="Arial"/>
          <w:sz w:val="22"/>
          <w:szCs w:val="22"/>
          <w:color w:val="auto"/>
        </w:rPr>
      </w:pPr>
      <w:r>
        <w:rPr>
          <w:rFonts w:ascii="Arial" w:cs="Arial" w:eastAsia="Arial" w:hAnsi="Arial"/>
          <w:sz w:val="22"/>
          <w:szCs w:val="22"/>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219" w:lineRule="exact"/>
        <w:rPr>
          <w:rFonts w:ascii="Arial" w:cs="Arial" w:eastAsia="Arial" w:hAnsi="Arial"/>
          <w:sz w:val="22"/>
          <w:szCs w:val="22"/>
          <w:color w:val="auto"/>
        </w:rPr>
      </w:pPr>
    </w:p>
    <w:p>
      <w:pPr>
        <w:ind w:left="3120" w:hanging="951"/>
        <w:spacing w:after="0"/>
        <w:tabs>
          <w:tab w:leader="none" w:pos="31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successor to Employer fails or refuses expressly to assume in writing</w:t>
      </w:r>
    </w:p>
    <w:p>
      <w:pPr>
        <w:ind w:left="1300"/>
        <w:spacing w:after="0"/>
        <w:rPr>
          <w:sz w:val="20"/>
          <w:szCs w:val="20"/>
          <w:color w:val="auto"/>
        </w:rPr>
      </w:pPr>
      <w:r>
        <w:rPr>
          <w:rFonts w:ascii="Arial" w:cs="Arial" w:eastAsia="Arial" w:hAnsi="Arial"/>
          <w:sz w:val="22"/>
          <w:szCs w:val="22"/>
          <w:color w:val="auto"/>
        </w:rPr>
        <w:t>the obligations of Employer under this Agreement.</w:t>
      </w:r>
    </w:p>
    <w:p>
      <w:pPr>
        <w:spacing w:after="0" w:line="207" w:lineRule="exact"/>
        <w:rPr>
          <w:sz w:val="20"/>
          <w:szCs w:val="20"/>
          <w:color w:val="auto"/>
        </w:rPr>
      </w:pPr>
    </w:p>
    <w:p>
      <w:pPr>
        <w:ind w:left="2200" w:hanging="895"/>
        <w:spacing w:after="0"/>
        <w:tabs>
          <w:tab w:leader="none" w:pos="22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Original Hire Date</w:t>
      </w:r>
      <w:r>
        <w:rPr>
          <w:rFonts w:ascii="Arial" w:cs="Arial" w:eastAsia="Arial" w:hAnsi="Arial"/>
          <w:sz w:val="22"/>
          <w:szCs w:val="22"/>
          <w:color w:val="auto"/>
        </w:rPr>
        <w:t>” – means April 5, 1993.</w:t>
      </w:r>
    </w:p>
    <w:p>
      <w:pPr>
        <w:spacing w:after="0" w:line="233" w:lineRule="exact"/>
        <w:rPr>
          <w:sz w:val="20"/>
          <w:szCs w:val="20"/>
          <w:color w:val="auto"/>
        </w:rPr>
      </w:pPr>
    </w:p>
    <w:p>
      <w:pPr>
        <w:jc w:val="both"/>
        <w:ind w:left="660" w:right="640" w:firstLine="645"/>
        <w:spacing w:after="0" w:line="236" w:lineRule="auto"/>
        <w:tabs>
          <w:tab w:leader="none" w:pos="2249" w:val="left"/>
        </w:tabs>
        <w:numPr>
          <w:ilvl w:val="1"/>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Separation Payment</w:t>
      </w:r>
      <w:r>
        <w:rPr>
          <w:rFonts w:ascii="Arial" w:cs="Arial" w:eastAsia="Arial" w:hAnsi="Arial"/>
          <w:sz w:val="22"/>
          <w:szCs w:val="22"/>
          <w:color w:val="auto"/>
        </w:rPr>
        <w:t>” - means a lump sum equal to (A) one year of Employee’s Base Salary (as defined in Subsection 8(a) of this Agreement) plus (B) the bonus (specifically excluding any special or one time bonus) that was paid to Employee under Subparagraph 7(b) for the preceding annual bonus period, plus (C) any accrued but unpaid vacation pay plus (D) any Gross-Up Payment required by Exhibit B to this Agreement, which is incorporated herein by reference, said sum to be paid out over twelve (12) months in such weekly, bi-weekly or semi-monthly installments as shall be convenient to Employer.</w:t>
      </w:r>
    </w:p>
    <w:p>
      <w:pPr>
        <w:spacing w:after="0" w:line="203" w:lineRule="exact"/>
        <w:rPr>
          <w:rFonts w:ascii="Arial" w:cs="Arial" w:eastAsia="Arial" w:hAnsi="Arial"/>
          <w:sz w:val="22"/>
          <w:szCs w:val="22"/>
          <w:color w:val="auto"/>
        </w:rPr>
      </w:pPr>
    </w:p>
    <w:p>
      <w:pPr>
        <w:jc w:val="both"/>
        <w:ind w:left="660" w:right="640" w:firstLine="645"/>
        <w:spacing w:after="0" w:line="236" w:lineRule="auto"/>
        <w:tabs>
          <w:tab w:leader="none" w:pos="2350" w:val="left"/>
        </w:tabs>
        <w:numPr>
          <w:ilvl w:val="1"/>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 Secrets</w:t>
      </w:r>
      <w:r>
        <w:rPr>
          <w:rFonts w:ascii="Arial" w:cs="Arial" w:eastAsia="Arial" w:hAnsi="Arial"/>
          <w:sz w:val="22"/>
          <w:szCs w:val="22"/>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03" w:lineRule="exact"/>
        <w:rPr>
          <w:rFonts w:ascii="Arial" w:cs="Arial" w:eastAsia="Arial" w:hAnsi="Arial"/>
          <w:sz w:val="22"/>
          <w:szCs w:val="22"/>
          <w:color w:val="auto"/>
        </w:rPr>
      </w:pPr>
    </w:p>
    <w:p>
      <w:pPr>
        <w:jc w:val="both"/>
        <w:ind w:left="660" w:right="660" w:firstLine="645"/>
        <w:spacing w:after="0" w:line="248" w:lineRule="auto"/>
        <w:tabs>
          <w:tab w:leader="none" w:pos="2356" w:val="left"/>
        </w:tabs>
        <w:numPr>
          <w:ilvl w:val="1"/>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Work of Authorship</w:t>
      </w:r>
      <w:r>
        <w:rPr>
          <w:rFonts w:ascii="Arial" w:cs="Arial" w:eastAsia="Arial" w:hAnsi="Arial"/>
          <w:sz w:val="21"/>
          <w:szCs w:val="21"/>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98" w:lineRule="exact"/>
        <w:rPr>
          <w:rFonts w:ascii="Arial" w:cs="Arial" w:eastAsia="Arial" w:hAnsi="Arial"/>
          <w:sz w:val="21"/>
          <w:szCs w:val="21"/>
          <w:color w:val="auto"/>
        </w:rPr>
      </w:pPr>
    </w:p>
    <w:p>
      <w:pPr>
        <w:jc w:val="both"/>
        <w:ind w:right="20" w:firstLine="8"/>
        <w:spacing w:after="0"/>
        <w:tabs>
          <w:tab w:leader="none" w:pos="1003" w:val="left"/>
        </w:tabs>
        <w:numPr>
          <w:ilvl w:val="0"/>
          <w:numId w:val="2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BASIC EMPLOYMENT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Subject to the terms and pursuant to the conditions hereinafter set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forth, 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color w:val="auto"/>
        </w:rPr>
        <w:t>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203" w:lineRule="exact"/>
        <w:rPr>
          <w:sz w:val="20"/>
          <w:szCs w:val="20"/>
          <w:color w:val="auto"/>
        </w:rPr>
      </w:pPr>
    </w:p>
    <w:p>
      <w:pPr>
        <w:jc w:val="both"/>
        <w:ind w:firstLine="8"/>
        <w:spacing w:after="0" w:line="235" w:lineRule="auto"/>
        <w:tabs>
          <w:tab w:leader="none" w:pos="1030" w:val="left"/>
        </w:tabs>
        <w:numPr>
          <w:ilvl w:val="0"/>
          <w:numId w:val="2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DUTIES OF 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perform such duties assigned to Employee by Employer as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generally associated with the duties of </w:t>
      </w:r>
      <w:r>
        <w:rPr>
          <w:rFonts w:ascii="Arial" w:cs="Arial" w:eastAsia="Arial" w:hAnsi="Arial"/>
          <w:sz w:val="22"/>
          <w:szCs w:val="22"/>
          <w:b w:val="1"/>
          <w:bCs w:val="1"/>
          <w:color w:val="auto"/>
        </w:rPr>
        <w:t>Senior Vice President and Chief Financial Officer</w:t>
      </w:r>
      <w:r>
        <w:rPr>
          <w:rFonts w:ascii="Arial" w:cs="Arial" w:eastAsia="Arial" w:hAnsi="Arial"/>
          <w:sz w:val="22"/>
          <w:szCs w:val="22"/>
          <w:color w:val="auto"/>
        </w:rPr>
        <w:t xml:space="preserve"> for Employer or such similar duties as may be assigned to Employee by Employer as Employer may determine. 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201" w:lineRule="exact"/>
        <w:rPr>
          <w:rFonts w:ascii="Arial" w:cs="Arial" w:eastAsia="Arial" w:hAnsi="Arial"/>
          <w:sz w:val="22"/>
          <w:szCs w:val="22"/>
          <w:b w:val="1"/>
          <w:bCs w:val="1"/>
          <w:i w:val="1"/>
          <w:iCs w:val="1"/>
          <w:color w:val="auto"/>
        </w:rPr>
      </w:pPr>
    </w:p>
    <w:p>
      <w:pPr>
        <w:jc w:val="both"/>
        <w:ind w:firstLine="8"/>
        <w:spacing w:after="0" w:line="236" w:lineRule="auto"/>
        <w:tabs>
          <w:tab w:leader="none" w:pos="976" w:val="left"/>
        </w:tabs>
        <w:numPr>
          <w:ilvl w:val="0"/>
          <w:numId w:val="2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ACCEPTANCE OF EMPLOYMENT/ TERMINATION OF PRIOR EMPLOYMENT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hereby unconditionally accepts the 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3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As a condition to the acceptance of the employment hereunder and concurrent the execution of this Agreement, Employee agrees that as of the Effective Date and concurrent with the effectiveness of this Agreement Employee agrees to terminate the Prior Employment Agreement by executing and delivering the Termination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3" w:lineRule="exact"/>
        <w:rPr>
          <w:sz w:val="20"/>
          <w:szCs w:val="20"/>
          <w:color w:val="auto"/>
        </w:rPr>
      </w:pPr>
    </w:p>
    <w:p>
      <w:pPr>
        <w:jc w:val="both"/>
        <w:ind w:firstLine="8"/>
        <w:spacing w:after="0" w:line="235" w:lineRule="auto"/>
        <w:tabs>
          <w:tab w:leader="none" w:pos="841"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TERM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Unless sooner terminated as provided in this Agreement,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consist of three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Concurrent with Employee’s resignation from Employer or upon the termination of Employee’s employment with Employer, Employee agrees to resign, and shall be deemed to have resigned, all other positions (including but not limited to board of</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2" w:name="page13"/>
    <w:bookmarkEnd w:id="12"/>
    <w:p>
      <w:pPr>
        <w:spacing w:after="0" w:line="238" w:lineRule="auto"/>
        <w:rPr>
          <w:sz w:val="20"/>
          <w:szCs w:val="20"/>
          <w:color w:val="auto"/>
        </w:rPr>
      </w:pPr>
      <w:r>
        <w:rPr>
          <w:rFonts w:ascii="Arial" w:cs="Arial" w:eastAsia="Arial" w:hAnsi="Arial"/>
          <w:sz w:val="22"/>
          <w:szCs w:val="22"/>
          <w:color w:val="auto"/>
        </w:rPr>
        <w:t>director memberships) that Employee may have held with Employer and any affiliates of Employer immediately prior to Employee’s resignation or termination.</w:t>
      </w:r>
    </w:p>
    <w:p>
      <w:pPr>
        <w:spacing w:after="0" w:line="201"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b w:val="1"/>
          <w:bCs w:val="1"/>
          <w:color w:val="auto"/>
        </w:rPr>
        <w:t>6</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SPECIAL TERMINATION PROVISIONS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Section 5,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upon the occurrence of any of the following events:</w:t>
      </w:r>
    </w:p>
    <w:p>
      <w:pPr>
        <w:spacing w:after="0" w:line="205" w:lineRule="exact"/>
        <w:rPr>
          <w:sz w:val="20"/>
          <w:szCs w:val="20"/>
          <w:color w:val="auto"/>
        </w:rPr>
      </w:pPr>
    </w:p>
    <w:p>
      <w:pPr>
        <w:ind w:left="2220" w:hanging="915"/>
        <w:spacing w:after="0"/>
        <w:tabs>
          <w:tab w:leader="none" w:pos="22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death of Employee; or</w:t>
      </w:r>
    </w:p>
    <w:p>
      <w:pPr>
        <w:spacing w:after="0" w:line="233" w:lineRule="exact"/>
        <w:rPr>
          <w:rFonts w:ascii="Arial" w:cs="Arial" w:eastAsia="Arial" w:hAnsi="Arial"/>
          <w:sz w:val="22"/>
          <w:szCs w:val="22"/>
          <w:color w:val="auto"/>
        </w:rPr>
      </w:pPr>
    </w:p>
    <w:p>
      <w:pPr>
        <w:ind w:left="660" w:right="660" w:firstLine="645"/>
        <w:spacing w:after="0" w:line="238" w:lineRule="auto"/>
        <w:tabs>
          <w:tab w:leader="none" w:pos="266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giving of written notice from Employer to Employee of the termination of this Agreement upon the Complete Disability of Employee; or</w:t>
      </w:r>
    </w:p>
    <w:p>
      <w:pPr>
        <w:spacing w:after="0" w:line="227" w:lineRule="exact"/>
        <w:rPr>
          <w:rFonts w:ascii="Arial" w:cs="Arial" w:eastAsia="Arial" w:hAnsi="Arial"/>
          <w:sz w:val="22"/>
          <w:szCs w:val="22"/>
          <w:color w:val="auto"/>
        </w:rPr>
      </w:pPr>
    </w:p>
    <w:p>
      <w:pPr>
        <w:jc w:val="both"/>
        <w:ind w:left="660" w:right="660" w:firstLine="645"/>
        <w:spacing w:after="0" w:line="235" w:lineRule="auto"/>
        <w:tabs>
          <w:tab w:leader="none" w:pos="224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upon the discharge of Employee for Cause (Employer’s right to terminate for Cause (as defined in Section 1(c) shall survive the expiration of this Agreement); or</w:t>
      </w:r>
    </w:p>
    <w:p>
      <w:pPr>
        <w:spacing w:after="0" w:line="229" w:lineRule="exact"/>
        <w:rPr>
          <w:sz w:val="20"/>
          <w:szCs w:val="20"/>
          <w:color w:val="auto"/>
        </w:rPr>
      </w:pPr>
    </w:p>
    <w:p>
      <w:pPr>
        <w:jc w:val="both"/>
        <w:ind w:left="660" w:right="660" w:firstLine="748"/>
        <w:spacing w:after="0" w:line="235" w:lineRule="auto"/>
        <w:tabs>
          <w:tab w:leader="none" w:pos="2818"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229" w:lineRule="exact"/>
        <w:rPr>
          <w:rFonts w:ascii="Arial" w:cs="Arial" w:eastAsia="Arial" w:hAnsi="Arial"/>
          <w:sz w:val="22"/>
          <w:szCs w:val="22"/>
          <w:color w:val="auto"/>
        </w:rPr>
      </w:pPr>
    </w:p>
    <w:p>
      <w:pPr>
        <w:jc w:val="both"/>
        <w:ind w:left="660" w:right="640" w:firstLine="645"/>
        <w:spacing w:after="0" w:line="246" w:lineRule="auto"/>
        <w:tabs>
          <w:tab w:leader="none" w:pos="25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giving of written notice by Employee to Employer upon a material breach of this Agreement by Employer, which material breach remains uncured for a period of thirty (30) days after the giving of such notice. “Material breach” under this Section 6(e) shall not be construed to include temporary suspension of the Employee from duty, pursuant to Employer’s policy, pending investigation by Employer of any incident or occurrence that could give rise to discipline or termination of employment;</w:t>
      </w:r>
    </w:p>
    <w:p>
      <w:pPr>
        <w:spacing w:after="0" w:line="220" w:lineRule="exact"/>
        <w:rPr>
          <w:rFonts w:ascii="Arial" w:cs="Arial" w:eastAsia="Arial" w:hAnsi="Arial"/>
          <w:sz w:val="21"/>
          <w:szCs w:val="21"/>
          <w:color w:val="auto"/>
        </w:rPr>
      </w:pPr>
    </w:p>
    <w:p>
      <w:pPr>
        <w:jc w:val="both"/>
        <w:ind w:left="660" w:right="660" w:firstLine="645"/>
        <w:spacing w:after="0" w:line="234" w:lineRule="auto"/>
        <w:tabs>
          <w:tab w:leader="none" w:pos="2292"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at Employee’s sole election in writing as provided in Section 17 of this Agreement, after both a Change of Control and as a result of Good Reason,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that, within ten (10) calendar days after Employer’s receipt of Employee’s written election, Employer must tender the Separation Payment to Employee; or</w:t>
      </w:r>
    </w:p>
    <w:p>
      <w:pPr>
        <w:spacing w:after="0" w:line="228" w:lineRule="exact"/>
        <w:rPr>
          <w:rFonts w:ascii="Arial" w:cs="Arial" w:eastAsia="Arial" w:hAnsi="Arial"/>
          <w:sz w:val="22"/>
          <w:szCs w:val="22"/>
          <w:color w:val="auto"/>
        </w:rPr>
      </w:pPr>
    </w:p>
    <w:p>
      <w:pPr>
        <w:jc w:val="both"/>
        <w:ind w:left="660" w:right="640" w:firstLine="645"/>
        <w:spacing w:after="0" w:line="232" w:lineRule="auto"/>
        <w:tabs>
          <w:tab w:leader="none" w:pos="244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immediate termination of this Agreement Without Cause for any reason deemed sufficient by Employer. In the event of termination Without Cause, Employer’s sole liability to Employee shall be (i) continued payment of Employee’s Base Salary for that period of time equal to one-half the number of months remaining in the Term of this Agreement following the effective date of termination (which in no event shall be greater than twelve months or less than three months), calculated at the Base Salary rate in force on the effective date of termination, plus (ii) a monthly amount equal to one twelfth of the cash bonus amount (specifically excluding any special or one time bonus) that was paid to Employee under Subparagraph 7(b) for the preceding annual bonus period for the same period of time that the Base Salary payments are made under Section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3" w:name="page14"/>
    <w:bookmarkEnd w:id="13"/>
    <w:p>
      <w:pPr>
        <w:jc w:val="both"/>
        <w:ind w:left="660"/>
        <w:spacing w:after="0" w:line="243" w:lineRule="auto"/>
        <w:rPr>
          <w:sz w:val="20"/>
          <w:szCs w:val="20"/>
          <w:color w:val="auto"/>
        </w:rPr>
      </w:pPr>
      <w:r>
        <w:rPr>
          <w:rFonts w:ascii="Arial" w:cs="Arial" w:eastAsia="Arial" w:hAnsi="Arial"/>
          <w:sz w:val="21"/>
          <w:szCs w:val="21"/>
          <w:color w:val="auto"/>
        </w:rPr>
        <w:t>6(g)(i). Both the Base Salary and bonus amounts shall paid according to the usual payroll schedule in force for all employees of Employer less deductions of all applicable taxes and withholdings. Employee shall not be entitled to payment of continued Base Salary or bonus amount unless and until Employee first executes a written release-severance agreement, prepared and presented by Employer, that fully releases Employer, Affiliates, and their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2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3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It is expressly acknowledged and agreed that the decision as to whether “Cause” exists for termination of the employment relationship by Employer is delegated to the Employer’s President. If Employee disagrees with the decision reached by Employer’s President, any dispute as to the “Cause” determination will be limited to whether Employer’s President reached his/her decision in good faith, based upon facts reasonably believed by Employer’s President to be true, and not for any arbitrary, capricious or illegal reason,. This shall be the standard applied by any fact finder, and Employee shall bear the burden to prove that “Cause,” under this standard, did not exist.</w:t>
      </w:r>
    </w:p>
    <w:p>
      <w:pPr>
        <w:spacing w:after="0" w:line="202" w:lineRule="exact"/>
        <w:rPr>
          <w:sz w:val="20"/>
          <w:szCs w:val="20"/>
          <w:color w:val="auto"/>
        </w:rPr>
      </w:pPr>
    </w:p>
    <w:p>
      <w:pPr>
        <w:jc w:val="both"/>
        <w:ind w:firstLine="656"/>
        <w:spacing w:after="0" w:line="263" w:lineRule="auto"/>
        <w:tabs>
          <w:tab w:leader="none" w:pos="1597" w:val="left"/>
        </w:tabs>
        <w:numPr>
          <w:ilvl w:val="0"/>
          <w:numId w:val="2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COMPENSATION TO EMPLOYEE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and in complete consideration of Employee's full and faithful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of Employee’s duties under this Agreement, Employer hereby covenants and agrees to pay to Employee, and Employee hereby covenants and agrees to accept from Employer, the following items of compensation:</w:t>
      </w:r>
    </w:p>
    <w:p>
      <w:pPr>
        <w:spacing w:after="0" w:line="178" w:lineRule="exact"/>
        <w:rPr>
          <w:rFonts w:ascii="Arial" w:cs="Arial" w:eastAsia="Arial" w:hAnsi="Arial"/>
          <w:sz w:val="21"/>
          <w:szCs w:val="21"/>
          <w:b w:val="1"/>
          <w:bCs w:val="1"/>
          <w:i w:val="1"/>
          <w:iCs w:val="1"/>
          <w:color w:val="auto"/>
        </w:rPr>
      </w:pPr>
    </w:p>
    <w:p>
      <w:pPr>
        <w:jc w:val="both"/>
        <w:ind w:left="660" w:right="660" w:firstLine="645"/>
        <w:spacing w:after="0" w:line="238" w:lineRule="auto"/>
        <w:tabs>
          <w:tab w:leader="none" w:pos="2624" w:val="left"/>
        </w:tabs>
        <w:numPr>
          <w:ilvl w:val="1"/>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hereby covenants and agrees to pay to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hereby covenants and agrees to accept from Employer, a base salary at the rate of Four Hundred Thousand Dollars and No Cents ($400,000.00) per annum, payable in such installments as shall be convenient to Employer (the “</w:t>
      </w:r>
      <w:r>
        <w:rPr>
          <w:rFonts w:ascii="Arial" w:cs="Arial" w:eastAsia="Arial" w:hAnsi="Arial"/>
          <w:sz w:val="22"/>
          <w:szCs w:val="22"/>
          <w:b w:val="1"/>
          <w:bCs w:val="1"/>
          <w:color w:val="auto"/>
        </w:rPr>
        <w:t>Base Salary”</w:t>
      </w:r>
      <w:r>
        <w:rPr>
          <w:rFonts w:ascii="Arial" w:cs="Arial" w:eastAsia="Arial" w:hAnsi="Arial"/>
          <w:sz w:val="22"/>
          <w:szCs w:val="22"/>
          <w:color w:val="auto"/>
        </w:rPr>
        <w:t>). Employee shall be subject to performance reviews and the Base Salary may be increased but not decreased as a result of any such review. Such</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4" w:name="page15"/>
    <w:bookmarkEnd w:id="14"/>
    <w:p>
      <w:pPr>
        <w:jc w:val="both"/>
        <w:spacing w:after="0" w:line="234" w:lineRule="auto"/>
        <w:rPr>
          <w:sz w:val="20"/>
          <w:szCs w:val="20"/>
          <w:color w:val="auto"/>
        </w:rPr>
      </w:pPr>
      <w:r>
        <w:rPr>
          <w:rFonts w:ascii="Arial" w:cs="Arial" w:eastAsia="Arial" w:hAnsi="Arial"/>
          <w:sz w:val="22"/>
          <w:szCs w:val="22"/>
          <w:color w:val="auto"/>
        </w:rPr>
        <w:t>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02" w:lineRule="exact"/>
        <w:rPr>
          <w:sz w:val="20"/>
          <w:szCs w:val="20"/>
          <w:color w:val="auto"/>
        </w:rPr>
      </w:pPr>
    </w:p>
    <w:p>
      <w:pPr>
        <w:jc w:val="both"/>
        <w:ind w:right="660" w:firstLine="645"/>
        <w:spacing w:after="0" w:line="246" w:lineRule="auto"/>
        <w:tabs>
          <w:tab w:leader="none" w:pos="1654"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will be eligible to receive a bonus at such times and</w:t>
      </w:r>
      <w:r>
        <w:rPr>
          <w:rFonts w:ascii="Arial" w:cs="Arial" w:eastAsia="Arial" w:hAnsi="Arial"/>
          <w:sz w:val="22"/>
          <w:szCs w:val="22"/>
          <w:b w:val="1"/>
          <w:bCs w:val="1"/>
          <w:color w:val="auto"/>
        </w:rPr>
        <w:t xml:space="preserve"> </w:t>
      </w:r>
      <w:r>
        <w:rPr>
          <w:rFonts w:ascii="Arial" w:cs="Arial" w:eastAsia="Arial" w:hAnsi="Arial"/>
          <w:sz w:val="22"/>
          <w:szCs w:val="22"/>
          <w:color w:val="auto"/>
        </w:rPr>
        <w:t>in such amounts as Employer in its sole and exclusive discretion may determine. Employer retains the discretion to adopt, amend or terminate any bonus plan at any time.</w:t>
      </w:r>
    </w:p>
    <w:p>
      <w:pPr>
        <w:spacing w:after="0" w:line="194" w:lineRule="exact"/>
        <w:rPr>
          <w:rFonts w:ascii="Arial" w:cs="Arial" w:eastAsia="Arial" w:hAnsi="Arial"/>
          <w:sz w:val="22"/>
          <w:szCs w:val="22"/>
          <w:color w:val="auto"/>
        </w:rPr>
      </w:pPr>
    </w:p>
    <w:p>
      <w:pPr>
        <w:jc w:val="both"/>
        <w:ind w:right="660" w:firstLine="645"/>
        <w:spacing w:after="0" w:line="235" w:lineRule="auto"/>
        <w:tabs>
          <w:tab w:leader="none" w:pos="1682"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Benefit Plans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hereby covenants and agrees that it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if otherwise eligible, in any profit sharing plan, pension plan, retirement plan, disability or life insurance plan, medical and/or hospitalization plan, and any other benefit plan which may be placed in effect by Employer or any of its Affiliates and generally available to Employer’s employees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w:t>
      </w:r>
    </w:p>
    <w:p>
      <w:pPr>
        <w:spacing w:after="0" w:line="206" w:lineRule="exact"/>
        <w:rPr>
          <w:rFonts w:ascii="Arial" w:cs="Arial" w:eastAsia="Arial" w:hAnsi="Arial"/>
          <w:sz w:val="22"/>
          <w:szCs w:val="22"/>
          <w:color w:val="auto"/>
        </w:rPr>
      </w:pPr>
    </w:p>
    <w:p>
      <w:pPr>
        <w:jc w:val="both"/>
        <w:ind w:right="660" w:firstLine="645"/>
        <w:spacing w:after="0" w:line="237" w:lineRule="auto"/>
        <w:tabs>
          <w:tab w:leader="none" w:pos="1721"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Expense Reimbursement</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and provided the same are authorized in</w:t>
      </w:r>
      <w:r>
        <w:rPr>
          <w:rFonts w:ascii="Arial" w:cs="Arial" w:eastAsia="Arial" w:hAnsi="Arial"/>
          <w:sz w:val="22"/>
          <w:szCs w:val="22"/>
          <w:b w:val="1"/>
          <w:bCs w:val="1"/>
          <w:color w:val="auto"/>
        </w:rPr>
        <w:t xml:space="preserve"> </w:t>
      </w:r>
      <w:r>
        <w:rPr>
          <w:rFonts w:ascii="Arial" w:cs="Arial" w:eastAsia="Arial" w:hAnsi="Arial"/>
          <w:sz w:val="22"/>
          <w:szCs w:val="22"/>
          <w:color w:val="auto"/>
        </w:rPr>
        <w:t>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02" w:lineRule="exact"/>
        <w:rPr>
          <w:rFonts w:ascii="Arial" w:cs="Arial" w:eastAsia="Arial" w:hAnsi="Arial"/>
          <w:sz w:val="22"/>
          <w:szCs w:val="22"/>
          <w:color w:val="auto"/>
        </w:rPr>
      </w:pPr>
    </w:p>
    <w:p>
      <w:pPr>
        <w:jc w:val="both"/>
        <w:ind w:right="640" w:firstLine="645"/>
        <w:spacing w:after="0" w:line="238" w:lineRule="auto"/>
        <w:tabs>
          <w:tab w:leader="none" w:pos="1843"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Vacations and Holidays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as of the Effective Date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be entitled to (i) four (4) weeks paid vacation leave during each 12 month period of employment in accordance with Employer’s standard policy, to be taken at such times as selected by Employee and approved by Employer, and (ii) paid holidays (or, at Employer’s option, an equivalent number of paid days off) in accordance with Employer’s standard policy..</w:t>
      </w:r>
    </w:p>
    <w:p>
      <w:pPr>
        <w:spacing w:after="0" w:line="204" w:lineRule="exact"/>
        <w:rPr>
          <w:rFonts w:ascii="Arial" w:cs="Arial" w:eastAsia="Arial" w:hAnsi="Arial"/>
          <w:sz w:val="22"/>
          <w:szCs w:val="22"/>
          <w:color w:val="auto"/>
        </w:rPr>
      </w:pPr>
    </w:p>
    <w:p>
      <w:pPr>
        <w:jc w:val="both"/>
        <w:ind w:right="640" w:firstLine="645"/>
        <w:spacing w:after="0"/>
        <w:tabs>
          <w:tab w:leader="none" w:pos="2072"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Withholdings</w:t>
      </w:r>
      <w:r>
        <w:rPr>
          <w:rFonts w:ascii="Arial" w:cs="Arial" w:eastAsia="Arial" w:hAnsi="Arial"/>
          <w:sz w:val="22"/>
          <w:szCs w:val="22"/>
          <w:b w:val="1"/>
          <w:bCs w:val="1"/>
          <w:color w:val="auto"/>
        </w:rPr>
        <w:t xml:space="preserve">. </w:t>
      </w:r>
      <w:r>
        <w:rPr>
          <w:rFonts w:ascii="Arial" w:cs="Arial" w:eastAsia="Arial" w:hAnsi="Arial"/>
          <w:sz w:val="22"/>
          <w:szCs w:val="22"/>
          <w:color w:val="auto"/>
        </w:rPr>
        <w:t>All compensation provided to Employee by Employer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7 shall be subject to applicable withholdings for federal, state or local income or other taxes, Social Security Tax, Medicare Tax, State Unemployment Insurance, State Disability Insurance, charitable contributions and the like.</w:t>
      </w:r>
    </w:p>
    <w:p>
      <w:pPr>
        <w:spacing w:after="0" w:line="204" w:lineRule="exact"/>
        <w:rPr>
          <w:sz w:val="20"/>
          <w:szCs w:val="20"/>
          <w:color w:val="auto"/>
        </w:rPr>
      </w:pPr>
    </w:p>
    <w:p>
      <w:pPr>
        <w:ind w:right="660" w:firstLine="648"/>
        <w:spacing w:after="0" w:line="261" w:lineRule="auto"/>
        <w:rPr>
          <w:sz w:val="20"/>
          <w:szCs w:val="20"/>
          <w:color w:val="auto"/>
        </w:rPr>
      </w:pPr>
      <w:r>
        <w:rPr>
          <w:rFonts w:ascii="Arial" w:cs="Arial" w:eastAsia="Arial" w:hAnsi="Arial"/>
          <w:sz w:val="22"/>
          <w:szCs w:val="22"/>
          <w:color w:val="auto"/>
        </w:rPr>
        <w:t>With respect to Employee employment with Worldwide Wynn, LLC (“</w:t>
      </w:r>
      <w:r>
        <w:rPr>
          <w:rFonts w:ascii="Arial" w:cs="Arial" w:eastAsia="Arial" w:hAnsi="Arial"/>
          <w:sz w:val="22"/>
          <w:szCs w:val="22"/>
          <w:b w:val="1"/>
          <w:bCs w:val="1"/>
          <w:color w:val="auto"/>
        </w:rPr>
        <w:t>WWW</w:t>
      </w:r>
      <w:r>
        <w:rPr>
          <w:rFonts w:ascii="Arial" w:cs="Arial" w:eastAsia="Arial" w:hAnsi="Arial"/>
          <w:sz w:val="22"/>
          <w:szCs w:val="22"/>
          <w:color w:val="auto"/>
        </w:rPr>
        <w:t>”) during 2009, Employer covenants and agrees that Employee shall</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34" w:right="239" w:bottom="1440" w:gutter="0" w:footer="0" w:header="0"/>
        </w:sectPr>
      </w:pPr>
    </w:p>
    <w:bookmarkStart w:id="15" w:name="page16"/>
    <w:bookmarkEnd w:id="15"/>
    <w:p>
      <w:pPr>
        <w:jc w:val="both"/>
        <w:ind w:left="652"/>
        <w:spacing w:after="0" w:line="234" w:lineRule="auto"/>
        <w:rPr>
          <w:sz w:val="20"/>
          <w:szCs w:val="20"/>
          <w:color w:val="auto"/>
        </w:rPr>
      </w:pPr>
      <w:r>
        <w:rPr>
          <w:rFonts w:ascii="Arial" w:cs="Arial" w:eastAsia="Arial" w:hAnsi="Arial"/>
          <w:sz w:val="22"/>
          <w:szCs w:val="22"/>
          <w:color w:val="auto"/>
        </w:rPr>
        <w:t>not be required to pay any more income tax for his employment with WWW in Macau than he would have been required to pay on the same amount of compensation had Employee been employed by Employer in Las Vegas, Nevada, and Employer shall either pay, or cause WWW to pay, any additional tax or “gross up” as much of Employee’s compensation as may be necessary to enforce this covenant.</w:t>
      </w:r>
    </w:p>
    <w:p>
      <w:pPr>
        <w:spacing w:after="0" w:line="202" w:lineRule="exact"/>
        <w:rPr>
          <w:sz w:val="20"/>
          <w:szCs w:val="20"/>
          <w:color w:val="auto"/>
        </w:rPr>
      </w:pPr>
    </w:p>
    <w:p>
      <w:pPr>
        <w:jc w:val="both"/>
        <w:ind w:left="652" w:right="660" w:hanging="4"/>
        <w:spacing w:after="0" w:line="246" w:lineRule="auto"/>
        <w:tabs>
          <w:tab w:leader="none" w:pos="1860" w:val="left"/>
        </w:tabs>
        <w:numPr>
          <w:ilvl w:val="1"/>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Immigration Assistance</w:t>
      </w:r>
      <w:r>
        <w:rPr>
          <w:rFonts w:ascii="Arial" w:cs="Arial" w:eastAsia="Arial" w:hAnsi="Arial"/>
          <w:sz w:val="22"/>
          <w:szCs w:val="22"/>
          <w:color w:val="auto"/>
        </w:rPr>
        <w:t>. Employer agrees to reimburse Employee for up to Twenty-Five</w:t>
      </w:r>
      <w:r>
        <w:rPr>
          <w:rFonts w:ascii="Arial" w:cs="Arial" w:eastAsia="Arial" w:hAnsi="Arial"/>
          <w:sz w:val="22"/>
          <w:szCs w:val="22"/>
          <w:b w:val="1"/>
          <w:bCs w:val="1"/>
          <w:color w:val="auto"/>
        </w:rPr>
        <w:t xml:space="preserve"> </w:t>
      </w:r>
      <w:r>
        <w:rPr>
          <w:rFonts w:ascii="Arial" w:cs="Arial" w:eastAsia="Arial" w:hAnsi="Arial"/>
          <w:sz w:val="22"/>
          <w:szCs w:val="22"/>
          <w:color w:val="auto"/>
        </w:rPr>
        <w:t>Thousand Dollars ($25,000.00) in legal fees and expenses (including airfare related expenses) incurred by Employee due to Employee’s spouse’s immigration to the United States.</w:t>
      </w:r>
    </w:p>
    <w:p>
      <w:pPr>
        <w:spacing w:after="0" w:line="194" w:lineRule="exact"/>
        <w:rPr>
          <w:rFonts w:ascii="Arial" w:cs="Arial" w:eastAsia="Arial" w:hAnsi="Arial"/>
          <w:sz w:val="22"/>
          <w:szCs w:val="22"/>
          <w:color w:val="auto"/>
        </w:rPr>
      </w:pPr>
    </w:p>
    <w:p>
      <w:pPr>
        <w:ind w:left="652" w:right="660" w:firstLine="645"/>
        <w:spacing w:after="0" w:line="261" w:lineRule="auto"/>
        <w:tabs>
          <w:tab w:leader="none" w:pos="2427" w:val="left"/>
        </w:tabs>
        <w:numPr>
          <w:ilvl w:val="2"/>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Original Hire Date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specified in this Agreement, Employee's Original Hire</w:t>
      </w:r>
      <w:r>
        <w:rPr>
          <w:rFonts w:ascii="Arial" w:cs="Arial" w:eastAsia="Arial" w:hAnsi="Arial"/>
          <w:sz w:val="22"/>
          <w:szCs w:val="22"/>
          <w:b w:val="1"/>
          <w:bCs w:val="1"/>
          <w:color w:val="auto"/>
        </w:rPr>
        <w:t xml:space="preserve"> </w:t>
      </w:r>
      <w:r>
        <w:rPr>
          <w:rFonts w:ascii="Arial" w:cs="Arial" w:eastAsia="Arial" w:hAnsi="Arial"/>
          <w:sz w:val="22"/>
          <w:szCs w:val="22"/>
          <w:color w:val="auto"/>
        </w:rPr>
        <w:t>Date shall be used for determining benefits.</w:t>
      </w:r>
    </w:p>
    <w:p>
      <w:pPr>
        <w:spacing w:after="0" w:line="179" w:lineRule="exact"/>
        <w:rPr>
          <w:rFonts w:ascii="Arial" w:cs="Arial" w:eastAsia="Arial" w:hAnsi="Arial"/>
          <w:sz w:val="22"/>
          <w:szCs w:val="22"/>
          <w:color w:val="auto"/>
        </w:rPr>
      </w:pPr>
    </w:p>
    <w:p>
      <w:pPr>
        <w:ind w:left="832" w:hanging="832"/>
        <w:spacing w:after="0"/>
        <w:tabs>
          <w:tab w:leader="none" w:pos="832" w:val="left"/>
        </w:tabs>
        <w:numPr>
          <w:ilvl w:val="0"/>
          <w:numId w:val="3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LICENSING REQUIREMENTS</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i w:val="1"/>
          <w:iCs w:val="1"/>
          <w:color w:val="auto"/>
        </w:rPr>
      </w:pPr>
    </w:p>
    <w:p>
      <w:pPr>
        <w:jc w:val="both"/>
        <w:ind w:left="652" w:right="640" w:hanging="4"/>
        <w:spacing w:after="0" w:line="232" w:lineRule="auto"/>
        <w:tabs>
          <w:tab w:leader="none" w:pos="1759" w:val="left"/>
        </w:tabs>
        <w:numPr>
          <w:ilvl w:val="1"/>
          <w:numId w:val="30"/>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this Agreement and/or Employee’s employment may be subject to the approval of one or more gaming regulatory authorities (the “</w:t>
      </w:r>
      <w:r>
        <w:rPr>
          <w:rFonts w:ascii="Arial" w:cs="Arial" w:eastAsia="Arial" w:hAnsi="Arial"/>
          <w:sz w:val="22"/>
          <w:szCs w:val="22"/>
          <w:b w:val="1"/>
          <w:bCs w:val="1"/>
          <w:color w:val="auto"/>
        </w:rPr>
        <w:t>Authorities</w:t>
      </w:r>
      <w:r>
        <w:rPr>
          <w:rFonts w:ascii="Arial" w:cs="Arial" w:eastAsia="Arial" w:hAnsi="Arial"/>
          <w:sz w:val="22"/>
          <w:szCs w:val="22"/>
          <w:color w:val="auto"/>
        </w:rPr>
        <w:t>”) pursuant to the provisions of the relevant gaming regulatory statutes (the “</w:t>
      </w:r>
      <w:r>
        <w:rPr>
          <w:rFonts w:ascii="Arial" w:cs="Arial" w:eastAsia="Arial" w:hAnsi="Arial"/>
          <w:sz w:val="22"/>
          <w:szCs w:val="22"/>
          <w:b w:val="1"/>
          <w:bCs w:val="1"/>
          <w:color w:val="auto"/>
        </w:rPr>
        <w:t>Gaming Acts</w:t>
      </w:r>
      <w:r>
        <w:rPr>
          <w:rFonts w:ascii="Arial" w:cs="Arial" w:eastAsia="Arial" w:hAnsi="Arial"/>
          <w:sz w:val="22"/>
          <w:szCs w:val="22"/>
          <w:color w:val="auto"/>
        </w:rPr>
        <w:t>”) and the regulations promulgated thereunder (the “</w:t>
      </w:r>
      <w:r>
        <w:rPr>
          <w:rFonts w:ascii="Arial" w:cs="Arial" w:eastAsia="Arial" w:hAnsi="Arial"/>
          <w:sz w:val="22"/>
          <w:szCs w:val="22"/>
          <w:b w:val="1"/>
          <w:bCs w:val="1"/>
          <w:color w:val="auto"/>
        </w:rPr>
        <w:t>Gaming Regulations</w:t>
      </w:r>
      <w:r>
        <w:rPr>
          <w:rFonts w:ascii="Arial" w:cs="Arial" w:eastAsia="Arial" w:hAnsi="Arial"/>
          <w:sz w:val="22"/>
          <w:szCs w:val="22"/>
          <w:color w:val="auto"/>
        </w:rPr>
        <w:t>”). Employer and Employee hereby covenant and agree to use their best efforts to obtain any and all 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Employer.</w:t>
      </w:r>
    </w:p>
    <w:p>
      <w:pPr>
        <w:spacing w:after="0" w:line="227" w:lineRule="exact"/>
        <w:rPr>
          <w:rFonts w:ascii="Arial" w:cs="Arial" w:eastAsia="Arial" w:hAnsi="Arial"/>
          <w:sz w:val="22"/>
          <w:szCs w:val="22"/>
          <w:color w:val="auto"/>
        </w:rPr>
      </w:pPr>
    </w:p>
    <w:p>
      <w:pPr>
        <w:jc w:val="both"/>
        <w:ind w:left="652" w:right="640" w:hanging="4"/>
        <w:spacing w:after="0" w:line="231" w:lineRule="auto"/>
        <w:tabs>
          <w:tab w:leader="none" w:pos="1583" w:val="left"/>
        </w:tabs>
        <w:numPr>
          <w:ilvl w:val="1"/>
          <w:numId w:val="30"/>
        </w:numPr>
        <w:rPr>
          <w:rFonts w:ascii="Arial" w:cs="Arial" w:eastAsia="Arial" w:hAnsi="Arial"/>
          <w:sz w:val="22"/>
          <w:szCs w:val="22"/>
          <w:color w:val="auto"/>
        </w:rPr>
      </w:pPr>
      <w:r>
        <w:rPr>
          <w:rFonts w:ascii="Arial" w:cs="Arial" w:eastAsia="Arial" w:hAnsi="Arial"/>
          <w:sz w:val="22"/>
          <w:szCs w:val="22"/>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2"/>
          <w:szCs w:val="22"/>
          <w:b w:val="1"/>
          <w:bCs w:val="1"/>
          <w:color w:val="auto"/>
        </w:rPr>
        <w:t>License</w:t>
      </w:r>
      <w:r>
        <w:rPr>
          <w:rFonts w:ascii="Arial" w:cs="Arial" w:eastAsia="Arial" w:hAnsi="Arial"/>
          <w:sz w:val="22"/>
          <w:szCs w:val="22"/>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2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4" w:right="239" w:bottom="1440" w:gutter="0" w:footer="0" w:header="0"/>
        </w:sectPr>
      </w:pPr>
    </w:p>
    <w:bookmarkStart w:id="16" w:name="page17"/>
    <w:bookmarkEnd w:id="16"/>
    <w:p>
      <w:pPr>
        <w:jc w:val="both"/>
        <w:ind w:left="4" w:right="20" w:hanging="4"/>
        <w:spacing w:after="0" w:line="235" w:lineRule="auto"/>
        <w:tabs>
          <w:tab w:leader="none" w:pos="1017" w:val="left"/>
        </w:tabs>
        <w:numPr>
          <w:ilvl w:val="0"/>
          <w:numId w:val="31"/>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02" w:lineRule="exact"/>
        <w:rPr>
          <w:rFonts w:ascii="Arial" w:cs="Arial" w:eastAsia="Arial" w:hAnsi="Arial"/>
          <w:sz w:val="22"/>
          <w:szCs w:val="22"/>
          <w:color w:val="auto"/>
        </w:rPr>
      </w:pPr>
    </w:p>
    <w:p>
      <w:pPr>
        <w:ind w:left="544" w:hanging="388"/>
        <w:spacing w:after="0"/>
        <w:tabs>
          <w:tab w:leader="none" w:pos="544" w:val="left"/>
        </w:tabs>
        <w:numPr>
          <w:ilvl w:val="1"/>
          <w:numId w:val="31"/>
        </w:numPr>
        <w:rPr>
          <w:rFonts w:ascii="Arial" w:cs="Arial" w:eastAsia="Arial" w:hAnsi="Arial"/>
          <w:sz w:val="22"/>
          <w:szCs w:val="22"/>
          <w:b w:val="1"/>
          <w:bCs w:val="1"/>
          <w:color w:val="auto"/>
        </w:rPr>
      </w:pPr>
      <w:r>
        <w:rPr>
          <w:rFonts w:ascii="Arial" w:cs="Arial" w:eastAsia="Arial" w:hAnsi="Arial"/>
          <w:sz w:val="22"/>
          <w:szCs w:val="22"/>
          <w:b w:val="1"/>
          <w:bCs w:val="1"/>
          <w:i w:val="1"/>
          <w:iCs w:val="1"/>
          <w:u w:val="single" w:color="auto"/>
          <w:color w:val="auto"/>
        </w:rPr>
        <w:t>CONFIDENTIALITY</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color w:val="auto"/>
        </w:rPr>
      </w:pPr>
    </w:p>
    <w:p>
      <w:pPr>
        <w:jc w:val="both"/>
        <w:ind w:left="4" w:firstLine="645"/>
        <w:spacing w:after="0" w:line="232" w:lineRule="auto"/>
        <w:tabs>
          <w:tab w:leader="none" w:pos="1779" w:val="left"/>
        </w:tabs>
        <w:numPr>
          <w:ilvl w:val="2"/>
          <w:numId w:val="31"/>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31" w:lineRule="exact"/>
        <w:rPr>
          <w:rFonts w:ascii="Arial" w:cs="Arial" w:eastAsia="Arial" w:hAnsi="Arial"/>
          <w:sz w:val="22"/>
          <w:szCs w:val="22"/>
          <w:color w:val="auto"/>
        </w:rPr>
      </w:pPr>
    </w:p>
    <w:p>
      <w:pPr>
        <w:jc w:val="both"/>
        <w:ind w:left="4" w:firstLine="645"/>
        <w:spacing w:after="0" w:line="233" w:lineRule="auto"/>
        <w:tabs>
          <w:tab w:leader="none" w:pos="1874" w:val="left"/>
        </w:tabs>
        <w:numPr>
          <w:ilvl w:val="2"/>
          <w:numId w:val="31"/>
        </w:numPr>
        <w:rPr>
          <w:rFonts w:ascii="Arial" w:cs="Arial" w:eastAsia="Arial" w:hAnsi="Arial"/>
          <w:sz w:val="22"/>
          <w:szCs w:val="22"/>
          <w:color w:val="auto"/>
        </w:rPr>
      </w:pPr>
      <w:r>
        <w:rPr>
          <w:rFonts w:ascii="Arial" w:cs="Arial" w:eastAsia="Arial" w:hAnsi="Arial"/>
          <w:sz w:val="22"/>
          <w:szCs w:val="22"/>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228" w:lineRule="exact"/>
        <w:rPr>
          <w:rFonts w:ascii="Arial" w:cs="Arial" w:eastAsia="Arial" w:hAnsi="Arial"/>
          <w:sz w:val="22"/>
          <w:szCs w:val="22"/>
          <w:color w:val="auto"/>
        </w:rPr>
      </w:pPr>
    </w:p>
    <w:p>
      <w:pPr>
        <w:jc w:val="both"/>
        <w:ind w:left="4" w:right="20" w:firstLine="645"/>
        <w:spacing w:after="0" w:line="232" w:lineRule="auto"/>
        <w:tabs>
          <w:tab w:leader="none" w:pos="1726" w:val="left"/>
        </w:tabs>
        <w:numPr>
          <w:ilvl w:val="2"/>
          <w:numId w:val="31"/>
        </w:numPr>
        <w:rPr>
          <w:rFonts w:ascii="Arial" w:cs="Arial" w:eastAsia="Arial" w:hAnsi="Arial"/>
          <w:sz w:val="22"/>
          <w:szCs w:val="22"/>
          <w:color w:val="auto"/>
        </w:rPr>
      </w:pPr>
      <w:r>
        <w:rPr>
          <w:rFonts w:ascii="Arial" w:cs="Arial" w:eastAsia="Arial" w:hAnsi="Arial"/>
          <w:sz w:val="22"/>
          <w:szCs w:val="22"/>
          <w:color w:val="auto"/>
        </w:rPr>
        <w:t>Upon termination of Employee’s employment with Employer for any reason,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28" w:lineRule="exact"/>
        <w:rPr>
          <w:rFonts w:ascii="Arial" w:cs="Arial" w:eastAsia="Arial" w:hAnsi="Arial"/>
          <w:sz w:val="22"/>
          <w:szCs w:val="22"/>
          <w:color w:val="auto"/>
        </w:rPr>
      </w:pPr>
    </w:p>
    <w:p>
      <w:pPr>
        <w:jc w:val="both"/>
        <w:ind w:left="4" w:firstLine="645"/>
        <w:spacing w:after="0" w:line="234" w:lineRule="auto"/>
        <w:tabs>
          <w:tab w:leader="none" w:pos="1745" w:val="left"/>
        </w:tabs>
        <w:numPr>
          <w:ilvl w:val="2"/>
          <w:numId w:val="31"/>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w:t>
      </w:r>
    </w:p>
    <w:p>
      <w:pPr>
        <w:spacing w:after="0" w:line="2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4"/>
          </w:cols>
          <w:pgMar w:left="896" w:top="134" w:right="879" w:bottom="1440" w:gutter="0" w:footer="0" w:header="0"/>
        </w:sectPr>
      </w:pPr>
    </w:p>
    <w:bookmarkStart w:id="17" w:name="page18"/>
    <w:bookmarkEnd w:id="17"/>
    <w:p>
      <w:pPr>
        <w:jc w:val="both"/>
        <w:ind w:left="660"/>
        <w:spacing w:after="0" w:line="246" w:lineRule="auto"/>
        <w:rPr>
          <w:sz w:val="20"/>
          <w:szCs w:val="20"/>
          <w:color w:val="auto"/>
        </w:rPr>
      </w:pPr>
      <w:r>
        <w:rPr>
          <w:rFonts w:ascii="Arial" w:cs="Arial" w:eastAsia="Arial" w:hAnsi="Arial"/>
          <w:sz w:val="22"/>
          <w:szCs w:val="22"/>
          <w:color w:val="auto"/>
        </w:rPr>
        <w:t>Employee is prohibited by contract, or otherwise, to disclose to Employer (the “</w:t>
      </w:r>
      <w:r>
        <w:rPr>
          <w:rFonts w:ascii="Arial" w:cs="Arial" w:eastAsia="Arial" w:hAnsi="Arial"/>
          <w:sz w:val="22"/>
          <w:szCs w:val="22"/>
          <w:b w:val="1"/>
          <w:bCs w:val="1"/>
          <w:color w:val="auto"/>
        </w:rPr>
        <w:t>Restricted Information</w:t>
      </w:r>
      <w:r>
        <w:rPr>
          <w:rFonts w:ascii="Arial" w:cs="Arial" w:eastAsia="Arial" w:hAnsi="Arial"/>
          <w:sz w:val="22"/>
          <w:szCs w:val="22"/>
          <w:color w:val="auto"/>
        </w:rPr>
        <w:t>”). In the event Employer requests Restricted Information from Employee, Employee shall advise Employer that the information requested is Restricted Information and may not be disclosed by Employee.</w:t>
      </w:r>
    </w:p>
    <w:p>
      <w:pPr>
        <w:spacing w:after="0" w:line="222" w:lineRule="exact"/>
        <w:rPr>
          <w:sz w:val="20"/>
          <w:szCs w:val="20"/>
          <w:color w:val="auto"/>
        </w:rPr>
      </w:pPr>
    </w:p>
    <w:p>
      <w:pPr>
        <w:ind w:left="660" w:right="640" w:firstLine="645"/>
        <w:spacing w:after="0" w:line="238" w:lineRule="auto"/>
        <w:tabs>
          <w:tab w:leader="none" w:pos="253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obligations of this Section 9 are continuing and shall survive the termination of Employee’s employment with Employer for any reason.</w:t>
      </w:r>
    </w:p>
    <w:p>
      <w:pPr>
        <w:spacing w:after="0" w:line="201" w:lineRule="exact"/>
        <w:rPr>
          <w:rFonts w:ascii="Arial" w:cs="Arial" w:eastAsia="Arial" w:hAnsi="Arial"/>
          <w:sz w:val="22"/>
          <w:szCs w:val="22"/>
          <w:color w:val="auto"/>
        </w:rPr>
      </w:pPr>
    </w:p>
    <w:p>
      <w:pPr>
        <w:ind w:left="1380" w:hanging="724"/>
        <w:spacing w:after="0"/>
        <w:tabs>
          <w:tab w:leader="none" w:pos="1380" w:val="left"/>
        </w:tabs>
        <w:numPr>
          <w:ilvl w:val="0"/>
          <w:numId w:val="3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RESTRICTIVE COVENANT/NO SOLICITATION</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i w:val="1"/>
          <w:iCs w:val="1"/>
          <w:color w:val="auto"/>
        </w:rPr>
      </w:pPr>
    </w:p>
    <w:p>
      <w:pPr>
        <w:jc w:val="both"/>
        <w:ind w:left="660" w:right="640" w:firstLine="645"/>
        <w:spacing w:after="0" w:line="232" w:lineRule="auto"/>
        <w:tabs>
          <w:tab w:leader="none" w:pos="2505"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 hereby covenants and agrees that during the Term, or for such period as Employer continues to employ or compensate Employee, whichever is longer,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w:t>
      </w:r>
    </w:p>
    <w:p>
      <w:pPr>
        <w:spacing w:after="0" w:line="230" w:lineRule="exact"/>
        <w:rPr>
          <w:rFonts w:ascii="Arial" w:cs="Arial" w:eastAsia="Arial" w:hAnsi="Arial"/>
          <w:sz w:val="22"/>
          <w:szCs w:val="22"/>
          <w:color w:val="auto"/>
        </w:rPr>
      </w:pPr>
    </w:p>
    <w:p>
      <w:pPr>
        <w:jc w:val="both"/>
        <w:ind w:left="660" w:right="640" w:firstLine="645"/>
        <w:spacing w:after="0" w:line="233" w:lineRule="auto"/>
        <w:tabs>
          <w:tab w:leader="none" w:pos="2286"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operate have publicly announced, publicly or otherwise, a plan to have hotel or gaming operations.</w:t>
      </w:r>
    </w:p>
    <w:p>
      <w:pPr>
        <w:spacing w:after="0" w:line="228" w:lineRule="exact"/>
        <w:rPr>
          <w:rFonts w:ascii="Arial" w:cs="Arial" w:eastAsia="Arial" w:hAnsi="Arial"/>
          <w:sz w:val="22"/>
          <w:szCs w:val="22"/>
          <w:color w:val="auto"/>
        </w:rPr>
      </w:pPr>
    </w:p>
    <w:p>
      <w:pPr>
        <w:jc w:val="both"/>
        <w:ind w:left="660" w:right="640" w:firstLine="645"/>
        <w:spacing w:after="0" w:line="232" w:lineRule="auto"/>
        <w:tabs>
          <w:tab w:leader="none" w:pos="23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207" w:lineRule="exact"/>
        <w:rPr>
          <w:rFonts w:ascii="Arial" w:cs="Arial" w:eastAsia="Arial" w:hAnsi="Arial"/>
          <w:sz w:val="22"/>
          <w:szCs w:val="22"/>
          <w:color w:val="auto"/>
        </w:rPr>
      </w:pPr>
    </w:p>
    <w:p>
      <w:pPr>
        <w:jc w:val="both"/>
        <w:ind w:firstLine="656"/>
        <w:spacing w:after="0" w:line="246" w:lineRule="auto"/>
        <w:tabs>
          <w:tab w:leader="none" w:pos="1612" w:val="left"/>
        </w:tabs>
        <w:numPr>
          <w:ilvl w:val="0"/>
          <w:numId w:val="3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REMEDIES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acknowledges that Employer has and will continue to deliver, provide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expose Employee to certain knowledge, information, practices, and procedures possessed or developed by or for Employer at a considerable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8" w:name="page19"/>
    <w:bookmarkEnd w:id="18"/>
    <w:p>
      <w:pPr>
        <w:jc w:val="both"/>
        <w:spacing w:after="0" w:line="231" w:lineRule="auto"/>
        <w:rPr>
          <w:sz w:val="20"/>
          <w:szCs w:val="20"/>
          <w:color w:val="auto"/>
        </w:rPr>
      </w:pPr>
      <w:r>
        <w:rPr>
          <w:rFonts w:ascii="Arial" w:cs="Arial" w:eastAsia="Arial" w:hAnsi="Arial"/>
          <w:sz w:val="22"/>
          <w:szCs w:val="22"/>
          <w:color w:val="auto"/>
        </w:rPr>
        <w:t>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212" w:lineRule="exact"/>
        <w:rPr>
          <w:sz w:val="20"/>
          <w:szCs w:val="20"/>
          <w:color w:val="auto"/>
        </w:rPr>
      </w:pPr>
    </w:p>
    <w:p>
      <w:pPr>
        <w:ind w:firstLine="656"/>
        <w:spacing w:after="0" w:line="261" w:lineRule="auto"/>
        <w:tabs>
          <w:tab w:leader="none" w:pos="1436"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BEST EVIDENCE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executed in original and “Xerox” or photostatic copies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each copy bearing original signatures in ink shall be deemed an original.</w:t>
      </w:r>
    </w:p>
    <w:p>
      <w:pPr>
        <w:spacing w:after="0" w:line="179" w:lineRule="exact"/>
        <w:rPr>
          <w:rFonts w:ascii="Arial" w:cs="Arial" w:eastAsia="Arial" w:hAnsi="Arial"/>
          <w:sz w:val="22"/>
          <w:szCs w:val="22"/>
          <w:b w:val="1"/>
          <w:bCs w:val="1"/>
          <w:i w:val="1"/>
          <w:iCs w:val="1"/>
          <w:color w:val="auto"/>
        </w:rPr>
      </w:pPr>
    </w:p>
    <w:p>
      <w:pPr>
        <w:ind w:firstLine="656"/>
        <w:spacing w:after="0" w:line="261" w:lineRule="auto"/>
        <w:tabs>
          <w:tab w:leader="none" w:pos="1652"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SUCCESSION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binding upon and inure to the benefit of Employer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and their respective successors and assigns.</w:t>
      </w:r>
    </w:p>
    <w:p>
      <w:pPr>
        <w:spacing w:after="0" w:line="179" w:lineRule="exact"/>
        <w:rPr>
          <w:rFonts w:ascii="Arial" w:cs="Arial" w:eastAsia="Arial" w:hAnsi="Arial"/>
          <w:sz w:val="22"/>
          <w:szCs w:val="22"/>
          <w:b w:val="1"/>
          <w:bCs w:val="1"/>
          <w:i w:val="1"/>
          <w:iCs w:val="1"/>
          <w:color w:val="auto"/>
        </w:rPr>
      </w:pPr>
    </w:p>
    <w:p>
      <w:pPr>
        <w:jc w:val="both"/>
        <w:ind w:firstLine="656"/>
        <w:spacing w:after="0" w:line="236" w:lineRule="auto"/>
        <w:tabs>
          <w:tab w:leader="none" w:pos="1504"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ASSIGNMENT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not assign this Agreement or delegate Employee’s duties hereunder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without the express written prior consent of Employer thereto. Any purported assignment by Employee in violation of this Section 14 shall be null and void and of no force or effect. Employer shall have the right to assign this Agreement freely, including without limitation Employee’s obligations under Section 10, and Employee hereby acknowledges receipt of consideration in exchange for Employee’s consent to the assignability of Employee’s obligations under Section 10 that is additional to and separate from the consideration provided to Employee exchange for the other covenants in this Agreement.</w:t>
      </w:r>
    </w:p>
    <w:p>
      <w:pPr>
        <w:spacing w:after="0" w:line="203" w:lineRule="exact"/>
        <w:rPr>
          <w:rFonts w:ascii="Arial" w:cs="Arial" w:eastAsia="Arial" w:hAnsi="Arial"/>
          <w:sz w:val="22"/>
          <w:szCs w:val="22"/>
          <w:b w:val="1"/>
          <w:bCs w:val="1"/>
          <w:i w:val="1"/>
          <w:iCs w:val="1"/>
          <w:color w:val="auto"/>
        </w:rPr>
      </w:pPr>
    </w:p>
    <w:p>
      <w:pPr>
        <w:ind w:firstLine="656"/>
        <w:spacing w:after="0" w:line="261" w:lineRule="auto"/>
        <w:tabs>
          <w:tab w:leader="none" w:pos="1612"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AMENDMENT OR MODIFICATION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may not be amended, modified, changed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altered except by a writing signed by both Employer and Employee.</w:t>
      </w:r>
    </w:p>
    <w:p>
      <w:pPr>
        <w:spacing w:after="0" w:line="179" w:lineRule="exact"/>
        <w:rPr>
          <w:rFonts w:ascii="Arial" w:cs="Arial" w:eastAsia="Arial" w:hAnsi="Arial"/>
          <w:sz w:val="22"/>
          <w:szCs w:val="22"/>
          <w:b w:val="1"/>
          <w:bCs w:val="1"/>
          <w:i w:val="1"/>
          <w:iCs w:val="1"/>
          <w:color w:val="auto"/>
        </w:rPr>
      </w:pPr>
    </w:p>
    <w:p>
      <w:pPr>
        <w:ind w:right="20" w:firstLine="656"/>
        <w:spacing w:after="0" w:line="261" w:lineRule="auto"/>
        <w:tabs>
          <w:tab w:leader="none" w:pos="1382"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GOVERNING LAW.</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governed by and construed in accordance with the laws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State of Nevada, without regard to conflict of laws principles.</w:t>
      </w:r>
    </w:p>
    <w:p>
      <w:pPr>
        <w:spacing w:after="0" w:line="179" w:lineRule="exact"/>
        <w:rPr>
          <w:rFonts w:ascii="Arial" w:cs="Arial" w:eastAsia="Arial" w:hAnsi="Arial"/>
          <w:sz w:val="22"/>
          <w:szCs w:val="22"/>
          <w:b w:val="1"/>
          <w:bCs w:val="1"/>
          <w:i w:val="1"/>
          <w:iCs w:val="1"/>
          <w:color w:val="auto"/>
        </w:rPr>
      </w:pPr>
    </w:p>
    <w:p>
      <w:pPr>
        <w:ind w:right="20" w:firstLine="656"/>
        <w:spacing w:after="0" w:line="261" w:lineRule="auto"/>
        <w:tabs>
          <w:tab w:leader="none" w:pos="1531"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NOTICES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and all notices required under this Agreement shall be in writing and shall be either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hand-delivered or mailed, certified mail, return receipt requested, addressed to:</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22"/>
                <w:szCs w:val="22"/>
                <w:color w:val="auto"/>
              </w:rPr>
              <w:t>TO EMPLOYER:</w:t>
            </w:r>
          </w:p>
        </w:tc>
        <w:tc>
          <w:tcPr>
            <w:tcW w:w="6440" w:type="dxa"/>
            <w:vAlign w:val="bottom"/>
          </w:tcPr>
          <w:p>
            <w:pPr>
              <w:ind w:left="280"/>
              <w:spacing w:after="0"/>
              <w:rPr>
                <w:sz w:val="20"/>
                <w:szCs w:val="20"/>
                <w:color w:val="auto"/>
              </w:rPr>
            </w:pPr>
            <w:r>
              <w:rPr>
                <w:rFonts w:ascii="Arial" w:cs="Arial" w:eastAsia="Arial" w:hAnsi="Arial"/>
                <w:sz w:val="22"/>
                <w:szCs w:val="22"/>
                <w:color w:val="auto"/>
              </w:rPr>
              <w:t>Wynn Las Vegas, LLC</w:t>
            </w:r>
          </w:p>
        </w:tc>
      </w:tr>
      <w:tr>
        <w:trPr>
          <w:trHeight w:val="257"/>
        </w:trPr>
        <w:tc>
          <w:tcPr>
            <w:tcW w:w="3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440" w:type="dxa"/>
            <w:vAlign w:val="bottom"/>
          </w:tcPr>
          <w:p>
            <w:pPr>
              <w:ind w:left="280"/>
              <w:spacing w:after="0"/>
              <w:rPr>
                <w:sz w:val="20"/>
                <w:szCs w:val="20"/>
                <w:color w:val="auto"/>
              </w:rPr>
            </w:pPr>
            <w:r>
              <w:rPr>
                <w:rFonts w:ascii="Arial" w:cs="Arial" w:eastAsia="Arial" w:hAnsi="Arial"/>
                <w:sz w:val="22"/>
                <w:szCs w:val="22"/>
                <w:color w:val="auto"/>
              </w:rPr>
              <w:t>3131 Las Vegas Boulevard South</w:t>
            </w:r>
          </w:p>
        </w:tc>
      </w:tr>
      <w:tr>
        <w:trPr>
          <w:trHeight w:val="243"/>
        </w:trPr>
        <w:tc>
          <w:tcPr>
            <w:tcW w:w="3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40" w:type="dxa"/>
            <w:vAlign w:val="bottom"/>
          </w:tcPr>
          <w:p>
            <w:pPr>
              <w:ind w:left="280"/>
              <w:spacing w:after="0" w:line="243" w:lineRule="exact"/>
              <w:rPr>
                <w:sz w:val="20"/>
                <w:szCs w:val="20"/>
                <w:color w:val="auto"/>
              </w:rPr>
            </w:pPr>
            <w:r>
              <w:rPr>
                <w:rFonts w:ascii="Arial" w:cs="Arial" w:eastAsia="Arial" w:hAnsi="Arial"/>
                <w:sz w:val="22"/>
                <w:szCs w:val="22"/>
                <w:color w:val="auto"/>
              </w:rPr>
              <w:t>Las Vegas, Nevada 89109</w:t>
            </w:r>
          </w:p>
        </w:tc>
      </w:tr>
      <w:tr>
        <w:trPr>
          <w:trHeight w:val="260"/>
        </w:trPr>
        <w:tc>
          <w:tcPr>
            <w:tcW w:w="3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40" w:type="dxa"/>
            <w:vAlign w:val="bottom"/>
          </w:tcPr>
          <w:p>
            <w:pPr>
              <w:ind w:left="280"/>
              <w:spacing w:after="0"/>
              <w:rPr>
                <w:sz w:val="20"/>
                <w:szCs w:val="20"/>
                <w:color w:val="auto"/>
              </w:rPr>
            </w:pPr>
            <w:r>
              <w:rPr>
                <w:rFonts w:ascii="Arial" w:cs="Arial" w:eastAsia="Arial" w:hAnsi="Arial"/>
                <w:sz w:val="22"/>
                <w:szCs w:val="22"/>
                <w:color w:val="auto"/>
              </w:rPr>
              <w:t>Attn: Legal Department</w:t>
            </w:r>
          </w:p>
        </w:tc>
      </w:tr>
      <w:tr>
        <w:trPr>
          <w:trHeight w:val="935"/>
        </w:trPr>
        <w:tc>
          <w:tcPr>
            <w:tcW w:w="3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14</w:t>
            </w:r>
          </w:p>
        </w:tc>
      </w:tr>
      <w:tr>
        <w:trPr>
          <w:trHeight w:val="105"/>
        </w:trPr>
        <w:tc>
          <w:tcPr>
            <w:tcW w:w="31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9" w:name="page20"/>
    <w:bookmarkEnd w:id="19"/>
    <w:tbl>
      <w:tblPr>
        <w:tblLayout w:type="fixed"/>
        <w:tblInd w:w="3100" w:type="dxa"/>
        <w:tblCellMar>
          <w:top w:w="0" w:type="dxa"/>
          <w:left w:w="0" w:type="dxa"/>
          <w:bottom w:w="0" w:type="dxa"/>
          <w:right w:w="0" w:type="dxa"/>
        </w:tblCellMar>
      </w:tblPr>
      <w:tr>
        <w:trPr>
          <w:trHeight w:val="253"/>
        </w:trPr>
        <w:tc>
          <w:tcPr>
            <w:tcW w:w="1880" w:type="dxa"/>
            <w:vAlign w:val="bottom"/>
            <w:gridSpan w:val="2"/>
          </w:tcPr>
          <w:p>
            <w:pPr>
              <w:spacing w:after="0"/>
              <w:rPr>
                <w:sz w:val="20"/>
                <w:szCs w:val="20"/>
                <w:color w:val="auto"/>
              </w:rPr>
            </w:pPr>
            <w:r>
              <w:rPr>
                <w:rFonts w:ascii="Arial" w:cs="Arial" w:eastAsia="Arial" w:hAnsi="Arial"/>
                <w:sz w:val="22"/>
                <w:szCs w:val="22"/>
                <w:color w:val="auto"/>
              </w:rPr>
              <w:t>TO EMPLOYEE:</w:t>
            </w:r>
          </w:p>
        </w:tc>
        <w:tc>
          <w:tcPr>
            <w:tcW w:w="2320" w:type="dxa"/>
            <w:vAlign w:val="bottom"/>
          </w:tcPr>
          <w:p>
            <w:pPr>
              <w:ind w:left="280"/>
              <w:spacing w:after="0"/>
              <w:rPr>
                <w:sz w:val="20"/>
                <w:szCs w:val="20"/>
                <w:color w:val="auto"/>
              </w:rPr>
            </w:pPr>
            <w:r>
              <w:rPr>
                <w:rFonts w:ascii="Arial" w:cs="Arial" w:eastAsia="Arial" w:hAnsi="Arial"/>
                <w:sz w:val="22"/>
                <w:szCs w:val="22"/>
                <w:color w:val="auto"/>
              </w:rPr>
              <w:t>Scott Peterson</w:t>
            </w:r>
          </w:p>
        </w:tc>
      </w:tr>
      <w:tr>
        <w:trPr>
          <w:trHeight w:val="257"/>
        </w:trPr>
        <w:tc>
          <w:tcPr>
            <w:tcW w:w="15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320" w:type="dxa"/>
            <w:vAlign w:val="bottom"/>
          </w:tcPr>
          <w:p>
            <w:pPr>
              <w:ind w:left="280"/>
              <w:spacing w:after="0"/>
              <w:rPr>
                <w:sz w:val="20"/>
                <w:szCs w:val="20"/>
                <w:color w:val="auto"/>
              </w:rPr>
            </w:pPr>
            <w:r>
              <w:rPr>
                <w:rFonts w:ascii="Arial" w:cs="Arial" w:eastAsia="Arial" w:hAnsi="Arial"/>
                <w:sz w:val="22"/>
                <w:szCs w:val="22"/>
                <w:color w:val="auto"/>
                <w:w w:val="97"/>
              </w:rPr>
              <w:t>[intentionally omitted]</w:t>
            </w:r>
          </w:p>
        </w:tc>
      </w:tr>
      <w:tr>
        <w:trPr>
          <w:trHeight w:val="260"/>
        </w:trPr>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20" w:type="dxa"/>
            <w:vAlign w:val="bottom"/>
          </w:tcPr>
          <w:p>
            <w:pPr>
              <w:ind w:left="280"/>
              <w:spacing w:after="0"/>
              <w:rPr>
                <w:sz w:val="20"/>
                <w:szCs w:val="20"/>
                <w:color w:val="auto"/>
              </w:rPr>
            </w:pPr>
            <w:r>
              <w:rPr>
                <w:rFonts w:ascii="Arial" w:cs="Arial" w:eastAsia="Arial" w:hAnsi="Arial"/>
                <w:sz w:val="22"/>
                <w:szCs w:val="22"/>
                <w:color w:val="auto"/>
                <w:w w:val="97"/>
              </w:rPr>
              <w:t>[intentionally omitted]</w:t>
            </w:r>
          </w:p>
        </w:tc>
      </w:tr>
    </w:tbl>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03" w:lineRule="exact"/>
        <w:rPr>
          <w:sz w:val="20"/>
          <w:szCs w:val="20"/>
          <w:color w:val="auto"/>
        </w:rPr>
      </w:pPr>
    </w:p>
    <w:p>
      <w:pPr>
        <w:ind w:firstLine="656"/>
        <w:spacing w:after="0" w:line="261" w:lineRule="auto"/>
        <w:tabs>
          <w:tab w:leader="none" w:pos="1436"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INTERPRETATION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preamble recitals to this Agreement are incorporated into and made a part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titles of paragraphs are for convenience only and are not to be considered a part of this Agreement.</w:t>
      </w:r>
    </w:p>
    <w:p>
      <w:pPr>
        <w:spacing w:after="0" w:line="179" w:lineRule="exact"/>
        <w:rPr>
          <w:rFonts w:ascii="Arial" w:cs="Arial" w:eastAsia="Arial" w:hAnsi="Arial"/>
          <w:sz w:val="22"/>
          <w:szCs w:val="22"/>
          <w:b w:val="1"/>
          <w:bCs w:val="1"/>
          <w:i w:val="1"/>
          <w:iCs w:val="1"/>
          <w:color w:val="auto"/>
        </w:rPr>
      </w:pPr>
    </w:p>
    <w:p>
      <w:pPr>
        <w:jc w:val="both"/>
        <w:ind w:firstLine="656"/>
        <w:spacing w:after="0" w:line="246" w:lineRule="auto"/>
        <w:tabs>
          <w:tab w:leader="none" w:pos="1382"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SEVERABILITY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event any one or more provisions of this Agreement is declared judicially void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otherwise unenforceable, the remainder of this Agreement shall survive and such provision(s) shall be deemed modified or amended so as to fulfill the intent of the parties hereto.</w:t>
      </w:r>
    </w:p>
    <w:p>
      <w:pPr>
        <w:spacing w:after="0" w:line="194" w:lineRule="exact"/>
        <w:rPr>
          <w:rFonts w:ascii="Arial" w:cs="Arial" w:eastAsia="Arial" w:hAnsi="Arial"/>
          <w:sz w:val="22"/>
          <w:szCs w:val="22"/>
          <w:b w:val="1"/>
          <w:bCs w:val="1"/>
          <w:i w:val="1"/>
          <w:iCs w:val="1"/>
          <w:color w:val="auto"/>
        </w:rPr>
      </w:pPr>
    </w:p>
    <w:p>
      <w:pPr>
        <w:jc w:val="both"/>
        <w:ind w:firstLine="656"/>
        <w:spacing w:after="0" w:line="263" w:lineRule="auto"/>
        <w:tabs>
          <w:tab w:leader="none" w:pos="1369" w:val="left"/>
        </w:tabs>
        <w:numPr>
          <w:ilvl w:val="0"/>
          <w:numId w:val="3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WAIVER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None of the terms of this Agreement, or any term, right or remedy hereunder, shall be deemed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waived unless such waiver is in writing and signed by the party to be charged therewith and in no event by reason of any failure to assert or delay in asserting any such term, right or remedy or similar term, right or remedy hereunder.</w:t>
      </w:r>
    </w:p>
    <w:p>
      <w:pPr>
        <w:spacing w:after="0" w:line="178" w:lineRule="exact"/>
        <w:rPr>
          <w:rFonts w:ascii="Arial" w:cs="Arial" w:eastAsia="Arial" w:hAnsi="Arial"/>
          <w:sz w:val="21"/>
          <w:szCs w:val="21"/>
          <w:b w:val="1"/>
          <w:bCs w:val="1"/>
          <w:i w:val="1"/>
          <w:iCs w:val="1"/>
          <w:color w:val="auto"/>
        </w:rPr>
      </w:pPr>
    </w:p>
    <w:p>
      <w:pPr>
        <w:jc w:val="both"/>
        <w:ind w:firstLine="656"/>
        <w:spacing w:after="0" w:line="234" w:lineRule="auto"/>
        <w:tabs>
          <w:tab w:leader="none" w:pos="1409"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DISPUTE RESOLUTION</w:t>
      </w:r>
      <w:r>
        <w:rPr>
          <w:rFonts w:ascii="Arial" w:cs="Arial" w:eastAsia="Arial" w:hAnsi="Arial"/>
          <w:sz w:val="22"/>
          <w:szCs w:val="22"/>
          <w:color w:val="auto"/>
        </w:rPr>
        <w:t>. Except for a claim by either Employee or Employer for injunctive relief where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such would be otherwise authorized by law to enforce Sections 9, 10 and/or 11 of this Agreement, any controversy or claim arising out of or relating to this Agreement, the breach hereof, or Employee's employment by Employer, including without limitation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w:t>
      </w:r>
      <w:r>
        <w:rPr>
          <w:rFonts w:ascii="Arial" w:cs="Arial" w:eastAsia="Arial" w:hAnsi="Arial"/>
          <w:sz w:val="22"/>
          <w:szCs w:val="22"/>
          <w:b w:val="1"/>
          <w:bCs w:val="1"/>
          <w:color w:val="auto"/>
        </w:rPr>
        <w:t>AAA</w:t>
      </w:r>
      <w:r>
        <w:rPr>
          <w:rFonts w:ascii="Arial" w:cs="Arial" w:eastAsia="Arial" w:hAnsi="Arial"/>
          <w:sz w:val="22"/>
          <w:szCs w:val="22"/>
          <w:color w:val="auto"/>
        </w:rPr>
        <w:t>”), to the extent not inconsistent with this Section as set forth below.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the Agreement.</w:t>
      </w:r>
    </w:p>
    <w:p>
      <w:pPr>
        <w:spacing w:after="0" w:line="233" w:lineRule="exact"/>
        <w:rPr>
          <w:rFonts w:ascii="Arial" w:cs="Arial" w:eastAsia="Arial" w:hAnsi="Arial"/>
          <w:sz w:val="22"/>
          <w:szCs w:val="22"/>
          <w:b w:val="1"/>
          <w:bCs w:val="1"/>
          <w:i w:val="1"/>
          <w:iCs w:val="1"/>
          <w:color w:val="auto"/>
        </w:rPr>
      </w:pPr>
    </w:p>
    <w:p>
      <w:pPr>
        <w:jc w:val="both"/>
        <w:ind w:left="660" w:right="640" w:firstLine="645"/>
        <w:spacing w:after="0" w:line="232" w:lineRule="auto"/>
        <w:tabs>
          <w:tab w:leader="none" w:pos="2575"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Coverage of Arbitration Agreement: The promises by Employer and Employee to arbitrate differences, rather than litigate them before courts or other bodies, provide consideration for each other, in addition to other consideration provided under the Agreement. The parties contemplate by this Section 21 arbitration of all clams against each of them to the fullest extent permitted by law except as specifically excluded by this 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0" w:name="page21"/>
    <w:bookmarkEnd w:id="20"/>
    <w:p>
      <w:pPr>
        <w:jc w:val="both"/>
        <w:spacing w:after="0" w:line="232" w:lineRule="auto"/>
        <w:rPr>
          <w:sz w:val="20"/>
          <w:szCs w:val="20"/>
          <w:color w:val="auto"/>
        </w:rPr>
      </w:pPr>
      <w:r>
        <w:rPr>
          <w:rFonts w:ascii="Arial" w:cs="Arial" w:eastAsia="Arial" w:hAnsi="Arial"/>
          <w:sz w:val="22"/>
          <w:szCs w:val="22"/>
          <w:color w:val="auto"/>
        </w:rPr>
        <w:t>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9, 10 and 11.</w:t>
      </w:r>
    </w:p>
    <w:p>
      <w:pPr>
        <w:spacing w:after="0" w:line="231" w:lineRule="exact"/>
        <w:rPr>
          <w:sz w:val="20"/>
          <w:szCs w:val="20"/>
          <w:color w:val="auto"/>
        </w:rPr>
      </w:pPr>
    </w:p>
    <w:p>
      <w:pPr>
        <w:jc w:val="both"/>
        <w:ind w:right="640" w:firstLine="645"/>
        <w:spacing w:after="0" w:line="243" w:lineRule="auto"/>
        <w:tabs>
          <w:tab w:leader="none" w:pos="1615" w:val="left"/>
        </w:tabs>
        <w:numPr>
          <w:ilvl w:val="0"/>
          <w:numId w:val="36"/>
        </w:numPr>
        <w:rPr>
          <w:rFonts w:ascii="Arial" w:cs="Arial" w:eastAsia="Arial" w:hAnsi="Arial"/>
          <w:sz w:val="21"/>
          <w:szCs w:val="21"/>
          <w:color w:val="auto"/>
        </w:rPr>
      </w:pPr>
      <w:r>
        <w:rPr>
          <w:rFonts w:ascii="Arial" w:cs="Arial" w:eastAsia="Arial" w:hAnsi="Arial"/>
          <w:sz w:val="21"/>
          <w:szCs w:val="21"/>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this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230" w:lineRule="exact"/>
        <w:rPr>
          <w:rFonts w:ascii="Arial" w:cs="Arial" w:eastAsia="Arial" w:hAnsi="Arial"/>
          <w:sz w:val="21"/>
          <w:szCs w:val="21"/>
          <w:color w:val="auto"/>
        </w:rPr>
      </w:pPr>
    </w:p>
    <w:p>
      <w:pPr>
        <w:jc w:val="both"/>
        <w:ind w:right="640" w:firstLine="645"/>
        <w:spacing w:after="0" w:line="244" w:lineRule="auto"/>
        <w:tabs>
          <w:tab w:leader="none" w:pos="1584"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223" w:lineRule="exact"/>
        <w:rPr>
          <w:rFonts w:ascii="Arial" w:cs="Arial" w:eastAsia="Arial" w:hAnsi="Arial"/>
          <w:sz w:val="21"/>
          <w:szCs w:val="21"/>
          <w:color w:val="auto"/>
        </w:rPr>
      </w:pPr>
    </w:p>
    <w:p>
      <w:pPr>
        <w:jc w:val="both"/>
        <w:ind w:right="640" w:firstLine="645"/>
        <w:spacing w:after="0" w:line="232" w:lineRule="auto"/>
        <w:tabs>
          <w:tab w:leader="none" w:pos="1698" w:val="left"/>
        </w:tabs>
        <w:numPr>
          <w:ilvl w:val="0"/>
          <w:numId w:val="36"/>
        </w:numPr>
        <w:rPr>
          <w:rFonts w:ascii="Arial" w:cs="Arial" w:eastAsia="Arial" w:hAnsi="Arial"/>
          <w:sz w:val="22"/>
          <w:szCs w:val="22"/>
          <w:color w:val="auto"/>
        </w:rPr>
      </w:pPr>
      <w:r>
        <w:rPr>
          <w:rFonts w:ascii="Arial" w:cs="Arial" w:eastAsia="Arial" w:hAnsi="Arial"/>
          <w:sz w:val="22"/>
          <w:szCs w:val="22"/>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34" w:right="239" w:bottom="1440" w:gutter="0" w:footer="0" w:header="0"/>
        </w:sectPr>
      </w:pPr>
    </w:p>
    <w:bookmarkStart w:id="21" w:name="page22"/>
    <w:bookmarkEnd w:id="21"/>
    <w:p>
      <w:pPr>
        <w:spacing w:after="0" w:line="238" w:lineRule="auto"/>
        <w:rPr>
          <w:sz w:val="20"/>
          <w:szCs w:val="20"/>
          <w:color w:val="auto"/>
        </w:rPr>
      </w:pPr>
      <w:r>
        <w:rPr>
          <w:rFonts w:ascii="Arial" w:cs="Arial" w:eastAsia="Arial" w:hAnsi="Arial"/>
          <w:sz w:val="22"/>
          <w:szCs w:val="22"/>
          <w:color w:val="auto"/>
        </w:rPr>
        <w:t>that would otherwise apply, and any aggrieved party is encouraged to give written notice of any claim as soon as possible after the event(s) in dispute so that arbitration of any differences may take place promptly.</w:t>
      </w:r>
    </w:p>
    <w:p>
      <w:pPr>
        <w:spacing w:after="0" w:line="227" w:lineRule="exact"/>
        <w:rPr>
          <w:sz w:val="20"/>
          <w:szCs w:val="20"/>
          <w:color w:val="auto"/>
        </w:rPr>
      </w:pPr>
    </w:p>
    <w:p>
      <w:pPr>
        <w:jc w:val="both"/>
        <w:ind w:right="640" w:firstLine="645"/>
        <w:spacing w:after="0" w:line="232" w:lineRule="auto"/>
        <w:tabs>
          <w:tab w:leader="none" w:pos="1641" w:val="left"/>
        </w:tabs>
        <w:numPr>
          <w:ilvl w:val="1"/>
          <w:numId w:val="37"/>
        </w:numPr>
        <w:rPr>
          <w:rFonts w:ascii="Arial" w:cs="Arial" w:eastAsia="Arial" w:hAnsi="Arial"/>
          <w:sz w:val="22"/>
          <w:szCs w:val="22"/>
          <w:color w:val="auto"/>
        </w:rPr>
      </w:pPr>
      <w:r>
        <w:rPr>
          <w:rFonts w:ascii="Arial" w:cs="Arial" w:eastAsia="Arial" w:hAnsi="Arial"/>
          <w:sz w:val="22"/>
          <w:szCs w:val="22"/>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31" w:lineRule="exact"/>
        <w:rPr>
          <w:rFonts w:ascii="Arial" w:cs="Arial" w:eastAsia="Arial" w:hAnsi="Arial"/>
          <w:sz w:val="22"/>
          <w:szCs w:val="22"/>
          <w:color w:val="auto"/>
        </w:rPr>
      </w:pPr>
    </w:p>
    <w:p>
      <w:pPr>
        <w:jc w:val="both"/>
        <w:ind w:right="640" w:firstLine="645"/>
        <w:spacing w:after="0" w:line="231" w:lineRule="auto"/>
        <w:tabs>
          <w:tab w:leader="none" w:pos="1772" w:val="left"/>
        </w:tabs>
        <w:numPr>
          <w:ilvl w:val="1"/>
          <w:numId w:val="37"/>
        </w:numPr>
        <w:rPr>
          <w:rFonts w:ascii="Arial" w:cs="Arial" w:eastAsia="Arial" w:hAnsi="Arial"/>
          <w:sz w:val="22"/>
          <w:szCs w:val="22"/>
          <w:color w:val="auto"/>
        </w:rPr>
      </w:pPr>
      <w:r>
        <w:rPr>
          <w:rFonts w:ascii="Arial" w:cs="Arial" w:eastAsia="Arial" w:hAnsi="Arial"/>
          <w:sz w:val="22"/>
          <w:szCs w:val="22"/>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234" w:lineRule="exact"/>
        <w:rPr>
          <w:rFonts w:ascii="Arial" w:cs="Arial" w:eastAsia="Arial" w:hAnsi="Arial"/>
          <w:sz w:val="22"/>
          <w:szCs w:val="22"/>
          <w:color w:val="auto"/>
        </w:rPr>
      </w:pPr>
    </w:p>
    <w:p>
      <w:pPr>
        <w:ind w:right="660" w:firstLine="645"/>
        <w:spacing w:after="0" w:line="238" w:lineRule="auto"/>
        <w:tabs>
          <w:tab w:leader="none" w:pos="1851" w:val="left"/>
        </w:tabs>
        <w:numPr>
          <w:ilvl w:val="1"/>
          <w:numId w:val="37"/>
        </w:numPr>
        <w:rPr>
          <w:rFonts w:ascii="Arial" w:cs="Arial" w:eastAsia="Arial" w:hAnsi="Arial"/>
          <w:sz w:val="22"/>
          <w:szCs w:val="22"/>
          <w:color w:val="auto"/>
        </w:rPr>
      </w:pPr>
      <w:r>
        <w:rPr>
          <w:rFonts w:ascii="Arial" w:cs="Arial" w:eastAsia="Arial" w:hAnsi="Arial"/>
          <w:sz w:val="22"/>
          <w:szCs w:val="22"/>
          <w:color w:val="auto"/>
        </w:rPr>
        <w:t>Arbitrator’s Award: The arbitrator will issue a written decision containing the specific issues raised by the parties, the specific findings of</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34" w:right="239" w:bottom="1440" w:gutter="0" w:footer="0" w:header="0"/>
        </w:sectPr>
      </w:pPr>
    </w:p>
    <w:bookmarkStart w:id="22" w:name="page23"/>
    <w:bookmarkEnd w:id="22"/>
    <w:p>
      <w:pPr>
        <w:jc w:val="both"/>
        <w:ind w:left="660"/>
        <w:spacing w:after="0" w:line="233" w:lineRule="auto"/>
        <w:rPr>
          <w:sz w:val="20"/>
          <w:szCs w:val="20"/>
          <w:color w:val="auto"/>
        </w:rPr>
      </w:pPr>
      <w:r>
        <w:rPr>
          <w:rFonts w:ascii="Arial" w:cs="Arial" w:eastAsia="Arial" w:hAnsi="Arial"/>
          <w:sz w:val="22"/>
          <w:szCs w:val="22"/>
          <w:color w:val="auto"/>
        </w:rPr>
        <w:t>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30" w:lineRule="exact"/>
        <w:rPr>
          <w:sz w:val="20"/>
          <w:szCs w:val="20"/>
          <w:color w:val="auto"/>
        </w:rPr>
      </w:pPr>
    </w:p>
    <w:p>
      <w:pPr>
        <w:jc w:val="both"/>
        <w:ind w:left="660" w:right="640" w:firstLine="645"/>
        <w:spacing w:after="0" w:line="232" w:lineRule="auto"/>
        <w:tabs>
          <w:tab w:leader="none" w:pos="2334" w:val="left"/>
        </w:tabs>
        <w:numPr>
          <w:ilvl w:val="1"/>
          <w:numId w:val="38"/>
        </w:numPr>
        <w:rPr>
          <w:rFonts w:ascii="Arial" w:cs="Arial" w:eastAsia="Arial" w:hAnsi="Arial"/>
          <w:sz w:val="22"/>
          <w:szCs w:val="22"/>
          <w:color w:val="auto"/>
        </w:rPr>
      </w:pPr>
      <w:r>
        <w:rPr>
          <w:rFonts w:ascii="Arial" w:cs="Arial" w:eastAsia="Arial" w:hAnsi="Arial"/>
          <w:sz w:val="22"/>
          <w:szCs w:val="22"/>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205" w:lineRule="exact"/>
        <w:rPr>
          <w:rFonts w:ascii="Arial" w:cs="Arial" w:eastAsia="Arial" w:hAnsi="Arial"/>
          <w:sz w:val="22"/>
          <w:szCs w:val="22"/>
          <w:color w:val="auto"/>
        </w:rPr>
      </w:pPr>
    </w:p>
    <w:p>
      <w:pPr>
        <w:jc w:val="both"/>
        <w:ind w:firstLine="656"/>
        <w:spacing w:after="0" w:line="235" w:lineRule="auto"/>
        <w:tabs>
          <w:tab w:leader="none" w:pos="1612" w:val="left"/>
        </w:tabs>
        <w:numPr>
          <w:ilvl w:val="0"/>
          <w:numId w:val="3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PAROL. </w:t>
      </w:r>
      <w:r>
        <w:rPr>
          <w:rFonts w:ascii="Arial" w:cs="Arial" w:eastAsia="Arial" w:hAnsi="Arial"/>
          <w:sz w:val="22"/>
          <w:szCs w:val="22"/>
          <w:color w:val="auto"/>
        </w:rPr>
        <w:t>This Agreement constitutes the entire agreement between Employer and Employee,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(including, but not limited to, any prior Employment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201" w:lineRule="exact"/>
        <w:rPr>
          <w:rFonts w:ascii="Arial" w:cs="Arial" w:eastAsia="Arial" w:hAnsi="Arial"/>
          <w:sz w:val="22"/>
          <w:szCs w:val="22"/>
          <w:b w:val="1"/>
          <w:bCs w:val="1"/>
          <w:i w:val="1"/>
          <w:iCs w:val="1"/>
          <w:color w:val="auto"/>
        </w:rPr>
      </w:pPr>
    </w:p>
    <w:p>
      <w:pPr>
        <w:jc w:val="both"/>
        <w:ind w:firstLine="656"/>
        <w:spacing w:after="0" w:line="234" w:lineRule="auto"/>
        <w:tabs>
          <w:tab w:leader="none" w:pos="1409" w:val="left"/>
        </w:tabs>
        <w:numPr>
          <w:ilvl w:val="0"/>
          <w:numId w:val="3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SECTION 409A PROVISION</w:t>
      </w:r>
      <w:r>
        <w:rPr>
          <w:rFonts w:ascii="Arial" w:cs="Arial" w:eastAsia="Arial" w:hAnsi="Arial"/>
          <w:sz w:val="22"/>
          <w:szCs w:val="22"/>
          <w:color w:val="auto"/>
        </w:rPr>
        <w:t>. Notwithstanding any provision of the Agreement to the contrary, if, at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time of Employee’s termination of employment with the Employer, he or she is a “specified employee” as defined in Section 409A of the Internal Revenue Code (the “</w:t>
      </w:r>
      <w:r>
        <w:rPr>
          <w:rFonts w:ascii="Arial" w:cs="Arial" w:eastAsia="Arial" w:hAnsi="Arial"/>
          <w:sz w:val="22"/>
          <w:szCs w:val="22"/>
          <w:b w:val="1"/>
          <w:bCs w:val="1"/>
          <w:color w:val="auto"/>
        </w:rPr>
        <w:t>Code</w:t>
      </w:r>
      <w:r>
        <w:rPr>
          <w:rFonts w:ascii="Arial" w:cs="Arial" w:eastAsia="Arial" w:hAnsi="Arial"/>
          <w:sz w:val="22"/>
          <w:szCs w:val="22"/>
          <w:color w:val="auto"/>
        </w:rPr>
        <w:t>”),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23" w:name="page24"/>
    <w:bookmarkEnd w:id="23"/>
    <w:p>
      <w:pPr>
        <w:spacing w:after="0" w:line="238" w:lineRule="auto"/>
        <w:rPr>
          <w:sz w:val="20"/>
          <w:szCs w:val="20"/>
          <w:color w:val="auto"/>
        </w:rPr>
      </w:pPr>
      <w:r>
        <w:rPr>
          <w:rFonts w:ascii="Arial" w:cs="Arial" w:eastAsia="Arial" w:hAnsi="Arial"/>
          <w:sz w:val="22"/>
          <w:szCs w:val="22"/>
          <w:color w:val="auto"/>
        </w:rPr>
        <w:t>maximum extent practicable the original intent of the applicable provision without violating the provisions of Section 409A of the Code.</w:t>
      </w:r>
    </w:p>
    <w:p>
      <w:pPr>
        <w:spacing w:after="0" w:line="201" w:lineRule="exact"/>
        <w:rPr>
          <w:sz w:val="20"/>
          <w:szCs w:val="20"/>
          <w:color w:val="auto"/>
        </w:rPr>
      </w:pPr>
    </w:p>
    <w:p>
      <w:pPr>
        <w:jc w:val="both"/>
        <w:ind w:firstLine="656"/>
        <w:spacing w:after="0" w:line="246" w:lineRule="auto"/>
        <w:tabs>
          <w:tab w:leader="none" w:pos="1436" w:val="left"/>
        </w:tabs>
        <w:numPr>
          <w:ilvl w:val="0"/>
          <w:numId w:val="4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REVIEW BY PARTIES AND THEIR LEGAL COUNSEL. </w:t>
      </w:r>
      <w:r>
        <w:rPr>
          <w:rFonts w:ascii="Arial" w:cs="Arial" w:eastAsia="Arial" w:hAnsi="Arial"/>
          <w:sz w:val="22"/>
          <w:szCs w:val="22"/>
          <w:color w:val="auto"/>
        </w:rPr>
        <w:t>The parties represent that they have read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and acknowledge that they have discussed its contents with their respective legal counsel or have been afforded the opportunity to avail themselves of the opportunity to the extent they each wished to do so.</w:t>
      </w:r>
    </w:p>
    <w:p>
      <w:pPr>
        <w:spacing w:after="0" w:line="195" w:lineRule="exact"/>
        <w:rPr>
          <w:sz w:val="20"/>
          <w:szCs w:val="20"/>
          <w:color w:val="auto"/>
        </w:rPr>
      </w:pPr>
    </w:p>
    <w:p>
      <w:pPr>
        <w:ind w:right="20" w:firstLine="648"/>
        <w:spacing w:after="0" w:line="261" w:lineRule="auto"/>
        <w:rPr>
          <w:sz w:val="20"/>
          <w:szCs w:val="20"/>
          <w:color w:val="auto"/>
        </w:rPr>
      </w:pPr>
      <w:r>
        <w:rPr>
          <w:rFonts w:ascii="Arial" w:cs="Arial" w:eastAsia="Arial" w:hAnsi="Arial"/>
          <w:sz w:val="22"/>
          <w:szCs w:val="22"/>
          <w:b w:val="1"/>
          <w:bCs w:val="1"/>
          <w:i w:val="1"/>
          <w:iCs w:val="1"/>
          <w:color w:val="auto"/>
        </w:rPr>
        <w:t xml:space="preserve">IN WITNESS WHEREOF AND INTENDING TO BE LEGALLY BOUND THEREBY, </w:t>
      </w:r>
      <w:r>
        <w:rPr>
          <w:rFonts w:ascii="Arial" w:cs="Arial" w:eastAsia="Arial" w:hAnsi="Arial"/>
          <w:sz w:val="22"/>
          <w:szCs w:val="22"/>
          <w:color w:val="auto"/>
        </w:rPr>
        <w:t>the parties hereto have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and delivered this Agreement as of the year and date first above written.</w:t>
      </w:r>
    </w:p>
    <w:p>
      <w:pPr>
        <w:spacing w:after="0" w:line="200" w:lineRule="exact"/>
        <w:rPr>
          <w:sz w:val="20"/>
          <w:szCs w:val="20"/>
          <w:color w:val="auto"/>
        </w:rPr>
      </w:pP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86"/>
        </w:trPr>
        <w:tc>
          <w:tcPr>
            <w:tcW w:w="5000" w:type="dxa"/>
            <w:vAlign w:val="bottom"/>
            <w:gridSpan w:val="2"/>
          </w:tcPr>
          <w:p>
            <w:pPr>
              <w:ind w:left="560"/>
              <w:spacing w:after="0"/>
              <w:rPr>
                <w:sz w:val="20"/>
                <w:szCs w:val="20"/>
                <w:color w:val="auto"/>
              </w:rPr>
            </w:pPr>
            <w:r>
              <w:rPr>
                <w:rFonts w:ascii="Arial" w:cs="Arial" w:eastAsia="Arial" w:hAnsi="Arial"/>
                <w:sz w:val="22"/>
                <w:szCs w:val="22"/>
                <w:b w:val="1"/>
                <w:bCs w:val="1"/>
                <w:color w:val="auto"/>
              </w:rPr>
              <w:t>WYNN LAS VEGAS, LLC</w:t>
            </w:r>
          </w:p>
        </w:tc>
        <w:tc>
          <w:tcPr>
            <w:tcW w:w="5760" w:type="dxa"/>
            <w:vAlign w:val="bottom"/>
            <w:gridSpan w:val="2"/>
          </w:tcPr>
          <w:p>
            <w:pPr>
              <w:ind w:left="700"/>
              <w:spacing w:after="0"/>
              <w:rPr>
                <w:sz w:val="20"/>
                <w:szCs w:val="20"/>
                <w:color w:val="auto"/>
              </w:rPr>
            </w:pPr>
            <w:r>
              <w:rPr>
                <w:rFonts w:ascii="Arial" w:cs="Arial" w:eastAsia="Arial" w:hAnsi="Arial"/>
                <w:sz w:val="22"/>
                <w:szCs w:val="22"/>
                <w:b w:val="1"/>
                <w:bCs w:val="1"/>
                <w:color w:val="auto"/>
              </w:rPr>
              <w:t>EMPLOYEE</w:t>
            </w:r>
          </w:p>
        </w:tc>
      </w:tr>
      <w:tr>
        <w:trPr>
          <w:trHeight w:val="476"/>
        </w:trPr>
        <w:tc>
          <w:tcPr>
            <w:tcW w:w="5000" w:type="dxa"/>
            <w:vAlign w:val="bottom"/>
            <w:gridSpan w:val="2"/>
          </w:tcPr>
          <w:p>
            <w:pPr>
              <w:spacing w:after="0"/>
              <w:rPr>
                <w:sz w:val="20"/>
                <w:szCs w:val="20"/>
                <w:color w:val="auto"/>
              </w:rPr>
            </w:pPr>
            <w:r>
              <w:rPr>
                <w:rFonts w:ascii="Arial" w:cs="Arial" w:eastAsia="Arial" w:hAnsi="Arial"/>
                <w:sz w:val="22"/>
                <w:szCs w:val="22"/>
                <w:color w:val="auto"/>
              </w:rPr>
              <w:t>By:  /s/ Andrew Pascal</w:t>
            </w:r>
          </w:p>
        </w:tc>
        <w:tc>
          <w:tcPr>
            <w:tcW w:w="5760" w:type="dxa"/>
            <w:vAlign w:val="bottom"/>
            <w:gridSpan w:val="2"/>
          </w:tcPr>
          <w:p>
            <w:pPr>
              <w:ind w:left="700"/>
              <w:spacing w:after="0"/>
              <w:rPr>
                <w:sz w:val="20"/>
                <w:szCs w:val="20"/>
                <w:color w:val="auto"/>
              </w:rPr>
            </w:pPr>
            <w:r>
              <w:rPr>
                <w:rFonts w:ascii="Arial" w:cs="Arial" w:eastAsia="Arial" w:hAnsi="Arial"/>
                <w:sz w:val="22"/>
                <w:szCs w:val="22"/>
                <w:color w:val="auto"/>
              </w:rPr>
              <w:t>/s/ Scott Peterson</w:t>
            </w:r>
          </w:p>
        </w:tc>
      </w:tr>
      <w:tr>
        <w:trPr>
          <w:trHeight w:val="253"/>
        </w:trPr>
        <w:tc>
          <w:tcPr>
            <w:tcW w:w="560" w:type="dxa"/>
            <w:vAlign w:val="bottom"/>
          </w:tcPr>
          <w:p>
            <w:pPr>
              <w:spacing w:after="0"/>
              <w:rPr>
                <w:sz w:val="22"/>
                <w:szCs w:val="22"/>
                <w:color w:val="auto"/>
              </w:rPr>
            </w:pPr>
          </w:p>
        </w:tc>
        <w:tc>
          <w:tcPr>
            <w:tcW w:w="4440" w:type="dxa"/>
            <w:vAlign w:val="bottom"/>
            <w:tcBorders>
              <w:top w:val="single" w:sz="8" w:color="auto"/>
            </w:tcBorders>
          </w:tcPr>
          <w:p>
            <w:pPr>
              <w:ind w:left="980"/>
              <w:spacing w:after="0"/>
              <w:rPr>
                <w:sz w:val="20"/>
                <w:szCs w:val="20"/>
                <w:color w:val="auto"/>
              </w:rPr>
            </w:pPr>
            <w:r>
              <w:rPr>
                <w:rFonts w:ascii="Arial" w:cs="Arial" w:eastAsia="Arial" w:hAnsi="Arial"/>
                <w:sz w:val="22"/>
                <w:szCs w:val="22"/>
                <w:color w:val="auto"/>
              </w:rPr>
              <w:t>Andrew Pascal, President</w:t>
            </w:r>
          </w:p>
        </w:tc>
        <w:tc>
          <w:tcPr>
            <w:tcW w:w="700" w:type="dxa"/>
            <w:vAlign w:val="bottom"/>
          </w:tcPr>
          <w:p>
            <w:pPr>
              <w:spacing w:after="0"/>
              <w:rPr>
                <w:sz w:val="22"/>
                <w:szCs w:val="22"/>
                <w:color w:val="auto"/>
              </w:rPr>
            </w:pPr>
          </w:p>
        </w:tc>
        <w:tc>
          <w:tcPr>
            <w:tcW w:w="5060" w:type="dxa"/>
            <w:vAlign w:val="bottom"/>
            <w:tcBorders>
              <w:top w:val="single" w:sz="8" w:color="auto"/>
            </w:tcBorders>
          </w:tcPr>
          <w:p>
            <w:pPr>
              <w:ind w:left="1820"/>
              <w:spacing w:after="0"/>
              <w:rPr>
                <w:sz w:val="20"/>
                <w:szCs w:val="20"/>
                <w:color w:val="auto"/>
              </w:rPr>
            </w:pPr>
            <w:r>
              <w:rPr>
                <w:rFonts w:ascii="Arial" w:cs="Arial" w:eastAsia="Arial" w:hAnsi="Arial"/>
                <w:sz w:val="22"/>
                <w:szCs w:val="22"/>
                <w:color w:val="auto"/>
              </w:rPr>
              <w:t>Scott Peterson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24" w:name="page25"/>
    <w:bookmarkEnd w:id="24"/>
    <w:p>
      <w:pPr>
        <w:spacing w:after="0" w:line="369" w:lineRule="exact"/>
        <w:rPr>
          <w:sz w:val="20"/>
          <w:szCs w:val="20"/>
          <w:color w:val="auto"/>
        </w:rPr>
      </w:pPr>
    </w:p>
    <w:p>
      <w:pPr>
        <w:ind w:left="1880"/>
        <w:spacing w:after="0"/>
        <w:rPr>
          <w:sz w:val="20"/>
          <w:szCs w:val="20"/>
          <w:color w:val="auto"/>
        </w:rPr>
      </w:pPr>
      <w:r>
        <w:rPr>
          <w:rFonts w:ascii="Arial" w:cs="Arial" w:eastAsia="Arial" w:hAnsi="Arial"/>
          <w:sz w:val="21"/>
          <w:szCs w:val="21"/>
          <w:b w:val="1"/>
          <w:bCs w:val="1"/>
          <w:color w:val="auto"/>
        </w:rPr>
        <w:t>____________________________________________</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EMPLOYMENT AGREEMENT</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(“Agreement”)</w:t>
      </w:r>
    </w:p>
    <w:p>
      <w:pPr>
        <w:spacing w:after="0" w:line="233"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 by and between -</w:t>
      </w:r>
    </w:p>
    <w:p>
      <w:pPr>
        <w:spacing w:after="0" w:line="207"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WYNN LAS VEGAS, LLC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(“Employer”)</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and - -</w:t>
      </w:r>
    </w:p>
    <w:p>
      <w:pPr>
        <w:spacing w:after="0" w:line="207"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SCOTT PETERSON</w:t>
      </w:r>
    </w:p>
    <w:p>
      <w:pPr>
        <w:spacing w:after="0" w:line="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(“Employee”)</w:t>
      </w:r>
    </w:p>
    <w:p>
      <w:pPr>
        <w:ind w:left="1880"/>
        <w:spacing w:after="0"/>
        <w:rPr>
          <w:sz w:val="20"/>
          <w:szCs w:val="20"/>
          <w:color w:val="auto"/>
        </w:rPr>
      </w:pPr>
      <w:r>
        <w:rPr>
          <w:rFonts w:ascii="Arial" w:cs="Arial" w:eastAsia="Arial" w:hAnsi="Arial"/>
          <w:sz w:val="21"/>
          <w:szCs w:val="21"/>
          <w:b w:val="1"/>
          <w:bCs w:val="1"/>
          <w:color w:val="auto"/>
        </w:rPr>
        <w:t>____________________________________________</w:t>
      </w:r>
    </w:p>
    <w:p>
      <w:pPr>
        <w:spacing w:after="0" w:line="209" w:lineRule="exact"/>
        <w:rPr>
          <w:sz w:val="20"/>
          <w:szCs w:val="20"/>
          <w:color w:val="auto"/>
        </w:rPr>
      </w:pPr>
    </w:p>
    <w:p>
      <w:pPr>
        <w:ind w:left="2600"/>
        <w:spacing w:after="0"/>
        <w:tabs>
          <w:tab w:leader="none" w:pos="4700" w:val="left"/>
        </w:tabs>
        <w:rPr>
          <w:sz w:val="20"/>
          <w:szCs w:val="20"/>
          <w:color w:val="auto"/>
        </w:rPr>
      </w:pPr>
      <w:r>
        <w:rPr>
          <w:rFonts w:ascii="Arial" w:cs="Arial" w:eastAsia="Arial" w:hAnsi="Arial"/>
          <w:sz w:val="22"/>
          <w:szCs w:val="22"/>
          <w:b w:val="1"/>
          <w:bCs w:val="1"/>
          <w:color w:val="auto"/>
        </w:rPr>
        <w:t>DATED:</w:t>
      </w:r>
      <w:r>
        <w:rPr>
          <w:sz w:val="20"/>
          <w:szCs w:val="20"/>
          <w:color w:val="auto"/>
        </w:rPr>
        <w:tab/>
      </w:r>
      <w:r>
        <w:rPr>
          <w:rFonts w:ascii="Arial" w:cs="Arial" w:eastAsia="Arial" w:hAnsi="Arial"/>
          <w:sz w:val="22"/>
          <w:szCs w:val="22"/>
          <w:color w:val="auto"/>
        </w:rPr>
        <w:t>as of May 5, 2009</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21"/>
          <w:szCs w:val="21"/>
          <w:b w:val="1"/>
          <w:bCs w:val="1"/>
          <w:color w:val="auto"/>
        </w:rPr>
        <w:t>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843280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TERMINATION AGREEMENT</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This Termination Agreement (“</w:t>
      </w:r>
      <w:r>
        <w:rPr>
          <w:rFonts w:ascii="Arial" w:cs="Arial" w:eastAsia="Arial" w:hAnsi="Arial"/>
          <w:sz w:val="22"/>
          <w:szCs w:val="22"/>
          <w:b w:val="1"/>
          <w:bCs w:val="1"/>
          <w:color w:val="auto"/>
        </w:rPr>
        <w:t>Termination Agreement</w:t>
      </w:r>
      <w:r>
        <w:rPr>
          <w:rFonts w:ascii="Arial" w:cs="Arial" w:eastAsia="Arial" w:hAnsi="Arial"/>
          <w:sz w:val="22"/>
          <w:szCs w:val="22"/>
          <w:color w:val="auto"/>
        </w:rPr>
        <w:t>”) is made and entered into as of the 5th day of May 2009, by and between Scott Peterson (“</w:t>
      </w:r>
      <w:r>
        <w:rPr>
          <w:rFonts w:ascii="Arial" w:cs="Arial" w:eastAsia="Arial" w:hAnsi="Arial"/>
          <w:sz w:val="22"/>
          <w:szCs w:val="22"/>
          <w:b w:val="1"/>
          <w:bCs w:val="1"/>
          <w:color w:val="auto"/>
        </w:rPr>
        <w:t>Employee</w:t>
      </w:r>
      <w:r>
        <w:rPr>
          <w:rFonts w:ascii="Arial" w:cs="Arial" w:eastAsia="Arial" w:hAnsi="Arial"/>
          <w:sz w:val="22"/>
          <w:szCs w:val="22"/>
          <w:color w:val="auto"/>
        </w:rPr>
        <w:t>”) and Worldwide Wynn, LLC (“</w:t>
      </w:r>
      <w:r>
        <w:rPr>
          <w:rFonts w:ascii="Arial" w:cs="Arial" w:eastAsia="Arial" w:hAnsi="Arial"/>
          <w:sz w:val="22"/>
          <w:szCs w:val="22"/>
          <w:b w:val="1"/>
          <w:bCs w:val="1"/>
          <w:color w:val="auto"/>
        </w:rPr>
        <w:t>WWW</w:t>
      </w:r>
      <w:r>
        <w:rPr>
          <w:rFonts w:ascii="Arial" w:cs="Arial" w:eastAsia="Arial" w:hAnsi="Arial"/>
          <w:sz w:val="22"/>
          <w:szCs w:val="22"/>
          <w:color w:val="auto"/>
        </w:rPr>
        <w:t>”).</w:t>
      </w:r>
    </w:p>
    <w:p>
      <w:pPr>
        <w:spacing w:after="0" w:line="179"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has entered into that certain Employment Agreement dated as of June 27, 2005,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Prior Employment Agreement</w:t>
      </w:r>
      <w:r>
        <w:rPr>
          <w:rFonts w:ascii="Arial" w:cs="Arial" w:eastAsia="Arial" w:hAnsi="Arial"/>
          <w:sz w:val="22"/>
          <w:szCs w:val="22"/>
          <w:color w:val="auto"/>
        </w:rPr>
        <w:t>”) with WWW; and</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has agreed to enter into an employment agreement with Wynn Las Vegas, LLC (the “</w:t>
      </w:r>
      <w:r>
        <w:rPr>
          <w:rFonts w:ascii="Arial" w:cs="Arial" w:eastAsia="Arial" w:hAnsi="Arial"/>
          <w:sz w:val="22"/>
          <w:szCs w:val="22"/>
          <w:b w:val="1"/>
          <w:bCs w:val="1"/>
          <w:color w:val="auto"/>
        </w:rPr>
        <w:t>WLV Employment Agreement</w:t>
      </w:r>
      <w:r>
        <w:rPr>
          <w:rFonts w:ascii="Arial" w:cs="Arial" w:eastAsia="Arial" w:hAnsi="Arial"/>
          <w:sz w:val="22"/>
          <w:szCs w:val="22"/>
          <w:color w:val="auto"/>
        </w:rPr>
        <w:t>”) subject to and concurrent with the termination of the Prior Employment Agreement; and</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and WWW have agreed to terminate the Prior Employment Agreement concurrent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effectiveness of the Macau Employment Agreement.</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 xml:space="preserve">NOW, THEREFORE, </w:t>
      </w:r>
      <w:r>
        <w:rPr>
          <w:rFonts w:ascii="Arial" w:cs="Arial" w:eastAsia="Arial" w:hAnsi="Arial"/>
          <w:sz w:val="22"/>
          <w:szCs w:val="22"/>
          <w:color w:val="auto"/>
        </w:rPr>
        <w:t>for and in consideration of the foregoing recitals, and in consideration of the mutual covenants,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agreements, understandings, undertakings, representations, warranties and promises hereinafter set forth, and intending to be legally bound thereby, WLV and Employee do hereby covenant and agree as follows:</w:t>
      </w:r>
    </w:p>
    <w:p>
      <w:pPr>
        <w:spacing w:after="0" w:line="195" w:lineRule="exact"/>
        <w:rPr>
          <w:sz w:val="20"/>
          <w:szCs w:val="20"/>
          <w:color w:val="auto"/>
        </w:rPr>
      </w:pPr>
    </w:p>
    <w:p>
      <w:pPr>
        <w:jc w:val="both"/>
        <w:ind w:left="660" w:hanging="652"/>
        <w:spacing w:after="0" w:line="246" w:lineRule="auto"/>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AGREEMENT</w:t>
      </w:r>
      <w:r>
        <w:rPr>
          <w:rFonts w:ascii="Arial" w:cs="Arial" w:eastAsia="Arial" w:hAnsi="Arial"/>
          <w:sz w:val="22"/>
          <w:szCs w:val="22"/>
          <w:color w:val="auto"/>
        </w:rPr>
        <w:t>. Employee and WLV agree that the Prior Employment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and be of no further force or effect concurrent with the effectiveness of the WLV Employment Agreement which is scheduled to be come effective as of April 20, 2009.</w:t>
      </w:r>
    </w:p>
    <w:p>
      <w:pPr>
        <w:spacing w:after="0" w:line="195" w:lineRule="exact"/>
        <w:rPr>
          <w:sz w:val="20"/>
          <w:szCs w:val="20"/>
          <w:color w:val="auto"/>
        </w:rPr>
      </w:pPr>
    </w:p>
    <w:p>
      <w:pPr>
        <w:ind w:right="20" w:firstLine="648"/>
        <w:spacing w:after="0" w:line="261" w:lineRule="auto"/>
        <w:rPr>
          <w:sz w:val="20"/>
          <w:szCs w:val="20"/>
          <w:color w:val="auto"/>
        </w:rPr>
      </w:pPr>
      <w:r>
        <w:rPr>
          <w:rFonts w:ascii="Arial" w:cs="Arial" w:eastAsia="Arial" w:hAnsi="Arial"/>
          <w:sz w:val="22"/>
          <w:szCs w:val="22"/>
          <w:b w:val="1"/>
          <w:bCs w:val="1"/>
          <w:i w:val="1"/>
          <w:iCs w:val="1"/>
          <w:color w:val="auto"/>
        </w:rPr>
        <w:t xml:space="preserve">IN WITNESS WHEREOF AND INTENDING TO BE LEGALLY BOUND THEREBY, </w:t>
      </w:r>
      <w:r>
        <w:rPr>
          <w:rFonts w:ascii="Arial" w:cs="Arial" w:eastAsia="Arial" w:hAnsi="Arial"/>
          <w:sz w:val="22"/>
          <w:szCs w:val="22"/>
          <w:color w:val="auto"/>
        </w:rPr>
        <w:t>the parties hereto have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and delivered this Agreement as of the year and date first above written.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740" w:type="dxa"/>
            <w:vAlign w:val="bottom"/>
            <w:gridSpan w:val="2"/>
          </w:tcPr>
          <w:p>
            <w:pPr>
              <w:spacing w:after="0"/>
              <w:rPr>
                <w:sz w:val="20"/>
                <w:szCs w:val="20"/>
                <w:color w:val="auto"/>
              </w:rPr>
            </w:pPr>
            <w:r>
              <w:rPr>
                <w:rFonts w:ascii="Arial" w:cs="Arial" w:eastAsia="Arial" w:hAnsi="Arial"/>
                <w:sz w:val="22"/>
                <w:szCs w:val="22"/>
                <w:b w:val="1"/>
                <w:bCs w:val="1"/>
                <w:color w:val="auto"/>
              </w:rPr>
              <w:t>WORLDWIDE WYNN, LLC</w:t>
            </w:r>
          </w:p>
        </w:tc>
        <w:tc>
          <w:tcPr>
            <w:tcW w:w="6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22"/>
                <w:szCs w:val="22"/>
                <w:b w:val="1"/>
                <w:bCs w:val="1"/>
                <w:color w:val="auto"/>
              </w:rPr>
              <w:t>EMPLOYEE</w:t>
            </w:r>
          </w:p>
        </w:tc>
      </w:tr>
      <w:tr>
        <w:trPr>
          <w:trHeight w:val="719"/>
        </w:trPr>
        <w:tc>
          <w:tcPr>
            <w:tcW w:w="5740" w:type="dxa"/>
            <w:vAlign w:val="bottom"/>
            <w:gridSpan w:val="2"/>
          </w:tcPr>
          <w:p>
            <w:pPr>
              <w:ind w:left="660"/>
              <w:spacing w:after="0"/>
              <w:rPr>
                <w:sz w:val="20"/>
                <w:szCs w:val="20"/>
                <w:color w:val="auto"/>
              </w:rPr>
            </w:pPr>
            <w:r>
              <w:rPr>
                <w:rFonts w:ascii="Arial" w:cs="Arial" w:eastAsia="Arial" w:hAnsi="Arial"/>
                <w:sz w:val="22"/>
                <w:szCs w:val="22"/>
                <w:color w:val="auto"/>
              </w:rPr>
              <w:t>By:</w:t>
            </w: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58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MARC D. SCHORR</w:t>
            </w:r>
          </w:p>
        </w:tc>
        <w:tc>
          <w:tcPr>
            <w:tcW w:w="660" w:type="dxa"/>
            <w:vAlign w:val="bottom"/>
          </w:tcPr>
          <w:p>
            <w:pPr>
              <w:spacing w:after="0"/>
              <w:rPr>
                <w:sz w:val="20"/>
                <w:szCs w:val="20"/>
                <w:color w:val="auto"/>
              </w:rPr>
            </w:pPr>
          </w:p>
        </w:tc>
        <w:tc>
          <w:tcPr>
            <w:tcW w:w="502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SCOTT PETERSON</w:t>
            </w:r>
          </w:p>
        </w:tc>
      </w:tr>
      <w:tr>
        <w:trPr>
          <w:trHeight w:val="260"/>
        </w:trPr>
        <w:tc>
          <w:tcPr>
            <w:tcW w:w="1160" w:type="dxa"/>
            <w:vAlign w:val="bottom"/>
          </w:tcPr>
          <w:p>
            <w:pPr>
              <w:spacing w:after="0"/>
              <w:rPr>
                <w:sz w:val="22"/>
                <w:szCs w:val="22"/>
                <w:color w:val="auto"/>
              </w:rPr>
            </w:pPr>
          </w:p>
        </w:tc>
        <w:tc>
          <w:tcPr>
            <w:tcW w:w="4580" w:type="dxa"/>
            <w:vAlign w:val="bottom"/>
          </w:tcPr>
          <w:p>
            <w:pPr>
              <w:spacing w:after="0"/>
              <w:rPr>
                <w:sz w:val="20"/>
                <w:szCs w:val="20"/>
                <w:color w:val="auto"/>
              </w:rPr>
            </w:pPr>
            <w:r>
              <w:rPr>
                <w:rFonts w:ascii="Arial" w:cs="Arial" w:eastAsia="Arial" w:hAnsi="Arial"/>
                <w:sz w:val="22"/>
                <w:szCs w:val="22"/>
                <w:color w:val="auto"/>
              </w:rPr>
              <w:t>President</w:t>
            </w:r>
          </w:p>
        </w:tc>
        <w:tc>
          <w:tcPr>
            <w:tcW w:w="660" w:type="dxa"/>
            <w:vAlign w:val="bottom"/>
          </w:tcPr>
          <w:p>
            <w:pPr>
              <w:spacing w:after="0"/>
              <w:rPr>
                <w:sz w:val="22"/>
                <w:szCs w:val="22"/>
                <w:color w:val="auto"/>
              </w:rPr>
            </w:pPr>
          </w:p>
        </w:tc>
        <w:tc>
          <w:tcPr>
            <w:tcW w:w="5020" w:type="dxa"/>
            <w:vAlign w:val="bottom"/>
          </w:tcPr>
          <w:p>
            <w:pPr>
              <w:spacing w:after="0"/>
              <w:rPr>
                <w:sz w:val="22"/>
                <w:szCs w:val="22"/>
                <w:color w:val="auto"/>
              </w:rPr>
            </w:pPr>
          </w:p>
        </w:tc>
      </w:tr>
      <w:tr>
        <w:trPr>
          <w:trHeight w:val="595"/>
        </w:trPr>
        <w:tc>
          <w:tcPr>
            <w:tcW w:w="11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Indemnification and Gross-Up for Excise Taxes</w:t>
      </w:r>
    </w:p>
    <w:p>
      <w:pPr>
        <w:spacing w:after="0" w:line="255" w:lineRule="exact"/>
        <w:rPr>
          <w:sz w:val="20"/>
          <w:szCs w:val="20"/>
          <w:color w:val="auto"/>
        </w:rPr>
      </w:pPr>
    </w:p>
    <w:p>
      <w:pPr>
        <w:jc w:val="both"/>
        <w:ind w:firstLine="656"/>
        <w:spacing w:after="0" w:line="242" w:lineRule="auto"/>
        <w:tabs>
          <w:tab w:leader="none" w:pos="1709" w:val="left"/>
        </w:tabs>
        <w:numPr>
          <w:ilvl w:val="0"/>
          <w:numId w:val="42"/>
        </w:numPr>
        <w:rPr>
          <w:rFonts w:ascii="Arial" w:cs="Arial" w:eastAsia="Arial" w:hAnsi="Arial"/>
          <w:sz w:val="21"/>
          <w:szCs w:val="21"/>
          <w:color w:val="auto"/>
        </w:rPr>
      </w:pPr>
      <w:r>
        <w:rPr>
          <w:rFonts w:ascii="Arial" w:cs="Arial" w:eastAsia="Arial" w:hAnsi="Arial"/>
          <w:sz w:val="21"/>
          <w:szCs w:val="21"/>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or any similar provision of state or local income tax law (the "</w:t>
      </w:r>
      <w:r>
        <w:rPr>
          <w:rFonts w:ascii="Arial" w:cs="Arial" w:eastAsia="Arial" w:hAnsi="Arial"/>
          <w:sz w:val="21"/>
          <w:szCs w:val="21"/>
          <w:b w:val="1"/>
          <w:bCs w:val="1"/>
          <w:color w:val="auto"/>
        </w:rPr>
        <w:t>Excise Tax</w:t>
      </w:r>
      <w:r>
        <w:rPr>
          <w:rFonts w:ascii="Arial" w:cs="Arial" w:eastAsia="Arial" w:hAnsi="Arial"/>
          <w:sz w:val="21"/>
          <w:szCs w:val="21"/>
          <w:color w:val="auto"/>
        </w:rPr>
        <w:t>"),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w:t>
      </w:r>
      <w:r>
        <w:rPr>
          <w:rFonts w:ascii="Arial" w:cs="Arial" w:eastAsia="Arial" w:hAnsi="Arial"/>
          <w:sz w:val="21"/>
          <w:szCs w:val="21"/>
          <w:b w:val="1"/>
          <w:bCs w:val="1"/>
          <w:color w:val="auto"/>
        </w:rPr>
        <w:t>Gross-Up Payment</w:t>
      </w:r>
      <w:r>
        <w:rPr>
          <w:rFonts w:ascii="Arial" w:cs="Arial" w:eastAsia="Arial" w:hAnsi="Arial"/>
          <w:sz w:val="21"/>
          <w:szCs w:val="21"/>
          <w:color w:val="auto"/>
        </w:rPr>
        <w:t>") in an amount such that, after payment by Employee of all taxes, including income taxes and the Excise</w:t>
      </w:r>
      <w:r>
        <w:rPr>
          <w:rFonts w:ascii="Arial" w:cs="Arial" w:eastAsia="Arial" w:hAnsi="Arial"/>
          <w:sz w:val="21"/>
          <w:szCs w:val="21"/>
          <w:b w:val="1"/>
          <w:bCs w:val="1"/>
          <w:color w:val="auto"/>
        </w:rPr>
        <w:t xml:space="preserve"> </w:t>
      </w:r>
      <w:r>
        <w:rPr>
          <w:rFonts w:ascii="Arial" w:cs="Arial" w:eastAsia="Arial" w:hAnsi="Arial"/>
          <w:sz w:val="21"/>
          <w:szCs w:val="21"/>
          <w:color w:val="auto"/>
        </w:rPr>
        <w:t>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w:t>
      </w:r>
      <w:r>
        <w:rPr>
          <w:rFonts w:ascii="Arial" w:cs="Arial" w:eastAsia="Arial" w:hAnsi="Arial"/>
          <w:sz w:val="21"/>
          <w:szCs w:val="21"/>
          <w:b w:val="1"/>
          <w:bCs w:val="1"/>
          <w:color w:val="auto"/>
        </w:rPr>
        <w:t>Excess Parachute Payments</w:t>
      </w:r>
      <w:r>
        <w:rPr>
          <w:rFonts w:ascii="Arial" w:cs="Arial" w:eastAsia="Arial" w:hAnsi="Arial"/>
          <w:sz w:val="21"/>
          <w:szCs w:val="21"/>
          <w:color w:val="auto"/>
        </w:rPr>
        <w:t>"). If, through a determination of the Internal Revenue Service or any state or local taxing authority (a "</w:t>
      </w:r>
      <w:r>
        <w:rPr>
          <w:rFonts w:ascii="Arial" w:cs="Arial" w:eastAsia="Arial" w:hAnsi="Arial"/>
          <w:sz w:val="21"/>
          <w:szCs w:val="21"/>
          <w:b w:val="1"/>
          <w:bCs w:val="1"/>
          <w:color w:val="auto"/>
        </w:rPr>
        <w:t>Taxing Authority</w:t>
      </w:r>
      <w:r>
        <w:rPr>
          <w:rFonts w:ascii="Arial" w:cs="Arial" w:eastAsia="Arial" w:hAnsi="Arial"/>
          <w:sz w:val="21"/>
          <w:szCs w:val="21"/>
          <w:color w:val="auto"/>
        </w:rPr>
        <w:t>"),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paragraph (c), Employer shall have the right to require Employee to protest, contest, or appeal any such determination or judgment. For purposes of this Exhibit B, any amount that Employer is required to withhold under Sections 3402 or 4999 of the Code or under any other provision of law shall be deemed to have been paid to Employee.</w:t>
      </w:r>
    </w:p>
    <w:p>
      <w:pPr>
        <w:spacing w:after="0" w:line="200" w:lineRule="exact"/>
        <w:rPr>
          <w:rFonts w:ascii="Arial" w:cs="Arial" w:eastAsia="Arial" w:hAnsi="Arial"/>
          <w:sz w:val="21"/>
          <w:szCs w:val="21"/>
          <w:color w:val="auto"/>
        </w:rPr>
      </w:pPr>
    </w:p>
    <w:p>
      <w:pPr>
        <w:spacing w:after="0" w:line="277" w:lineRule="exact"/>
        <w:rPr>
          <w:rFonts w:ascii="Arial" w:cs="Arial" w:eastAsia="Arial" w:hAnsi="Arial"/>
          <w:sz w:val="21"/>
          <w:szCs w:val="21"/>
          <w:color w:val="auto"/>
        </w:rPr>
      </w:pPr>
    </w:p>
    <w:p>
      <w:pPr>
        <w:jc w:val="both"/>
        <w:ind w:firstLine="656"/>
        <w:spacing w:after="0" w:line="232" w:lineRule="auto"/>
        <w:tabs>
          <w:tab w:leader="none" w:pos="1662" w:val="left"/>
        </w:tabs>
        <w:numPr>
          <w:ilvl w:val="0"/>
          <w:numId w:val="42"/>
        </w:numPr>
        <w:rPr>
          <w:rFonts w:ascii="Arial" w:cs="Arial" w:eastAsia="Arial" w:hAnsi="Arial"/>
          <w:sz w:val="22"/>
          <w:szCs w:val="22"/>
          <w:color w:val="auto"/>
        </w:rPr>
      </w:pPr>
      <w:r>
        <w:rPr>
          <w:rFonts w:ascii="Arial" w:cs="Arial" w:eastAsia="Arial" w:hAnsi="Arial"/>
          <w:sz w:val="22"/>
          <w:szCs w:val="22"/>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paragraph (a), Employer shall not be obligated to indemnify Employee from and against any tax liability, cost or expense (including, without limitation, any liability for the Excise Tax or attorney's fees or costs)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such tax liability, cost or expense is attributable to your failure to comply with the provisions of this paragraph (b).</w:t>
      </w:r>
    </w:p>
    <w:p>
      <w:pPr>
        <w:spacing w:after="0" w:line="233" w:lineRule="exact"/>
        <w:rPr>
          <w:sz w:val="20"/>
          <w:szCs w:val="20"/>
          <w:color w:val="auto"/>
        </w:rPr>
      </w:pPr>
    </w:p>
    <w:p>
      <w:pPr>
        <w:jc w:val="both"/>
        <w:ind w:firstLine="656"/>
        <w:spacing w:after="0" w:line="231" w:lineRule="auto"/>
        <w:tabs>
          <w:tab w:leader="none" w:pos="169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w:t>
      </w:r>
      <w:r>
        <w:rPr>
          <w:rFonts w:ascii="Arial" w:cs="Arial" w:eastAsia="Arial" w:hAnsi="Arial"/>
          <w:sz w:val="22"/>
          <w:szCs w:val="22"/>
          <w:b w:val="1"/>
          <w:bCs w:val="1"/>
          <w:color w:val="auto"/>
        </w:rPr>
        <w:t>Controversy</w:t>
      </w:r>
      <w:r>
        <w:rPr>
          <w:rFonts w:ascii="Arial" w:cs="Arial" w:eastAsia="Arial" w:hAnsi="Arial"/>
          <w:sz w:val="22"/>
          <w:szCs w:val="22"/>
          <w:color w:val="auto"/>
        </w:rPr>
        <w:t xml:space="preserve">"),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Employee shall not be obligated to furnish to Employer copies of any portion of his or her tax returns which do not bear upon, and are not affected by, the Controversy.</w:t>
      </w:r>
    </w:p>
    <w:p>
      <w:pPr>
        <w:spacing w:after="0" w:line="236" w:lineRule="exact"/>
        <w:rPr>
          <w:rFonts w:ascii="Arial" w:cs="Arial" w:eastAsia="Arial" w:hAnsi="Arial"/>
          <w:sz w:val="22"/>
          <w:szCs w:val="22"/>
          <w:color w:val="auto"/>
        </w:rPr>
      </w:pPr>
    </w:p>
    <w:p>
      <w:pPr>
        <w:jc w:val="both"/>
        <w:ind w:firstLine="656"/>
        <w:spacing w:after="0" w:line="232" w:lineRule="auto"/>
        <w:tabs>
          <w:tab w:leader="none" w:pos="1653" w:val="left"/>
        </w:tabs>
        <w:numPr>
          <w:ilvl w:val="0"/>
          <w:numId w:val="43"/>
        </w:numPr>
        <w:rPr>
          <w:rFonts w:ascii="Arial" w:cs="Arial" w:eastAsia="Arial" w:hAnsi="Arial"/>
          <w:sz w:val="22"/>
          <w:szCs w:val="22"/>
          <w:color w:val="auto"/>
        </w:rPr>
      </w:pPr>
      <w:r>
        <w:rPr>
          <w:rFonts w:ascii="Arial" w:cs="Arial" w:eastAsia="Arial" w:hAnsi="Arial"/>
          <w:sz w:val="22"/>
          <w:szCs w:val="22"/>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paragraph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sectPr>
      <w:pgSz w:w="11900" w:h="16838" w:orient="portrait"/>
      <w:cols w:equalWidth="0" w:num="1">
        <w:col w:w="11420"/>
      </w:cols>
      <w:pgMar w:left="240" w:top="1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Letter"/>
      <w:start w:val="1"/>
    </w:lvl>
    <w:lvl w:ilvl="1">
      <w:lvlJc w:val="left"/>
      <w:lvlText w:val="(%2)"/>
      <w:numFmt w:val="lowerLetter"/>
      <w:start w:val="1"/>
    </w:lvl>
  </w:abstractNum>
  <w:abstractNum w:abstractNumId="3">
    <w:nsid w:val="6763845E"/>
    <w:multiLevelType w:val="hybridMultilevel"/>
    <w:lvl w:ilvl="0">
      <w:lvlJc w:val="left"/>
      <w:lvlText w:val="(%1)"/>
      <w:numFmt w:val="lowerLetter"/>
      <w:start w:val="9"/>
    </w:lvl>
    <w:lvl w:ilvl="1">
      <w:lvlJc w:val="left"/>
      <w:lvlText w:val="%2"/>
      <w:numFmt w:val="lowerLetter"/>
      <w:start w:val="1"/>
    </w:lvl>
  </w:abstractNum>
  <w:abstractNum w:abstractNumId="4">
    <w:nsid w:val="75A2A8D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5">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6">
    <w:nsid w:val="79838CB2"/>
    <w:multiLevelType w:val="hybridMultilevel"/>
    <w:lvl w:ilvl="0">
      <w:lvlJc w:val="left"/>
      <w:lvlText w:val="(%1)"/>
      <w:numFmt w:val="lowerRoman"/>
      <w:start w:val="5"/>
    </w:lvl>
  </w:abstractNum>
  <w:abstractNum w:abstractNumId="7">
    <w:nsid w:val="4353D0CD"/>
    <w:multiLevelType w:val="hybridMultilevel"/>
    <w:lvl w:ilvl="0">
      <w:lvlJc w:val="left"/>
      <w:lvlText w:val="(%1)"/>
      <w:numFmt w:val="lowerRoman"/>
      <w:start w:val="8"/>
    </w:lvl>
  </w:abstractNum>
  <w:abstractNum w:abstractNumId="8">
    <w:nsid w:val="B03E0C6"/>
    <w:multiLevelType w:val="hybridMultilevel"/>
    <w:lvl w:ilvl="0">
      <w:lvlJc w:val="left"/>
      <w:lvlText w:val="(%1)"/>
      <w:numFmt w:val="lowerRoman"/>
      <w:start w:val="10"/>
    </w:lvl>
  </w:abstractNum>
  <w:abstractNum w:abstractNumId="9">
    <w:nsid w:val="189A769B"/>
    <w:multiLevelType w:val="hybridMultilevel"/>
    <w:lvl w:ilvl="0">
      <w:lvlJc w:val="left"/>
      <w:lvlText w:val="(%1)"/>
      <w:numFmt w:val="lowerLetter"/>
      <w:start w:val="4"/>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Letter"/>
      <w:start w:val="1"/>
    </w:lvl>
    <w:lvl w:ilvl="1">
      <w:lvlJc w:val="left"/>
      <w:lvlText w:val="(%2)"/>
      <w:numFmt w:val="lowerLetter"/>
      <w:start w:val="61"/>
    </w:lvl>
  </w:abstractNum>
  <w:abstractNum w:abstractNumId="12">
    <w:nsid w:val="2CA88611"/>
    <w:multiLevelType w:val="hybridMultilevel"/>
    <w:lvl w:ilvl="0">
      <w:lvlJc w:val="left"/>
      <w:lvlText w:val="(%1)"/>
      <w:numFmt w:val="lowerLetter"/>
      <w:start w:val="25"/>
    </w:lvl>
    <w:lvl w:ilvl="1">
      <w:lvlJc w:val="left"/>
      <w:lvlText w:val="%2"/>
      <w:numFmt w:val="lowerLetter"/>
      <w:start w:val="1"/>
    </w:lvl>
  </w:abstractNum>
  <w:abstractNum w:abstractNumId="13">
    <w:nsid w:val="836C40E"/>
    <w:multiLevelType w:val="hybridMultilevel"/>
    <w:lvl w:ilvl="0">
      <w:lvlJc w:val="left"/>
      <w:lvlText w:val="(%1)"/>
      <w:numFmt w:val="lowerLetter"/>
      <w:start w:val="5"/>
    </w:lvl>
  </w:abstractNum>
  <w:abstractNum w:abstractNumId="14">
    <w:nsid w:val="2901D82"/>
    <w:multiLevelType w:val="hybridMultilevel"/>
    <w:lvl w:ilvl="0">
      <w:lvlJc w:val="left"/>
      <w:lvlText w:val="(%1)"/>
      <w:numFmt w:val="lowerLetter"/>
      <w:start w:val="6"/>
    </w:lvl>
    <w:lvl w:ilvl="1">
      <w:lvlJc w:val="left"/>
      <w:lvlText w:val="(%2)"/>
      <w:numFmt w:val="lowerRoman"/>
      <w:start w:val="1"/>
    </w:lvl>
  </w:abstractNum>
  <w:abstractNum w:abstractNumId="15">
    <w:nsid w:val="3A95F874"/>
    <w:multiLevelType w:val="hybridMultilevel"/>
    <w:lvl w:ilvl="0">
      <w:lvlJc w:val="left"/>
      <w:lvlText w:val="(%1)"/>
      <w:numFmt w:val="lowerRoman"/>
      <w:start w:val="3"/>
    </w:lvl>
  </w:abstractNum>
  <w:abstractNum w:abstractNumId="16">
    <w:nsid w:val="8138641"/>
    <w:multiLevelType w:val="hybridMultilevel"/>
    <w:lvl w:ilvl="0">
      <w:lvlJc w:val="left"/>
      <w:lvlText w:val="%1"/>
      <w:numFmt w:val="lowerRoman"/>
      <w:start w:val="1"/>
    </w:lvl>
    <w:lvl w:ilvl="1">
      <w:lvlJc w:val="left"/>
      <w:lvlText w:val="(%2)"/>
      <w:numFmt w:val="lowerRoman"/>
      <w:start w:val="4"/>
    </w:lvl>
  </w:abstractNum>
  <w:abstractNum w:abstractNumId="17">
    <w:nsid w:val="1E7FF521"/>
    <w:multiLevelType w:val="hybridMultilevel"/>
    <w:lvl w:ilvl="0">
      <w:lvlJc w:val="left"/>
      <w:lvlText w:val="(%1)"/>
      <w:numFmt w:val="lowerRoman"/>
      <w:start w:val="5"/>
    </w:lvl>
    <w:lvl w:ilvl="1">
      <w:lvlJc w:val="left"/>
      <w:lvlText w:val="%2"/>
      <w:numFmt w:val="lowerRoman"/>
      <w:start w:val="1"/>
    </w:lvl>
  </w:abstractNum>
  <w:abstractNum w:abstractNumId="18">
    <w:nsid w:val="7C3DBD3D"/>
    <w:multiLevelType w:val="hybridMultilevel"/>
    <w:lvl w:ilvl="0">
      <w:lvlJc w:val="left"/>
      <w:lvlText w:val="(%1)"/>
      <w:numFmt w:val="lowerLetter"/>
      <w:start w:val="7"/>
    </w:lvl>
  </w:abstractNum>
  <w:abstractNum w:abstractNumId="19">
    <w:nsid w:val="737B8DDC"/>
    <w:multiLevelType w:val="hybridMultilevel"/>
    <w:lvl w:ilvl="0">
      <w:lvlJc w:val="left"/>
      <w:lvlText w:val="%1"/>
      <w:numFmt w:val="decimal"/>
      <w:start w:val="1"/>
    </w:lvl>
    <w:lvl w:ilvl="1">
      <w:lvlJc w:val="left"/>
      <w:lvlText w:val="(%2)"/>
      <w:numFmt w:val="lowerLetter"/>
      <w:start w:val="9"/>
    </w:lvl>
  </w:abstractNum>
  <w:abstractNum w:abstractNumId="20">
    <w:nsid w:val="6CEAF087"/>
    <w:multiLevelType w:val="hybridMultilevel"/>
    <w:lvl w:ilvl="0">
      <w:lvlJc w:val="left"/>
      <w:lvlText w:val="%1."/>
      <w:numFmt w:val="decimal"/>
      <w:start w:val="2"/>
    </w:lvl>
    <w:lvl w:ilvl="1">
      <w:lvlJc w:val="left"/>
      <w:lvlText w:val="%2"/>
      <w:numFmt w:val="lowerLetter"/>
      <w:start w:val="1"/>
    </w:lvl>
  </w:abstractNum>
  <w:abstractNum w:abstractNumId="21">
    <w:nsid w:val="22221A70"/>
    <w:multiLevelType w:val="hybridMultilevel"/>
    <w:lvl w:ilvl="0">
      <w:lvlJc w:val="left"/>
      <w:lvlText w:val="%1."/>
      <w:numFmt w:val="decimal"/>
      <w:start w:val="3"/>
    </w:lvl>
  </w:abstractNum>
  <w:abstractNum w:abstractNumId="22">
    <w:nsid w:val="4516DDE9"/>
    <w:multiLevelType w:val="hybridMultilevel"/>
    <w:lvl w:ilvl="0">
      <w:lvlJc w:val="left"/>
      <w:lvlText w:val="%1."/>
      <w:numFmt w:val="decimal"/>
      <w:start w:val="5"/>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lvl w:ilvl="1">
      <w:lvlJc w:val="left"/>
      <w:lvlText w:val="(%2)"/>
      <w:numFmt w:val="lowerLetter"/>
      <w:start w:val="4"/>
    </w:lvl>
  </w:abstractNum>
  <w:abstractNum w:abstractNumId="25">
    <w:nsid w:val="419AC241"/>
    <w:multiLevelType w:val="hybridMultilevel"/>
    <w:lvl w:ilvl="0">
      <w:lvlJc w:val="left"/>
      <w:lvlText w:val="(%1)"/>
      <w:numFmt w:val="lowerLetter"/>
      <w:start w:val="5"/>
    </w:lvl>
    <w:lvl w:ilvl="1">
      <w:lvlJc w:val="left"/>
      <w:lvlText w:val="%2"/>
      <w:numFmt w:val="lowerLetter"/>
      <w:start w:val="1"/>
    </w:lvl>
  </w:abstractNum>
  <w:abstractNum w:abstractNumId="26">
    <w:nsid w:val="5577F8E1"/>
    <w:multiLevelType w:val="hybridMultilevel"/>
    <w:lvl w:ilvl="0">
      <w:lvlJc w:val="left"/>
      <w:lvlText w:val="%1."/>
      <w:numFmt w:val="decimal"/>
      <w:start w:val="7"/>
    </w:lvl>
    <w:lvl w:ilvl="1">
      <w:lvlJc w:val="left"/>
      <w:lvlText w:val="(%2)"/>
      <w:numFmt w:val="lowerLetter"/>
      <w:start w:val="1"/>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8"/>
    </w:lvl>
  </w:abstractNum>
  <w:abstractNum w:abstractNumId="29">
    <w:nsid w:val="3804823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0">
    <w:nsid w:val="77465F01"/>
    <w:multiLevelType w:val="hybridMultilevel"/>
    <w:lvl w:ilvl="0">
      <w:lvlJc w:val="left"/>
      <w:lvlText w:val="(%1)"/>
      <w:numFmt w:val="lowerLetter"/>
      <w:start w:val="3"/>
    </w:lvl>
    <w:lvl w:ilvl="1">
      <w:lvlJc w:val="left"/>
      <w:lvlText w:val="%2."/>
      <w:numFmt w:val="decimal"/>
      <w:start w:val="9"/>
    </w:lvl>
    <w:lvl w:ilvl="2">
      <w:lvlJc w:val="left"/>
      <w:lvlText w:val="(%3)"/>
      <w:numFmt w:val="lowerLetter"/>
      <w:start w:val="1"/>
    </w:lvl>
  </w:abstractNum>
  <w:abstractNum w:abstractNumId="31">
    <w:nsid w:val="7724C67E"/>
    <w:multiLevelType w:val="hybridMultilevel"/>
    <w:lvl w:ilvl="0">
      <w:lvlJc w:val="left"/>
      <w:lvlText w:val="%1"/>
      <w:numFmt w:val="decimal"/>
      <w:start w:val="1"/>
    </w:lvl>
    <w:lvl w:ilvl="1">
      <w:lvlJc w:val="left"/>
      <w:lvlText w:val="(%2)"/>
      <w:numFmt w:val="lowerLetter"/>
      <w:start w:val="5"/>
    </w:lvl>
  </w:abstractNum>
  <w:abstractNum w:abstractNumId="32">
    <w:nsid w:val="5C482A97"/>
    <w:multiLevelType w:val="hybridMultilevel"/>
    <w:lvl w:ilvl="0">
      <w:lvlJc w:val="left"/>
      <w:lvlText w:val="%1."/>
      <w:numFmt w:val="decimal"/>
      <w:start w:val="10"/>
    </w:lvl>
    <w:lvl w:ilvl="1">
      <w:lvlJc w:val="left"/>
      <w:lvlText w:val="(%2)"/>
      <w:numFmt w:val="lowerLetter"/>
      <w:start w:val="1"/>
    </w:lvl>
  </w:abstractNum>
  <w:abstractNum w:abstractNumId="33">
    <w:nsid w:val="2463B9EA"/>
    <w:multiLevelType w:val="hybridMultilevel"/>
    <w:lvl w:ilvl="0">
      <w:lvlJc w:val="left"/>
      <w:lvlText w:val="%1."/>
      <w:numFmt w:val="decimal"/>
      <w:start w:val="12"/>
    </w:lvl>
  </w:abstractNum>
  <w:abstractNum w:abstractNumId="34">
    <w:nsid w:val="5E884ADC"/>
    <w:multiLevelType w:val="hybridMultilevel"/>
    <w:lvl w:ilvl="0">
      <w:lvlJc w:val="left"/>
      <w:lvlText w:val="%1."/>
      <w:numFmt w:val="decimal"/>
      <w:start w:val="18"/>
    </w:lvl>
    <w:lvl w:ilvl="1">
      <w:lvlJc w:val="left"/>
      <w:lvlText w:val="(%2)"/>
      <w:numFmt w:val="lowerLetter"/>
      <w:start w:val="1"/>
    </w:lvl>
  </w:abstractNum>
  <w:abstractNum w:abstractNumId="35">
    <w:nsid w:val="51EAD36B"/>
    <w:multiLevelType w:val="hybridMultilevel"/>
    <w:lvl w:ilvl="0">
      <w:lvlJc w:val="left"/>
      <w:lvlText w:val="(%1)"/>
      <w:numFmt w:val="lowerLetter"/>
      <w:start w:val="2"/>
    </w:lvl>
  </w:abstractNum>
  <w:abstractNum w:abstractNumId="36">
    <w:nsid w:val="2D517796"/>
    <w:multiLevelType w:val="hybridMultilevel"/>
    <w:lvl w:ilvl="0">
      <w:lvlJc w:val="left"/>
      <w:lvlText w:val="%1"/>
      <w:numFmt w:val="upperLetter"/>
      <w:start w:val="1"/>
    </w:lvl>
    <w:lvl w:ilvl="1">
      <w:lvlJc w:val="left"/>
      <w:lvlText w:val="(%2)"/>
      <w:numFmt w:val="lowerLetter"/>
      <w:start w:val="5"/>
    </w:lvl>
  </w:abstractNum>
  <w:abstractNum w:abstractNumId="37">
    <w:nsid w:val="580BD78F"/>
    <w:multiLevelType w:val="hybridMultilevel"/>
    <w:lvl w:ilvl="0">
      <w:lvlJc w:val="left"/>
      <w:lvlText w:val="%1"/>
      <w:numFmt w:val="decimal"/>
      <w:start w:val="1"/>
    </w:lvl>
    <w:lvl w:ilvl="1">
      <w:lvlJc w:val="left"/>
      <w:lvlText w:val="(%2)"/>
      <w:numFmt w:val="lowerLetter"/>
      <w:start w:val="8"/>
    </w:lvl>
  </w:abstractNum>
  <w:abstractNum w:abstractNumId="38">
    <w:nsid w:val="153EA438"/>
    <w:multiLevelType w:val="hybridMultilevel"/>
    <w:lvl w:ilvl="0">
      <w:lvlJc w:val="left"/>
      <w:lvlText w:val="%1."/>
      <w:numFmt w:val="decimal"/>
      <w:start w:val="22"/>
    </w:lvl>
    <w:lvl w:ilvl="1">
      <w:lvlJc w:val="left"/>
      <w:lvlText w:val="%2"/>
      <w:numFmt w:val="lowerLetter"/>
      <w:start w:val="1"/>
    </w:lvl>
  </w:abstractNum>
  <w:abstractNum w:abstractNumId="39">
    <w:nsid w:val="3855585C"/>
    <w:multiLevelType w:val="hybridMultilevel"/>
    <w:lvl w:ilvl="0">
      <w:lvlJc w:val="left"/>
      <w:lvlText w:val="%1."/>
      <w:numFmt w:val="decimal"/>
      <w:start w:val="24"/>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2019-12-10T21:56:18Z</dcterms:created>
  <dcterms:modified xsi:type="dcterms:W3CDTF">2019-12-10T21:56:18Z</dcterms:modified>
</cp:coreProperties>
</file>